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665.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596.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61.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جامع المسائل تعلیق و شرح بر ذخیرة العباد نوشته علامه محقق شیخ محمدحسین غروی اصفهانی قدس سره و تکمیل آن تا پایان فقه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06977_1067777946">
            <w:r>
              <w:rPr>
                <w:webHidden/>
                <w:rStyle w:val="IndexLink"/>
                <w:rtl w:val="true"/>
              </w:rPr>
              <w:t>مشخصات کتاب</w:t>
            </w:r>
            <w:r>
              <w:rPr>
                <w:rStyle w:val="IndexLink"/>
                <w:rtl w:val="true"/>
              </w:rPr>
              <w:tab/>
            </w:r>
            <w:r>
              <w:rPr>
                <w:rStyle w:val="IndexLink"/>
              </w:rPr>
              <w:t>38</w:t>
            </w:r>
          </w:hyperlink>
        </w:p>
        <w:p>
          <w:pPr>
            <w:pStyle w:val="Contents2"/>
            <w:tabs>
              <w:tab w:val="clear" w:pos="8743"/>
              <w:tab w:val="right" w:pos="9026" w:leader="dot"/>
            </w:tabs>
            <w:rPr/>
          </w:pPr>
          <w:hyperlink w:anchor="__RefHeading___Toc3806979_1067777946">
            <w:r>
              <w:rPr>
                <w:webHidden/>
                <w:rStyle w:val="IndexLink"/>
                <w:rtl w:val="true"/>
              </w:rPr>
              <w:t>اشاره</w:t>
            </w:r>
            <w:r>
              <w:rPr>
                <w:rStyle w:val="IndexLink"/>
                <w:rtl w:val="true"/>
              </w:rPr>
              <w:tab/>
            </w:r>
            <w:r>
              <w:rPr>
                <w:rStyle w:val="IndexLink"/>
              </w:rPr>
              <w:t>38</w:t>
            </w:r>
          </w:hyperlink>
        </w:p>
        <w:p>
          <w:pPr>
            <w:pStyle w:val="Contents2"/>
            <w:tabs>
              <w:tab w:val="clear" w:pos="8743"/>
              <w:tab w:val="right" w:pos="9026" w:leader="dot"/>
            </w:tabs>
            <w:rPr/>
          </w:pPr>
          <w:hyperlink w:anchor="__RefHeading___Toc3806981_1067777946">
            <w:r>
              <w:rPr>
                <w:webHidden/>
                <w:rStyle w:val="IndexLink"/>
                <w:rtl w:val="true"/>
              </w:rPr>
              <w:t>تذكر</w:t>
            </w:r>
            <w:r>
              <w:rPr>
                <w:rStyle w:val="IndexLink"/>
                <w:rtl w:val="true"/>
              </w:rPr>
              <w:tab/>
            </w:r>
            <w:r>
              <w:rPr>
                <w:rStyle w:val="IndexLink"/>
              </w:rPr>
              <w:t>40</w:t>
            </w:r>
          </w:hyperlink>
        </w:p>
        <w:p>
          <w:pPr>
            <w:pStyle w:val="Contents2"/>
            <w:tabs>
              <w:tab w:val="clear" w:pos="8743"/>
              <w:tab w:val="right" w:pos="9026" w:leader="dot"/>
            </w:tabs>
            <w:rPr/>
          </w:pPr>
          <w:hyperlink w:anchor="__RefHeading___Toc3806983_1067777946">
            <w:r>
              <w:rPr>
                <w:webHidden/>
                <w:rStyle w:val="IndexLink"/>
                <w:rtl w:val="true"/>
              </w:rPr>
              <w:t>ادامۀ كتاب نكاح</w:t>
            </w:r>
            <w:r>
              <w:rPr>
                <w:rStyle w:val="IndexLink"/>
                <w:rtl w:val="true"/>
              </w:rPr>
              <w:tab/>
            </w:r>
            <w:r>
              <w:rPr>
                <w:rStyle w:val="IndexLink"/>
              </w:rPr>
              <w:t>42</w:t>
            </w:r>
          </w:hyperlink>
        </w:p>
        <w:p>
          <w:pPr>
            <w:pStyle w:val="Contents3"/>
            <w:tabs>
              <w:tab w:val="clear" w:pos="8459"/>
              <w:tab w:val="right" w:pos="9026" w:leader="dot"/>
            </w:tabs>
            <w:rPr/>
          </w:pPr>
          <w:hyperlink w:anchor="__RefHeading___Toc3806985_1067777946">
            <w:r>
              <w:rPr>
                <w:webHidden/>
                <w:rStyle w:val="IndexLink"/>
                <w:rtl w:val="true"/>
              </w:rPr>
              <w:t>فصل پنجم نكاح منقطع</w:t>
            </w:r>
            <w:r>
              <w:rPr>
                <w:rStyle w:val="IndexLink"/>
                <w:rtl w:val="true"/>
              </w:rPr>
              <w:tab/>
            </w:r>
            <w:r>
              <w:rPr>
                <w:rStyle w:val="IndexLink"/>
              </w:rPr>
              <w:t>42</w:t>
            </w:r>
          </w:hyperlink>
        </w:p>
        <w:p>
          <w:pPr>
            <w:pStyle w:val="Contents4"/>
            <w:tabs>
              <w:tab w:val="clear" w:pos="8176"/>
              <w:tab w:val="right" w:pos="9026" w:leader="dot"/>
            </w:tabs>
            <w:rPr/>
          </w:pPr>
          <w:hyperlink w:anchor="__RefHeading___Toc3806987_1067777946">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3806989_1067777946">
            <w:r>
              <w:rPr>
                <w:webHidden/>
                <w:rStyle w:val="IndexLink"/>
                <w:rtl w:val="true"/>
              </w:rPr>
              <w:t>و اركان اين قسم از نكاح، چهار است</w:t>
            </w:r>
            <w:r>
              <w:rPr>
                <w:rStyle w:val="IndexLink"/>
                <w:rtl w:val="true"/>
              </w:rPr>
              <w:t xml:space="preserve">: </w:t>
            </w:r>
            <w:r>
              <w:rPr>
                <w:rStyle w:val="IndexLink"/>
                <w:rtl w:val="true"/>
              </w:rPr>
              <w:t>صيغه و محل و اَجَل و مهر</w:t>
            </w:r>
            <w:r>
              <w:rPr>
                <w:rStyle w:val="IndexLink"/>
                <w:rtl w:val="true"/>
              </w:rPr>
              <w:t>.</w:t>
              <w:tab/>
            </w:r>
            <w:r>
              <w:rPr>
                <w:rStyle w:val="IndexLink"/>
              </w:rPr>
              <w:t>42</w:t>
            </w:r>
          </w:hyperlink>
        </w:p>
        <w:p>
          <w:pPr>
            <w:pStyle w:val="Contents5"/>
            <w:tabs>
              <w:tab w:val="clear" w:pos="7892"/>
              <w:tab w:val="right" w:pos="9026" w:leader="dot"/>
            </w:tabs>
            <w:rPr/>
          </w:pPr>
          <w:hyperlink w:anchor="__RefHeading___Toc3806991_1067777946">
            <w:r>
              <w:rPr>
                <w:webHidden/>
                <w:rStyle w:val="IndexLink"/>
              </w:rPr>
              <w:t>1</w:t>
            </w:r>
            <w:r>
              <w:rPr>
                <w:rStyle w:val="IndexLink"/>
                <w:rtl w:val="true"/>
              </w:rPr>
              <w:t xml:space="preserve">. </w:t>
            </w:r>
            <w:r>
              <w:rPr>
                <w:rStyle w:val="IndexLink"/>
                <w:rtl w:val="true"/>
              </w:rPr>
              <w:t>صيغۀ عقد منقطع</w:t>
            </w:r>
            <w:r>
              <w:rPr>
                <w:rStyle w:val="IndexLink"/>
                <w:rtl w:val="true"/>
              </w:rPr>
              <w:tab/>
            </w:r>
            <w:r>
              <w:rPr>
                <w:rStyle w:val="IndexLink"/>
              </w:rPr>
              <w:t>42</w:t>
            </w:r>
          </w:hyperlink>
        </w:p>
        <w:p>
          <w:pPr>
            <w:pStyle w:val="Contents5"/>
            <w:tabs>
              <w:tab w:val="clear" w:pos="7892"/>
              <w:tab w:val="right" w:pos="9026" w:leader="dot"/>
            </w:tabs>
            <w:rPr/>
          </w:pPr>
          <w:hyperlink w:anchor="__RefHeading___Toc3806993_1067777946">
            <w:r>
              <w:rPr>
                <w:webHidden/>
                <w:rStyle w:val="IndexLink"/>
              </w:rPr>
              <w:t>2</w:t>
            </w:r>
            <w:r>
              <w:rPr>
                <w:rStyle w:val="IndexLink"/>
                <w:rtl w:val="true"/>
              </w:rPr>
              <w:t xml:space="preserve">. </w:t>
            </w:r>
            <w:r>
              <w:rPr>
                <w:rStyle w:val="IndexLink"/>
                <w:rtl w:val="true"/>
              </w:rPr>
              <w:t>محل</w:t>
            </w:r>
            <w:r>
              <w:rPr>
                <w:rStyle w:val="IndexLink"/>
                <w:rtl w:val="true"/>
              </w:rPr>
              <w:tab/>
            </w:r>
            <w:r>
              <w:rPr>
                <w:rStyle w:val="IndexLink"/>
              </w:rPr>
              <w:t>43</w:t>
            </w:r>
          </w:hyperlink>
        </w:p>
        <w:p>
          <w:pPr>
            <w:pStyle w:val="Contents6"/>
            <w:tabs>
              <w:tab w:val="clear" w:pos="7609"/>
              <w:tab w:val="right" w:pos="9026" w:leader="dot"/>
            </w:tabs>
            <w:rPr/>
          </w:pPr>
          <w:hyperlink w:anchor="__RefHeading___Toc3806995_1067777946">
            <w:r>
              <w:rPr>
                <w:webHidden/>
                <w:rStyle w:val="IndexLink"/>
                <w:rtl w:val="true"/>
              </w:rPr>
              <w:t>اشاره</w:t>
            </w:r>
            <w:r>
              <w:rPr>
                <w:rStyle w:val="IndexLink"/>
                <w:rtl w:val="true"/>
              </w:rPr>
              <w:tab/>
            </w:r>
            <w:r>
              <w:rPr>
                <w:rStyle w:val="IndexLink"/>
              </w:rPr>
              <w:t>43</w:t>
            </w:r>
          </w:hyperlink>
        </w:p>
        <w:p>
          <w:pPr>
            <w:pStyle w:val="Contents6"/>
            <w:tabs>
              <w:tab w:val="clear" w:pos="7609"/>
              <w:tab w:val="right" w:pos="9026" w:leader="dot"/>
            </w:tabs>
            <w:rPr/>
          </w:pPr>
          <w:hyperlink w:anchor="__RefHeading___Toc3806997_1067777946">
            <w:r>
              <w:rPr>
                <w:webHidden/>
                <w:rStyle w:val="IndexLink"/>
                <w:rtl w:val="true"/>
              </w:rPr>
              <w:t>عدم جواز مناكحۀ مؤمنه با غير مسلم</w:t>
            </w:r>
            <w:r>
              <w:rPr>
                <w:rStyle w:val="IndexLink"/>
                <w:rtl w:val="true"/>
              </w:rPr>
              <w:tab/>
            </w:r>
            <w:r>
              <w:rPr>
                <w:rStyle w:val="IndexLink"/>
              </w:rPr>
              <w:t>43</w:t>
            </w:r>
          </w:hyperlink>
        </w:p>
        <w:p>
          <w:pPr>
            <w:pStyle w:val="Contents6"/>
            <w:tabs>
              <w:tab w:val="clear" w:pos="7609"/>
              <w:tab w:val="right" w:pos="9026" w:leader="dot"/>
            </w:tabs>
            <w:rPr/>
          </w:pPr>
          <w:hyperlink w:anchor="__RefHeading___Toc3806999_1067777946">
            <w:r>
              <w:rPr>
                <w:webHidden/>
                <w:rStyle w:val="IndexLink"/>
                <w:rtl w:val="true"/>
              </w:rPr>
              <w:t>حكم تمتّع مسلمان با كافره</w:t>
            </w:r>
            <w:r>
              <w:rPr>
                <w:rStyle w:val="IndexLink"/>
                <w:rtl w:val="true"/>
              </w:rPr>
              <w:tab/>
            </w:r>
            <w:r>
              <w:rPr>
                <w:rStyle w:val="IndexLink"/>
              </w:rPr>
              <w:t>43</w:t>
            </w:r>
          </w:hyperlink>
        </w:p>
        <w:p>
          <w:pPr>
            <w:pStyle w:val="Contents6"/>
            <w:tabs>
              <w:tab w:val="clear" w:pos="7609"/>
              <w:tab w:val="right" w:pos="9026" w:leader="dot"/>
            </w:tabs>
            <w:rPr/>
          </w:pPr>
          <w:hyperlink w:anchor="__RefHeading___Toc3807001_1067777946">
            <w:r>
              <w:rPr>
                <w:webHidden/>
                <w:rStyle w:val="IndexLink"/>
                <w:rtl w:val="true"/>
              </w:rPr>
              <w:t>حكم تمتّع با كنيز و</w:t>
            </w:r>
            <w:r>
              <w:rPr>
                <w:rStyle w:val="IndexLink"/>
                <w:rtl w:val="true"/>
              </w:rPr>
              <w:t>...</w:t>
              <w:tab/>
            </w:r>
            <w:r>
              <w:rPr>
                <w:rStyle w:val="IndexLink"/>
              </w:rPr>
              <w:t>43</w:t>
            </w:r>
          </w:hyperlink>
        </w:p>
        <w:p>
          <w:pPr>
            <w:pStyle w:val="Contents6"/>
            <w:tabs>
              <w:tab w:val="clear" w:pos="7609"/>
              <w:tab w:val="right" w:pos="9026" w:leader="dot"/>
            </w:tabs>
            <w:rPr/>
          </w:pPr>
          <w:hyperlink w:anchor="__RefHeading___Toc3807003_1067777946">
            <w:r>
              <w:rPr>
                <w:webHidden/>
                <w:rStyle w:val="IndexLink"/>
                <w:rtl w:val="true"/>
              </w:rPr>
              <w:t>جريان برخى احكام نكاح دائم در متعه</w:t>
            </w:r>
            <w:r>
              <w:rPr>
                <w:rStyle w:val="IndexLink"/>
                <w:rtl w:val="true"/>
              </w:rPr>
              <w:tab/>
            </w:r>
            <w:r>
              <w:rPr>
                <w:rStyle w:val="IndexLink"/>
              </w:rPr>
              <w:t>43</w:t>
            </w:r>
          </w:hyperlink>
        </w:p>
        <w:p>
          <w:pPr>
            <w:pStyle w:val="Contents6"/>
            <w:tabs>
              <w:tab w:val="clear" w:pos="7609"/>
              <w:tab w:val="right" w:pos="9026" w:leader="dot"/>
            </w:tabs>
            <w:rPr/>
          </w:pPr>
          <w:hyperlink w:anchor="__RefHeading___Toc3807005_1067777946">
            <w:r>
              <w:rPr>
                <w:webHidden/>
                <w:rStyle w:val="IndexLink"/>
                <w:rtl w:val="true"/>
              </w:rPr>
              <w:t>حكم تمتُّع با متّهمه و زانيه</w:t>
            </w:r>
            <w:r>
              <w:rPr>
                <w:rStyle w:val="IndexLink"/>
                <w:rtl w:val="true"/>
              </w:rPr>
              <w:tab/>
            </w:r>
            <w:r>
              <w:rPr>
                <w:rStyle w:val="IndexLink"/>
              </w:rPr>
              <w:t>44</w:t>
            </w:r>
          </w:hyperlink>
        </w:p>
        <w:p>
          <w:pPr>
            <w:pStyle w:val="Contents6"/>
            <w:tabs>
              <w:tab w:val="clear" w:pos="7609"/>
              <w:tab w:val="right" w:pos="9026" w:leader="dot"/>
            </w:tabs>
            <w:rPr/>
          </w:pPr>
          <w:hyperlink w:anchor="__RefHeading___Toc3807007_1067777946">
            <w:r>
              <w:rPr>
                <w:webHidden/>
                <w:rStyle w:val="IndexLink"/>
                <w:rtl w:val="true"/>
              </w:rPr>
              <w:t>كراهت تمتع از غير ثيّب</w:t>
            </w:r>
            <w:r>
              <w:rPr>
                <w:rStyle w:val="IndexLink"/>
                <w:rtl w:val="true"/>
              </w:rPr>
              <w:tab/>
            </w:r>
            <w:r>
              <w:rPr>
                <w:rStyle w:val="IndexLink"/>
              </w:rPr>
              <w:t>44</w:t>
            </w:r>
          </w:hyperlink>
        </w:p>
        <w:p>
          <w:pPr>
            <w:pStyle w:val="Contents6"/>
            <w:tabs>
              <w:tab w:val="clear" w:pos="7609"/>
              <w:tab w:val="right" w:pos="9026" w:leader="dot"/>
            </w:tabs>
            <w:rPr/>
          </w:pPr>
          <w:hyperlink w:anchor="__RefHeading___Toc3807009_1067777946">
            <w:r>
              <w:rPr>
                <w:webHidden/>
                <w:rStyle w:val="IndexLink"/>
                <w:rtl w:val="true"/>
              </w:rPr>
              <w:t>حكم عقد انقطاعى بعد از اختيار اسلام توسّط يكى از زوجين</w:t>
            </w:r>
            <w:r>
              <w:rPr>
                <w:rStyle w:val="IndexLink"/>
                <w:rtl w:val="true"/>
              </w:rPr>
              <w:tab/>
            </w:r>
            <w:r>
              <w:rPr>
                <w:rStyle w:val="IndexLink"/>
              </w:rPr>
              <w:t>44</w:t>
            </w:r>
          </w:hyperlink>
        </w:p>
        <w:p>
          <w:pPr>
            <w:pStyle w:val="Contents5"/>
            <w:tabs>
              <w:tab w:val="clear" w:pos="7892"/>
              <w:tab w:val="right" w:pos="9026" w:leader="dot"/>
            </w:tabs>
            <w:rPr/>
          </w:pPr>
          <w:hyperlink w:anchor="__RefHeading___Toc3807011_1067777946">
            <w:r>
              <w:rPr>
                <w:webHidden/>
                <w:rStyle w:val="IndexLink"/>
              </w:rPr>
              <w:t>3</w:t>
            </w:r>
            <w:r>
              <w:rPr>
                <w:rStyle w:val="IndexLink"/>
                <w:rtl w:val="true"/>
              </w:rPr>
              <w:t xml:space="preserve">. </w:t>
            </w:r>
            <w:r>
              <w:rPr>
                <w:rStyle w:val="IndexLink"/>
                <w:rtl w:val="true"/>
              </w:rPr>
              <w:t>مهر در نكاح منقطع</w:t>
            </w:r>
            <w:r>
              <w:rPr>
                <w:rStyle w:val="IndexLink"/>
                <w:rtl w:val="true"/>
              </w:rPr>
              <w:tab/>
            </w:r>
            <w:r>
              <w:rPr>
                <w:rStyle w:val="IndexLink"/>
              </w:rPr>
              <w:t>45</w:t>
            </w:r>
          </w:hyperlink>
        </w:p>
        <w:p>
          <w:pPr>
            <w:pStyle w:val="Contents6"/>
            <w:tabs>
              <w:tab w:val="clear" w:pos="7609"/>
              <w:tab w:val="right" w:pos="9026" w:leader="dot"/>
            </w:tabs>
            <w:rPr/>
          </w:pPr>
          <w:hyperlink w:anchor="__RefHeading___Toc3807013_1067777946">
            <w:r>
              <w:rPr>
                <w:webHidden/>
                <w:rStyle w:val="IndexLink"/>
                <w:rtl w:val="true"/>
              </w:rPr>
              <w:t>اشاره</w:t>
            </w:r>
            <w:r>
              <w:rPr>
                <w:rStyle w:val="IndexLink"/>
                <w:rtl w:val="true"/>
              </w:rPr>
              <w:tab/>
            </w:r>
            <w:r>
              <w:rPr>
                <w:rStyle w:val="IndexLink"/>
              </w:rPr>
              <w:t>45</w:t>
            </w:r>
          </w:hyperlink>
        </w:p>
        <w:p>
          <w:pPr>
            <w:pStyle w:val="Contents6"/>
            <w:tabs>
              <w:tab w:val="clear" w:pos="7609"/>
              <w:tab w:val="right" w:pos="9026" w:leader="dot"/>
            </w:tabs>
            <w:rPr/>
          </w:pPr>
          <w:hyperlink w:anchor="__RefHeading___Toc3807015_1067777946">
            <w:r>
              <w:rPr>
                <w:webHidden/>
                <w:rStyle w:val="IndexLink"/>
                <w:rtl w:val="true"/>
              </w:rPr>
              <w:t>لزوم مملوك شدن مهر توسط زن</w:t>
            </w:r>
            <w:r>
              <w:rPr>
                <w:rStyle w:val="IndexLink"/>
                <w:rtl w:val="true"/>
              </w:rPr>
              <w:tab/>
            </w:r>
            <w:r>
              <w:rPr>
                <w:rStyle w:val="IndexLink"/>
              </w:rPr>
              <w:t>45</w:t>
            </w:r>
          </w:hyperlink>
        </w:p>
        <w:p>
          <w:pPr>
            <w:pStyle w:val="Contents6"/>
            <w:tabs>
              <w:tab w:val="clear" w:pos="7609"/>
              <w:tab w:val="right" w:pos="9026" w:leader="dot"/>
            </w:tabs>
            <w:rPr/>
          </w:pPr>
          <w:hyperlink w:anchor="__RefHeading___Toc3807017_1067777946">
            <w:r>
              <w:rPr>
                <w:webHidden/>
                <w:rStyle w:val="IndexLink"/>
                <w:rtl w:val="true"/>
              </w:rPr>
              <w:t>لزوم علم به مقدار مهر</w:t>
            </w:r>
            <w:r>
              <w:rPr>
                <w:rStyle w:val="IndexLink"/>
                <w:rtl w:val="true"/>
              </w:rPr>
              <w:tab/>
            </w:r>
            <w:r>
              <w:rPr>
                <w:rStyle w:val="IndexLink"/>
              </w:rPr>
              <w:t>45</w:t>
            </w:r>
          </w:hyperlink>
        </w:p>
        <w:p>
          <w:pPr>
            <w:pStyle w:val="Contents6"/>
            <w:tabs>
              <w:tab w:val="clear" w:pos="7609"/>
              <w:tab w:val="right" w:pos="9026" w:leader="dot"/>
            </w:tabs>
            <w:rPr/>
          </w:pPr>
          <w:hyperlink w:anchor="__RefHeading___Toc3807019_1067777946">
            <w:r>
              <w:rPr>
                <w:webHidden/>
                <w:rStyle w:val="IndexLink"/>
                <w:rtl w:val="true"/>
              </w:rPr>
              <w:t>لزوم دفع مهر بعد از عقد</w:t>
            </w:r>
            <w:r>
              <w:rPr>
                <w:rStyle w:val="IndexLink"/>
                <w:rtl w:val="true"/>
              </w:rPr>
              <w:tab/>
            </w:r>
            <w:r>
              <w:rPr>
                <w:rStyle w:val="IndexLink"/>
              </w:rPr>
              <w:t>46</w:t>
            </w:r>
          </w:hyperlink>
        </w:p>
        <w:p>
          <w:pPr>
            <w:pStyle w:val="Contents6"/>
            <w:tabs>
              <w:tab w:val="clear" w:pos="7609"/>
              <w:tab w:val="right" w:pos="9026" w:leader="dot"/>
            </w:tabs>
            <w:rPr/>
          </w:pPr>
          <w:hyperlink w:anchor="__RefHeading___Toc3807021_1067777946">
            <w:r>
              <w:rPr>
                <w:webHidden/>
                <w:rStyle w:val="IndexLink"/>
                <w:rtl w:val="true"/>
              </w:rPr>
              <w:t>ابراء موجب تنصيف مهر</w:t>
            </w:r>
            <w:r>
              <w:rPr>
                <w:rStyle w:val="IndexLink"/>
                <w:rtl w:val="true"/>
              </w:rPr>
              <w:tab/>
            </w:r>
            <w:r>
              <w:rPr>
                <w:rStyle w:val="IndexLink"/>
              </w:rPr>
              <w:t>46</w:t>
            </w:r>
          </w:hyperlink>
        </w:p>
        <w:p>
          <w:pPr>
            <w:pStyle w:val="Contents6"/>
            <w:tabs>
              <w:tab w:val="clear" w:pos="7609"/>
              <w:tab w:val="right" w:pos="9026" w:leader="dot"/>
            </w:tabs>
            <w:rPr/>
          </w:pPr>
          <w:hyperlink w:anchor="__RefHeading___Toc3807023_1067777946">
            <w:r>
              <w:rPr>
                <w:webHidden/>
                <w:rStyle w:val="IndexLink"/>
                <w:rtl w:val="true"/>
              </w:rPr>
              <w:t>فرض استقرار تمام مهر</w:t>
            </w:r>
            <w:r>
              <w:rPr>
                <w:rStyle w:val="IndexLink"/>
                <w:rtl w:val="true"/>
              </w:rPr>
              <w:tab/>
            </w:r>
            <w:r>
              <w:rPr>
                <w:rStyle w:val="IndexLink"/>
              </w:rPr>
              <w:t>46</w:t>
            </w:r>
          </w:hyperlink>
        </w:p>
        <w:p>
          <w:pPr>
            <w:pStyle w:val="Contents6"/>
            <w:tabs>
              <w:tab w:val="clear" w:pos="7609"/>
              <w:tab w:val="right" w:pos="9026" w:leader="dot"/>
            </w:tabs>
            <w:rPr/>
          </w:pPr>
          <w:hyperlink w:anchor="__RefHeading___Toc3807025_1067777946">
            <w:r>
              <w:rPr>
                <w:webHidden/>
                <w:rStyle w:val="IndexLink"/>
                <w:rtl w:val="true"/>
              </w:rPr>
              <w:t>اخلال زن به تمكين در بعض مدت</w:t>
            </w:r>
            <w:r>
              <w:rPr>
                <w:rStyle w:val="IndexLink"/>
                <w:rtl w:val="true"/>
              </w:rPr>
              <w:tab/>
            </w:r>
            <w:r>
              <w:rPr>
                <w:rStyle w:val="IndexLink"/>
              </w:rPr>
              <w:t>46</w:t>
            </w:r>
          </w:hyperlink>
        </w:p>
        <w:p>
          <w:pPr>
            <w:pStyle w:val="Contents6"/>
            <w:tabs>
              <w:tab w:val="clear" w:pos="7609"/>
              <w:tab w:val="right" w:pos="9026" w:leader="dot"/>
            </w:tabs>
            <w:rPr/>
          </w:pPr>
          <w:hyperlink w:anchor="__RefHeading___Toc3807027_1067777946">
            <w:r>
              <w:rPr>
                <w:webHidden/>
                <w:rStyle w:val="IndexLink"/>
                <w:rtl w:val="true"/>
              </w:rPr>
              <w:t>حكم استحقاق مهر بر فرض بطلان عقد منقطع</w:t>
            </w:r>
            <w:r>
              <w:rPr>
                <w:rStyle w:val="IndexLink"/>
                <w:rtl w:val="true"/>
              </w:rPr>
              <w:tab/>
            </w:r>
            <w:r>
              <w:rPr>
                <w:rStyle w:val="IndexLink"/>
              </w:rPr>
              <w:t>47</w:t>
            </w:r>
          </w:hyperlink>
        </w:p>
        <w:p>
          <w:pPr>
            <w:pStyle w:val="Contents5"/>
            <w:tabs>
              <w:tab w:val="clear" w:pos="7892"/>
              <w:tab w:val="right" w:pos="9026" w:leader="dot"/>
            </w:tabs>
            <w:rPr/>
          </w:pPr>
          <w:hyperlink w:anchor="__RefHeading___Toc3807029_1067777946">
            <w:r>
              <w:rPr>
                <w:webHidden/>
                <w:rStyle w:val="IndexLink"/>
              </w:rPr>
              <w:t>4</w:t>
            </w:r>
            <w:r>
              <w:rPr>
                <w:rStyle w:val="IndexLink"/>
                <w:rtl w:val="true"/>
              </w:rPr>
              <w:t xml:space="preserve">. </w:t>
            </w:r>
            <w:r>
              <w:rPr>
                <w:rStyle w:val="IndexLink"/>
                <w:rtl w:val="true"/>
              </w:rPr>
              <w:t>تعيين زمان در عقد منقطع</w:t>
            </w:r>
            <w:r>
              <w:rPr>
                <w:rStyle w:val="IndexLink"/>
                <w:rtl w:val="true"/>
              </w:rPr>
              <w:tab/>
            </w:r>
            <w:r>
              <w:rPr>
                <w:rStyle w:val="IndexLink"/>
              </w:rPr>
              <w:t>47</w:t>
            </w:r>
          </w:hyperlink>
        </w:p>
        <w:p>
          <w:pPr>
            <w:pStyle w:val="Contents6"/>
            <w:tabs>
              <w:tab w:val="clear" w:pos="7609"/>
              <w:tab w:val="right" w:pos="9026" w:leader="dot"/>
            </w:tabs>
            <w:rPr/>
          </w:pPr>
          <w:hyperlink w:anchor="__RefHeading___Toc3807031_1067777946">
            <w:r>
              <w:rPr>
                <w:webHidden/>
                <w:rStyle w:val="IndexLink"/>
                <w:rtl w:val="true"/>
              </w:rPr>
              <w:t>اشاره</w:t>
            </w:r>
            <w:r>
              <w:rPr>
                <w:rStyle w:val="IndexLink"/>
                <w:rtl w:val="true"/>
              </w:rPr>
              <w:tab/>
            </w:r>
            <w:r>
              <w:rPr>
                <w:rStyle w:val="IndexLink"/>
              </w:rPr>
              <w:t>47</w:t>
            </w:r>
          </w:hyperlink>
        </w:p>
        <w:p>
          <w:pPr>
            <w:pStyle w:val="Contents6"/>
            <w:tabs>
              <w:tab w:val="clear" w:pos="7609"/>
              <w:tab w:val="right" w:pos="9026" w:leader="dot"/>
            </w:tabs>
            <w:rPr/>
          </w:pPr>
          <w:hyperlink w:anchor="__RefHeading___Toc3807033_1067777946">
            <w:r>
              <w:rPr>
                <w:webHidden/>
                <w:rStyle w:val="IndexLink"/>
                <w:rtl w:val="true"/>
              </w:rPr>
              <w:t>فرض انقلاب به عقد دائم</w:t>
            </w:r>
            <w:r>
              <w:rPr>
                <w:rStyle w:val="IndexLink"/>
                <w:rtl w:val="true"/>
              </w:rPr>
              <w:tab/>
            </w:r>
            <w:r>
              <w:rPr>
                <w:rStyle w:val="IndexLink"/>
              </w:rPr>
              <w:t>47</w:t>
            </w:r>
          </w:hyperlink>
        </w:p>
        <w:p>
          <w:pPr>
            <w:pStyle w:val="Contents6"/>
            <w:tabs>
              <w:tab w:val="clear" w:pos="7609"/>
              <w:tab w:val="right" w:pos="9026" w:leader="dot"/>
            </w:tabs>
            <w:rPr/>
          </w:pPr>
          <w:hyperlink w:anchor="__RefHeading___Toc3807035_1067777946">
            <w:r>
              <w:rPr>
                <w:webHidden/>
                <w:rStyle w:val="IndexLink"/>
                <w:rtl w:val="true"/>
              </w:rPr>
              <w:t>مقدار مدّت</w:t>
            </w:r>
            <w:r>
              <w:rPr>
                <w:rStyle w:val="IndexLink"/>
                <w:rtl w:val="true"/>
              </w:rPr>
              <w:tab/>
            </w:r>
            <w:r>
              <w:rPr>
                <w:rStyle w:val="IndexLink"/>
              </w:rPr>
              <w:t>47</w:t>
            </w:r>
          </w:hyperlink>
        </w:p>
        <w:p>
          <w:pPr>
            <w:pStyle w:val="Contents6"/>
            <w:tabs>
              <w:tab w:val="clear" w:pos="7609"/>
              <w:tab w:val="right" w:pos="9026" w:leader="dot"/>
            </w:tabs>
            <w:rPr/>
          </w:pPr>
          <w:hyperlink w:anchor="__RefHeading___Toc3807037_1067777946">
            <w:r>
              <w:rPr>
                <w:webHidden/>
                <w:rStyle w:val="IndexLink"/>
                <w:rtl w:val="true"/>
              </w:rPr>
              <w:t>لزوم تشخّص و تعيّن در مدت</w:t>
            </w:r>
            <w:r>
              <w:rPr>
                <w:rStyle w:val="IndexLink"/>
                <w:rtl w:val="true"/>
              </w:rPr>
              <w:tab/>
            </w:r>
            <w:r>
              <w:rPr>
                <w:rStyle w:val="IndexLink"/>
              </w:rPr>
              <w:t>48</w:t>
            </w:r>
          </w:hyperlink>
        </w:p>
        <w:p>
          <w:pPr>
            <w:pStyle w:val="Contents6"/>
            <w:tabs>
              <w:tab w:val="clear" w:pos="7609"/>
              <w:tab w:val="right" w:pos="9026" w:leader="dot"/>
            </w:tabs>
            <w:rPr/>
          </w:pPr>
          <w:hyperlink w:anchor="__RefHeading___Toc3807039_1067777946">
            <w:r>
              <w:rPr>
                <w:webHidden/>
                <w:rStyle w:val="IndexLink"/>
                <w:rtl w:val="true"/>
              </w:rPr>
              <w:t>جواز تعيين مدّت متّصله و منفصله در عقد منقطع</w:t>
            </w:r>
            <w:r>
              <w:rPr>
                <w:rStyle w:val="IndexLink"/>
                <w:rtl w:val="true"/>
              </w:rPr>
              <w:tab/>
            </w:r>
            <w:r>
              <w:rPr>
                <w:rStyle w:val="IndexLink"/>
              </w:rPr>
              <w:t>48</w:t>
            </w:r>
          </w:hyperlink>
        </w:p>
        <w:p>
          <w:pPr>
            <w:pStyle w:val="Contents6"/>
            <w:tabs>
              <w:tab w:val="clear" w:pos="7609"/>
              <w:tab w:val="right" w:pos="9026" w:leader="dot"/>
            </w:tabs>
            <w:rPr/>
          </w:pPr>
          <w:hyperlink w:anchor="__RefHeading___Toc3807041_1067777946">
            <w:r>
              <w:rPr>
                <w:webHidden/>
                <w:rStyle w:val="IndexLink"/>
                <w:rtl w:val="true"/>
              </w:rPr>
              <w:t>عدم وقوع متعه با تعيين دفعه و بدون تعيين مدت</w:t>
            </w:r>
            <w:r>
              <w:rPr>
                <w:rStyle w:val="IndexLink"/>
                <w:rtl w:val="true"/>
              </w:rPr>
              <w:tab/>
            </w:r>
            <w:r>
              <w:rPr>
                <w:rStyle w:val="IndexLink"/>
              </w:rPr>
              <w:t>49</w:t>
            </w:r>
          </w:hyperlink>
        </w:p>
        <w:p>
          <w:pPr>
            <w:pStyle w:val="Contents4"/>
            <w:tabs>
              <w:tab w:val="clear" w:pos="8176"/>
              <w:tab w:val="right" w:pos="9026" w:leader="dot"/>
            </w:tabs>
            <w:rPr/>
          </w:pPr>
          <w:hyperlink w:anchor="__RefHeading___Toc3807043_1067777946">
            <w:r>
              <w:rPr>
                <w:webHidden/>
                <w:rStyle w:val="IndexLink"/>
                <w:rtl w:val="true"/>
              </w:rPr>
              <w:t>احكام نكاح منقطع</w:t>
            </w:r>
            <w:r>
              <w:rPr>
                <w:rStyle w:val="IndexLink"/>
                <w:rtl w:val="true"/>
              </w:rPr>
              <w:tab/>
            </w:r>
            <w:r>
              <w:rPr>
                <w:rStyle w:val="IndexLink"/>
              </w:rPr>
              <w:t>49</w:t>
            </w:r>
          </w:hyperlink>
        </w:p>
        <w:p>
          <w:pPr>
            <w:pStyle w:val="Contents5"/>
            <w:tabs>
              <w:tab w:val="clear" w:pos="7892"/>
              <w:tab w:val="right" w:pos="9026" w:leader="dot"/>
            </w:tabs>
            <w:rPr/>
          </w:pPr>
          <w:hyperlink w:anchor="__RefHeading___Toc3807045_1067777946">
            <w:r>
              <w:rPr>
                <w:webHidden/>
                <w:rStyle w:val="IndexLink"/>
                <w:rtl w:val="true"/>
              </w:rPr>
              <w:t>لزوم ذكر مهر</w:t>
            </w:r>
            <w:r>
              <w:rPr>
                <w:rStyle w:val="IndexLink"/>
                <w:rtl w:val="true"/>
              </w:rPr>
              <w:tab/>
            </w:r>
            <w:r>
              <w:rPr>
                <w:rStyle w:val="IndexLink"/>
              </w:rPr>
              <w:t>49</w:t>
            </w:r>
          </w:hyperlink>
        </w:p>
        <w:p>
          <w:pPr>
            <w:pStyle w:val="Contents5"/>
            <w:tabs>
              <w:tab w:val="clear" w:pos="7892"/>
              <w:tab w:val="right" w:pos="9026" w:leader="dot"/>
            </w:tabs>
            <w:rPr/>
          </w:pPr>
          <w:hyperlink w:anchor="__RefHeading___Toc3807047_1067777946">
            <w:r>
              <w:rPr>
                <w:webHidden/>
                <w:rStyle w:val="IndexLink"/>
                <w:rtl w:val="true"/>
              </w:rPr>
              <w:t>لزوم شرايط ضمن عقد</w:t>
            </w:r>
            <w:r>
              <w:rPr>
                <w:rStyle w:val="IndexLink"/>
                <w:rtl w:val="true"/>
              </w:rPr>
              <w:tab/>
            </w:r>
            <w:r>
              <w:rPr>
                <w:rStyle w:val="IndexLink"/>
              </w:rPr>
              <w:t>49</w:t>
            </w:r>
          </w:hyperlink>
        </w:p>
        <w:p>
          <w:pPr>
            <w:pStyle w:val="Contents5"/>
            <w:tabs>
              <w:tab w:val="clear" w:pos="7892"/>
              <w:tab w:val="right" w:pos="9026" w:leader="dot"/>
            </w:tabs>
            <w:rPr/>
          </w:pPr>
          <w:hyperlink w:anchor="__RefHeading___Toc3807049_1067777946">
            <w:r>
              <w:rPr>
                <w:webHidden/>
                <w:rStyle w:val="IndexLink"/>
                <w:rtl w:val="true"/>
              </w:rPr>
              <w:t>صحّت اشتراط عدم دخول و يا اشتراط دفعات با تعيين زمان</w:t>
            </w:r>
            <w:r>
              <w:rPr>
                <w:rStyle w:val="IndexLink"/>
                <w:rtl w:val="true"/>
              </w:rPr>
              <w:tab/>
            </w:r>
            <w:r>
              <w:rPr>
                <w:rStyle w:val="IndexLink"/>
              </w:rPr>
              <w:t>50</w:t>
            </w:r>
          </w:hyperlink>
        </w:p>
        <w:p>
          <w:pPr>
            <w:pStyle w:val="Contents5"/>
            <w:tabs>
              <w:tab w:val="clear" w:pos="7892"/>
              <w:tab w:val="right" w:pos="9026" w:leader="dot"/>
            </w:tabs>
            <w:rPr/>
          </w:pPr>
          <w:hyperlink w:anchor="__RefHeading___Toc3807051_1067777946">
            <w:r>
              <w:rPr>
                <w:webHidden/>
                <w:rStyle w:val="IndexLink"/>
                <w:rtl w:val="true"/>
              </w:rPr>
              <w:t>حكم جواز و عدم جواز امتناع از تمتع در مدّت مقرّره</w:t>
            </w:r>
            <w:r>
              <w:rPr>
                <w:rStyle w:val="IndexLink"/>
                <w:rtl w:val="true"/>
              </w:rPr>
              <w:tab/>
            </w:r>
            <w:r>
              <w:rPr>
                <w:rStyle w:val="IndexLink"/>
              </w:rPr>
              <w:t>50</w:t>
            </w:r>
          </w:hyperlink>
        </w:p>
        <w:p>
          <w:pPr>
            <w:pStyle w:val="Contents5"/>
            <w:tabs>
              <w:tab w:val="clear" w:pos="7892"/>
              <w:tab w:val="right" w:pos="9026" w:leader="dot"/>
            </w:tabs>
            <w:rPr/>
          </w:pPr>
          <w:hyperlink w:anchor="__RefHeading___Toc3807053_1067777946">
            <w:r>
              <w:rPr>
                <w:webHidden/>
                <w:rStyle w:val="IndexLink"/>
                <w:rtl w:val="true"/>
              </w:rPr>
              <w:t>جواز عزل</w:t>
            </w:r>
            <w:r>
              <w:rPr>
                <w:rStyle w:val="IndexLink"/>
                <w:rtl w:val="true"/>
              </w:rPr>
              <w:tab/>
            </w:r>
            <w:r>
              <w:rPr>
                <w:rStyle w:val="IndexLink"/>
              </w:rPr>
              <w:t>50</w:t>
            </w:r>
          </w:hyperlink>
        </w:p>
        <w:p>
          <w:pPr>
            <w:pStyle w:val="Contents5"/>
            <w:tabs>
              <w:tab w:val="clear" w:pos="7892"/>
              <w:tab w:val="right" w:pos="9026" w:leader="dot"/>
            </w:tabs>
            <w:rPr/>
          </w:pPr>
          <w:hyperlink w:anchor="__RefHeading___Toc3807055_1067777946">
            <w:r>
              <w:rPr>
                <w:webHidden/>
                <w:rStyle w:val="IndexLink"/>
                <w:rtl w:val="true"/>
              </w:rPr>
              <w:t>احكام نفى ولد در عقد انقطاعى</w:t>
            </w:r>
            <w:r>
              <w:rPr>
                <w:rStyle w:val="IndexLink"/>
                <w:rtl w:val="true"/>
              </w:rPr>
              <w:tab/>
            </w:r>
            <w:r>
              <w:rPr>
                <w:rStyle w:val="IndexLink"/>
              </w:rPr>
              <w:t>50</w:t>
            </w:r>
          </w:hyperlink>
        </w:p>
        <w:p>
          <w:pPr>
            <w:pStyle w:val="Contents5"/>
            <w:tabs>
              <w:tab w:val="clear" w:pos="7892"/>
              <w:tab w:val="right" w:pos="9026" w:leader="dot"/>
            </w:tabs>
            <w:rPr/>
          </w:pPr>
          <w:hyperlink w:anchor="__RefHeading___Toc3807057_1067777946">
            <w:r>
              <w:rPr>
                <w:webHidden/>
                <w:rStyle w:val="IndexLink"/>
                <w:rtl w:val="true"/>
              </w:rPr>
              <w:t>عدم وجود طلاق در نكاح منقطع و بيان نحوۀ حصول جدايى در آن</w:t>
            </w:r>
            <w:r>
              <w:rPr>
                <w:rStyle w:val="IndexLink"/>
                <w:rtl w:val="true"/>
              </w:rPr>
              <w:tab/>
            </w:r>
            <w:r>
              <w:rPr>
                <w:rStyle w:val="IndexLink"/>
              </w:rPr>
              <w:t>51</w:t>
            </w:r>
          </w:hyperlink>
        </w:p>
        <w:p>
          <w:pPr>
            <w:pStyle w:val="Contents5"/>
            <w:tabs>
              <w:tab w:val="clear" w:pos="7892"/>
              <w:tab w:val="right" w:pos="9026" w:leader="dot"/>
            </w:tabs>
            <w:rPr/>
          </w:pPr>
          <w:hyperlink w:anchor="__RefHeading___Toc3807059_1067777946">
            <w:r>
              <w:rPr>
                <w:webHidden/>
                <w:rStyle w:val="IndexLink"/>
                <w:rtl w:val="true"/>
              </w:rPr>
              <w:t>عدم حصول ايلاء و لعان در عقد منقطع و حكم وقوع ظهار</w:t>
            </w:r>
            <w:r>
              <w:rPr>
                <w:rStyle w:val="IndexLink"/>
                <w:rtl w:val="true"/>
              </w:rPr>
              <w:tab/>
            </w:r>
            <w:r>
              <w:rPr>
                <w:rStyle w:val="IndexLink"/>
              </w:rPr>
              <w:t>51</w:t>
            </w:r>
          </w:hyperlink>
        </w:p>
        <w:p>
          <w:pPr>
            <w:pStyle w:val="Contents5"/>
            <w:tabs>
              <w:tab w:val="clear" w:pos="7892"/>
              <w:tab w:val="right" w:pos="9026" w:leader="dot"/>
            </w:tabs>
            <w:rPr/>
          </w:pPr>
          <w:hyperlink w:anchor="__RefHeading___Toc3807061_1067777946">
            <w:r>
              <w:rPr>
                <w:webHidden/>
                <w:rStyle w:val="IndexLink"/>
                <w:rtl w:val="true"/>
              </w:rPr>
              <w:t>عدم توارث بين زوجين در متعه</w:t>
            </w:r>
            <w:r>
              <w:rPr>
                <w:rStyle w:val="IndexLink"/>
                <w:rtl w:val="true"/>
              </w:rPr>
              <w:tab/>
            </w:r>
            <w:r>
              <w:rPr>
                <w:rStyle w:val="IndexLink"/>
              </w:rPr>
              <w:t>51</w:t>
            </w:r>
          </w:hyperlink>
        </w:p>
        <w:p>
          <w:pPr>
            <w:pStyle w:val="Contents5"/>
            <w:tabs>
              <w:tab w:val="clear" w:pos="7892"/>
              <w:tab w:val="right" w:pos="9026" w:leader="dot"/>
            </w:tabs>
            <w:rPr/>
          </w:pPr>
          <w:hyperlink w:anchor="__RefHeading___Toc3807063_1067777946">
            <w:r>
              <w:rPr>
                <w:webHidden/>
                <w:rStyle w:val="IndexLink"/>
                <w:rtl w:val="true"/>
              </w:rPr>
              <w:t>عدۀ متعه</w:t>
            </w:r>
            <w:r>
              <w:rPr>
                <w:rStyle w:val="IndexLink"/>
                <w:rtl w:val="true"/>
              </w:rPr>
              <w:tab/>
            </w:r>
            <w:r>
              <w:rPr>
                <w:rStyle w:val="IndexLink"/>
              </w:rPr>
              <w:t>51</w:t>
            </w:r>
          </w:hyperlink>
        </w:p>
        <w:p>
          <w:pPr>
            <w:pStyle w:val="Contents5"/>
            <w:tabs>
              <w:tab w:val="clear" w:pos="7892"/>
              <w:tab w:val="right" w:pos="9026" w:leader="dot"/>
            </w:tabs>
            <w:rPr/>
          </w:pPr>
          <w:hyperlink w:anchor="__RefHeading___Toc3807065_1067777946">
            <w:r>
              <w:rPr>
                <w:webHidden/>
                <w:rStyle w:val="IndexLink"/>
                <w:rtl w:val="true"/>
              </w:rPr>
              <w:t>عدم جواز تجديد عقد قبل از تمام شدن مدّت</w:t>
            </w:r>
            <w:r>
              <w:rPr>
                <w:rStyle w:val="IndexLink"/>
                <w:rtl w:val="true"/>
              </w:rPr>
              <w:tab/>
            </w:r>
            <w:r>
              <w:rPr>
                <w:rStyle w:val="IndexLink"/>
              </w:rPr>
              <w:t>52</w:t>
            </w:r>
          </w:hyperlink>
        </w:p>
        <w:p>
          <w:pPr>
            <w:pStyle w:val="Contents3"/>
            <w:tabs>
              <w:tab w:val="clear" w:pos="8459"/>
              <w:tab w:val="right" w:pos="9026" w:leader="dot"/>
            </w:tabs>
            <w:rPr/>
          </w:pPr>
          <w:hyperlink w:anchor="__RefHeading___Toc3807067_1067777946">
            <w:r>
              <w:rPr>
                <w:webHidden/>
                <w:rStyle w:val="IndexLink"/>
                <w:rtl w:val="true"/>
              </w:rPr>
              <w:t>فصل ششم نكاح عبيد و اماء</w:t>
            </w:r>
            <w:r>
              <w:rPr>
                <w:rStyle w:val="IndexLink"/>
                <w:rtl w:val="true"/>
              </w:rPr>
              <w:tab/>
            </w:r>
            <w:r>
              <w:rPr>
                <w:rStyle w:val="IndexLink"/>
              </w:rPr>
              <w:t>53</w:t>
            </w:r>
          </w:hyperlink>
        </w:p>
        <w:p>
          <w:pPr>
            <w:pStyle w:val="Contents4"/>
            <w:tabs>
              <w:tab w:val="clear" w:pos="8176"/>
              <w:tab w:val="right" w:pos="9026" w:leader="dot"/>
            </w:tabs>
            <w:rPr/>
          </w:pPr>
          <w:hyperlink w:anchor="__RefHeading___Toc3807069_1067777946">
            <w:r>
              <w:rPr>
                <w:webHidden/>
                <w:rStyle w:val="IndexLink"/>
                <w:rtl w:val="true"/>
              </w:rPr>
              <w:t>الف</w:t>
            </w:r>
            <w:r>
              <w:rPr>
                <w:rStyle w:val="IndexLink"/>
                <w:rtl w:val="true"/>
              </w:rPr>
              <w:t xml:space="preserve">: </w:t>
            </w:r>
            <w:r>
              <w:rPr>
                <w:rStyle w:val="IndexLink"/>
                <w:rtl w:val="true"/>
              </w:rPr>
              <w:t>نكاح اماء به عقد</w:t>
            </w:r>
            <w:r>
              <w:rPr>
                <w:rStyle w:val="IndexLink"/>
                <w:rtl w:val="true"/>
              </w:rPr>
              <w:tab/>
            </w:r>
            <w:r>
              <w:rPr>
                <w:rStyle w:val="IndexLink"/>
              </w:rPr>
              <w:t>53</w:t>
            </w:r>
          </w:hyperlink>
        </w:p>
        <w:p>
          <w:pPr>
            <w:pStyle w:val="Contents5"/>
            <w:tabs>
              <w:tab w:val="clear" w:pos="7892"/>
              <w:tab w:val="right" w:pos="9026" w:leader="dot"/>
            </w:tabs>
            <w:rPr/>
          </w:pPr>
          <w:hyperlink w:anchor="__RefHeading___Toc3807071_1067777946">
            <w:r>
              <w:rPr>
                <w:webHidden/>
                <w:rStyle w:val="IndexLink"/>
                <w:rtl w:val="true"/>
              </w:rPr>
              <w:t>لزوم اذن در عقد غير حرّه</w:t>
            </w:r>
            <w:r>
              <w:rPr>
                <w:rStyle w:val="IndexLink"/>
                <w:rtl w:val="true"/>
              </w:rPr>
              <w:tab/>
            </w:r>
            <w:r>
              <w:rPr>
                <w:rStyle w:val="IndexLink"/>
              </w:rPr>
              <w:t>53</w:t>
            </w:r>
          </w:hyperlink>
        </w:p>
        <w:p>
          <w:pPr>
            <w:pStyle w:val="Contents5"/>
            <w:tabs>
              <w:tab w:val="clear" w:pos="7892"/>
              <w:tab w:val="right" w:pos="9026" w:leader="dot"/>
            </w:tabs>
            <w:rPr/>
          </w:pPr>
          <w:hyperlink w:anchor="__RefHeading___Toc3807073_1067777946">
            <w:r>
              <w:rPr>
                <w:webHidden/>
                <w:rStyle w:val="IndexLink"/>
                <w:rtl w:val="true"/>
              </w:rPr>
              <w:t>حكم ولد در صورت عدم اجازه در عقد عبد</w:t>
            </w:r>
            <w:r>
              <w:rPr>
                <w:rStyle w:val="IndexLink"/>
                <w:rtl w:val="true"/>
              </w:rPr>
              <w:tab/>
            </w:r>
            <w:r>
              <w:rPr>
                <w:rStyle w:val="IndexLink"/>
              </w:rPr>
              <w:t>53</w:t>
            </w:r>
          </w:hyperlink>
        </w:p>
        <w:p>
          <w:pPr>
            <w:pStyle w:val="Contents5"/>
            <w:tabs>
              <w:tab w:val="clear" w:pos="7892"/>
              <w:tab w:val="right" w:pos="9026" w:leader="dot"/>
            </w:tabs>
            <w:rPr/>
          </w:pPr>
          <w:hyperlink w:anchor="__RefHeading___Toc3807075_1067777946">
            <w:r>
              <w:rPr>
                <w:webHidden/>
                <w:rStyle w:val="IndexLink"/>
                <w:rtl w:val="true"/>
              </w:rPr>
              <w:t>ازدواج امه بدون اذن</w:t>
            </w:r>
            <w:r>
              <w:rPr>
                <w:rStyle w:val="IndexLink"/>
                <w:rtl w:val="true"/>
              </w:rPr>
              <w:tab/>
            </w:r>
            <w:r>
              <w:rPr>
                <w:rStyle w:val="IndexLink"/>
              </w:rPr>
              <w:t>54</w:t>
            </w:r>
          </w:hyperlink>
        </w:p>
        <w:p>
          <w:pPr>
            <w:pStyle w:val="Contents5"/>
            <w:tabs>
              <w:tab w:val="clear" w:pos="7892"/>
              <w:tab w:val="right" w:pos="9026" w:leader="dot"/>
            </w:tabs>
            <w:rPr/>
          </w:pPr>
          <w:hyperlink w:anchor="__RefHeading___Toc3807077_1067777946">
            <w:r>
              <w:rPr>
                <w:webHidden/>
                <w:rStyle w:val="IndexLink"/>
                <w:rtl w:val="true"/>
              </w:rPr>
              <w:t>اشتراط رقيّت ولد</w:t>
            </w:r>
            <w:r>
              <w:rPr>
                <w:rStyle w:val="IndexLink"/>
                <w:rtl w:val="true"/>
              </w:rPr>
              <w:tab/>
            </w:r>
            <w:r>
              <w:rPr>
                <w:rStyle w:val="IndexLink"/>
              </w:rPr>
              <w:t>54</w:t>
            </w:r>
          </w:hyperlink>
        </w:p>
        <w:p>
          <w:pPr>
            <w:pStyle w:val="Contents5"/>
            <w:tabs>
              <w:tab w:val="clear" w:pos="7892"/>
              <w:tab w:val="right" w:pos="9026" w:leader="dot"/>
            </w:tabs>
            <w:rPr/>
          </w:pPr>
          <w:hyperlink w:anchor="__RefHeading___Toc3807079_1067777946">
            <w:r>
              <w:rPr>
                <w:webHidden/>
                <w:rStyle w:val="IndexLink"/>
                <w:rtl w:val="true"/>
              </w:rPr>
              <w:t>ظهور مملوكيّت</w:t>
            </w:r>
            <w:r>
              <w:rPr>
                <w:rStyle w:val="IndexLink"/>
                <w:rtl w:val="true"/>
              </w:rPr>
              <w:tab/>
            </w:r>
            <w:r>
              <w:rPr>
                <w:rStyle w:val="IndexLink"/>
              </w:rPr>
              <w:t>55</w:t>
            </w:r>
          </w:hyperlink>
        </w:p>
        <w:p>
          <w:pPr>
            <w:pStyle w:val="Contents5"/>
            <w:tabs>
              <w:tab w:val="clear" w:pos="7892"/>
              <w:tab w:val="right" w:pos="9026" w:leader="dot"/>
            </w:tabs>
            <w:rPr/>
          </w:pPr>
          <w:hyperlink w:anchor="__RefHeading___Toc3807081_1067777946">
            <w:r>
              <w:rPr>
                <w:webHidden/>
                <w:rStyle w:val="IndexLink"/>
                <w:rtl w:val="true"/>
              </w:rPr>
              <w:t>ازدواج حرّه با عبد بدون اذن مالك</w:t>
            </w:r>
            <w:r>
              <w:rPr>
                <w:rStyle w:val="IndexLink"/>
                <w:rtl w:val="true"/>
              </w:rPr>
              <w:tab/>
            </w:r>
            <w:r>
              <w:rPr>
                <w:rStyle w:val="IndexLink"/>
              </w:rPr>
              <w:t>55</w:t>
            </w:r>
          </w:hyperlink>
        </w:p>
        <w:p>
          <w:pPr>
            <w:pStyle w:val="Contents5"/>
            <w:tabs>
              <w:tab w:val="clear" w:pos="7892"/>
              <w:tab w:val="right" w:pos="9026" w:leader="dot"/>
            </w:tabs>
            <w:rPr/>
          </w:pPr>
          <w:hyperlink w:anchor="__RefHeading___Toc3807083_1067777946">
            <w:r>
              <w:rPr>
                <w:webHidden/>
                <w:rStyle w:val="IndexLink"/>
                <w:rtl w:val="true"/>
              </w:rPr>
              <w:t>عدم مهر در صورت بغى</w:t>
            </w:r>
            <w:r>
              <w:rPr>
                <w:rStyle w:val="IndexLink"/>
                <w:rtl w:val="true"/>
              </w:rPr>
              <w:tab/>
            </w:r>
            <w:r>
              <w:rPr>
                <w:rStyle w:val="IndexLink"/>
              </w:rPr>
              <w:t>55</w:t>
            </w:r>
          </w:hyperlink>
        </w:p>
        <w:p>
          <w:pPr>
            <w:pStyle w:val="Contents5"/>
            <w:tabs>
              <w:tab w:val="clear" w:pos="7892"/>
              <w:tab w:val="right" w:pos="9026" w:leader="dot"/>
            </w:tabs>
            <w:rPr/>
          </w:pPr>
          <w:hyperlink w:anchor="__RefHeading___Toc3807085_1067777946">
            <w:r>
              <w:rPr>
                <w:webHidden/>
                <w:rStyle w:val="IndexLink"/>
                <w:rtl w:val="true"/>
              </w:rPr>
              <w:t>فرض شراكت</w:t>
            </w:r>
            <w:r>
              <w:rPr>
                <w:rStyle w:val="IndexLink"/>
                <w:rtl w:val="true"/>
              </w:rPr>
              <w:tab/>
            </w:r>
            <w:r>
              <w:rPr>
                <w:rStyle w:val="IndexLink"/>
              </w:rPr>
              <w:t>56</w:t>
            </w:r>
          </w:hyperlink>
        </w:p>
        <w:p>
          <w:pPr>
            <w:pStyle w:val="Contents5"/>
            <w:tabs>
              <w:tab w:val="clear" w:pos="7892"/>
              <w:tab w:val="right" w:pos="9026" w:leader="dot"/>
            </w:tabs>
            <w:rPr/>
          </w:pPr>
          <w:hyperlink w:anchor="__RefHeading___Toc3807087_1067777946">
            <w:r>
              <w:rPr>
                <w:webHidden/>
                <w:rStyle w:val="IndexLink"/>
                <w:rtl w:val="true"/>
              </w:rPr>
              <w:t>طوارى عقد اماء</w:t>
            </w:r>
            <w:r>
              <w:rPr>
                <w:rStyle w:val="IndexLink"/>
                <w:rtl w:val="true"/>
              </w:rPr>
              <w:tab/>
            </w:r>
            <w:r>
              <w:rPr>
                <w:rStyle w:val="IndexLink"/>
              </w:rPr>
              <w:t>56</w:t>
            </w:r>
          </w:hyperlink>
        </w:p>
        <w:p>
          <w:pPr>
            <w:pStyle w:val="Contents6"/>
            <w:tabs>
              <w:tab w:val="clear" w:pos="7609"/>
              <w:tab w:val="right" w:pos="9026" w:leader="dot"/>
            </w:tabs>
            <w:rPr/>
          </w:pPr>
          <w:hyperlink w:anchor="__RefHeading___Toc3807089_1067777946">
            <w:r>
              <w:rPr>
                <w:webHidden/>
                <w:rStyle w:val="IndexLink"/>
                <w:rtl w:val="true"/>
              </w:rPr>
              <w:t>اشاره</w:t>
            </w:r>
            <w:r>
              <w:rPr>
                <w:rStyle w:val="IndexLink"/>
                <w:rtl w:val="true"/>
              </w:rPr>
              <w:tab/>
            </w:r>
            <w:r>
              <w:rPr>
                <w:rStyle w:val="IndexLink"/>
              </w:rPr>
              <w:t>56</w:t>
            </w:r>
          </w:hyperlink>
        </w:p>
        <w:p>
          <w:pPr>
            <w:pStyle w:val="Contents6"/>
            <w:tabs>
              <w:tab w:val="clear" w:pos="7609"/>
              <w:tab w:val="right" w:pos="9026" w:leader="dot"/>
            </w:tabs>
            <w:rPr/>
          </w:pPr>
          <w:hyperlink w:anchor="__RefHeading___Toc3807091_1067777946">
            <w:r>
              <w:rPr>
                <w:webHidden/>
                <w:rStyle w:val="IndexLink"/>
              </w:rPr>
              <w:t>1</w:t>
            </w:r>
            <w:r>
              <w:rPr>
                <w:rStyle w:val="IndexLink"/>
                <w:rtl w:val="true"/>
              </w:rPr>
              <w:t xml:space="preserve">. </w:t>
            </w:r>
            <w:r>
              <w:rPr>
                <w:rStyle w:val="IndexLink"/>
                <w:rtl w:val="true"/>
              </w:rPr>
              <w:t>عتق</w:t>
            </w:r>
            <w:r>
              <w:rPr>
                <w:rStyle w:val="IndexLink"/>
                <w:rtl w:val="true"/>
              </w:rPr>
              <w:tab/>
            </w:r>
            <w:r>
              <w:rPr>
                <w:rStyle w:val="IndexLink"/>
              </w:rPr>
              <w:t>56</w:t>
            </w:r>
          </w:hyperlink>
        </w:p>
        <w:p>
          <w:pPr>
            <w:pStyle w:val="Contents6"/>
            <w:tabs>
              <w:tab w:val="clear" w:pos="7609"/>
              <w:tab w:val="right" w:pos="9026" w:leader="dot"/>
            </w:tabs>
            <w:rPr/>
          </w:pPr>
          <w:hyperlink w:anchor="__RefHeading___Toc3807093_1067777946">
            <w:r>
              <w:rPr>
                <w:webHidden/>
                <w:rStyle w:val="IndexLink"/>
                <w:rtl w:val="true"/>
              </w:rPr>
              <w:t>ثبوت خيار بعد از عتق امه و فوريت خيار</w:t>
            </w:r>
            <w:r>
              <w:rPr>
                <w:rStyle w:val="IndexLink"/>
                <w:rtl w:val="true"/>
              </w:rPr>
              <w:tab/>
            </w:r>
            <w:r>
              <w:rPr>
                <w:rStyle w:val="IndexLink"/>
              </w:rPr>
              <w:t>56</w:t>
            </w:r>
          </w:hyperlink>
        </w:p>
        <w:p>
          <w:pPr>
            <w:pStyle w:val="Contents6"/>
            <w:tabs>
              <w:tab w:val="clear" w:pos="7609"/>
              <w:tab w:val="right" w:pos="9026" w:leader="dot"/>
            </w:tabs>
            <w:rPr/>
          </w:pPr>
          <w:hyperlink w:anchor="__RefHeading___Toc3807095_1067777946">
            <w:r>
              <w:rPr>
                <w:webHidden/>
                <w:rStyle w:val="IndexLink"/>
                <w:rtl w:val="true"/>
              </w:rPr>
              <w:t>عدم خيار براى عبد در صورت عتق</w:t>
            </w:r>
            <w:r>
              <w:rPr>
                <w:rStyle w:val="IndexLink"/>
                <w:rtl w:val="true"/>
              </w:rPr>
              <w:tab/>
            </w:r>
            <w:r>
              <w:rPr>
                <w:rStyle w:val="IndexLink"/>
              </w:rPr>
              <w:t>57</w:t>
            </w:r>
          </w:hyperlink>
        </w:p>
        <w:p>
          <w:pPr>
            <w:pStyle w:val="Contents6"/>
            <w:tabs>
              <w:tab w:val="clear" w:pos="7609"/>
              <w:tab w:val="right" w:pos="9026" w:leader="dot"/>
            </w:tabs>
            <w:rPr/>
          </w:pPr>
          <w:hyperlink w:anchor="__RefHeading___Toc3807097_1067777946">
            <w:r>
              <w:rPr>
                <w:webHidden/>
                <w:rStyle w:val="IndexLink"/>
                <w:rtl w:val="true"/>
              </w:rPr>
              <w:t>حكم مهر در صورت اختيار فسخ</w:t>
            </w:r>
            <w:r>
              <w:rPr>
                <w:rStyle w:val="IndexLink"/>
                <w:rtl w:val="true"/>
              </w:rPr>
              <w:tab/>
            </w:r>
            <w:r>
              <w:rPr>
                <w:rStyle w:val="IndexLink"/>
              </w:rPr>
              <w:t>57</w:t>
            </w:r>
          </w:hyperlink>
        </w:p>
        <w:p>
          <w:pPr>
            <w:pStyle w:val="Contents6"/>
            <w:tabs>
              <w:tab w:val="clear" w:pos="7609"/>
              <w:tab w:val="right" w:pos="9026" w:leader="dot"/>
            </w:tabs>
            <w:rPr/>
          </w:pPr>
          <w:hyperlink w:anchor="__RefHeading___Toc3807099_1067777946">
            <w:r>
              <w:rPr>
                <w:webHidden/>
                <w:rStyle w:val="IndexLink"/>
                <w:rtl w:val="true"/>
              </w:rPr>
              <w:t>تساوى نكاحين در خيار فسخ در فرض مسأله</w:t>
            </w:r>
            <w:r>
              <w:rPr>
                <w:rStyle w:val="IndexLink"/>
                <w:rtl w:val="true"/>
              </w:rPr>
              <w:tab/>
            </w:r>
            <w:r>
              <w:rPr>
                <w:rStyle w:val="IndexLink"/>
              </w:rPr>
              <w:t>58</w:t>
            </w:r>
          </w:hyperlink>
        </w:p>
        <w:p>
          <w:pPr>
            <w:pStyle w:val="Contents6"/>
            <w:tabs>
              <w:tab w:val="clear" w:pos="7609"/>
              <w:tab w:val="right" w:pos="9026" w:leader="dot"/>
            </w:tabs>
            <w:rPr/>
          </w:pPr>
          <w:hyperlink w:anchor="__RefHeading___Toc3807101_1067777946">
            <w:r>
              <w:rPr>
                <w:webHidden/>
                <w:rStyle w:val="IndexLink"/>
                <w:rtl w:val="true"/>
              </w:rPr>
              <w:t>وقوع عتق در عدّۀ رجعيه</w:t>
            </w:r>
            <w:r>
              <w:rPr>
                <w:rStyle w:val="IndexLink"/>
                <w:rtl w:val="true"/>
              </w:rPr>
              <w:tab/>
            </w:r>
            <w:r>
              <w:rPr>
                <w:rStyle w:val="IndexLink"/>
              </w:rPr>
              <w:t>58</w:t>
            </w:r>
          </w:hyperlink>
        </w:p>
        <w:p>
          <w:pPr>
            <w:pStyle w:val="Contents6"/>
            <w:tabs>
              <w:tab w:val="clear" w:pos="7609"/>
              <w:tab w:val="right" w:pos="9026" w:leader="dot"/>
            </w:tabs>
            <w:rPr/>
          </w:pPr>
          <w:hyperlink w:anchor="__RefHeading___Toc3807103_1067777946">
            <w:r>
              <w:rPr>
                <w:webHidden/>
                <w:rStyle w:val="IndexLink"/>
                <w:rtl w:val="true"/>
              </w:rPr>
              <w:t>فرض اختيار بقاى زوجيّت</w:t>
            </w:r>
            <w:r>
              <w:rPr>
                <w:rStyle w:val="IndexLink"/>
                <w:rtl w:val="true"/>
              </w:rPr>
              <w:tab/>
            </w:r>
            <w:r>
              <w:rPr>
                <w:rStyle w:val="IndexLink"/>
              </w:rPr>
              <w:t>58</w:t>
            </w:r>
          </w:hyperlink>
        </w:p>
        <w:p>
          <w:pPr>
            <w:pStyle w:val="Contents6"/>
            <w:tabs>
              <w:tab w:val="clear" w:pos="7609"/>
              <w:tab w:val="right" w:pos="9026" w:leader="dot"/>
            </w:tabs>
            <w:rPr/>
          </w:pPr>
          <w:hyperlink w:anchor="__RefHeading___Toc3807105_1067777946">
            <w:r>
              <w:rPr>
                <w:webHidden/>
                <w:rStyle w:val="IndexLink"/>
                <w:rtl w:val="true"/>
              </w:rPr>
              <w:t>عدم ثبوت خيار با عتق بعض</w:t>
            </w:r>
            <w:r>
              <w:rPr>
                <w:rStyle w:val="IndexLink"/>
                <w:rtl w:val="true"/>
              </w:rPr>
              <w:tab/>
            </w:r>
            <w:r>
              <w:rPr>
                <w:rStyle w:val="IndexLink"/>
              </w:rPr>
              <w:t>58</w:t>
            </w:r>
          </w:hyperlink>
        </w:p>
        <w:p>
          <w:pPr>
            <w:pStyle w:val="Contents6"/>
            <w:tabs>
              <w:tab w:val="clear" w:pos="7609"/>
              <w:tab w:val="right" w:pos="9026" w:leader="dot"/>
            </w:tabs>
            <w:rPr/>
          </w:pPr>
          <w:hyperlink w:anchor="__RefHeading___Toc3807107_1067777946">
            <w:r>
              <w:rPr>
                <w:webHidden/>
                <w:rStyle w:val="IndexLink"/>
                <w:rtl w:val="true"/>
              </w:rPr>
              <w:t>جواز جعل عتق امه به عنوان مهر</w:t>
            </w:r>
            <w:r>
              <w:rPr>
                <w:rStyle w:val="IndexLink"/>
                <w:rtl w:val="true"/>
              </w:rPr>
              <w:tab/>
            </w:r>
            <w:r>
              <w:rPr>
                <w:rStyle w:val="IndexLink"/>
              </w:rPr>
              <w:t>58</w:t>
            </w:r>
          </w:hyperlink>
        </w:p>
        <w:p>
          <w:pPr>
            <w:pStyle w:val="Contents6"/>
            <w:tabs>
              <w:tab w:val="clear" w:pos="7609"/>
              <w:tab w:val="right" w:pos="9026" w:leader="dot"/>
            </w:tabs>
            <w:rPr/>
          </w:pPr>
          <w:hyperlink w:anchor="__RefHeading___Toc3807109_1067777946">
            <w:r>
              <w:rPr>
                <w:webHidden/>
                <w:rStyle w:val="IndexLink"/>
                <w:rtl w:val="true"/>
              </w:rPr>
              <w:t>احكام انعتاق ام ولد</w:t>
            </w:r>
            <w:r>
              <w:rPr>
                <w:rStyle w:val="IndexLink"/>
                <w:rtl w:val="true"/>
              </w:rPr>
              <w:tab/>
            </w:r>
            <w:r>
              <w:rPr>
                <w:rStyle w:val="IndexLink"/>
              </w:rPr>
              <w:t>59</w:t>
            </w:r>
          </w:hyperlink>
        </w:p>
        <w:p>
          <w:pPr>
            <w:pStyle w:val="Contents6"/>
            <w:tabs>
              <w:tab w:val="clear" w:pos="7609"/>
              <w:tab w:val="right" w:pos="9026" w:leader="dot"/>
            </w:tabs>
            <w:rPr/>
          </w:pPr>
          <w:hyperlink w:anchor="__RefHeading___Toc3807111_1067777946">
            <w:r>
              <w:rPr>
                <w:webHidden/>
                <w:rStyle w:val="IndexLink"/>
              </w:rPr>
              <w:t>2</w:t>
            </w:r>
            <w:r>
              <w:rPr>
                <w:rStyle w:val="IndexLink"/>
                <w:rtl w:val="true"/>
              </w:rPr>
              <w:t xml:space="preserve">. </w:t>
            </w:r>
            <w:r>
              <w:rPr>
                <w:rStyle w:val="IndexLink"/>
                <w:rtl w:val="true"/>
              </w:rPr>
              <w:t>بيع</w:t>
            </w:r>
            <w:r>
              <w:rPr>
                <w:rStyle w:val="IndexLink"/>
                <w:rtl w:val="true"/>
              </w:rPr>
              <w:tab/>
            </w:r>
            <w:r>
              <w:rPr>
                <w:rStyle w:val="IndexLink"/>
              </w:rPr>
              <w:t>59</w:t>
            </w:r>
          </w:hyperlink>
        </w:p>
        <w:p>
          <w:pPr>
            <w:pStyle w:val="Contents6"/>
            <w:tabs>
              <w:tab w:val="clear" w:pos="7609"/>
              <w:tab w:val="right" w:pos="9026" w:leader="dot"/>
            </w:tabs>
            <w:rPr/>
          </w:pPr>
          <w:hyperlink w:anchor="__RefHeading___Toc3807113_1067777946">
            <w:r>
              <w:rPr>
                <w:webHidden/>
                <w:rStyle w:val="IndexLink"/>
                <w:rtl w:val="true"/>
              </w:rPr>
              <w:t>اشاره</w:t>
            </w:r>
            <w:r>
              <w:rPr>
                <w:rStyle w:val="IndexLink"/>
                <w:rtl w:val="true"/>
              </w:rPr>
              <w:tab/>
            </w:r>
            <w:r>
              <w:rPr>
                <w:rStyle w:val="IndexLink"/>
              </w:rPr>
              <w:t>59</w:t>
            </w:r>
          </w:hyperlink>
        </w:p>
        <w:p>
          <w:pPr>
            <w:pStyle w:val="Contents6"/>
            <w:tabs>
              <w:tab w:val="clear" w:pos="7609"/>
              <w:tab w:val="right" w:pos="9026" w:leader="dot"/>
            </w:tabs>
            <w:rPr/>
          </w:pPr>
          <w:hyperlink w:anchor="__RefHeading___Toc3807115_1067777946">
            <w:r>
              <w:rPr>
                <w:webHidden/>
                <w:rStyle w:val="IndexLink"/>
                <w:rtl w:val="true"/>
              </w:rPr>
              <w:t>بيع امۀ مزوّجه موجب خيار در عقد نكاح است</w:t>
            </w:r>
            <w:r>
              <w:rPr>
                <w:rStyle w:val="IndexLink"/>
                <w:rtl w:val="true"/>
              </w:rPr>
              <w:tab/>
            </w:r>
            <w:r>
              <w:rPr>
                <w:rStyle w:val="IndexLink"/>
              </w:rPr>
              <w:t>59</w:t>
            </w:r>
          </w:hyperlink>
        </w:p>
        <w:p>
          <w:pPr>
            <w:pStyle w:val="Contents6"/>
            <w:tabs>
              <w:tab w:val="clear" w:pos="7609"/>
              <w:tab w:val="right" w:pos="9026" w:leader="dot"/>
            </w:tabs>
            <w:rPr/>
          </w:pPr>
          <w:hyperlink w:anchor="__RefHeading___Toc3807117_1067777946">
            <w:r>
              <w:rPr>
                <w:webHidden/>
                <w:rStyle w:val="IndexLink"/>
                <w:rtl w:val="true"/>
              </w:rPr>
              <w:t>حكم خيار در وقف عبد متزوّج يا اعطاى او به عنوان خمس يا زكات</w:t>
            </w:r>
            <w:r>
              <w:rPr>
                <w:rStyle w:val="IndexLink"/>
                <w:rtl w:val="true"/>
              </w:rPr>
              <w:tab/>
            </w:r>
            <w:r>
              <w:rPr>
                <w:rStyle w:val="IndexLink"/>
              </w:rPr>
              <w:t>60</w:t>
            </w:r>
          </w:hyperlink>
        </w:p>
        <w:p>
          <w:pPr>
            <w:pStyle w:val="Contents6"/>
            <w:tabs>
              <w:tab w:val="clear" w:pos="7609"/>
              <w:tab w:val="right" w:pos="9026" w:leader="dot"/>
            </w:tabs>
            <w:rPr/>
          </w:pPr>
          <w:hyperlink w:anchor="__RefHeading___Toc3807119_1067777946">
            <w:r>
              <w:rPr>
                <w:webHidden/>
                <w:rStyle w:val="IndexLink"/>
                <w:rtl w:val="true"/>
              </w:rPr>
              <w:t>حكم نكاح منقطع و تحليل در فرض مسأله</w:t>
            </w:r>
            <w:r>
              <w:rPr>
                <w:rStyle w:val="IndexLink"/>
                <w:rtl w:val="true"/>
              </w:rPr>
              <w:tab/>
            </w:r>
            <w:r>
              <w:rPr>
                <w:rStyle w:val="IndexLink"/>
              </w:rPr>
              <w:t>60</w:t>
            </w:r>
          </w:hyperlink>
        </w:p>
        <w:p>
          <w:pPr>
            <w:pStyle w:val="Contents6"/>
            <w:tabs>
              <w:tab w:val="clear" w:pos="7609"/>
              <w:tab w:val="right" w:pos="9026" w:leader="dot"/>
            </w:tabs>
            <w:rPr/>
          </w:pPr>
          <w:hyperlink w:anchor="__RefHeading___Toc3807121_1067777946">
            <w:r>
              <w:rPr>
                <w:webHidden/>
                <w:rStyle w:val="IndexLink"/>
                <w:rtl w:val="true"/>
              </w:rPr>
              <w:t>فوريّت خيار ثابت براى مشترى</w:t>
            </w:r>
            <w:r>
              <w:rPr>
                <w:rStyle w:val="IndexLink"/>
                <w:rtl w:val="true"/>
              </w:rPr>
              <w:tab/>
            </w:r>
            <w:r>
              <w:rPr>
                <w:rStyle w:val="IndexLink"/>
              </w:rPr>
              <w:t>60</w:t>
            </w:r>
          </w:hyperlink>
        </w:p>
        <w:p>
          <w:pPr>
            <w:pStyle w:val="Contents6"/>
            <w:tabs>
              <w:tab w:val="clear" w:pos="7609"/>
              <w:tab w:val="right" w:pos="9026" w:leader="dot"/>
            </w:tabs>
            <w:rPr/>
          </w:pPr>
          <w:hyperlink w:anchor="__RefHeading___Toc3807123_1067777946">
            <w:r>
              <w:rPr>
                <w:webHidden/>
                <w:rStyle w:val="IndexLink"/>
                <w:rtl w:val="true"/>
              </w:rPr>
              <w:t>خيار در بيع دو زوج مملوك به دو نفر</w:t>
            </w:r>
            <w:r>
              <w:rPr>
                <w:rStyle w:val="IndexLink"/>
                <w:rtl w:val="true"/>
              </w:rPr>
              <w:tab/>
            </w:r>
            <w:r>
              <w:rPr>
                <w:rStyle w:val="IndexLink"/>
              </w:rPr>
              <w:t>60</w:t>
            </w:r>
          </w:hyperlink>
        </w:p>
        <w:p>
          <w:pPr>
            <w:pStyle w:val="Contents6"/>
            <w:tabs>
              <w:tab w:val="clear" w:pos="7609"/>
              <w:tab w:val="right" w:pos="9026" w:leader="dot"/>
            </w:tabs>
            <w:rPr/>
          </w:pPr>
          <w:hyperlink w:anchor="__RefHeading___Toc3807125_1067777946">
            <w:r>
              <w:rPr>
                <w:webHidden/>
                <w:rStyle w:val="IndexLink"/>
                <w:rtl w:val="true"/>
              </w:rPr>
              <w:t>سببيّت تزويج امه براى مالكيّت مهر</w:t>
            </w:r>
            <w:r>
              <w:rPr>
                <w:rStyle w:val="IndexLink"/>
                <w:rtl w:val="true"/>
              </w:rPr>
              <w:tab/>
            </w:r>
            <w:r>
              <w:rPr>
                <w:rStyle w:val="IndexLink"/>
              </w:rPr>
              <w:t>61</w:t>
            </w:r>
          </w:hyperlink>
        </w:p>
        <w:p>
          <w:pPr>
            <w:pStyle w:val="Contents6"/>
            <w:tabs>
              <w:tab w:val="clear" w:pos="7609"/>
              <w:tab w:val="right" w:pos="9026" w:leader="dot"/>
            </w:tabs>
            <w:rPr/>
          </w:pPr>
          <w:hyperlink w:anchor="__RefHeading___Toc3807127_1067777946">
            <w:r>
              <w:rPr>
                <w:webHidden/>
                <w:rStyle w:val="IndexLink"/>
              </w:rPr>
              <w:t>3</w:t>
            </w:r>
            <w:r>
              <w:rPr>
                <w:rStyle w:val="IndexLink"/>
                <w:rtl w:val="true"/>
              </w:rPr>
              <w:t xml:space="preserve">. </w:t>
            </w:r>
            <w:r>
              <w:rPr>
                <w:rStyle w:val="IndexLink"/>
                <w:rtl w:val="true"/>
              </w:rPr>
              <w:t>طلاق</w:t>
            </w:r>
            <w:r>
              <w:rPr>
                <w:rStyle w:val="IndexLink"/>
                <w:rtl w:val="true"/>
              </w:rPr>
              <w:tab/>
            </w:r>
            <w:r>
              <w:rPr>
                <w:rStyle w:val="IndexLink"/>
              </w:rPr>
              <w:t>61</w:t>
            </w:r>
          </w:hyperlink>
        </w:p>
        <w:p>
          <w:pPr>
            <w:pStyle w:val="Contents6"/>
            <w:tabs>
              <w:tab w:val="clear" w:pos="7609"/>
              <w:tab w:val="right" w:pos="9026" w:leader="dot"/>
            </w:tabs>
            <w:rPr/>
          </w:pPr>
          <w:hyperlink w:anchor="__RefHeading___Toc3807129_1067777946">
            <w:r>
              <w:rPr>
                <w:webHidden/>
                <w:rStyle w:val="IndexLink"/>
                <w:rtl w:val="true"/>
              </w:rPr>
              <w:t>اختيار طلاق در نكاح عبد</w:t>
            </w:r>
            <w:r>
              <w:rPr>
                <w:rStyle w:val="IndexLink"/>
                <w:rtl w:val="true"/>
              </w:rPr>
              <w:tab/>
            </w:r>
            <w:r>
              <w:rPr>
                <w:rStyle w:val="IndexLink"/>
              </w:rPr>
              <w:t>61</w:t>
            </w:r>
          </w:hyperlink>
        </w:p>
        <w:p>
          <w:pPr>
            <w:pStyle w:val="Contents4"/>
            <w:tabs>
              <w:tab w:val="clear" w:pos="8176"/>
              <w:tab w:val="right" w:pos="9026" w:leader="dot"/>
            </w:tabs>
            <w:rPr/>
          </w:pPr>
          <w:hyperlink w:anchor="__RefHeading___Toc3807131_1067777946">
            <w:r>
              <w:rPr>
                <w:webHidden/>
                <w:rStyle w:val="IndexLink"/>
                <w:rtl w:val="true"/>
              </w:rPr>
              <w:t>ب</w:t>
            </w:r>
            <w:r>
              <w:rPr>
                <w:rStyle w:val="IndexLink"/>
                <w:rtl w:val="true"/>
              </w:rPr>
              <w:t xml:space="preserve">: </w:t>
            </w:r>
            <w:r>
              <w:rPr>
                <w:rStyle w:val="IndexLink"/>
                <w:rtl w:val="true"/>
              </w:rPr>
              <w:t>نكاح اماء به ملك</w:t>
            </w:r>
            <w:r>
              <w:rPr>
                <w:rStyle w:val="IndexLink"/>
                <w:rtl w:val="true"/>
              </w:rPr>
              <w:tab/>
            </w:r>
            <w:r>
              <w:rPr>
                <w:rStyle w:val="IndexLink"/>
              </w:rPr>
              <w:t>62</w:t>
            </w:r>
          </w:hyperlink>
        </w:p>
        <w:p>
          <w:pPr>
            <w:pStyle w:val="Contents5"/>
            <w:tabs>
              <w:tab w:val="clear" w:pos="7892"/>
              <w:tab w:val="right" w:pos="9026" w:leader="dot"/>
            </w:tabs>
            <w:rPr/>
          </w:pPr>
          <w:hyperlink w:anchor="__RefHeading___Toc3807133_1067777946">
            <w:r>
              <w:rPr>
                <w:webHidden/>
                <w:rStyle w:val="IndexLink"/>
              </w:rPr>
              <w:t>1</w:t>
            </w:r>
            <w:r>
              <w:rPr>
                <w:rStyle w:val="IndexLink"/>
                <w:rtl w:val="true"/>
              </w:rPr>
              <w:t xml:space="preserve">. </w:t>
            </w:r>
            <w:r>
              <w:rPr>
                <w:rStyle w:val="IndexLink"/>
                <w:rtl w:val="true"/>
              </w:rPr>
              <w:t>ملك رقبه</w:t>
            </w:r>
            <w:r>
              <w:rPr>
                <w:rStyle w:val="IndexLink"/>
                <w:rtl w:val="true"/>
              </w:rPr>
              <w:tab/>
            </w:r>
            <w:r>
              <w:rPr>
                <w:rStyle w:val="IndexLink"/>
              </w:rPr>
              <w:t>62</w:t>
            </w:r>
          </w:hyperlink>
        </w:p>
        <w:p>
          <w:pPr>
            <w:pStyle w:val="Contents6"/>
            <w:tabs>
              <w:tab w:val="clear" w:pos="7609"/>
              <w:tab w:val="right" w:pos="9026" w:leader="dot"/>
            </w:tabs>
            <w:rPr/>
          </w:pPr>
          <w:hyperlink w:anchor="__RefHeading___Toc3807135_1067777946">
            <w:r>
              <w:rPr>
                <w:webHidden/>
                <w:rStyle w:val="IndexLink"/>
                <w:rtl w:val="true"/>
              </w:rPr>
              <w:t>عدم حصر عددى در ملك يمين</w:t>
            </w:r>
            <w:r>
              <w:rPr>
                <w:rStyle w:val="IndexLink"/>
                <w:rtl w:val="true"/>
              </w:rPr>
              <w:tab/>
            </w:r>
            <w:r>
              <w:rPr>
                <w:rStyle w:val="IndexLink"/>
              </w:rPr>
              <w:t>62</w:t>
            </w:r>
          </w:hyperlink>
        </w:p>
        <w:p>
          <w:pPr>
            <w:pStyle w:val="Contents6"/>
            <w:tabs>
              <w:tab w:val="clear" w:pos="7609"/>
              <w:tab w:val="right" w:pos="9026" w:leader="dot"/>
            </w:tabs>
            <w:rPr/>
          </w:pPr>
          <w:hyperlink w:anchor="__RefHeading___Toc3807137_1067777946">
            <w:r>
              <w:rPr>
                <w:webHidden/>
                <w:rStyle w:val="IndexLink"/>
                <w:rtl w:val="true"/>
              </w:rPr>
              <w:t>ديگر احكام ملك يمين</w:t>
            </w:r>
            <w:r>
              <w:rPr>
                <w:rStyle w:val="IndexLink"/>
                <w:rtl w:val="true"/>
              </w:rPr>
              <w:tab/>
            </w:r>
            <w:r>
              <w:rPr>
                <w:rStyle w:val="IndexLink"/>
              </w:rPr>
              <w:t>63</w:t>
            </w:r>
          </w:hyperlink>
        </w:p>
        <w:p>
          <w:pPr>
            <w:pStyle w:val="Contents6"/>
            <w:tabs>
              <w:tab w:val="clear" w:pos="7609"/>
              <w:tab w:val="right" w:pos="9026" w:leader="dot"/>
            </w:tabs>
            <w:rPr/>
          </w:pPr>
          <w:hyperlink w:anchor="__RefHeading___Toc3807139_1067777946">
            <w:r>
              <w:rPr>
                <w:webHidden/>
                <w:rStyle w:val="IndexLink"/>
                <w:rtl w:val="true"/>
              </w:rPr>
              <w:t>جواز استنقاذ اماى ذات بعل</w:t>
            </w:r>
            <w:r>
              <w:rPr>
                <w:rStyle w:val="IndexLink"/>
                <w:rtl w:val="true"/>
              </w:rPr>
              <w:tab/>
            </w:r>
            <w:r>
              <w:rPr>
                <w:rStyle w:val="IndexLink"/>
              </w:rPr>
              <w:t>63</w:t>
            </w:r>
          </w:hyperlink>
        </w:p>
        <w:p>
          <w:pPr>
            <w:pStyle w:val="Contents6"/>
            <w:tabs>
              <w:tab w:val="clear" w:pos="7609"/>
              <w:tab w:val="right" w:pos="9026" w:leader="dot"/>
            </w:tabs>
            <w:rPr/>
          </w:pPr>
          <w:hyperlink w:anchor="__RefHeading___Toc3807141_1067777946">
            <w:r>
              <w:rPr>
                <w:webHidden/>
                <w:rStyle w:val="IndexLink"/>
                <w:rtl w:val="true"/>
              </w:rPr>
              <w:t>دو مسأله</w:t>
            </w:r>
            <w:r>
              <w:rPr>
                <w:rStyle w:val="IndexLink"/>
                <w:rtl w:val="true"/>
              </w:rPr>
              <w:tab/>
            </w:r>
            <w:r>
              <w:rPr>
                <w:rStyle w:val="IndexLink"/>
              </w:rPr>
              <w:t>64</w:t>
            </w:r>
          </w:hyperlink>
        </w:p>
        <w:p>
          <w:pPr>
            <w:pStyle w:val="Contents6"/>
            <w:tabs>
              <w:tab w:val="clear" w:pos="7609"/>
              <w:tab w:val="right" w:pos="9026" w:leader="dot"/>
            </w:tabs>
            <w:rPr/>
          </w:pPr>
          <w:hyperlink w:anchor="__RefHeading___Toc3807143_1067777946">
            <w:r>
              <w:rPr>
                <w:webHidden/>
                <w:rStyle w:val="IndexLink"/>
                <w:rtl w:val="true"/>
              </w:rPr>
              <w:t>لزوم استبرا</w:t>
            </w:r>
            <w:r>
              <w:rPr>
                <w:rStyle w:val="IndexLink"/>
                <w:rtl w:val="true"/>
              </w:rPr>
              <w:tab/>
            </w:r>
            <w:r>
              <w:rPr>
                <w:rStyle w:val="IndexLink"/>
              </w:rPr>
              <w:t>64</w:t>
            </w:r>
          </w:hyperlink>
        </w:p>
        <w:p>
          <w:pPr>
            <w:pStyle w:val="Contents6"/>
            <w:tabs>
              <w:tab w:val="clear" w:pos="7609"/>
              <w:tab w:val="right" w:pos="9026" w:leader="dot"/>
            </w:tabs>
            <w:rPr/>
          </w:pPr>
          <w:hyperlink w:anchor="__RefHeading___Toc3807145_1067777946">
            <w:r>
              <w:rPr>
                <w:webHidden/>
                <w:rStyle w:val="IndexLink"/>
                <w:rtl w:val="true"/>
              </w:rPr>
              <w:t>فرض جواز عقد بدون استبرا</w:t>
            </w:r>
            <w:r>
              <w:rPr>
                <w:rStyle w:val="IndexLink"/>
                <w:rtl w:val="true"/>
              </w:rPr>
              <w:tab/>
            </w:r>
            <w:r>
              <w:rPr>
                <w:rStyle w:val="IndexLink"/>
              </w:rPr>
              <w:t>64</w:t>
            </w:r>
          </w:hyperlink>
        </w:p>
        <w:p>
          <w:pPr>
            <w:pStyle w:val="Contents5"/>
            <w:tabs>
              <w:tab w:val="clear" w:pos="7892"/>
              <w:tab w:val="right" w:pos="9026" w:leader="dot"/>
            </w:tabs>
            <w:rPr/>
          </w:pPr>
          <w:hyperlink w:anchor="__RefHeading___Toc3807147_1067777946">
            <w:r>
              <w:rPr>
                <w:webHidden/>
                <w:rStyle w:val="IndexLink"/>
              </w:rPr>
              <w:t>2</w:t>
            </w:r>
            <w:r>
              <w:rPr>
                <w:rStyle w:val="IndexLink"/>
                <w:rtl w:val="true"/>
              </w:rPr>
              <w:t xml:space="preserve">. </w:t>
            </w:r>
            <w:r>
              <w:rPr>
                <w:rStyle w:val="IndexLink"/>
                <w:rtl w:val="true"/>
              </w:rPr>
              <w:t>ملك منفعت</w:t>
            </w:r>
            <w:r>
              <w:rPr>
                <w:rStyle w:val="IndexLink"/>
                <w:rtl w:val="true"/>
              </w:rPr>
              <w:tab/>
            </w:r>
            <w:r>
              <w:rPr>
                <w:rStyle w:val="IndexLink"/>
              </w:rPr>
              <w:t>65</w:t>
            </w:r>
          </w:hyperlink>
        </w:p>
        <w:p>
          <w:pPr>
            <w:pStyle w:val="Contents6"/>
            <w:tabs>
              <w:tab w:val="clear" w:pos="7609"/>
              <w:tab w:val="right" w:pos="9026" w:leader="dot"/>
            </w:tabs>
            <w:rPr/>
          </w:pPr>
          <w:hyperlink w:anchor="__RefHeading___Toc3807149_1067777946">
            <w:r>
              <w:rPr>
                <w:webHidden/>
                <w:rStyle w:val="IndexLink"/>
                <w:rtl w:val="true"/>
              </w:rPr>
              <w:t>اناطۀ تحليل براى غير به صيغه</w:t>
            </w:r>
            <w:r>
              <w:rPr>
                <w:rStyle w:val="IndexLink"/>
                <w:rtl w:val="true"/>
              </w:rPr>
              <w:tab/>
            </w:r>
            <w:r>
              <w:rPr>
                <w:rStyle w:val="IndexLink"/>
              </w:rPr>
              <w:t>65</w:t>
            </w:r>
          </w:hyperlink>
        </w:p>
        <w:p>
          <w:pPr>
            <w:pStyle w:val="Contents6"/>
            <w:tabs>
              <w:tab w:val="clear" w:pos="7609"/>
              <w:tab w:val="right" w:pos="9026" w:leader="dot"/>
            </w:tabs>
            <w:rPr/>
          </w:pPr>
          <w:hyperlink w:anchor="__RefHeading___Toc3807151_1067777946">
            <w:r>
              <w:rPr>
                <w:webHidden/>
                <w:rStyle w:val="IndexLink"/>
                <w:rtl w:val="true"/>
              </w:rPr>
              <w:t>ملك يمين بودن ملك منفعت و</w:t>
            </w:r>
            <w:r>
              <w:rPr>
                <w:rStyle w:val="IndexLink"/>
                <w:rtl w:val="true"/>
              </w:rPr>
              <w:t>...</w:t>
              <w:tab/>
            </w:r>
            <w:r>
              <w:rPr>
                <w:rStyle w:val="IndexLink"/>
              </w:rPr>
              <w:t>65</w:t>
            </w:r>
          </w:hyperlink>
        </w:p>
        <w:p>
          <w:pPr>
            <w:pStyle w:val="Contents6"/>
            <w:tabs>
              <w:tab w:val="clear" w:pos="7609"/>
              <w:tab w:val="right" w:pos="9026" w:leader="dot"/>
            </w:tabs>
            <w:rPr/>
          </w:pPr>
          <w:hyperlink w:anchor="__RefHeading___Toc3807153_1067777946">
            <w:r>
              <w:rPr>
                <w:webHidden/>
                <w:rStyle w:val="IndexLink"/>
                <w:rtl w:val="true"/>
              </w:rPr>
              <w:t>چند مسأله</w:t>
            </w:r>
            <w:r>
              <w:rPr>
                <w:rStyle w:val="IndexLink"/>
                <w:rtl w:val="true"/>
              </w:rPr>
              <w:tab/>
            </w:r>
            <w:r>
              <w:rPr>
                <w:rStyle w:val="IndexLink"/>
              </w:rPr>
              <w:t>66</w:t>
            </w:r>
          </w:hyperlink>
        </w:p>
        <w:p>
          <w:pPr>
            <w:pStyle w:val="Contents6"/>
            <w:tabs>
              <w:tab w:val="clear" w:pos="7609"/>
              <w:tab w:val="right" w:pos="9026" w:leader="dot"/>
            </w:tabs>
            <w:rPr/>
          </w:pPr>
          <w:hyperlink w:anchor="__RefHeading___Toc3807155_1067777946">
            <w:r>
              <w:rPr>
                <w:webHidden/>
                <w:rStyle w:val="IndexLink"/>
                <w:rtl w:val="true"/>
              </w:rPr>
              <w:t>اقتصار بر مدلول لفظ در صورت تحليل</w:t>
            </w:r>
            <w:r>
              <w:rPr>
                <w:rStyle w:val="IndexLink"/>
                <w:rtl w:val="true"/>
              </w:rPr>
              <w:tab/>
            </w:r>
            <w:r>
              <w:rPr>
                <w:rStyle w:val="IndexLink"/>
              </w:rPr>
              <w:t>66</w:t>
            </w:r>
          </w:hyperlink>
        </w:p>
        <w:p>
          <w:pPr>
            <w:pStyle w:val="Contents6"/>
            <w:tabs>
              <w:tab w:val="clear" w:pos="7609"/>
              <w:tab w:val="right" w:pos="9026" w:leader="dot"/>
            </w:tabs>
            <w:rPr/>
          </w:pPr>
          <w:hyperlink w:anchor="__RefHeading___Toc3807157_1067777946">
            <w:r>
              <w:rPr>
                <w:webHidden/>
                <w:rStyle w:val="IndexLink"/>
                <w:rtl w:val="true"/>
              </w:rPr>
              <w:t>حريت ولد محلّلۀ براى حرّ</w:t>
            </w:r>
            <w:r>
              <w:rPr>
                <w:rStyle w:val="IndexLink"/>
                <w:rtl w:val="true"/>
              </w:rPr>
              <w:tab/>
            </w:r>
            <w:r>
              <w:rPr>
                <w:rStyle w:val="IndexLink"/>
              </w:rPr>
              <w:t>66</w:t>
            </w:r>
          </w:hyperlink>
        </w:p>
        <w:p>
          <w:pPr>
            <w:pStyle w:val="Contents6"/>
            <w:tabs>
              <w:tab w:val="clear" w:pos="7609"/>
              <w:tab w:val="right" w:pos="9026" w:leader="dot"/>
            </w:tabs>
            <w:rPr/>
          </w:pPr>
          <w:hyperlink w:anchor="__RefHeading___Toc3807159_1067777946">
            <w:r>
              <w:rPr>
                <w:webHidden/>
                <w:rStyle w:val="IndexLink"/>
                <w:rtl w:val="true"/>
              </w:rPr>
              <w:t>عدم لزوم تعيين مدت در تحليل</w:t>
            </w:r>
            <w:r>
              <w:rPr>
                <w:rStyle w:val="IndexLink"/>
                <w:rtl w:val="true"/>
              </w:rPr>
              <w:tab/>
            </w:r>
            <w:r>
              <w:rPr>
                <w:rStyle w:val="IndexLink"/>
              </w:rPr>
              <w:t>66</w:t>
            </w:r>
          </w:hyperlink>
        </w:p>
        <w:p>
          <w:pPr>
            <w:pStyle w:val="Contents3"/>
            <w:tabs>
              <w:tab w:val="clear" w:pos="8459"/>
              <w:tab w:val="right" w:pos="9026" w:leader="dot"/>
            </w:tabs>
            <w:rPr/>
          </w:pPr>
          <w:hyperlink w:anchor="__RefHeading___Toc3807161_1067777946">
            <w:r>
              <w:rPr>
                <w:webHidden/>
                <w:rStyle w:val="IndexLink"/>
                <w:rtl w:val="true"/>
              </w:rPr>
              <w:t>فصل هفتم امورى كه با آنها رد نكاح مى شود</w:t>
            </w:r>
            <w:r>
              <w:rPr>
                <w:rStyle w:val="IndexLink"/>
                <w:rtl w:val="true"/>
              </w:rPr>
              <w:tab/>
            </w:r>
            <w:r>
              <w:rPr>
                <w:rStyle w:val="IndexLink"/>
              </w:rPr>
              <w:t>68</w:t>
            </w:r>
          </w:hyperlink>
        </w:p>
        <w:p>
          <w:pPr>
            <w:pStyle w:val="Contents4"/>
            <w:tabs>
              <w:tab w:val="clear" w:pos="8176"/>
              <w:tab w:val="right" w:pos="9026" w:leader="dot"/>
            </w:tabs>
            <w:rPr/>
          </w:pPr>
          <w:hyperlink w:anchor="__RefHeading___Toc3807163_1067777946">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3807165_1067777946">
            <w:r>
              <w:rPr>
                <w:webHidden/>
                <w:rStyle w:val="IndexLink"/>
                <w:rtl w:val="true"/>
              </w:rPr>
              <w:t>عيوب مرد</w:t>
            </w:r>
            <w:r>
              <w:rPr>
                <w:rStyle w:val="IndexLink"/>
                <w:rtl w:val="true"/>
              </w:rPr>
              <w:tab/>
            </w:r>
            <w:r>
              <w:rPr>
                <w:rStyle w:val="IndexLink"/>
              </w:rPr>
              <w:t>68</w:t>
            </w:r>
          </w:hyperlink>
        </w:p>
        <w:p>
          <w:pPr>
            <w:pStyle w:val="Contents5"/>
            <w:tabs>
              <w:tab w:val="clear" w:pos="7892"/>
              <w:tab w:val="right" w:pos="9026" w:leader="dot"/>
            </w:tabs>
            <w:rPr/>
          </w:pPr>
          <w:hyperlink w:anchor="__RefHeading___Toc3807167_1067777946">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3807169_1067777946">
            <w:r>
              <w:rPr>
                <w:webHidden/>
                <w:rStyle w:val="IndexLink"/>
                <w:rtl w:val="true"/>
              </w:rPr>
              <w:t>جنون</w:t>
            </w:r>
            <w:r>
              <w:rPr>
                <w:rStyle w:val="IndexLink"/>
                <w:rtl w:val="true"/>
              </w:rPr>
              <w:tab/>
            </w:r>
            <w:r>
              <w:rPr>
                <w:rStyle w:val="IndexLink"/>
              </w:rPr>
              <w:t>68</w:t>
            </w:r>
          </w:hyperlink>
        </w:p>
        <w:p>
          <w:pPr>
            <w:pStyle w:val="Contents5"/>
            <w:tabs>
              <w:tab w:val="clear" w:pos="7892"/>
              <w:tab w:val="right" w:pos="9026" w:leader="dot"/>
            </w:tabs>
            <w:rPr/>
          </w:pPr>
          <w:hyperlink w:anchor="__RefHeading___Toc3807171_1067777946">
            <w:r>
              <w:rPr>
                <w:webHidden/>
                <w:rStyle w:val="IndexLink"/>
                <w:rtl w:val="true"/>
              </w:rPr>
              <w:t>خصاء</w:t>
            </w:r>
            <w:r>
              <w:rPr>
                <w:rStyle w:val="IndexLink"/>
                <w:rtl w:val="true"/>
              </w:rPr>
              <w:tab/>
            </w:r>
            <w:r>
              <w:rPr>
                <w:rStyle w:val="IndexLink"/>
              </w:rPr>
              <w:t>69</w:t>
            </w:r>
          </w:hyperlink>
        </w:p>
        <w:p>
          <w:pPr>
            <w:pStyle w:val="Contents6"/>
            <w:tabs>
              <w:tab w:val="clear" w:pos="7609"/>
              <w:tab w:val="right" w:pos="9026" w:leader="dot"/>
            </w:tabs>
            <w:rPr/>
          </w:pPr>
          <w:hyperlink w:anchor="__RefHeading___Toc3807173_1067777946">
            <w:r>
              <w:rPr>
                <w:webHidden/>
                <w:rStyle w:val="IndexLink"/>
                <w:rtl w:val="true"/>
              </w:rPr>
              <w:t>اشاره</w:t>
            </w:r>
            <w:r>
              <w:rPr>
                <w:rStyle w:val="IndexLink"/>
                <w:rtl w:val="true"/>
              </w:rPr>
              <w:tab/>
            </w:r>
            <w:r>
              <w:rPr>
                <w:rStyle w:val="IndexLink"/>
              </w:rPr>
              <w:t>69</w:t>
            </w:r>
          </w:hyperlink>
        </w:p>
        <w:p>
          <w:pPr>
            <w:pStyle w:val="Contents6"/>
            <w:tabs>
              <w:tab w:val="clear" w:pos="7609"/>
              <w:tab w:val="right" w:pos="9026" w:leader="dot"/>
            </w:tabs>
            <w:rPr/>
          </w:pPr>
          <w:hyperlink w:anchor="__RefHeading___Toc3807175_1067777946">
            <w:r>
              <w:rPr>
                <w:webHidden/>
                <w:rStyle w:val="IndexLink"/>
                <w:rtl w:val="true"/>
              </w:rPr>
              <w:t>الحاق و جاء به خصاء</w:t>
            </w:r>
            <w:r>
              <w:rPr>
                <w:rStyle w:val="IndexLink"/>
                <w:rtl w:val="true"/>
              </w:rPr>
              <w:tab/>
            </w:r>
            <w:r>
              <w:rPr>
                <w:rStyle w:val="IndexLink"/>
              </w:rPr>
              <w:t>69</w:t>
            </w:r>
          </w:hyperlink>
        </w:p>
        <w:p>
          <w:pPr>
            <w:pStyle w:val="Contents5"/>
            <w:tabs>
              <w:tab w:val="clear" w:pos="7892"/>
              <w:tab w:val="right" w:pos="9026" w:leader="dot"/>
            </w:tabs>
            <w:rPr/>
          </w:pPr>
          <w:hyperlink w:anchor="__RefHeading___Toc3807177_1067777946">
            <w:r>
              <w:rPr>
                <w:webHidden/>
                <w:rStyle w:val="IndexLink"/>
                <w:rtl w:val="true"/>
              </w:rPr>
              <w:t>عنن</w:t>
            </w:r>
            <w:r>
              <w:rPr>
                <w:rStyle w:val="IndexLink"/>
                <w:rtl w:val="true"/>
              </w:rPr>
              <w:tab/>
            </w:r>
            <w:r>
              <w:rPr>
                <w:rStyle w:val="IndexLink"/>
              </w:rPr>
              <w:t>69</w:t>
            </w:r>
          </w:hyperlink>
        </w:p>
        <w:p>
          <w:pPr>
            <w:pStyle w:val="Contents4"/>
            <w:tabs>
              <w:tab w:val="clear" w:pos="8176"/>
              <w:tab w:val="right" w:pos="9026" w:leader="dot"/>
            </w:tabs>
            <w:rPr/>
          </w:pPr>
          <w:hyperlink w:anchor="__RefHeading___Toc3807179_1067777946">
            <w:r>
              <w:rPr>
                <w:webHidden/>
                <w:rStyle w:val="IndexLink"/>
                <w:rtl w:val="true"/>
              </w:rPr>
              <w:t>عيوب ديگر مرد</w:t>
            </w:r>
            <w:r>
              <w:rPr>
                <w:rStyle w:val="IndexLink"/>
                <w:rtl w:val="true"/>
              </w:rPr>
              <w:tab/>
            </w:r>
            <w:r>
              <w:rPr>
                <w:rStyle w:val="IndexLink"/>
              </w:rPr>
              <w:t>70</w:t>
            </w:r>
          </w:hyperlink>
        </w:p>
        <w:p>
          <w:pPr>
            <w:pStyle w:val="Contents5"/>
            <w:tabs>
              <w:tab w:val="clear" w:pos="7892"/>
              <w:tab w:val="right" w:pos="9026" w:leader="dot"/>
            </w:tabs>
            <w:rPr/>
          </w:pPr>
          <w:hyperlink w:anchor="__RefHeading___Toc3807181_1067777946">
            <w:r>
              <w:rPr>
                <w:webHidden/>
                <w:rStyle w:val="IndexLink"/>
                <w:rtl w:val="true"/>
              </w:rPr>
              <w:t>عدم قدرت</w:t>
            </w:r>
            <w:r>
              <w:rPr>
                <w:rStyle w:val="IndexLink"/>
                <w:rtl w:val="true"/>
              </w:rPr>
              <w:tab/>
            </w:r>
            <w:r>
              <w:rPr>
                <w:rStyle w:val="IndexLink"/>
              </w:rPr>
              <w:t>70</w:t>
            </w:r>
          </w:hyperlink>
        </w:p>
        <w:p>
          <w:pPr>
            <w:pStyle w:val="Contents5"/>
            <w:tabs>
              <w:tab w:val="clear" w:pos="7892"/>
              <w:tab w:val="right" w:pos="9026" w:leader="dot"/>
            </w:tabs>
            <w:rPr/>
          </w:pPr>
          <w:hyperlink w:anchor="__RefHeading___Toc3807183_1067777946">
            <w:r>
              <w:rPr>
                <w:webHidden/>
                <w:rStyle w:val="IndexLink"/>
                <w:rtl w:val="true"/>
              </w:rPr>
              <w:t>انكشاف خنثى بودن</w:t>
            </w:r>
            <w:r>
              <w:rPr>
                <w:rStyle w:val="IndexLink"/>
                <w:rtl w:val="true"/>
              </w:rPr>
              <w:tab/>
            </w:r>
            <w:r>
              <w:rPr>
                <w:rStyle w:val="IndexLink"/>
              </w:rPr>
              <w:t>70</w:t>
            </w:r>
          </w:hyperlink>
        </w:p>
        <w:p>
          <w:pPr>
            <w:pStyle w:val="Contents4"/>
            <w:tabs>
              <w:tab w:val="clear" w:pos="8176"/>
              <w:tab w:val="right" w:pos="9026" w:leader="dot"/>
            </w:tabs>
            <w:rPr/>
          </w:pPr>
          <w:hyperlink w:anchor="__RefHeading___Toc3807185_1067777946">
            <w:r>
              <w:rPr>
                <w:webHidden/>
                <w:rStyle w:val="IndexLink"/>
                <w:rtl w:val="true"/>
              </w:rPr>
              <w:t>عيوب زن</w:t>
            </w:r>
            <w:r>
              <w:rPr>
                <w:rStyle w:val="IndexLink"/>
                <w:rtl w:val="true"/>
              </w:rPr>
              <w:tab/>
            </w:r>
            <w:r>
              <w:rPr>
                <w:rStyle w:val="IndexLink"/>
              </w:rPr>
              <w:t>71</w:t>
            </w:r>
          </w:hyperlink>
        </w:p>
        <w:p>
          <w:pPr>
            <w:pStyle w:val="Contents5"/>
            <w:tabs>
              <w:tab w:val="clear" w:pos="7892"/>
              <w:tab w:val="right" w:pos="9026" w:leader="dot"/>
            </w:tabs>
            <w:rPr/>
          </w:pPr>
          <w:hyperlink w:anchor="__RefHeading___Toc3807187_1067777946">
            <w:r>
              <w:rPr>
                <w:webHidden/>
                <w:rStyle w:val="IndexLink"/>
                <w:rtl w:val="true"/>
              </w:rPr>
              <w:t>جنون، جذام، برص</w:t>
            </w:r>
            <w:r>
              <w:rPr>
                <w:rStyle w:val="IndexLink"/>
                <w:rtl w:val="true"/>
              </w:rPr>
              <w:tab/>
            </w:r>
            <w:r>
              <w:rPr>
                <w:rStyle w:val="IndexLink"/>
              </w:rPr>
              <w:t>71</w:t>
            </w:r>
          </w:hyperlink>
        </w:p>
        <w:p>
          <w:pPr>
            <w:pStyle w:val="Contents5"/>
            <w:tabs>
              <w:tab w:val="clear" w:pos="7892"/>
              <w:tab w:val="right" w:pos="9026" w:leader="dot"/>
            </w:tabs>
            <w:rPr/>
          </w:pPr>
          <w:hyperlink w:anchor="__RefHeading___Toc3807189_1067777946">
            <w:r>
              <w:rPr>
                <w:webHidden/>
                <w:rStyle w:val="IndexLink"/>
                <w:rtl w:val="true"/>
              </w:rPr>
              <w:t>قَرَن و عَفَل</w:t>
            </w:r>
            <w:r>
              <w:rPr>
                <w:rStyle w:val="IndexLink"/>
                <w:rtl w:val="true"/>
              </w:rPr>
              <w:tab/>
            </w:r>
            <w:r>
              <w:rPr>
                <w:rStyle w:val="IndexLink"/>
              </w:rPr>
              <w:t>71</w:t>
            </w:r>
          </w:hyperlink>
        </w:p>
        <w:p>
          <w:pPr>
            <w:pStyle w:val="Contents5"/>
            <w:tabs>
              <w:tab w:val="clear" w:pos="7892"/>
              <w:tab w:val="right" w:pos="9026" w:leader="dot"/>
            </w:tabs>
            <w:rPr/>
          </w:pPr>
          <w:hyperlink w:anchor="__RefHeading___Toc3807191_1067777946">
            <w:r>
              <w:rPr>
                <w:webHidden/>
                <w:rStyle w:val="IndexLink"/>
                <w:rtl w:val="true"/>
              </w:rPr>
              <w:t>افضا، عمى، عرج، زمانت</w:t>
            </w:r>
            <w:r>
              <w:rPr>
                <w:rStyle w:val="IndexLink"/>
                <w:rtl w:val="true"/>
              </w:rPr>
              <w:tab/>
            </w:r>
            <w:r>
              <w:rPr>
                <w:rStyle w:val="IndexLink"/>
              </w:rPr>
              <w:t>71</w:t>
            </w:r>
          </w:hyperlink>
        </w:p>
        <w:p>
          <w:pPr>
            <w:pStyle w:val="Contents5"/>
            <w:tabs>
              <w:tab w:val="clear" w:pos="7892"/>
              <w:tab w:val="right" w:pos="9026" w:leader="dot"/>
            </w:tabs>
            <w:rPr/>
          </w:pPr>
          <w:hyperlink w:anchor="__RefHeading___Toc3807193_1067777946">
            <w:r>
              <w:rPr>
                <w:webHidden/>
                <w:rStyle w:val="IndexLink"/>
                <w:rtl w:val="true"/>
              </w:rPr>
              <w:t>رتق</w:t>
            </w:r>
            <w:r>
              <w:rPr>
                <w:rStyle w:val="IndexLink"/>
                <w:rtl w:val="true"/>
              </w:rPr>
              <w:tab/>
            </w:r>
            <w:r>
              <w:rPr>
                <w:rStyle w:val="IndexLink"/>
              </w:rPr>
              <w:t>72</w:t>
            </w:r>
          </w:hyperlink>
        </w:p>
        <w:p>
          <w:pPr>
            <w:pStyle w:val="Contents5"/>
            <w:tabs>
              <w:tab w:val="clear" w:pos="7892"/>
              <w:tab w:val="right" w:pos="9026" w:leader="dot"/>
            </w:tabs>
            <w:rPr/>
          </w:pPr>
          <w:hyperlink w:anchor="__RefHeading___Toc3807195_1067777946">
            <w:r>
              <w:rPr>
                <w:webHidden/>
                <w:rStyle w:val="IndexLink"/>
                <w:rtl w:val="true"/>
              </w:rPr>
              <w:t>عدم موجبيّت خيار به سبب عَوَر و زنا و محدوديّت به زنا</w:t>
            </w:r>
            <w:r>
              <w:rPr>
                <w:rStyle w:val="IndexLink"/>
                <w:rtl w:val="true"/>
              </w:rPr>
              <w:tab/>
            </w:r>
            <w:r>
              <w:rPr>
                <w:rStyle w:val="IndexLink"/>
              </w:rPr>
              <w:t>72</w:t>
            </w:r>
          </w:hyperlink>
        </w:p>
        <w:p>
          <w:pPr>
            <w:pStyle w:val="Contents4"/>
            <w:tabs>
              <w:tab w:val="clear" w:pos="8176"/>
              <w:tab w:val="right" w:pos="9026" w:leader="dot"/>
            </w:tabs>
            <w:rPr/>
          </w:pPr>
          <w:hyperlink w:anchor="__RefHeading___Toc3807197_1067777946">
            <w:r>
              <w:rPr>
                <w:webHidden/>
                <w:rStyle w:val="IndexLink"/>
                <w:rtl w:val="true"/>
              </w:rPr>
              <w:t>در احكام عيوب متقدمه</w:t>
            </w:r>
            <w:r>
              <w:rPr>
                <w:rStyle w:val="IndexLink"/>
                <w:rtl w:val="true"/>
              </w:rPr>
              <w:tab/>
            </w:r>
            <w:r>
              <w:rPr>
                <w:rStyle w:val="IndexLink"/>
              </w:rPr>
              <w:t>72</w:t>
            </w:r>
          </w:hyperlink>
        </w:p>
        <w:p>
          <w:pPr>
            <w:pStyle w:val="Contents5"/>
            <w:tabs>
              <w:tab w:val="clear" w:pos="7892"/>
              <w:tab w:val="right" w:pos="9026" w:leader="dot"/>
            </w:tabs>
            <w:rPr/>
          </w:pPr>
          <w:hyperlink w:anchor="__RefHeading___Toc3807199_1067777946">
            <w:r>
              <w:rPr>
                <w:webHidden/>
                <w:rStyle w:val="IndexLink"/>
                <w:rtl w:val="true"/>
              </w:rPr>
              <w:t>زمان حدوث عيوبِ موجب خيار</w:t>
            </w:r>
            <w:r>
              <w:rPr>
                <w:rStyle w:val="IndexLink"/>
                <w:rtl w:val="true"/>
              </w:rPr>
              <w:tab/>
            </w:r>
            <w:r>
              <w:rPr>
                <w:rStyle w:val="IndexLink"/>
              </w:rPr>
              <w:t>72</w:t>
            </w:r>
          </w:hyperlink>
        </w:p>
        <w:p>
          <w:pPr>
            <w:pStyle w:val="Contents5"/>
            <w:tabs>
              <w:tab w:val="clear" w:pos="7892"/>
              <w:tab w:val="right" w:pos="9026" w:leader="dot"/>
            </w:tabs>
            <w:rPr/>
          </w:pPr>
          <w:hyperlink w:anchor="__RefHeading___Toc3807201_1067777946">
            <w:r>
              <w:rPr>
                <w:webHidden/>
                <w:rStyle w:val="IndexLink"/>
                <w:rtl w:val="true"/>
              </w:rPr>
              <w:t>فوريّت خيار فسخ نكاح</w:t>
            </w:r>
            <w:r>
              <w:rPr>
                <w:rStyle w:val="IndexLink"/>
                <w:rtl w:val="true"/>
              </w:rPr>
              <w:tab/>
            </w:r>
            <w:r>
              <w:rPr>
                <w:rStyle w:val="IndexLink"/>
              </w:rPr>
              <w:t>72</w:t>
            </w:r>
          </w:hyperlink>
        </w:p>
        <w:p>
          <w:pPr>
            <w:pStyle w:val="Contents5"/>
            <w:tabs>
              <w:tab w:val="clear" w:pos="7892"/>
              <w:tab w:val="right" w:pos="9026" w:leader="dot"/>
            </w:tabs>
            <w:rPr/>
          </w:pPr>
          <w:hyperlink w:anchor="__RefHeading___Toc3807203_1067777946">
            <w:r>
              <w:rPr>
                <w:webHidden/>
                <w:rStyle w:val="IndexLink"/>
                <w:rtl w:val="true"/>
              </w:rPr>
              <w:t>طلاق نبودن فسخ</w:t>
            </w:r>
            <w:r>
              <w:rPr>
                <w:rStyle w:val="IndexLink"/>
                <w:rtl w:val="true"/>
              </w:rPr>
              <w:tab/>
            </w:r>
            <w:r>
              <w:rPr>
                <w:rStyle w:val="IndexLink"/>
              </w:rPr>
              <w:t>73</w:t>
            </w:r>
          </w:hyperlink>
        </w:p>
        <w:p>
          <w:pPr>
            <w:pStyle w:val="Contents5"/>
            <w:tabs>
              <w:tab w:val="clear" w:pos="7892"/>
              <w:tab w:val="right" w:pos="9026" w:leader="dot"/>
            </w:tabs>
            <w:rPr/>
          </w:pPr>
          <w:hyperlink w:anchor="__RefHeading___Toc3807205_1067777946">
            <w:r>
              <w:rPr>
                <w:webHidden/>
                <w:rStyle w:val="IndexLink"/>
                <w:rtl w:val="true"/>
              </w:rPr>
              <w:t>اختصاص مباشرت فسخ به صاحب خيار</w:t>
            </w:r>
            <w:r>
              <w:rPr>
                <w:rStyle w:val="IndexLink"/>
                <w:rtl w:val="true"/>
              </w:rPr>
              <w:tab/>
            </w:r>
            <w:r>
              <w:rPr>
                <w:rStyle w:val="IndexLink"/>
              </w:rPr>
              <w:t>73</w:t>
            </w:r>
          </w:hyperlink>
        </w:p>
        <w:p>
          <w:pPr>
            <w:pStyle w:val="Contents5"/>
            <w:tabs>
              <w:tab w:val="clear" w:pos="7892"/>
              <w:tab w:val="right" w:pos="9026" w:leader="dot"/>
            </w:tabs>
            <w:rPr/>
          </w:pPr>
          <w:hyperlink w:anchor="__RefHeading___Toc3807207_1067777946">
            <w:r>
              <w:rPr>
                <w:webHidden/>
                <w:rStyle w:val="IndexLink"/>
                <w:rtl w:val="true"/>
              </w:rPr>
              <w:t>اختلاف در عيب</w:t>
            </w:r>
            <w:r>
              <w:rPr>
                <w:rStyle w:val="IndexLink"/>
                <w:rtl w:val="true"/>
              </w:rPr>
              <w:tab/>
            </w:r>
            <w:r>
              <w:rPr>
                <w:rStyle w:val="IndexLink"/>
              </w:rPr>
              <w:t>73</w:t>
            </w:r>
          </w:hyperlink>
        </w:p>
        <w:p>
          <w:pPr>
            <w:pStyle w:val="Contents5"/>
            <w:tabs>
              <w:tab w:val="clear" w:pos="7892"/>
              <w:tab w:val="right" w:pos="9026" w:leader="dot"/>
            </w:tabs>
            <w:rPr/>
          </w:pPr>
          <w:hyperlink w:anchor="__RefHeading___Toc3807209_1067777946">
            <w:r>
              <w:rPr>
                <w:webHidden/>
                <w:rStyle w:val="IndexLink"/>
                <w:rtl w:val="true"/>
              </w:rPr>
              <w:t>استحقاق و عدم استحقاق مهر در فرض فسخ زوج</w:t>
            </w:r>
            <w:r>
              <w:rPr>
                <w:rStyle w:val="IndexLink"/>
                <w:rtl w:val="true"/>
              </w:rPr>
              <w:tab/>
            </w:r>
            <w:r>
              <w:rPr>
                <w:rStyle w:val="IndexLink"/>
              </w:rPr>
              <w:t>73</w:t>
            </w:r>
          </w:hyperlink>
        </w:p>
        <w:p>
          <w:pPr>
            <w:pStyle w:val="Contents5"/>
            <w:tabs>
              <w:tab w:val="clear" w:pos="7892"/>
              <w:tab w:val="right" w:pos="9026" w:leader="dot"/>
            </w:tabs>
            <w:rPr/>
          </w:pPr>
          <w:hyperlink w:anchor="__RefHeading___Toc3807211_1067777946">
            <w:r>
              <w:rPr>
                <w:webHidden/>
                <w:rStyle w:val="IndexLink"/>
                <w:rtl w:val="true"/>
              </w:rPr>
              <w:t>اختلاف در تدليس</w:t>
            </w:r>
            <w:r>
              <w:rPr>
                <w:rStyle w:val="IndexLink"/>
                <w:rtl w:val="true"/>
              </w:rPr>
              <w:tab/>
            </w:r>
            <w:r>
              <w:rPr>
                <w:rStyle w:val="IndexLink"/>
              </w:rPr>
              <w:t>73</w:t>
            </w:r>
          </w:hyperlink>
        </w:p>
        <w:p>
          <w:pPr>
            <w:pStyle w:val="Contents5"/>
            <w:tabs>
              <w:tab w:val="clear" w:pos="7892"/>
              <w:tab w:val="right" w:pos="9026" w:leader="dot"/>
            </w:tabs>
            <w:rPr/>
          </w:pPr>
          <w:hyperlink w:anchor="__RefHeading___Toc3807213_1067777946">
            <w:r>
              <w:rPr>
                <w:webHidden/>
                <w:rStyle w:val="IndexLink"/>
                <w:rtl w:val="true"/>
              </w:rPr>
              <w:t>استحقاق و عدم استحقاق مهر در فرض فسخ زوجه</w:t>
            </w:r>
            <w:r>
              <w:rPr>
                <w:rStyle w:val="IndexLink"/>
                <w:rtl w:val="true"/>
              </w:rPr>
              <w:tab/>
            </w:r>
            <w:r>
              <w:rPr>
                <w:rStyle w:val="IndexLink"/>
              </w:rPr>
              <w:t>74</w:t>
            </w:r>
          </w:hyperlink>
        </w:p>
        <w:p>
          <w:pPr>
            <w:pStyle w:val="Contents5"/>
            <w:tabs>
              <w:tab w:val="clear" w:pos="7892"/>
              <w:tab w:val="right" w:pos="9026" w:leader="dot"/>
            </w:tabs>
            <w:rPr/>
          </w:pPr>
          <w:hyperlink w:anchor="__RefHeading___Toc3807215_1067777946">
            <w:r>
              <w:rPr>
                <w:webHidden/>
                <w:rStyle w:val="IndexLink"/>
                <w:rtl w:val="true"/>
              </w:rPr>
              <w:t>مواقعه قبل از علم به عيب و تاثير آن در سقوط خيار</w:t>
            </w:r>
            <w:r>
              <w:rPr>
                <w:rStyle w:val="IndexLink"/>
                <w:rtl w:val="true"/>
              </w:rPr>
              <w:tab/>
            </w:r>
            <w:r>
              <w:rPr>
                <w:rStyle w:val="IndexLink"/>
              </w:rPr>
              <w:t>74</w:t>
            </w:r>
          </w:hyperlink>
        </w:p>
        <w:p>
          <w:pPr>
            <w:pStyle w:val="Contents5"/>
            <w:tabs>
              <w:tab w:val="clear" w:pos="7892"/>
              <w:tab w:val="right" w:pos="9026" w:leader="dot"/>
            </w:tabs>
            <w:rPr/>
          </w:pPr>
          <w:hyperlink w:anchor="__RefHeading___Toc3807217_1067777946">
            <w:r>
              <w:rPr>
                <w:webHidden/>
                <w:rStyle w:val="IndexLink"/>
                <w:rtl w:val="true"/>
              </w:rPr>
              <w:t>مانعيّت علم به عيب قبل از عقد، از فسخ</w:t>
            </w:r>
            <w:r>
              <w:rPr>
                <w:rStyle w:val="IndexLink"/>
                <w:rtl w:val="true"/>
              </w:rPr>
              <w:tab/>
            </w:r>
            <w:r>
              <w:rPr>
                <w:rStyle w:val="IndexLink"/>
              </w:rPr>
              <w:t>74</w:t>
            </w:r>
          </w:hyperlink>
        </w:p>
        <w:p>
          <w:pPr>
            <w:pStyle w:val="Contents5"/>
            <w:tabs>
              <w:tab w:val="clear" w:pos="7892"/>
              <w:tab w:val="right" w:pos="9026" w:leader="dot"/>
            </w:tabs>
            <w:rPr/>
          </w:pPr>
          <w:hyperlink w:anchor="__RefHeading___Toc3807219_1067777946">
            <w:r>
              <w:rPr>
                <w:webHidden/>
                <w:rStyle w:val="IndexLink"/>
                <w:rtl w:val="true"/>
              </w:rPr>
              <w:t>فرض رضاى به عيب و اتساع يا حدوث مجدّد</w:t>
            </w:r>
            <w:r>
              <w:rPr>
                <w:rStyle w:val="IndexLink"/>
                <w:rtl w:val="true"/>
              </w:rPr>
              <w:tab/>
            </w:r>
            <w:r>
              <w:rPr>
                <w:rStyle w:val="IndexLink"/>
              </w:rPr>
              <w:t>74</w:t>
            </w:r>
          </w:hyperlink>
        </w:p>
        <w:p>
          <w:pPr>
            <w:pStyle w:val="Contents5"/>
            <w:tabs>
              <w:tab w:val="clear" w:pos="7892"/>
              <w:tab w:val="right" w:pos="9026" w:leader="dot"/>
            </w:tabs>
            <w:rPr/>
          </w:pPr>
          <w:hyperlink w:anchor="__RefHeading___Toc3807221_1067777946">
            <w:r>
              <w:rPr>
                <w:webHidden/>
                <w:rStyle w:val="IndexLink"/>
                <w:rtl w:val="true"/>
              </w:rPr>
              <w:t>اقامۀ بينه در فرض خفاى عيب</w:t>
            </w:r>
            <w:r>
              <w:rPr>
                <w:rStyle w:val="IndexLink"/>
                <w:rtl w:val="true"/>
              </w:rPr>
              <w:tab/>
            </w:r>
            <w:r>
              <w:rPr>
                <w:rStyle w:val="IndexLink"/>
              </w:rPr>
              <w:t>75</w:t>
            </w:r>
          </w:hyperlink>
        </w:p>
        <w:p>
          <w:pPr>
            <w:pStyle w:val="Contents5"/>
            <w:tabs>
              <w:tab w:val="clear" w:pos="7892"/>
              <w:tab w:val="right" w:pos="9026" w:leader="dot"/>
            </w:tabs>
            <w:rPr/>
          </w:pPr>
          <w:hyperlink w:anchor="__RefHeading___Toc3807223_1067777946">
            <w:r>
              <w:rPr>
                <w:webHidden/>
                <w:rStyle w:val="IndexLink"/>
                <w:rtl w:val="true"/>
              </w:rPr>
              <w:t>راههاى اثبات عنن</w:t>
            </w:r>
            <w:r>
              <w:rPr>
                <w:rStyle w:val="IndexLink"/>
                <w:rtl w:val="true"/>
              </w:rPr>
              <w:tab/>
            </w:r>
            <w:r>
              <w:rPr>
                <w:rStyle w:val="IndexLink"/>
              </w:rPr>
              <w:t>75</w:t>
            </w:r>
          </w:hyperlink>
        </w:p>
        <w:p>
          <w:pPr>
            <w:pStyle w:val="Contents5"/>
            <w:tabs>
              <w:tab w:val="clear" w:pos="7892"/>
              <w:tab w:val="right" w:pos="9026" w:leader="dot"/>
            </w:tabs>
            <w:rPr/>
          </w:pPr>
          <w:hyperlink w:anchor="__RefHeading___Toc3807225_1067777946">
            <w:r>
              <w:rPr>
                <w:webHidden/>
                <w:rStyle w:val="IndexLink"/>
                <w:rtl w:val="true"/>
              </w:rPr>
              <w:t>ادّعاى قدرت توسط مرد</w:t>
            </w:r>
            <w:r>
              <w:rPr>
                <w:rStyle w:val="IndexLink"/>
                <w:rtl w:val="true"/>
              </w:rPr>
              <w:tab/>
            </w:r>
            <w:r>
              <w:rPr>
                <w:rStyle w:val="IndexLink"/>
              </w:rPr>
              <w:t>75</w:t>
            </w:r>
          </w:hyperlink>
        </w:p>
        <w:p>
          <w:pPr>
            <w:pStyle w:val="Contents5"/>
            <w:tabs>
              <w:tab w:val="clear" w:pos="7892"/>
              <w:tab w:val="right" w:pos="9026" w:leader="dot"/>
            </w:tabs>
            <w:rPr/>
          </w:pPr>
          <w:hyperlink w:anchor="__RefHeading___Toc3807227_1067777946">
            <w:r>
              <w:rPr>
                <w:webHidden/>
                <w:rStyle w:val="IndexLink"/>
                <w:rtl w:val="true"/>
              </w:rPr>
              <w:t>سقوط خيار با صبر و اسقاط آن</w:t>
            </w:r>
            <w:r>
              <w:rPr>
                <w:rStyle w:val="IndexLink"/>
                <w:rtl w:val="true"/>
              </w:rPr>
              <w:tab/>
            </w:r>
            <w:r>
              <w:rPr>
                <w:rStyle w:val="IndexLink"/>
              </w:rPr>
              <w:t>76</w:t>
            </w:r>
          </w:hyperlink>
        </w:p>
        <w:p>
          <w:pPr>
            <w:pStyle w:val="Contents5"/>
            <w:tabs>
              <w:tab w:val="clear" w:pos="7892"/>
              <w:tab w:val="right" w:pos="9026" w:leader="dot"/>
            </w:tabs>
            <w:rPr/>
          </w:pPr>
          <w:hyperlink w:anchor="__RefHeading___Toc3807229_1067777946">
            <w:r>
              <w:rPr>
                <w:webHidden/>
                <w:rStyle w:val="IndexLink"/>
                <w:rtl w:val="true"/>
              </w:rPr>
              <w:t>اقلّ آنچه با آن عنن منتفى مى شود</w:t>
            </w:r>
            <w:r>
              <w:rPr>
                <w:rStyle w:val="IndexLink"/>
                <w:rtl w:val="true"/>
              </w:rPr>
              <w:tab/>
            </w:r>
            <w:r>
              <w:rPr>
                <w:rStyle w:val="IndexLink"/>
              </w:rPr>
              <w:t>77</w:t>
            </w:r>
          </w:hyperlink>
        </w:p>
        <w:p>
          <w:pPr>
            <w:pStyle w:val="Contents5"/>
            <w:tabs>
              <w:tab w:val="clear" w:pos="7892"/>
              <w:tab w:val="right" w:pos="9026" w:leader="dot"/>
            </w:tabs>
            <w:rPr/>
          </w:pPr>
          <w:hyperlink w:anchor="__RefHeading___Toc3807231_1067777946">
            <w:r>
              <w:rPr>
                <w:webHidden/>
                <w:rStyle w:val="IndexLink"/>
                <w:rtl w:val="true"/>
              </w:rPr>
              <w:t>نحوۀ اثبات عيوب غير از عنن</w:t>
            </w:r>
            <w:r>
              <w:rPr>
                <w:rStyle w:val="IndexLink"/>
                <w:rtl w:val="true"/>
              </w:rPr>
              <w:tab/>
            </w:r>
            <w:r>
              <w:rPr>
                <w:rStyle w:val="IndexLink"/>
              </w:rPr>
              <w:t>77</w:t>
            </w:r>
          </w:hyperlink>
        </w:p>
        <w:p>
          <w:pPr>
            <w:pStyle w:val="Contents5"/>
            <w:tabs>
              <w:tab w:val="clear" w:pos="7892"/>
              <w:tab w:val="right" w:pos="9026" w:leader="dot"/>
            </w:tabs>
            <w:rPr/>
          </w:pPr>
          <w:hyperlink w:anchor="__RefHeading___Toc3807233_1067777946">
            <w:r>
              <w:rPr>
                <w:webHidden/>
                <w:rStyle w:val="IndexLink"/>
                <w:rtl w:val="true"/>
              </w:rPr>
              <w:t>ثبوت خيار براى زوجين</w:t>
            </w:r>
            <w:r>
              <w:rPr>
                <w:rStyle w:val="IndexLink"/>
                <w:rtl w:val="true"/>
              </w:rPr>
              <w:tab/>
            </w:r>
            <w:r>
              <w:rPr>
                <w:rStyle w:val="IndexLink"/>
              </w:rPr>
              <w:t>77</w:t>
            </w:r>
          </w:hyperlink>
        </w:p>
        <w:p>
          <w:pPr>
            <w:pStyle w:val="Contents5"/>
            <w:tabs>
              <w:tab w:val="clear" w:pos="7892"/>
              <w:tab w:val="right" w:pos="9026" w:leader="dot"/>
            </w:tabs>
            <w:rPr/>
          </w:pPr>
          <w:hyperlink w:anchor="__RefHeading___Toc3807235_1067777946">
            <w:r>
              <w:rPr>
                <w:webHidden/>
                <w:rStyle w:val="IndexLink"/>
                <w:rtl w:val="true"/>
              </w:rPr>
              <w:t>علم به عيب بعد از طلاقِ قبل از دخول</w:t>
            </w:r>
            <w:r>
              <w:rPr>
                <w:rStyle w:val="IndexLink"/>
                <w:rtl w:val="true"/>
              </w:rPr>
              <w:tab/>
            </w:r>
            <w:r>
              <w:rPr>
                <w:rStyle w:val="IndexLink"/>
              </w:rPr>
              <w:t>77</w:t>
            </w:r>
          </w:hyperlink>
        </w:p>
        <w:p>
          <w:pPr>
            <w:pStyle w:val="Contents5"/>
            <w:tabs>
              <w:tab w:val="clear" w:pos="7892"/>
              <w:tab w:val="right" w:pos="9026" w:leader="dot"/>
            </w:tabs>
            <w:rPr/>
          </w:pPr>
          <w:hyperlink w:anchor="__RefHeading___Toc3807237_1067777946">
            <w:r>
              <w:rPr>
                <w:webHidden/>
                <w:rStyle w:val="IndexLink"/>
                <w:rtl w:val="true"/>
              </w:rPr>
              <w:t>ثبوت خيار عيب براى ولى</w:t>
            </w:r>
            <w:r>
              <w:rPr>
                <w:rStyle w:val="IndexLink"/>
                <w:rtl w:val="true"/>
              </w:rPr>
              <w:tab/>
            </w:r>
            <w:r>
              <w:rPr>
                <w:rStyle w:val="IndexLink"/>
              </w:rPr>
              <w:t>78</w:t>
            </w:r>
          </w:hyperlink>
        </w:p>
        <w:p>
          <w:pPr>
            <w:pStyle w:val="Contents4"/>
            <w:tabs>
              <w:tab w:val="clear" w:pos="8176"/>
              <w:tab w:val="right" w:pos="9026" w:leader="dot"/>
            </w:tabs>
            <w:rPr/>
          </w:pPr>
          <w:hyperlink w:anchor="__RefHeading___Toc3807239_1067777946">
            <w:r>
              <w:rPr>
                <w:webHidden/>
                <w:rStyle w:val="IndexLink"/>
                <w:rtl w:val="true"/>
              </w:rPr>
              <w:t>تدليس و احكام آن</w:t>
            </w:r>
            <w:r>
              <w:rPr>
                <w:rStyle w:val="IndexLink"/>
                <w:rtl w:val="true"/>
              </w:rPr>
              <w:tab/>
            </w:r>
            <w:r>
              <w:rPr>
                <w:rStyle w:val="IndexLink"/>
              </w:rPr>
              <w:t>78</w:t>
            </w:r>
          </w:hyperlink>
        </w:p>
        <w:p>
          <w:pPr>
            <w:pStyle w:val="Contents5"/>
            <w:tabs>
              <w:tab w:val="clear" w:pos="7892"/>
              <w:tab w:val="right" w:pos="9026" w:leader="dot"/>
            </w:tabs>
            <w:rPr/>
          </w:pPr>
          <w:hyperlink w:anchor="__RefHeading___Toc3807241_1067777946">
            <w:r>
              <w:rPr>
                <w:webHidden/>
                <w:rStyle w:val="IndexLink"/>
                <w:rtl w:val="true"/>
              </w:rPr>
              <w:t>نحوۀ تحقق تدليس</w:t>
            </w:r>
            <w:r>
              <w:rPr>
                <w:rStyle w:val="IndexLink"/>
                <w:rtl w:val="true"/>
              </w:rPr>
              <w:tab/>
            </w:r>
            <w:r>
              <w:rPr>
                <w:rStyle w:val="IndexLink"/>
              </w:rPr>
              <w:t>78</w:t>
            </w:r>
          </w:hyperlink>
        </w:p>
        <w:p>
          <w:pPr>
            <w:pStyle w:val="Contents5"/>
            <w:tabs>
              <w:tab w:val="clear" w:pos="7892"/>
              <w:tab w:val="right" w:pos="9026" w:leader="dot"/>
            </w:tabs>
            <w:rPr/>
          </w:pPr>
          <w:hyperlink w:anchor="__RefHeading___Toc3807243_1067777946">
            <w:r>
              <w:rPr>
                <w:webHidden/>
                <w:rStyle w:val="IndexLink"/>
                <w:rtl w:val="true"/>
              </w:rPr>
              <w:t>عيب بدون تدليس</w:t>
            </w:r>
            <w:r>
              <w:rPr>
                <w:rStyle w:val="IndexLink"/>
                <w:rtl w:val="true"/>
              </w:rPr>
              <w:tab/>
            </w:r>
            <w:r>
              <w:rPr>
                <w:rStyle w:val="IndexLink"/>
              </w:rPr>
              <w:t>78</w:t>
            </w:r>
          </w:hyperlink>
        </w:p>
        <w:p>
          <w:pPr>
            <w:pStyle w:val="Contents5"/>
            <w:tabs>
              <w:tab w:val="clear" w:pos="7892"/>
              <w:tab w:val="right" w:pos="9026" w:leader="dot"/>
            </w:tabs>
            <w:rPr/>
          </w:pPr>
          <w:hyperlink w:anchor="__RefHeading___Toc3807245_1067777946">
            <w:r>
              <w:rPr>
                <w:webHidden/>
                <w:rStyle w:val="IndexLink"/>
                <w:rtl w:val="true"/>
              </w:rPr>
              <w:t>انكشاف كنيز بودن زن با فرض شرط حريّت</w:t>
            </w:r>
            <w:r>
              <w:rPr>
                <w:rStyle w:val="IndexLink"/>
                <w:rtl w:val="true"/>
              </w:rPr>
              <w:tab/>
            </w:r>
            <w:r>
              <w:rPr>
                <w:rStyle w:val="IndexLink"/>
              </w:rPr>
              <w:t>78</w:t>
            </w:r>
          </w:hyperlink>
        </w:p>
        <w:p>
          <w:pPr>
            <w:pStyle w:val="Contents5"/>
            <w:tabs>
              <w:tab w:val="clear" w:pos="7892"/>
              <w:tab w:val="right" w:pos="9026" w:leader="dot"/>
            </w:tabs>
            <w:rPr/>
          </w:pPr>
          <w:hyperlink w:anchor="__RefHeading___Toc3807247_1067777946">
            <w:r>
              <w:rPr>
                <w:webHidden/>
                <w:rStyle w:val="IndexLink"/>
                <w:rtl w:val="true"/>
              </w:rPr>
              <w:t>انكشاف رقيّت مرد با فرض شرط حريّت</w:t>
            </w:r>
            <w:r>
              <w:rPr>
                <w:rStyle w:val="IndexLink"/>
                <w:rtl w:val="true"/>
              </w:rPr>
              <w:tab/>
            </w:r>
            <w:r>
              <w:rPr>
                <w:rStyle w:val="IndexLink"/>
              </w:rPr>
              <w:t>79</w:t>
            </w:r>
          </w:hyperlink>
        </w:p>
        <w:p>
          <w:pPr>
            <w:pStyle w:val="Contents5"/>
            <w:tabs>
              <w:tab w:val="clear" w:pos="7892"/>
              <w:tab w:val="right" w:pos="9026" w:leader="dot"/>
            </w:tabs>
            <w:rPr/>
          </w:pPr>
          <w:hyperlink w:anchor="__RefHeading___Toc3807249_1067777946">
            <w:r>
              <w:rPr>
                <w:webHidden/>
                <w:rStyle w:val="IndexLink"/>
                <w:rtl w:val="true"/>
              </w:rPr>
              <w:t>انكشاف كنيز بودن دختر با فرض شرط حريّت</w:t>
            </w:r>
            <w:r>
              <w:rPr>
                <w:rStyle w:val="IndexLink"/>
                <w:rtl w:val="true"/>
              </w:rPr>
              <w:tab/>
            </w:r>
            <w:r>
              <w:rPr>
                <w:rStyle w:val="IndexLink"/>
              </w:rPr>
              <w:t>80</w:t>
            </w:r>
          </w:hyperlink>
        </w:p>
        <w:p>
          <w:pPr>
            <w:pStyle w:val="Contents5"/>
            <w:tabs>
              <w:tab w:val="clear" w:pos="7892"/>
              <w:tab w:val="right" w:pos="9026" w:leader="dot"/>
            </w:tabs>
            <w:rPr/>
          </w:pPr>
          <w:hyperlink w:anchor="__RefHeading___Toc3807251_1067777946">
            <w:r>
              <w:rPr>
                <w:webHidden/>
                <w:rStyle w:val="IndexLink"/>
                <w:rtl w:val="true"/>
              </w:rPr>
              <w:t>اغراى به تبديل زوجه با غير</w:t>
            </w:r>
            <w:r>
              <w:rPr>
                <w:rStyle w:val="IndexLink"/>
                <w:rtl w:val="true"/>
              </w:rPr>
              <w:tab/>
            </w:r>
            <w:r>
              <w:rPr>
                <w:rStyle w:val="IndexLink"/>
              </w:rPr>
              <w:t>80</w:t>
            </w:r>
          </w:hyperlink>
        </w:p>
        <w:p>
          <w:pPr>
            <w:pStyle w:val="Contents5"/>
            <w:tabs>
              <w:tab w:val="clear" w:pos="7892"/>
              <w:tab w:val="right" w:pos="9026" w:leader="dot"/>
            </w:tabs>
            <w:rPr/>
          </w:pPr>
          <w:hyperlink w:anchor="__RefHeading___Toc3807253_1067777946">
            <w:r>
              <w:rPr>
                <w:webHidden/>
                <w:rStyle w:val="IndexLink"/>
                <w:rtl w:val="true"/>
              </w:rPr>
              <w:t>انكشاف ثيبوبت با شرط بكارت</w:t>
            </w:r>
            <w:r>
              <w:rPr>
                <w:rStyle w:val="IndexLink"/>
                <w:rtl w:val="true"/>
              </w:rPr>
              <w:tab/>
            </w:r>
            <w:r>
              <w:rPr>
                <w:rStyle w:val="IndexLink"/>
              </w:rPr>
              <w:t>81</w:t>
            </w:r>
          </w:hyperlink>
        </w:p>
        <w:p>
          <w:pPr>
            <w:pStyle w:val="Contents5"/>
            <w:tabs>
              <w:tab w:val="clear" w:pos="7892"/>
              <w:tab w:val="right" w:pos="9026" w:leader="dot"/>
            </w:tabs>
            <w:rPr/>
          </w:pPr>
          <w:hyperlink w:anchor="__RefHeading___Toc3807255_1067777946">
            <w:r>
              <w:rPr>
                <w:webHidden/>
                <w:rStyle w:val="IndexLink"/>
                <w:rtl w:val="true"/>
              </w:rPr>
              <w:t>حكم مهر در صورت عدم خيار فسخ</w:t>
            </w:r>
            <w:r>
              <w:rPr>
                <w:rStyle w:val="IndexLink"/>
                <w:rtl w:val="true"/>
              </w:rPr>
              <w:tab/>
            </w:r>
            <w:r>
              <w:rPr>
                <w:rStyle w:val="IndexLink"/>
              </w:rPr>
              <w:t>81</w:t>
            </w:r>
          </w:hyperlink>
        </w:p>
        <w:p>
          <w:pPr>
            <w:pStyle w:val="Contents5"/>
            <w:tabs>
              <w:tab w:val="clear" w:pos="7892"/>
              <w:tab w:val="right" w:pos="9026" w:leader="dot"/>
            </w:tabs>
            <w:rPr/>
          </w:pPr>
          <w:hyperlink w:anchor="__RefHeading___Toc3807257_1067777946">
            <w:r>
              <w:rPr>
                <w:webHidden/>
                <w:rStyle w:val="IndexLink"/>
                <w:rtl w:val="true"/>
              </w:rPr>
              <w:t>حكم فسخ با كشف ثيبوبت</w:t>
            </w:r>
            <w:r>
              <w:rPr>
                <w:rStyle w:val="IndexLink"/>
                <w:rtl w:val="true"/>
              </w:rPr>
              <w:tab/>
            </w:r>
            <w:r>
              <w:rPr>
                <w:rStyle w:val="IndexLink"/>
              </w:rPr>
              <w:t>81</w:t>
            </w:r>
          </w:hyperlink>
        </w:p>
        <w:p>
          <w:pPr>
            <w:pStyle w:val="Contents5"/>
            <w:tabs>
              <w:tab w:val="clear" w:pos="7892"/>
              <w:tab w:val="right" w:pos="9026" w:leader="dot"/>
            </w:tabs>
            <w:rPr/>
          </w:pPr>
          <w:hyperlink w:anchor="__RefHeading___Toc3807259_1067777946">
            <w:r>
              <w:rPr>
                <w:webHidden/>
                <w:rStyle w:val="IndexLink"/>
                <w:rtl w:val="true"/>
              </w:rPr>
              <w:t>لوازم اختيار فسخ و بقا در فرض مسأله</w:t>
            </w:r>
            <w:r>
              <w:rPr>
                <w:rStyle w:val="IndexLink"/>
                <w:rtl w:val="true"/>
              </w:rPr>
              <w:tab/>
            </w:r>
            <w:r>
              <w:rPr>
                <w:rStyle w:val="IndexLink"/>
              </w:rPr>
              <w:t>82</w:t>
            </w:r>
          </w:hyperlink>
        </w:p>
        <w:p>
          <w:pPr>
            <w:pStyle w:val="Contents5"/>
            <w:tabs>
              <w:tab w:val="clear" w:pos="7892"/>
              <w:tab w:val="right" w:pos="9026" w:leader="dot"/>
            </w:tabs>
            <w:rPr/>
          </w:pPr>
          <w:hyperlink w:anchor="__RefHeading___Toc3807261_1067777946">
            <w:r>
              <w:rPr>
                <w:webHidden/>
                <w:rStyle w:val="IndexLink"/>
                <w:rtl w:val="true"/>
              </w:rPr>
              <w:t>انكشاف كتابيه بودن يا مسلمان بودن در عقد مشروط به يكى از آن دو</w:t>
            </w:r>
            <w:r>
              <w:rPr>
                <w:rStyle w:val="IndexLink"/>
                <w:rtl w:val="true"/>
              </w:rPr>
              <w:tab/>
            </w:r>
            <w:r>
              <w:rPr>
                <w:rStyle w:val="IndexLink"/>
              </w:rPr>
              <w:t>82</w:t>
            </w:r>
          </w:hyperlink>
        </w:p>
        <w:p>
          <w:pPr>
            <w:pStyle w:val="Contents5"/>
            <w:tabs>
              <w:tab w:val="clear" w:pos="7892"/>
              <w:tab w:val="right" w:pos="9026" w:leader="dot"/>
            </w:tabs>
            <w:rPr/>
          </w:pPr>
          <w:hyperlink w:anchor="__RefHeading___Toc3807263_1067777946">
            <w:r>
              <w:rPr>
                <w:webHidden/>
                <w:rStyle w:val="IndexLink"/>
                <w:rtl w:val="true"/>
              </w:rPr>
              <w:t>تبدّل واطى</w:t>
            </w:r>
            <w:r>
              <w:rPr>
                <w:rStyle w:val="IndexLink"/>
                <w:rtl w:val="true"/>
              </w:rPr>
              <w:tab/>
            </w:r>
            <w:r>
              <w:rPr>
                <w:rStyle w:val="IndexLink"/>
              </w:rPr>
              <w:t>83</w:t>
            </w:r>
          </w:hyperlink>
        </w:p>
        <w:p>
          <w:pPr>
            <w:pStyle w:val="Contents5"/>
            <w:tabs>
              <w:tab w:val="clear" w:pos="7892"/>
              <w:tab w:val="right" w:pos="9026" w:leader="dot"/>
            </w:tabs>
            <w:rPr/>
          </w:pPr>
          <w:hyperlink w:anchor="__RefHeading___Toc3807265_1067777946">
            <w:r>
              <w:rPr>
                <w:webHidden/>
                <w:rStyle w:val="IndexLink"/>
                <w:rtl w:val="true"/>
              </w:rPr>
              <w:t>جهل به تعيين در فرض تحقق دو عقد</w:t>
            </w:r>
            <w:r>
              <w:rPr>
                <w:rStyle w:val="IndexLink"/>
                <w:rtl w:val="true"/>
              </w:rPr>
              <w:tab/>
            </w:r>
            <w:r>
              <w:rPr>
                <w:rStyle w:val="IndexLink"/>
              </w:rPr>
              <w:t>83</w:t>
            </w:r>
          </w:hyperlink>
        </w:p>
        <w:p>
          <w:pPr>
            <w:pStyle w:val="Contents5"/>
            <w:tabs>
              <w:tab w:val="clear" w:pos="7892"/>
              <w:tab w:val="right" w:pos="9026" w:leader="dot"/>
            </w:tabs>
            <w:rPr/>
          </w:pPr>
          <w:hyperlink w:anchor="__RefHeading___Toc3807267_1067777946">
            <w:r>
              <w:rPr>
                <w:webHidden/>
                <w:rStyle w:val="IndexLink"/>
                <w:rtl w:val="true"/>
              </w:rPr>
              <w:t>حكم مهر در فرض مسأله</w:t>
            </w:r>
            <w:r>
              <w:rPr>
                <w:rStyle w:val="IndexLink"/>
                <w:rtl w:val="true"/>
              </w:rPr>
              <w:tab/>
            </w:r>
            <w:r>
              <w:rPr>
                <w:rStyle w:val="IndexLink"/>
              </w:rPr>
              <w:t>83</w:t>
            </w:r>
          </w:hyperlink>
        </w:p>
        <w:p>
          <w:pPr>
            <w:pStyle w:val="Contents5"/>
            <w:tabs>
              <w:tab w:val="clear" w:pos="7892"/>
              <w:tab w:val="right" w:pos="9026" w:leader="dot"/>
            </w:tabs>
            <w:rPr/>
          </w:pPr>
          <w:hyperlink w:anchor="__RefHeading___Toc3807269_1067777946">
            <w:r>
              <w:rPr>
                <w:webHidden/>
                <w:rStyle w:val="IndexLink"/>
                <w:rtl w:val="true"/>
              </w:rPr>
              <w:t>اخذ به قرعه در فروض متقدّمه</w:t>
            </w:r>
            <w:r>
              <w:rPr>
                <w:rStyle w:val="IndexLink"/>
                <w:rtl w:val="true"/>
              </w:rPr>
              <w:tab/>
            </w:r>
            <w:r>
              <w:rPr>
                <w:rStyle w:val="IndexLink"/>
              </w:rPr>
              <w:t>84</w:t>
            </w:r>
          </w:hyperlink>
        </w:p>
        <w:p>
          <w:pPr>
            <w:pStyle w:val="Contents5"/>
            <w:tabs>
              <w:tab w:val="clear" w:pos="7892"/>
              <w:tab w:val="right" w:pos="9026" w:leader="dot"/>
            </w:tabs>
            <w:rPr/>
          </w:pPr>
          <w:hyperlink w:anchor="__RefHeading___Toc3807271_1067777946">
            <w:r>
              <w:rPr>
                <w:webHidden/>
                <w:rStyle w:val="IndexLink"/>
                <w:rtl w:val="true"/>
              </w:rPr>
              <w:t>حكم مهر در موارد بطلان عقد و در موارد فسخ آن</w:t>
            </w:r>
            <w:r>
              <w:rPr>
                <w:rStyle w:val="IndexLink"/>
                <w:rtl w:val="true"/>
              </w:rPr>
              <w:tab/>
            </w:r>
            <w:r>
              <w:rPr>
                <w:rStyle w:val="IndexLink"/>
              </w:rPr>
              <w:t>84</w:t>
            </w:r>
          </w:hyperlink>
        </w:p>
        <w:p>
          <w:pPr>
            <w:pStyle w:val="Contents5"/>
            <w:tabs>
              <w:tab w:val="clear" w:pos="7892"/>
              <w:tab w:val="right" w:pos="9026" w:leader="dot"/>
            </w:tabs>
            <w:rPr/>
          </w:pPr>
          <w:hyperlink w:anchor="__RefHeading___Toc3807273_1067777946">
            <w:r>
              <w:rPr>
                <w:webHidden/>
                <w:rStyle w:val="IndexLink"/>
                <w:rtl w:val="true"/>
              </w:rPr>
              <w:t>شرط استيلاد</w:t>
            </w:r>
            <w:r>
              <w:rPr>
                <w:rStyle w:val="IndexLink"/>
                <w:rtl w:val="true"/>
              </w:rPr>
              <w:tab/>
            </w:r>
            <w:r>
              <w:rPr>
                <w:rStyle w:val="IndexLink"/>
              </w:rPr>
              <w:t>85</w:t>
            </w:r>
          </w:hyperlink>
        </w:p>
        <w:p>
          <w:pPr>
            <w:pStyle w:val="Contents5"/>
            <w:tabs>
              <w:tab w:val="clear" w:pos="7892"/>
              <w:tab w:val="right" w:pos="9026" w:leader="dot"/>
            </w:tabs>
            <w:rPr/>
          </w:pPr>
          <w:hyperlink w:anchor="__RefHeading___Toc3807275_1067777946">
            <w:r>
              <w:rPr>
                <w:webHidden/>
                <w:rStyle w:val="IndexLink"/>
                <w:rtl w:val="true"/>
              </w:rPr>
              <w:t>غرور به حرّيت</w:t>
            </w:r>
            <w:r>
              <w:rPr>
                <w:rStyle w:val="IndexLink"/>
                <w:rtl w:val="true"/>
              </w:rPr>
              <w:tab/>
            </w:r>
            <w:r>
              <w:rPr>
                <w:rStyle w:val="IndexLink"/>
              </w:rPr>
              <w:t>85</w:t>
            </w:r>
          </w:hyperlink>
        </w:p>
        <w:p>
          <w:pPr>
            <w:pStyle w:val="Contents5"/>
            <w:tabs>
              <w:tab w:val="clear" w:pos="7892"/>
              <w:tab w:val="right" w:pos="9026" w:leader="dot"/>
            </w:tabs>
            <w:rPr/>
          </w:pPr>
          <w:hyperlink w:anchor="__RefHeading___Toc3807277_1067777946">
            <w:r>
              <w:rPr>
                <w:webHidden/>
                <w:rStyle w:val="IndexLink"/>
                <w:rtl w:val="true"/>
              </w:rPr>
              <w:t>ديۀ حمل در فرض مسأله</w:t>
            </w:r>
            <w:r>
              <w:rPr>
                <w:rStyle w:val="IndexLink"/>
                <w:rtl w:val="true"/>
              </w:rPr>
              <w:tab/>
            </w:r>
            <w:r>
              <w:rPr>
                <w:rStyle w:val="IndexLink"/>
              </w:rPr>
              <w:t>85</w:t>
            </w:r>
          </w:hyperlink>
        </w:p>
        <w:p>
          <w:pPr>
            <w:pStyle w:val="Contents5"/>
            <w:tabs>
              <w:tab w:val="clear" w:pos="7892"/>
              <w:tab w:val="right" w:pos="9026" w:leader="dot"/>
            </w:tabs>
            <w:rPr/>
          </w:pPr>
          <w:hyperlink w:anchor="__RefHeading___Toc3807279_1067777946">
            <w:r>
              <w:rPr>
                <w:webHidden/>
                <w:rStyle w:val="IndexLink"/>
                <w:rtl w:val="true"/>
              </w:rPr>
              <w:t>مراجعۀ مغرور به غارّ</w:t>
            </w:r>
            <w:r>
              <w:rPr>
                <w:rStyle w:val="IndexLink"/>
                <w:rtl w:val="true"/>
              </w:rPr>
              <w:tab/>
            </w:r>
            <w:r>
              <w:rPr>
                <w:rStyle w:val="IndexLink"/>
              </w:rPr>
              <w:t>85</w:t>
            </w:r>
          </w:hyperlink>
        </w:p>
        <w:p>
          <w:pPr>
            <w:pStyle w:val="Contents5"/>
            <w:tabs>
              <w:tab w:val="clear" w:pos="7892"/>
              <w:tab w:val="right" w:pos="9026" w:leader="dot"/>
            </w:tabs>
            <w:rPr/>
          </w:pPr>
          <w:hyperlink w:anchor="__RefHeading___Toc3807281_1067777946">
            <w:r>
              <w:rPr>
                <w:webHidden/>
                <w:rStyle w:val="IndexLink"/>
                <w:rtl w:val="true"/>
              </w:rPr>
              <w:t>ضابطه موجب خيار فسخ در صورت تخلّف شرط صفت يا فعل</w:t>
            </w:r>
            <w:r>
              <w:rPr>
                <w:rStyle w:val="IndexLink"/>
                <w:rtl w:val="true"/>
              </w:rPr>
              <w:tab/>
            </w:r>
            <w:r>
              <w:rPr>
                <w:rStyle w:val="IndexLink"/>
              </w:rPr>
              <w:t>85</w:t>
            </w:r>
          </w:hyperlink>
        </w:p>
        <w:p>
          <w:pPr>
            <w:pStyle w:val="Contents3"/>
            <w:tabs>
              <w:tab w:val="clear" w:pos="8459"/>
              <w:tab w:val="right" w:pos="9026" w:leader="dot"/>
            </w:tabs>
            <w:rPr/>
          </w:pPr>
          <w:hyperlink w:anchor="__RefHeading___Toc3807283_1067777946">
            <w:r>
              <w:rPr>
                <w:webHidden/>
                <w:rStyle w:val="IndexLink"/>
                <w:rtl w:val="true"/>
              </w:rPr>
              <w:t>فصل هشتم مَهر</w:t>
            </w:r>
            <w:r>
              <w:rPr>
                <w:rStyle w:val="IndexLink"/>
                <w:rtl w:val="true"/>
              </w:rPr>
              <w:tab/>
            </w:r>
            <w:r>
              <w:rPr>
                <w:rStyle w:val="IndexLink"/>
              </w:rPr>
              <w:t>87</w:t>
            </w:r>
          </w:hyperlink>
        </w:p>
        <w:p>
          <w:pPr>
            <w:pStyle w:val="Contents4"/>
            <w:tabs>
              <w:tab w:val="clear" w:pos="8176"/>
              <w:tab w:val="right" w:pos="9026" w:leader="dot"/>
            </w:tabs>
            <w:rPr/>
          </w:pPr>
          <w:hyperlink w:anchor="__RefHeading___Toc3807285_1067777946">
            <w:r>
              <w:rPr>
                <w:webHidden/>
                <w:rStyle w:val="IndexLink"/>
                <w:rtl w:val="true"/>
              </w:rPr>
              <w:t>آنچه مهر قرار دادن آن صحيح است</w:t>
            </w:r>
            <w:r>
              <w:rPr>
                <w:rStyle w:val="IndexLink"/>
                <w:rtl w:val="true"/>
              </w:rPr>
              <w:tab/>
            </w:r>
            <w:r>
              <w:rPr>
                <w:rStyle w:val="IndexLink"/>
              </w:rPr>
              <w:t>87</w:t>
            </w:r>
          </w:hyperlink>
        </w:p>
        <w:p>
          <w:pPr>
            <w:pStyle w:val="Contents4"/>
            <w:tabs>
              <w:tab w:val="clear" w:pos="8176"/>
              <w:tab w:val="right" w:pos="9026" w:leader="dot"/>
            </w:tabs>
            <w:rPr/>
          </w:pPr>
          <w:hyperlink w:anchor="__RefHeading___Toc3807287_1067777946">
            <w:r>
              <w:rPr>
                <w:webHidden/>
                <w:rStyle w:val="IndexLink"/>
                <w:rtl w:val="true"/>
              </w:rPr>
              <w:t>مقدار مهر</w:t>
            </w:r>
            <w:r>
              <w:rPr>
                <w:rStyle w:val="IndexLink"/>
                <w:rtl w:val="true"/>
              </w:rPr>
              <w:tab/>
            </w:r>
            <w:r>
              <w:rPr>
                <w:rStyle w:val="IndexLink"/>
              </w:rPr>
              <w:t>87</w:t>
            </w:r>
          </w:hyperlink>
        </w:p>
        <w:p>
          <w:pPr>
            <w:pStyle w:val="Contents4"/>
            <w:tabs>
              <w:tab w:val="clear" w:pos="8176"/>
              <w:tab w:val="right" w:pos="9026" w:leader="dot"/>
            </w:tabs>
            <w:rPr/>
          </w:pPr>
          <w:hyperlink w:anchor="__RefHeading___Toc3807289_1067777946">
            <w:r>
              <w:rPr>
                <w:webHidden/>
                <w:rStyle w:val="IndexLink"/>
                <w:rtl w:val="true"/>
              </w:rPr>
              <w:t>مهر قرار دادن خمر و خنزير در نكاح ذمّى با ذمّيه</w:t>
            </w:r>
            <w:r>
              <w:rPr>
                <w:rStyle w:val="IndexLink"/>
                <w:rtl w:val="true"/>
              </w:rPr>
              <w:tab/>
            </w:r>
            <w:r>
              <w:rPr>
                <w:rStyle w:val="IndexLink"/>
              </w:rPr>
              <w:t>87</w:t>
            </w:r>
          </w:hyperlink>
        </w:p>
        <w:p>
          <w:pPr>
            <w:pStyle w:val="Contents4"/>
            <w:tabs>
              <w:tab w:val="clear" w:pos="8176"/>
              <w:tab w:val="right" w:pos="9026" w:leader="dot"/>
            </w:tabs>
            <w:rPr/>
          </w:pPr>
          <w:hyperlink w:anchor="__RefHeading___Toc3807291_1067777946">
            <w:r>
              <w:rPr>
                <w:webHidden/>
                <w:rStyle w:val="IndexLink"/>
                <w:rtl w:val="true"/>
              </w:rPr>
              <w:t>مهر قرار دادن خمر يا خنزير در نكاح زوجين و يا زوج مسلمان</w:t>
            </w:r>
            <w:r>
              <w:rPr>
                <w:rStyle w:val="IndexLink"/>
                <w:rtl w:val="true"/>
              </w:rPr>
              <w:tab/>
            </w:r>
            <w:r>
              <w:rPr>
                <w:rStyle w:val="IndexLink"/>
              </w:rPr>
              <w:t>88</w:t>
            </w:r>
          </w:hyperlink>
        </w:p>
        <w:p>
          <w:pPr>
            <w:pStyle w:val="Contents4"/>
            <w:tabs>
              <w:tab w:val="clear" w:pos="8176"/>
              <w:tab w:val="right" w:pos="9026" w:leader="dot"/>
            </w:tabs>
            <w:rPr/>
          </w:pPr>
          <w:hyperlink w:anchor="__RefHeading___Toc3807293_1067777946">
            <w:r>
              <w:rPr>
                <w:webHidden/>
                <w:rStyle w:val="IndexLink"/>
                <w:rtl w:val="true"/>
              </w:rPr>
              <w:t>كفايت مشاهدۀ عين يا توصيف آن به نحو رافع معظم جهالت</w:t>
            </w:r>
            <w:r>
              <w:rPr>
                <w:rStyle w:val="IndexLink"/>
                <w:rtl w:val="true"/>
              </w:rPr>
              <w:tab/>
            </w:r>
            <w:r>
              <w:rPr>
                <w:rStyle w:val="IndexLink"/>
              </w:rPr>
              <w:t>88</w:t>
            </w:r>
          </w:hyperlink>
        </w:p>
        <w:p>
          <w:pPr>
            <w:pStyle w:val="Contents4"/>
            <w:tabs>
              <w:tab w:val="clear" w:pos="8176"/>
              <w:tab w:val="right" w:pos="9026" w:leader="dot"/>
            </w:tabs>
            <w:rPr/>
          </w:pPr>
          <w:hyperlink w:anchor="__RefHeading___Toc3807295_1067777946">
            <w:r>
              <w:rPr>
                <w:webHidden/>
                <w:rStyle w:val="IndexLink"/>
                <w:rtl w:val="true"/>
              </w:rPr>
              <w:t>جواز ازدواج دو زن به يك مهر و جواز جمع عقود متعدّد در واحد</w:t>
            </w:r>
            <w:r>
              <w:rPr>
                <w:rStyle w:val="IndexLink"/>
                <w:rtl w:val="true"/>
              </w:rPr>
              <w:tab/>
            </w:r>
            <w:r>
              <w:rPr>
                <w:rStyle w:val="IndexLink"/>
              </w:rPr>
              <w:t>88</w:t>
            </w:r>
          </w:hyperlink>
        </w:p>
        <w:p>
          <w:pPr>
            <w:pStyle w:val="Contents4"/>
            <w:tabs>
              <w:tab w:val="clear" w:pos="8176"/>
              <w:tab w:val="right" w:pos="9026" w:leader="dot"/>
            </w:tabs>
            <w:rPr/>
          </w:pPr>
          <w:hyperlink w:anchor="__RefHeading___Toc3807297_1067777946">
            <w:r>
              <w:rPr>
                <w:webHidden/>
                <w:rStyle w:val="IndexLink"/>
                <w:rtl w:val="true"/>
              </w:rPr>
              <w:t>تزويج دو امه به دو يا يك نفر به صداق واحد</w:t>
            </w:r>
            <w:r>
              <w:rPr>
                <w:rStyle w:val="IndexLink"/>
                <w:rtl w:val="true"/>
              </w:rPr>
              <w:tab/>
            </w:r>
            <w:r>
              <w:rPr>
                <w:rStyle w:val="IndexLink"/>
              </w:rPr>
              <w:t>89</w:t>
            </w:r>
          </w:hyperlink>
        </w:p>
        <w:p>
          <w:pPr>
            <w:pStyle w:val="Contents4"/>
            <w:tabs>
              <w:tab w:val="clear" w:pos="8176"/>
              <w:tab w:val="right" w:pos="9026" w:leader="dot"/>
            </w:tabs>
            <w:rPr/>
          </w:pPr>
          <w:hyperlink w:anchor="__RefHeading___Toc3807299_1067777946">
            <w:r>
              <w:rPr>
                <w:webHidden/>
                <w:rStyle w:val="IndexLink"/>
                <w:rtl w:val="true"/>
              </w:rPr>
              <w:t>تزويج چند دختر با تعيين به چند پسر با تعيين زوجين به صداق واحد</w:t>
            </w:r>
            <w:r>
              <w:rPr>
                <w:rStyle w:val="IndexLink"/>
                <w:rtl w:val="true"/>
              </w:rPr>
              <w:tab/>
            </w:r>
            <w:r>
              <w:rPr>
                <w:rStyle w:val="IndexLink"/>
              </w:rPr>
              <w:t>89</w:t>
            </w:r>
          </w:hyperlink>
        </w:p>
        <w:p>
          <w:pPr>
            <w:pStyle w:val="Contents4"/>
            <w:tabs>
              <w:tab w:val="clear" w:pos="8176"/>
              <w:tab w:val="right" w:pos="9026" w:leader="dot"/>
            </w:tabs>
            <w:rPr/>
          </w:pPr>
          <w:hyperlink w:anchor="__RefHeading___Toc3807301_1067777946">
            <w:r>
              <w:rPr>
                <w:webHidden/>
                <w:rStyle w:val="IndexLink"/>
                <w:rtl w:val="true"/>
              </w:rPr>
              <w:t xml:space="preserve">اگر عبارت نكاح </w:t>
            </w:r>
            <w:r>
              <w:rPr>
                <w:rStyle w:val="IndexLink"/>
                <w:rtl w:val="true"/>
              </w:rPr>
              <w:t>«</w:t>
            </w:r>
            <w:r>
              <w:rPr>
                <w:rStyle w:val="IndexLink"/>
                <w:rtl w:val="true"/>
              </w:rPr>
              <w:t>على كتاب اللّٰه و سنّة نبيّه</w:t>
            </w:r>
            <w:r>
              <w:rPr>
                <w:rStyle w:val="IndexLink"/>
                <w:rtl w:val="true"/>
              </w:rPr>
              <w:t xml:space="preserve">» </w:t>
            </w:r>
            <w:r>
              <w:rPr>
                <w:rStyle w:val="IndexLink"/>
                <w:rtl w:val="true"/>
              </w:rPr>
              <w:t>باشد</w:t>
            </w:r>
            <w:r>
              <w:rPr>
                <w:rStyle w:val="IndexLink"/>
                <w:rtl w:val="true"/>
              </w:rPr>
              <w:tab/>
            </w:r>
            <w:r>
              <w:rPr>
                <w:rStyle w:val="IndexLink"/>
              </w:rPr>
              <w:t>90</w:t>
            </w:r>
          </w:hyperlink>
        </w:p>
        <w:p>
          <w:pPr>
            <w:pStyle w:val="Contents4"/>
            <w:tabs>
              <w:tab w:val="clear" w:pos="8176"/>
              <w:tab w:val="right" w:pos="9026" w:leader="dot"/>
            </w:tabs>
            <w:rPr/>
          </w:pPr>
          <w:hyperlink w:anchor="__RefHeading___Toc3807303_1067777946">
            <w:r>
              <w:rPr>
                <w:webHidden/>
                <w:rStyle w:val="IndexLink"/>
                <w:rtl w:val="true"/>
              </w:rPr>
              <w:t>قرار دادن چيزى داخل مهر، و يا در شرط ضمن عقد براى غير</w:t>
            </w:r>
            <w:r>
              <w:rPr>
                <w:rStyle w:val="IndexLink"/>
                <w:rtl w:val="true"/>
              </w:rPr>
              <w:tab/>
            </w:r>
            <w:r>
              <w:rPr>
                <w:rStyle w:val="IndexLink"/>
              </w:rPr>
              <w:t>90</w:t>
            </w:r>
          </w:hyperlink>
        </w:p>
        <w:p>
          <w:pPr>
            <w:pStyle w:val="Contents4"/>
            <w:tabs>
              <w:tab w:val="clear" w:pos="8176"/>
              <w:tab w:val="right" w:pos="9026" w:leader="dot"/>
            </w:tabs>
            <w:rPr/>
          </w:pPr>
          <w:hyperlink w:anchor="__RefHeading___Toc3807305_1067777946">
            <w:r>
              <w:rPr>
                <w:webHidden/>
                <w:rStyle w:val="IndexLink"/>
                <w:rtl w:val="true"/>
              </w:rPr>
              <w:t>تعيين رافع معظم جهالت در مهر به تعليم و احكام مترتّب بر آن</w:t>
            </w:r>
            <w:r>
              <w:rPr>
                <w:rStyle w:val="IndexLink"/>
                <w:rtl w:val="true"/>
              </w:rPr>
              <w:tab/>
            </w:r>
            <w:r>
              <w:rPr>
                <w:rStyle w:val="IndexLink"/>
              </w:rPr>
              <w:t>90</w:t>
            </w:r>
          </w:hyperlink>
        </w:p>
        <w:p>
          <w:pPr>
            <w:pStyle w:val="Contents4"/>
            <w:tabs>
              <w:tab w:val="clear" w:pos="8176"/>
              <w:tab w:val="right" w:pos="9026" w:leader="dot"/>
            </w:tabs>
            <w:rPr/>
          </w:pPr>
          <w:hyperlink w:anchor="__RefHeading___Toc3807307_1067777946">
            <w:r>
              <w:rPr>
                <w:webHidden/>
                <w:rStyle w:val="IndexLink"/>
                <w:rtl w:val="true"/>
              </w:rPr>
              <w:t>اگر امهار كرد تعليم سوره اى را كه زوج نمى داند</w:t>
            </w:r>
            <w:r>
              <w:rPr>
                <w:rStyle w:val="IndexLink"/>
                <w:rtl w:val="true"/>
              </w:rPr>
              <w:tab/>
            </w:r>
            <w:r>
              <w:rPr>
                <w:rStyle w:val="IndexLink"/>
              </w:rPr>
              <w:t>90</w:t>
            </w:r>
          </w:hyperlink>
        </w:p>
        <w:p>
          <w:pPr>
            <w:pStyle w:val="Contents4"/>
            <w:tabs>
              <w:tab w:val="clear" w:pos="8176"/>
              <w:tab w:val="right" w:pos="9026" w:leader="dot"/>
            </w:tabs>
            <w:rPr/>
          </w:pPr>
          <w:hyperlink w:anchor="__RefHeading___Toc3807309_1067777946">
            <w:r>
              <w:rPr>
                <w:webHidden/>
                <w:rStyle w:val="IndexLink"/>
                <w:rtl w:val="true"/>
              </w:rPr>
              <w:t>مهر قرار دادن چيزى و انكشاف عدم ماليّت يا مستحقّ غير بودن آن</w:t>
            </w:r>
            <w:r>
              <w:rPr>
                <w:rStyle w:val="IndexLink"/>
                <w:rtl w:val="true"/>
              </w:rPr>
              <w:tab/>
            </w:r>
            <w:r>
              <w:rPr>
                <w:rStyle w:val="IndexLink"/>
              </w:rPr>
              <w:t>91</w:t>
            </w:r>
          </w:hyperlink>
        </w:p>
        <w:p>
          <w:pPr>
            <w:pStyle w:val="Contents4"/>
            <w:tabs>
              <w:tab w:val="clear" w:pos="8176"/>
              <w:tab w:val="right" w:pos="9026" w:leader="dot"/>
            </w:tabs>
            <w:rPr/>
          </w:pPr>
          <w:hyperlink w:anchor="__RefHeading___Toc3807311_1067777946">
            <w:r>
              <w:rPr>
                <w:webHidden/>
                <w:rStyle w:val="IndexLink"/>
                <w:rtl w:val="true"/>
              </w:rPr>
              <w:t>امهار دو عبد و انكشاف خلاف در يكى</w:t>
            </w:r>
            <w:r>
              <w:rPr>
                <w:rStyle w:val="IndexLink"/>
                <w:rtl w:val="true"/>
              </w:rPr>
              <w:tab/>
            </w:r>
            <w:r>
              <w:rPr>
                <w:rStyle w:val="IndexLink"/>
              </w:rPr>
              <w:t>91</w:t>
            </w:r>
          </w:hyperlink>
        </w:p>
        <w:p>
          <w:pPr>
            <w:pStyle w:val="Contents4"/>
            <w:tabs>
              <w:tab w:val="clear" w:pos="8176"/>
              <w:tab w:val="right" w:pos="9026" w:leader="dot"/>
            </w:tabs>
            <w:rPr/>
          </w:pPr>
          <w:hyperlink w:anchor="__RefHeading___Toc3807313_1067777946">
            <w:r>
              <w:rPr>
                <w:webHidden/>
                <w:rStyle w:val="IndexLink"/>
                <w:rtl w:val="true"/>
              </w:rPr>
              <w:t>تغاير اصداق در اعلان و اسرار</w:t>
            </w:r>
            <w:r>
              <w:rPr>
                <w:rStyle w:val="IndexLink"/>
                <w:rtl w:val="true"/>
              </w:rPr>
              <w:tab/>
            </w:r>
            <w:r>
              <w:rPr>
                <w:rStyle w:val="IndexLink"/>
              </w:rPr>
              <w:t>92</w:t>
            </w:r>
          </w:hyperlink>
        </w:p>
        <w:p>
          <w:pPr>
            <w:pStyle w:val="Contents4"/>
            <w:tabs>
              <w:tab w:val="clear" w:pos="8176"/>
              <w:tab w:val="right" w:pos="9026" w:leader="dot"/>
            </w:tabs>
            <w:rPr/>
          </w:pPr>
          <w:hyperlink w:anchor="__RefHeading___Toc3807315_1067777946">
            <w:r>
              <w:rPr>
                <w:webHidden/>
                <w:rStyle w:val="IndexLink"/>
                <w:rtl w:val="true"/>
              </w:rPr>
              <w:t>ضمان زوج در مهر</w:t>
            </w:r>
            <w:r>
              <w:rPr>
                <w:rStyle w:val="IndexLink"/>
                <w:rtl w:val="true"/>
              </w:rPr>
              <w:tab/>
            </w:r>
            <w:r>
              <w:rPr>
                <w:rStyle w:val="IndexLink"/>
              </w:rPr>
              <w:t>92</w:t>
            </w:r>
          </w:hyperlink>
        </w:p>
        <w:p>
          <w:pPr>
            <w:pStyle w:val="Contents4"/>
            <w:tabs>
              <w:tab w:val="clear" w:pos="8176"/>
              <w:tab w:val="right" w:pos="9026" w:leader="dot"/>
            </w:tabs>
            <w:rPr/>
          </w:pPr>
          <w:hyperlink w:anchor="__RefHeading___Toc3807317_1067777946">
            <w:r>
              <w:rPr>
                <w:webHidden/>
                <w:rStyle w:val="IndexLink"/>
                <w:rtl w:val="true"/>
              </w:rPr>
              <w:t>ظهور عيب سابق بر عقد در مهر يا تعيّب بعد از عقد در دست زوج</w:t>
            </w:r>
            <w:r>
              <w:rPr>
                <w:rStyle w:val="IndexLink"/>
                <w:rtl w:val="true"/>
              </w:rPr>
              <w:tab/>
            </w:r>
            <w:r>
              <w:rPr>
                <w:rStyle w:val="IndexLink"/>
              </w:rPr>
              <w:t>92</w:t>
            </w:r>
          </w:hyperlink>
        </w:p>
        <w:p>
          <w:pPr>
            <w:pStyle w:val="Contents4"/>
            <w:tabs>
              <w:tab w:val="clear" w:pos="8176"/>
              <w:tab w:val="right" w:pos="9026" w:leader="dot"/>
            </w:tabs>
            <w:rPr/>
          </w:pPr>
          <w:hyperlink w:anchor="__RefHeading___Toc3807319_1067777946">
            <w:r>
              <w:rPr>
                <w:webHidden/>
                <w:rStyle w:val="IndexLink"/>
                <w:rtl w:val="true"/>
              </w:rPr>
              <w:t>جواز امتناع زوجه از تمكين تا قبض مهر</w:t>
            </w:r>
            <w:r>
              <w:rPr>
                <w:rStyle w:val="IndexLink"/>
                <w:rtl w:val="true"/>
              </w:rPr>
              <w:tab/>
            </w:r>
            <w:r>
              <w:rPr>
                <w:rStyle w:val="IndexLink"/>
              </w:rPr>
              <w:t>92</w:t>
            </w:r>
          </w:hyperlink>
        </w:p>
        <w:p>
          <w:pPr>
            <w:pStyle w:val="Contents4"/>
            <w:tabs>
              <w:tab w:val="clear" w:pos="8176"/>
              <w:tab w:val="right" w:pos="9026" w:leader="dot"/>
            </w:tabs>
            <w:rPr/>
          </w:pPr>
          <w:hyperlink w:anchor="__RefHeading___Toc3807321_1067777946">
            <w:r>
              <w:rPr>
                <w:webHidden/>
                <w:rStyle w:val="IndexLink"/>
                <w:rtl w:val="true"/>
              </w:rPr>
              <w:t>عدم جواز امتناع از تمكين در فرض مؤجّل بودن مهر</w:t>
            </w:r>
            <w:r>
              <w:rPr>
                <w:rStyle w:val="IndexLink"/>
                <w:rtl w:val="true"/>
              </w:rPr>
              <w:tab/>
            </w:r>
            <w:r>
              <w:rPr>
                <w:rStyle w:val="IndexLink"/>
              </w:rPr>
              <w:t>93</w:t>
            </w:r>
          </w:hyperlink>
        </w:p>
        <w:p>
          <w:pPr>
            <w:pStyle w:val="Contents4"/>
            <w:tabs>
              <w:tab w:val="clear" w:pos="8176"/>
              <w:tab w:val="right" w:pos="9026" w:leader="dot"/>
            </w:tabs>
            <w:rPr/>
          </w:pPr>
          <w:hyperlink w:anchor="__RefHeading___Toc3807323_1067777946">
            <w:r>
              <w:rPr>
                <w:webHidden/>
                <w:rStyle w:val="IndexLink"/>
                <w:rtl w:val="true"/>
              </w:rPr>
              <w:t>عدم جواز امتناع بعد از دخول</w:t>
            </w:r>
            <w:r>
              <w:rPr>
                <w:rStyle w:val="IndexLink"/>
                <w:rtl w:val="true"/>
              </w:rPr>
              <w:tab/>
            </w:r>
            <w:r>
              <w:rPr>
                <w:rStyle w:val="IndexLink"/>
              </w:rPr>
              <w:t>93</w:t>
            </w:r>
          </w:hyperlink>
        </w:p>
        <w:p>
          <w:pPr>
            <w:pStyle w:val="Contents4"/>
            <w:tabs>
              <w:tab w:val="clear" w:pos="8176"/>
              <w:tab w:val="right" w:pos="9026" w:leader="dot"/>
            </w:tabs>
            <w:rPr/>
          </w:pPr>
          <w:hyperlink w:anchor="__RefHeading___Toc3807325_1067777946">
            <w:r>
              <w:rPr>
                <w:webHidden/>
                <w:rStyle w:val="IndexLink"/>
                <w:rtl w:val="true"/>
              </w:rPr>
              <w:t>حكم تمكين و تسليم مهر در صغيره</w:t>
            </w:r>
            <w:r>
              <w:rPr>
                <w:rStyle w:val="IndexLink"/>
                <w:rtl w:val="true"/>
              </w:rPr>
              <w:tab/>
            </w:r>
            <w:r>
              <w:rPr>
                <w:rStyle w:val="IndexLink"/>
              </w:rPr>
              <w:t>93</w:t>
            </w:r>
          </w:hyperlink>
        </w:p>
        <w:p>
          <w:pPr>
            <w:pStyle w:val="Contents4"/>
            <w:tabs>
              <w:tab w:val="clear" w:pos="8176"/>
              <w:tab w:val="right" w:pos="9026" w:leader="dot"/>
            </w:tabs>
            <w:rPr/>
          </w:pPr>
          <w:hyperlink w:anchor="__RefHeading___Toc3807327_1067777946">
            <w:r>
              <w:rPr>
                <w:webHidden/>
                <w:rStyle w:val="IndexLink"/>
                <w:rtl w:val="true"/>
              </w:rPr>
              <w:t>امتناع زن از تمكين بعد از اخذ مهر</w:t>
            </w:r>
            <w:r>
              <w:rPr>
                <w:rStyle w:val="IndexLink"/>
                <w:rtl w:val="true"/>
              </w:rPr>
              <w:tab/>
            </w:r>
            <w:r>
              <w:rPr>
                <w:rStyle w:val="IndexLink"/>
              </w:rPr>
              <w:t>94</w:t>
            </w:r>
          </w:hyperlink>
        </w:p>
        <w:p>
          <w:pPr>
            <w:pStyle w:val="Contents4"/>
            <w:tabs>
              <w:tab w:val="clear" w:pos="8176"/>
              <w:tab w:val="right" w:pos="9026" w:leader="dot"/>
            </w:tabs>
            <w:rPr/>
          </w:pPr>
          <w:hyperlink w:anchor="__RefHeading___Toc3807329_1067777946">
            <w:r>
              <w:rPr>
                <w:webHidden/>
                <w:rStyle w:val="IndexLink"/>
              </w:rPr>
              <w:t>1</w:t>
            </w:r>
            <w:r>
              <w:rPr>
                <w:rStyle w:val="IndexLink"/>
                <w:rtl w:val="true"/>
              </w:rPr>
              <w:t xml:space="preserve">. </w:t>
            </w:r>
            <w:r>
              <w:rPr>
                <w:rStyle w:val="IndexLink"/>
                <w:rtl w:val="true"/>
              </w:rPr>
              <w:t>تفويض بضع</w:t>
            </w:r>
            <w:r>
              <w:rPr>
                <w:rStyle w:val="IndexLink"/>
                <w:rtl w:val="true"/>
              </w:rPr>
              <w:tab/>
            </w:r>
            <w:r>
              <w:rPr>
                <w:rStyle w:val="IndexLink"/>
              </w:rPr>
              <w:t>94</w:t>
            </w:r>
          </w:hyperlink>
        </w:p>
        <w:p>
          <w:pPr>
            <w:pStyle w:val="Contents5"/>
            <w:tabs>
              <w:tab w:val="clear" w:pos="7892"/>
              <w:tab w:val="right" w:pos="9026" w:leader="dot"/>
            </w:tabs>
            <w:rPr/>
          </w:pPr>
          <w:hyperlink w:anchor="__RefHeading___Toc3807331_1067777946">
            <w:r>
              <w:rPr>
                <w:webHidden/>
                <w:rStyle w:val="IndexLink"/>
                <w:rtl w:val="true"/>
              </w:rPr>
              <w:t>عدم ذكر مهر در عقد</w:t>
            </w:r>
            <w:r>
              <w:rPr>
                <w:rStyle w:val="IndexLink"/>
                <w:rtl w:val="true"/>
              </w:rPr>
              <w:tab/>
            </w:r>
            <w:r>
              <w:rPr>
                <w:rStyle w:val="IndexLink"/>
              </w:rPr>
              <w:t>94</w:t>
            </w:r>
          </w:hyperlink>
        </w:p>
        <w:p>
          <w:pPr>
            <w:pStyle w:val="Contents5"/>
            <w:tabs>
              <w:tab w:val="clear" w:pos="7892"/>
              <w:tab w:val="right" w:pos="9026" w:leader="dot"/>
            </w:tabs>
            <w:rPr/>
          </w:pPr>
          <w:hyperlink w:anchor="__RefHeading___Toc3807333_1067777946">
            <w:r>
              <w:rPr>
                <w:webHidden/>
                <w:rStyle w:val="IndexLink"/>
                <w:rtl w:val="true"/>
              </w:rPr>
              <w:t>نحوۀ تعيين مهر المثل در فرض مسأله</w:t>
            </w:r>
            <w:r>
              <w:rPr>
                <w:rStyle w:val="IndexLink"/>
                <w:rtl w:val="true"/>
              </w:rPr>
              <w:tab/>
            </w:r>
            <w:r>
              <w:rPr>
                <w:rStyle w:val="IndexLink"/>
              </w:rPr>
              <w:t>94</w:t>
            </w:r>
          </w:hyperlink>
        </w:p>
        <w:p>
          <w:pPr>
            <w:pStyle w:val="Contents5"/>
            <w:tabs>
              <w:tab w:val="clear" w:pos="7892"/>
              <w:tab w:val="right" w:pos="9026" w:leader="dot"/>
            </w:tabs>
            <w:rPr/>
          </w:pPr>
          <w:hyperlink w:anchor="__RefHeading___Toc3807335_1067777946">
            <w:r>
              <w:rPr>
                <w:webHidden/>
                <w:rStyle w:val="IndexLink"/>
                <w:rtl w:val="true"/>
              </w:rPr>
              <w:t>نحوۀ تعيين متعه</w:t>
            </w:r>
            <w:r>
              <w:rPr>
                <w:rStyle w:val="IndexLink"/>
                <w:rtl w:val="true"/>
              </w:rPr>
              <w:tab/>
            </w:r>
            <w:r>
              <w:rPr>
                <w:rStyle w:val="IndexLink"/>
              </w:rPr>
              <w:t>95</w:t>
            </w:r>
          </w:hyperlink>
        </w:p>
        <w:p>
          <w:pPr>
            <w:pStyle w:val="Contents5"/>
            <w:tabs>
              <w:tab w:val="clear" w:pos="7892"/>
              <w:tab w:val="right" w:pos="9026" w:leader="dot"/>
            </w:tabs>
            <w:rPr/>
          </w:pPr>
          <w:hyperlink w:anchor="__RefHeading___Toc3807337_1067777946">
            <w:r>
              <w:rPr>
                <w:webHidden/>
                <w:rStyle w:val="IndexLink"/>
                <w:rtl w:val="true"/>
              </w:rPr>
              <w:t>جواز حبس جهت تعيين مهر در فرض تفويض</w:t>
            </w:r>
            <w:r>
              <w:rPr>
                <w:rStyle w:val="IndexLink"/>
                <w:rtl w:val="true"/>
              </w:rPr>
              <w:tab/>
            </w:r>
            <w:r>
              <w:rPr>
                <w:rStyle w:val="IndexLink"/>
              </w:rPr>
              <w:t>95</w:t>
            </w:r>
          </w:hyperlink>
        </w:p>
        <w:p>
          <w:pPr>
            <w:pStyle w:val="Contents5"/>
            <w:tabs>
              <w:tab w:val="clear" w:pos="7892"/>
              <w:tab w:val="right" w:pos="9026" w:leader="dot"/>
            </w:tabs>
            <w:rPr/>
          </w:pPr>
          <w:hyperlink w:anchor="__RefHeading___Toc3807339_1067777946">
            <w:r>
              <w:rPr>
                <w:webHidden/>
                <w:rStyle w:val="IndexLink"/>
                <w:rtl w:val="true"/>
              </w:rPr>
              <w:t>حكم مهر در عقد مملوكه و خريد او</w:t>
            </w:r>
            <w:r>
              <w:rPr>
                <w:rStyle w:val="IndexLink"/>
                <w:rtl w:val="true"/>
              </w:rPr>
              <w:tab/>
            </w:r>
            <w:r>
              <w:rPr>
                <w:rStyle w:val="IndexLink"/>
              </w:rPr>
              <w:t>96</w:t>
            </w:r>
          </w:hyperlink>
        </w:p>
        <w:p>
          <w:pPr>
            <w:pStyle w:val="Contents5"/>
            <w:tabs>
              <w:tab w:val="clear" w:pos="7892"/>
              <w:tab w:val="right" w:pos="9026" w:leader="dot"/>
            </w:tabs>
            <w:rPr/>
          </w:pPr>
          <w:hyperlink w:anchor="__RefHeading___Toc3807341_1067777946">
            <w:r>
              <w:rPr>
                <w:webHidden/>
                <w:rStyle w:val="IndexLink"/>
                <w:rtl w:val="true"/>
              </w:rPr>
              <w:t>عدم تحقّق تفويض از غير بالغۀ رشيده مگر با مباشرت ولى فى الجمله</w:t>
            </w:r>
            <w:r>
              <w:rPr>
                <w:rStyle w:val="IndexLink"/>
                <w:rtl w:val="true"/>
              </w:rPr>
              <w:tab/>
            </w:r>
            <w:r>
              <w:rPr>
                <w:rStyle w:val="IndexLink"/>
              </w:rPr>
              <w:t>96</w:t>
            </w:r>
          </w:hyperlink>
        </w:p>
        <w:p>
          <w:pPr>
            <w:pStyle w:val="Contents5"/>
            <w:tabs>
              <w:tab w:val="clear" w:pos="7892"/>
              <w:tab w:val="right" w:pos="9026" w:leader="dot"/>
            </w:tabs>
            <w:rPr/>
          </w:pPr>
          <w:hyperlink w:anchor="__RefHeading___Toc3807343_1067777946">
            <w:r>
              <w:rPr>
                <w:webHidden/>
                <w:rStyle w:val="IndexLink"/>
                <w:rtl w:val="true"/>
              </w:rPr>
              <w:t>تزويج امه با تفويض بضع</w:t>
            </w:r>
            <w:r>
              <w:rPr>
                <w:rStyle w:val="IndexLink"/>
                <w:rtl w:val="true"/>
              </w:rPr>
              <w:tab/>
            </w:r>
            <w:r>
              <w:rPr>
                <w:rStyle w:val="IndexLink"/>
              </w:rPr>
              <w:t>97</w:t>
            </w:r>
          </w:hyperlink>
        </w:p>
        <w:p>
          <w:pPr>
            <w:pStyle w:val="Contents5"/>
            <w:tabs>
              <w:tab w:val="clear" w:pos="7892"/>
              <w:tab w:val="right" w:pos="9026" w:leader="dot"/>
            </w:tabs>
            <w:rPr/>
          </w:pPr>
          <w:hyperlink w:anchor="__RefHeading___Toc3807345_1067777946">
            <w:r>
              <w:rPr>
                <w:webHidden/>
                <w:rStyle w:val="IndexLink"/>
                <w:rtl w:val="true"/>
              </w:rPr>
              <w:t>بيع يا عتق امه بعد از تزويج او با تفويض بضع</w:t>
            </w:r>
            <w:r>
              <w:rPr>
                <w:rStyle w:val="IndexLink"/>
                <w:rtl w:val="true"/>
              </w:rPr>
              <w:tab/>
            </w:r>
            <w:r>
              <w:rPr>
                <w:rStyle w:val="IndexLink"/>
              </w:rPr>
              <w:t>97</w:t>
            </w:r>
          </w:hyperlink>
        </w:p>
        <w:p>
          <w:pPr>
            <w:pStyle w:val="Contents4"/>
            <w:tabs>
              <w:tab w:val="clear" w:pos="8176"/>
              <w:tab w:val="right" w:pos="9026" w:leader="dot"/>
            </w:tabs>
            <w:rPr/>
          </w:pPr>
          <w:hyperlink w:anchor="__RefHeading___Toc3807347_1067777946">
            <w:r>
              <w:rPr>
                <w:webHidden/>
                <w:rStyle w:val="IndexLink"/>
              </w:rPr>
              <w:t>2</w:t>
            </w:r>
            <w:r>
              <w:rPr>
                <w:rStyle w:val="IndexLink"/>
                <w:rtl w:val="true"/>
              </w:rPr>
              <w:t xml:space="preserve">. </w:t>
            </w:r>
            <w:r>
              <w:rPr>
                <w:rStyle w:val="IndexLink"/>
                <w:rtl w:val="true"/>
              </w:rPr>
              <w:t>تفويض مهر</w:t>
            </w:r>
            <w:r>
              <w:rPr>
                <w:rStyle w:val="IndexLink"/>
                <w:rtl w:val="true"/>
              </w:rPr>
              <w:tab/>
            </w:r>
            <w:r>
              <w:rPr>
                <w:rStyle w:val="IndexLink"/>
              </w:rPr>
              <w:t>97</w:t>
            </w:r>
          </w:hyperlink>
        </w:p>
        <w:p>
          <w:pPr>
            <w:pStyle w:val="Contents5"/>
            <w:tabs>
              <w:tab w:val="clear" w:pos="7892"/>
              <w:tab w:val="right" w:pos="9026" w:leader="dot"/>
            </w:tabs>
            <w:rPr/>
          </w:pPr>
          <w:hyperlink w:anchor="__RefHeading___Toc3807349_1067777946">
            <w:r>
              <w:rPr>
                <w:webHidden/>
                <w:rStyle w:val="IndexLink"/>
                <w:rtl w:val="true"/>
              </w:rPr>
              <w:t>فرق تفويض مهر و تفويض بضع و نحوۀ تعيين مهر در مفوّضة المهر</w:t>
            </w:r>
            <w:r>
              <w:rPr>
                <w:rStyle w:val="IndexLink"/>
                <w:rtl w:val="true"/>
              </w:rPr>
              <w:tab/>
            </w:r>
            <w:r>
              <w:rPr>
                <w:rStyle w:val="IndexLink"/>
              </w:rPr>
              <w:t>97</w:t>
            </w:r>
          </w:hyperlink>
        </w:p>
        <w:p>
          <w:pPr>
            <w:pStyle w:val="Contents5"/>
            <w:tabs>
              <w:tab w:val="clear" w:pos="7892"/>
              <w:tab w:val="right" w:pos="9026" w:leader="dot"/>
            </w:tabs>
            <w:rPr/>
          </w:pPr>
          <w:hyperlink w:anchor="__RefHeading___Toc3807351_1067777946">
            <w:r>
              <w:rPr>
                <w:webHidden/>
                <w:rStyle w:val="IndexLink"/>
                <w:rtl w:val="true"/>
              </w:rPr>
              <w:t>طلاق مفوّضة المهر</w:t>
            </w:r>
            <w:r>
              <w:rPr>
                <w:rStyle w:val="IndexLink"/>
                <w:rtl w:val="true"/>
              </w:rPr>
              <w:tab/>
            </w:r>
            <w:r>
              <w:rPr>
                <w:rStyle w:val="IndexLink"/>
              </w:rPr>
              <w:t>98</w:t>
            </w:r>
          </w:hyperlink>
        </w:p>
        <w:p>
          <w:pPr>
            <w:pStyle w:val="Contents5"/>
            <w:tabs>
              <w:tab w:val="clear" w:pos="7892"/>
              <w:tab w:val="right" w:pos="9026" w:leader="dot"/>
            </w:tabs>
            <w:rPr/>
          </w:pPr>
          <w:hyperlink w:anchor="__RefHeading___Toc3807353_1067777946">
            <w:r>
              <w:rPr>
                <w:webHidden/>
                <w:rStyle w:val="IndexLink"/>
                <w:rtl w:val="true"/>
              </w:rPr>
              <w:t>جنون يا وفات حاكم به شرط</w:t>
            </w:r>
            <w:r>
              <w:rPr>
                <w:rStyle w:val="IndexLink"/>
                <w:rtl w:val="true"/>
              </w:rPr>
              <w:tab/>
            </w:r>
            <w:r>
              <w:rPr>
                <w:rStyle w:val="IndexLink"/>
              </w:rPr>
              <w:t>98</w:t>
            </w:r>
          </w:hyperlink>
        </w:p>
        <w:p>
          <w:pPr>
            <w:pStyle w:val="Contents4"/>
            <w:tabs>
              <w:tab w:val="clear" w:pos="8176"/>
              <w:tab w:val="right" w:pos="9026" w:leader="dot"/>
            </w:tabs>
            <w:rPr/>
          </w:pPr>
          <w:hyperlink w:anchor="__RefHeading___Toc3807355_1067777946">
            <w:r>
              <w:rPr>
                <w:webHidden/>
                <w:rStyle w:val="IndexLink"/>
                <w:rtl w:val="true"/>
              </w:rPr>
              <w:t>احكام مهر</w:t>
            </w:r>
            <w:r>
              <w:rPr>
                <w:rStyle w:val="IndexLink"/>
                <w:rtl w:val="true"/>
              </w:rPr>
              <w:tab/>
            </w:r>
            <w:r>
              <w:rPr>
                <w:rStyle w:val="IndexLink"/>
              </w:rPr>
              <w:t>99</w:t>
            </w:r>
          </w:hyperlink>
        </w:p>
        <w:p>
          <w:pPr>
            <w:pStyle w:val="Contents5"/>
            <w:tabs>
              <w:tab w:val="clear" w:pos="7892"/>
              <w:tab w:val="right" w:pos="9026" w:leader="dot"/>
            </w:tabs>
            <w:rPr/>
          </w:pPr>
          <w:hyperlink w:anchor="__RefHeading___Toc3807357_1067777946">
            <w:r>
              <w:rPr>
                <w:webHidden/>
                <w:rStyle w:val="IndexLink"/>
                <w:rtl w:val="true"/>
              </w:rPr>
              <w:t>عدم سقوط مهر با دخول</w:t>
            </w:r>
            <w:r>
              <w:rPr>
                <w:rStyle w:val="IndexLink"/>
                <w:rtl w:val="true"/>
              </w:rPr>
              <w:tab/>
            </w:r>
            <w:r>
              <w:rPr>
                <w:rStyle w:val="IndexLink"/>
              </w:rPr>
              <w:t>99</w:t>
            </w:r>
          </w:hyperlink>
        </w:p>
        <w:p>
          <w:pPr>
            <w:pStyle w:val="Contents5"/>
            <w:tabs>
              <w:tab w:val="clear" w:pos="7892"/>
              <w:tab w:val="right" w:pos="9026" w:leader="dot"/>
            </w:tabs>
            <w:rPr/>
          </w:pPr>
          <w:hyperlink w:anchor="__RefHeading___Toc3807359_1067777946">
            <w:r>
              <w:rPr>
                <w:webHidden/>
                <w:rStyle w:val="IndexLink"/>
                <w:rtl w:val="true"/>
              </w:rPr>
              <w:t>دخول موجب مهر</w:t>
            </w:r>
            <w:r>
              <w:rPr>
                <w:rStyle w:val="IndexLink"/>
                <w:rtl w:val="true"/>
              </w:rPr>
              <w:tab/>
            </w:r>
            <w:r>
              <w:rPr>
                <w:rStyle w:val="IndexLink"/>
              </w:rPr>
              <w:t>99</w:t>
            </w:r>
          </w:hyperlink>
        </w:p>
        <w:p>
          <w:pPr>
            <w:pStyle w:val="Contents5"/>
            <w:tabs>
              <w:tab w:val="clear" w:pos="7892"/>
              <w:tab w:val="right" w:pos="9026" w:leader="dot"/>
            </w:tabs>
            <w:rPr/>
          </w:pPr>
          <w:hyperlink w:anchor="__RefHeading___Toc3807361_1067777946">
            <w:r>
              <w:rPr>
                <w:webHidden/>
                <w:rStyle w:val="IndexLink"/>
                <w:rtl w:val="true"/>
              </w:rPr>
              <w:t>طلاق قبل از دخول</w:t>
            </w:r>
            <w:r>
              <w:rPr>
                <w:rStyle w:val="IndexLink"/>
                <w:rtl w:val="true"/>
              </w:rPr>
              <w:tab/>
            </w:r>
            <w:r>
              <w:rPr>
                <w:rStyle w:val="IndexLink"/>
              </w:rPr>
              <w:t>99</w:t>
            </w:r>
          </w:hyperlink>
        </w:p>
        <w:p>
          <w:pPr>
            <w:pStyle w:val="Contents5"/>
            <w:tabs>
              <w:tab w:val="clear" w:pos="7892"/>
              <w:tab w:val="right" w:pos="9026" w:leader="dot"/>
            </w:tabs>
            <w:rPr/>
          </w:pPr>
          <w:hyperlink w:anchor="__RefHeading___Toc3807363_1067777946">
            <w:r>
              <w:rPr>
                <w:webHidden/>
                <w:rStyle w:val="IndexLink"/>
                <w:rtl w:val="true"/>
              </w:rPr>
              <w:t>حكم صورت تلف شدنِ عين و آنچه به منزله تلف است</w:t>
            </w:r>
            <w:r>
              <w:rPr>
                <w:rStyle w:val="IndexLink"/>
                <w:rtl w:val="true"/>
              </w:rPr>
              <w:tab/>
            </w:r>
            <w:r>
              <w:rPr>
                <w:rStyle w:val="IndexLink"/>
              </w:rPr>
              <w:t>100</w:t>
            </w:r>
          </w:hyperlink>
        </w:p>
        <w:p>
          <w:pPr>
            <w:pStyle w:val="Contents5"/>
            <w:tabs>
              <w:tab w:val="clear" w:pos="7892"/>
              <w:tab w:val="right" w:pos="9026" w:leader="dot"/>
            </w:tabs>
            <w:rPr/>
          </w:pPr>
          <w:hyperlink w:anchor="__RefHeading___Toc3807365_1067777946">
            <w:r>
              <w:rPr>
                <w:webHidden/>
                <w:rStyle w:val="IndexLink"/>
                <w:rtl w:val="true"/>
              </w:rPr>
              <w:t>اگر زوجه عين را رهن و يا اجاره داده باشد</w:t>
            </w:r>
            <w:r>
              <w:rPr>
                <w:rStyle w:val="IndexLink"/>
                <w:rtl w:val="true"/>
              </w:rPr>
              <w:tab/>
            </w:r>
            <w:r>
              <w:rPr>
                <w:rStyle w:val="IndexLink"/>
              </w:rPr>
              <w:t>100</w:t>
            </w:r>
          </w:hyperlink>
        </w:p>
        <w:p>
          <w:pPr>
            <w:pStyle w:val="Contents5"/>
            <w:tabs>
              <w:tab w:val="clear" w:pos="7892"/>
              <w:tab w:val="right" w:pos="9026" w:leader="dot"/>
            </w:tabs>
            <w:rPr/>
          </w:pPr>
          <w:hyperlink w:anchor="__RefHeading___Toc3807367_1067777946">
            <w:r>
              <w:rPr>
                <w:webHidden/>
                <w:rStyle w:val="IndexLink"/>
                <w:rtl w:val="true"/>
              </w:rPr>
              <w:t>حصول نقص در عين يا صفت</w:t>
            </w:r>
            <w:r>
              <w:rPr>
                <w:rStyle w:val="IndexLink"/>
                <w:rtl w:val="true"/>
              </w:rPr>
              <w:tab/>
            </w:r>
            <w:r>
              <w:rPr>
                <w:rStyle w:val="IndexLink"/>
              </w:rPr>
              <w:t>100</w:t>
            </w:r>
          </w:hyperlink>
        </w:p>
        <w:p>
          <w:pPr>
            <w:pStyle w:val="Contents5"/>
            <w:tabs>
              <w:tab w:val="clear" w:pos="7892"/>
              <w:tab w:val="right" w:pos="9026" w:leader="dot"/>
            </w:tabs>
            <w:rPr/>
          </w:pPr>
          <w:hyperlink w:anchor="__RefHeading___Toc3807369_1067777946">
            <w:r>
              <w:rPr>
                <w:webHidden/>
                <w:rStyle w:val="IndexLink"/>
                <w:rtl w:val="true"/>
              </w:rPr>
              <w:t>حصول زيادات متّصله در عين</w:t>
            </w:r>
            <w:r>
              <w:rPr>
                <w:rStyle w:val="IndexLink"/>
                <w:rtl w:val="true"/>
              </w:rPr>
              <w:tab/>
            </w:r>
            <w:r>
              <w:rPr>
                <w:rStyle w:val="IndexLink"/>
              </w:rPr>
              <w:t>100</w:t>
            </w:r>
          </w:hyperlink>
        </w:p>
        <w:p>
          <w:pPr>
            <w:pStyle w:val="Contents5"/>
            <w:tabs>
              <w:tab w:val="clear" w:pos="7892"/>
              <w:tab w:val="right" w:pos="9026" w:leader="dot"/>
            </w:tabs>
            <w:rPr/>
          </w:pPr>
          <w:hyperlink w:anchor="__RefHeading___Toc3807371_1067777946">
            <w:r>
              <w:rPr>
                <w:webHidden/>
                <w:rStyle w:val="IndexLink"/>
                <w:rtl w:val="true"/>
              </w:rPr>
              <w:t>حصول زيادتى و نقص با هم در عين</w:t>
            </w:r>
            <w:r>
              <w:rPr>
                <w:rStyle w:val="IndexLink"/>
                <w:rtl w:val="true"/>
              </w:rPr>
              <w:tab/>
            </w:r>
            <w:r>
              <w:rPr>
                <w:rStyle w:val="IndexLink"/>
              </w:rPr>
              <w:t>101</w:t>
            </w:r>
          </w:hyperlink>
        </w:p>
        <w:p>
          <w:pPr>
            <w:pStyle w:val="Contents5"/>
            <w:tabs>
              <w:tab w:val="clear" w:pos="7892"/>
              <w:tab w:val="right" w:pos="9026" w:leader="dot"/>
            </w:tabs>
            <w:rPr/>
          </w:pPr>
          <w:hyperlink w:anchor="__RefHeading___Toc3807373_1067777946">
            <w:r>
              <w:rPr>
                <w:webHidden/>
                <w:rStyle w:val="IndexLink"/>
                <w:rtl w:val="true"/>
              </w:rPr>
              <w:t>نماى منفصل عين</w:t>
            </w:r>
            <w:r>
              <w:rPr>
                <w:rStyle w:val="IndexLink"/>
                <w:rtl w:val="true"/>
              </w:rPr>
              <w:tab/>
            </w:r>
            <w:r>
              <w:rPr>
                <w:rStyle w:val="IndexLink"/>
              </w:rPr>
              <w:t>101</w:t>
            </w:r>
          </w:hyperlink>
        </w:p>
        <w:p>
          <w:pPr>
            <w:pStyle w:val="Contents5"/>
            <w:tabs>
              <w:tab w:val="clear" w:pos="7892"/>
              <w:tab w:val="right" w:pos="9026" w:leader="dot"/>
            </w:tabs>
            <w:rPr/>
          </w:pPr>
          <w:hyperlink w:anchor="__RefHeading___Toc3807375_1067777946">
            <w:r>
              <w:rPr>
                <w:webHidden/>
                <w:rStyle w:val="IndexLink"/>
                <w:rtl w:val="true"/>
              </w:rPr>
              <w:t>اگر صداق، تعليم صنعت يا سوره باشد</w:t>
            </w:r>
            <w:r>
              <w:rPr>
                <w:rStyle w:val="IndexLink"/>
                <w:rtl w:val="true"/>
              </w:rPr>
              <w:tab/>
            </w:r>
            <w:r>
              <w:rPr>
                <w:rStyle w:val="IndexLink"/>
              </w:rPr>
              <w:t>102</w:t>
            </w:r>
          </w:hyperlink>
        </w:p>
        <w:p>
          <w:pPr>
            <w:pStyle w:val="Contents5"/>
            <w:tabs>
              <w:tab w:val="clear" w:pos="7892"/>
              <w:tab w:val="right" w:pos="9026" w:leader="dot"/>
            </w:tabs>
            <w:rPr/>
          </w:pPr>
          <w:hyperlink w:anchor="__RefHeading___Toc3807377_1067777946">
            <w:r>
              <w:rPr>
                <w:webHidden/>
                <w:rStyle w:val="IndexLink"/>
                <w:rtl w:val="true"/>
              </w:rPr>
              <w:t>ابراء شوهر و طلاق قبل از دخول</w:t>
            </w:r>
            <w:r>
              <w:rPr>
                <w:rStyle w:val="IndexLink"/>
                <w:rtl w:val="true"/>
              </w:rPr>
              <w:tab/>
            </w:r>
            <w:r>
              <w:rPr>
                <w:rStyle w:val="IndexLink"/>
              </w:rPr>
              <w:t>102</w:t>
            </w:r>
          </w:hyperlink>
        </w:p>
        <w:p>
          <w:pPr>
            <w:pStyle w:val="Contents5"/>
            <w:tabs>
              <w:tab w:val="clear" w:pos="7892"/>
              <w:tab w:val="right" w:pos="9026" w:leader="dot"/>
            </w:tabs>
            <w:rPr/>
          </w:pPr>
          <w:hyperlink w:anchor="__RefHeading___Toc3807379_1067777946">
            <w:r>
              <w:rPr>
                <w:webHidden/>
                <w:rStyle w:val="IndexLink"/>
                <w:rtl w:val="true"/>
              </w:rPr>
              <w:t>طلاق قبل از دخول بعد از معاوضه مهر، موجب رد نصف مسمّى است</w:t>
            </w:r>
            <w:r>
              <w:rPr>
                <w:rStyle w:val="IndexLink"/>
                <w:rtl w:val="true"/>
              </w:rPr>
              <w:tab/>
            </w:r>
            <w:r>
              <w:rPr>
                <w:rStyle w:val="IndexLink"/>
              </w:rPr>
              <w:t>102</w:t>
            </w:r>
          </w:hyperlink>
        </w:p>
        <w:p>
          <w:pPr>
            <w:pStyle w:val="Contents5"/>
            <w:tabs>
              <w:tab w:val="clear" w:pos="7892"/>
              <w:tab w:val="right" w:pos="9026" w:leader="dot"/>
            </w:tabs>
            <w:rPr/>
          </w:pPr>
          <w:hyperlink w:anchor="__RefHeading___Toc3807381_1067777946">
            <w:r>
              <w:rPr>
                <w:webHidden/>
                <w:rStyle w:val="IndexLink"/>
                <w:rtl w:val="true"/>
              </w:rPr>
              <w:t>امهار مدبّره</w:t>
            </w:r>
            <w:r>
              <w:rPr>
                <w:rStyle w:val="IndexLink"/>
                <w:rtl w:val="true"/>
              </w:rPr>
              <w:tab/>
            </w:r>
            <w:r>
              <w:rPr>
                <w:rStyle w:val="IndexLink"/>
              </w:rPr>
              <w:t>103</w:t>
            </w:r>
          </w:hyperlink>
        </w:p>
        <w:p>
          <w:pPr>
            <w:pStyle w:val="Contents5"/>
            <w:tabs>
              <w:tab w:val="clear" w:pos="7892"/>
              <w:tab w:val="right" w:pos="9026" w:leader="dot"/>
            </w:tabs>
            <w:rPr/>
          </w:pPr>
          <w:hyperlink w:anchor="__RefHeading___Toc3807383_1067777946">
            <w:r>
              <w:rPr>
                <w:webHidden/>
                <w:rStyle w:val="IndexLink"/>
                <w:rtl w:val="true"/>
              </w:rPr>
              <w:t>شرط مخالف شرع در عقد</w:t>
            </w:r>
            <w:r>
              <w:rPr>
                <w:rStyle w:val="IndexLink"/>
                <w:rtl w:val="true"/>
              </w:rPr>
              <w:tab/>
            </w:r>
            <w:r>
              <w:rPr>
                <w:rStyle w:val="IndexLink"/>
              </w:rPr>
              <w:t>103</w:t>
            </w:r>
          </w:hyperlink>
        </w:p>
        <w:p>
          <w:pPr>
            <w:pStyle w:val="Contents5"/>
            <w:tabs>
              <w:tab w:val="clear" w:pos="7892"/>
              <w:tab w:val="right" w:pos="9026" w:leader="dot"/>
            </w:tabs>
            <w:rPr/>
          </w:pPr>
          <w:hyperlink w:anchor="__RefHeading___Toc3807385_1067777946">
            <w:r>
              <w:rPr>
                <w:webHidden/>
                <w:rStyle w:val="IndexLink"/>
                <w:rtl w:val="true"/>
              </w:rPr>
              <w:t>شرط بطلان عقد در فرض عدم تسليم مهر</w:t>
            </w:r>
            <w:r>
              <w:rPr>
                <w:rStyle w:val="IndexLink"/>
                <w:rtl w:val="true"/>
              </w:rPr>
              <w:tab/>
            </w:r>
            <w:r>
              <w:rPr>
                <w:rStyle w:val="IndexLink"/>
              </w:rPr>
              <w:t>103</w:t>
            </w:r>
          </w:hyperlink>
        </w:p>
        <w:p>
          <w:pPr>
            <w:pStyle w:val="Contents5"/>
            <w:tabs>
              <w:tab w:val="clear" w:pos="7892"/>
              <w:tab w:val="right" w:pos="9026" w:leader="dot"/>
            </w:tabs>
            <w:rPr/>
          </w:pPr>
          <w:hyperlink w:anchor="__RefHeading___Toc3807387_1067777946">
            <w:r>
              <w:rPr>
                <w:webHidden/>
                <w:rStyle w:val="IndexLink"/>
                <w:rtl w:val="true"/>
              </w:rPr>
              <w:t>شرط عدم وطى و عدم ازالۀ بكارت</w:t>
            </w:r>
            <w:r>
              <w:rPr>
                <w:rStyle w:val="IndexLink"/>
                <w:rtl w:val="true"/>
              </w:rPr>
              <w:tab/>
            </w:r>
            <w:r>
              <w:rPr>
                <w:rStyle w:val="IndexLink"/>
              </w:rPr>
              <w:t>103</w:t>
            </w:r>
          </w:hyperlink>
        </w:p>
        <w:p>
          <w:pPr>
            <w:pStyle w:val="Contents5"/>
            <w:tabs>
              <w:tab w:val="clear" w:pos="7892"/>
              <w:tab w:val="right" w:pos="9026" w:leader="dot"/>
            </w:tabs>
            <w:rPr/>
          </w:pPr>
          <w:hyperlink w:anchor="__RefHeading___Toc3807389_1067777946">
            <w:r>
              <w:rPr>
                <w:webHidden/>
                <w:rStyle w:val="IndexLink"/>
                <w:rtl w:val="true"/>
              </w:rPr>
              <w:t>شرط باقى ماندن در بلد و امثال آن</w:t>
            </w:r>
            <w:r>
              <w:rPr>
                <w:rStyle w:val="IndexLink"/>
                <w:rtl w:val="true"/>
              </w:rPr>
              <w:tab/>
            </w:r>
            <w:r>
              <w:rPr>
                <w:rStyle w:val="IndexLink"/>
              </w:rPr>
              <w:t>104</w:t>
            </w:r>
          </w:hyperlink>
        </w:p>
        <w:p>
          <w:pPr>
            <w:pStyle w:val="Contents5"/>
            <w:tabs>
              <w:tab w:val="clear" w:pos="7892"/>
              <w:tab w:val="right" w:pos="9026" w:leader="dot"/>
            </w:tabs>
            <w:rPr/>
          </w:pPr>
          <w:hyperlink w:anchor="__RefHeading___Toc3807391_1067777946">
            <w:r>
              <w:rPr>
                <w:webHidden/>
                <w:rStyle w:val="IndexLink"/>
                <w:rtl w:val="true"/>
              </w:rPr>
              <w:t>طلاق قبل از دخول بعد از تزويج در عدّۀ طلاق بائن</w:t>
            </w:r>
            <w:r>
              <w:rPr>
                <w:rStyle w:val="IndexLink"/>
                <w:rtl w:val="true"/>
              </w:rPr>
              <w:tab/>
            </w:r>
            <w:r>
              <w:rPr>
                <w:rStyle w:val="IndexLink"/>
              </w:rPr>
              <w:t>104</w:t>
            </w:r>
          </w:hyperlink>
        </w:p>
        <w:p>
          <w:pPr>
            <w:pStyle w:val="Contents5"/>
            <w:tabs>
              <w:tab w:val="clear" w:pos="7892"/>
              <w:tab w:val="right" w:pos="9026" w:leader="dot"/>
            </w:tabs>
            <w:rPr/>
          </w:pPr>
          <w:hyperlink w:anchor="__RefHeading___Toc3807393_1067777946">
            <w:r>
              <w:rPr>
                <w:webHidden/>
                <w:rStyle w:val="IndexLink"/>
                <w:rtl w:val="true"/>
              </w:rPr>
              <w:t>طلاق قبل از دخول بعد از هبۀ نصف مشاع مهر</w:t>
            </w:r>
            <w:r>
              <w:rPr>
                <w:rStyle w:val="IndexLink"/>
                <w:rtl w:val="true"/>
              </w:rPr>
              <w:tab/>
            </w:r>
            <w:r>
              <w:rPr>
                <w:rStyle w:val="IndexLink"/>
              </w:rPr>
              <w:t>104</w:t>
            </w:r>
          </w:hyperlink>
        </w:p>
        <w:p>
          <w:pPr>
            <w:pStyle w:val="Contents5"/>
            <w:tabs>
              <w:tab w:val="clear" w:pos="7892"/>
              <w:tab w:val="right" w:pos="9026" w:leader="dot"/>
            </w:tabs>
            <w:rPr/>
          </w:pPr>
          <w:hyperlink w:anchor="__RefHeading___Toc3807395_1067777946">
            <w:r>
              <w:rPr>
                <w:webHidden/>
                <w:rStyle w:val="IndexLink"/>
                <w:rtl w:val="true"/>
              </w:rPr>
              <w:t>طلاق قبل از دخول بعد از امهار به غلامين و وفات يكى</w:t>
            </w:r>
            <w:r>
              <w:rPr>
                <w:rStyle w:val="IndexLink"/>
                <w:rtl w:val="true"/>
              </w:rPr>
              <w:tab/>
            </w:r>
            <w:r>
              <w:rPr>
                <w:rStyle w:val="IndexLink"/>
              </w:rPr>
              <w:t>105</w:t>
            </w:r>
          </w:hyperlink>
        </w:p>
        <w:p>
          <w:pPr>
            <w:pStyle w:val="Contents5"/>
            <w:tabs>
              <w:tab w:val="clear" w:pos="7892"/>
              <w:tab w:val="right" w:pos="9026" w:leader="dot"/>
            </w:tabs>
            <w:rPr/>
          </w:pPr>
          <w:hyperlink w:anchor="__RefHeading___Toc3807397_1067777946">
            <w:r>
              <w:rPr>
                <w:webHidden/>
                <w:rStyle w:val="IndexLink"/>
                <w:rtl w:val="true"/>
              </w:rPr>
              <w:t>شرط خيار فسخ در نكاح و اِمهار</w:t>
            </w:r>
            <w:r>
              <w:rPr>
                <w:rStyle w:val="IndexLink"/>
                <w:rtl w:val="true"/>
              </w:rPr>
              <w:tab/>
            </w:r>
            <w:r>
              <w:rPr>
                <w:rStyle w:val="IndexLink"/>
              </w:rPr>
              <w:t>105</w:t>
            </w:r>
          </w:hyperlink>
        </w:p>
        <w:p>
          <w:pPr>
            <w:pStyle w:val="Contents5"/>
            <w:tabs>
              <w:tab w:val="clear" w:pos="7892"/>
              <w:tab w:val="right" w:pos="9026" w:leader="dot"/>
            </w:tabs>
            <w:rPr/>
          </w:pPr>
          <w:hyperlink w:anchor="__RefHeading___Toc3807399_1067777946">
            <w:r>
              <w:rPr>
                <w:webHidden/>
                <w:rStyle w:val="IndexLink"/>
                <w:rtl w:val="true"/>
              </w:rPr>
              <w:t>تمام مهر به عقد نكاح مملوك زوجه است</w:t>
            </w:r>
            <w:r>
              <w:rPr>
                <w:rStyle w:val="IndexLink"/>
                <w:rtl w:val="true"/>
              </w:rPr>
              <w:tab/>
            </w:r>
            <w:r>
              <w:rPr>
                <w:rStyle w:val="IndexLink"/>
              </w:rPr>
              <w:t>105</w:t>
            </w:r>
          </w:hyperlink>
        </w:p>
        <w:p>
          <w:pPr>
            <w:pStyle w:val="Contents5"/>
            <w:tabs>
              <w:tab w:val="clear" w:pos="7892"/>
              <w:tab w:val="right" w:pos="9026" w:leader="dot"/>
            </w:tabs>
            <w:rPr/>
          </w:pPr>
          <w:hyperlink w:anchor="__RefHeading___Toc3807401_1067777946">
            <w:r>
              <w:rPr>
                <w:webHidden/>
                <w:rStyle w:val="IndexLink"/>
                <w:rtl w:val="true"/>
              </w:rPr>
              <w:t>عفو و ابراء و هبۀ مهر</w:t>
            </w:r>
            <w:r>
              <w:rPr>
                <w:rStyle w:val="IndexLink"/>
                <w:rtl w:val="true"/>
              </w:rPr>
              <w:tab/>
            </w:r>
            <w:r>
              <w:rPr>
                <w:rStyle w:val="IndexLink"/>
              </w:rPr>
              <w:t>105</w:t>
            </w:r>
          </w:hyperlink>
        </w:p>
        <w:p>
          <w:pPr>
            <w:pStyle w:val="Contents5"/>
            <w:tabs>
              <w:tab w:val="clear" w:pos="7892"/>
              <w:tab w:val="right" w:pos="9026" w:leader="dot"/>
            </w:tabs>
            <w:rPr/>
          </w:pPr>
          <w:hyperlink w:anchor="__RefHeading___Toc3807403_1067777946">
            <w:r>
              <w:rPr>
                <w:webHidden/>
                <w:rStyle w:val="IndexLink"/>
                <w:rtl w:val="true"/>
              </w:rPr>
              <w:t>اختيار ولىّ زوجه در عفو</w:t>
            </w:r>
            <w:r>
              <w:rPr>
                <w:rStyle w:val="IndexLink"/>
                <w:rtl w:val="true"/>
              </w:rPr>
              <w:tab/>
            </w:r>
            <w:r>
              <w:rPr>
                <w:rStyle w:val="IndexLink"/>
              </w:rPr>
              <w:t>105</w:t>
            </w:r>
          </w:hyperlink>
        </w:p>
        <w:p>
          <w:pPr>
            <w:pStyle w:val="Contents5"/>
            <w:tabs>
              <w:tab w:val="clear" w:pos="7892"/>
              <w:tab w:val="right" w:pos="9026" w:leader="dot"/>
            </w:tabs>
            <w:rPr/>
          </w:pPr>
          <w:hyperlink w:anchor="__RefHeading___Toc3807405_1067777946">
            <w:r>
              <w:rPr>
                <w:webHidden/>
                <w:rStyle w:val="IndexLink"/>
                <w:rtl w:val="true"/>
              </w:rPr>
              <w:t>توقف حصول مالكيّت عين بر قبض در هبه</w:t>
            </w:r>
            <w:r>
              <w:rPr>
                <w:rStyle w:val="IndexLink"/>
                <w:rtl w:val="true"/>
              </w:rPr>
              <w:tab/>
            </w:r>
            <w:r>
              <w:rPr>
                <w:rStyle w:val="IndexLink"/>
              </w:rPr>
              <w:t>106</w:t>
            </w:r>
          </w:hyperlink>
        </w:p>
        <w:p>
          <w:pPr>
            <w:pStyle w:val="Contents5"/>
            <w:tabs>
              <w:tab w:val="clear" w:pos="7892"/>
              <w:tab w:val="right" w:pos="9026" w:leader="dot"/>
            </w:tabs>
            <w:rPr/>
          </w:pPr>
          <w:hyperlink w:anchor="__RefHeading___Toc3807407_1067777946">
            <w:r>
              <w:rPr>
                <w:webHidden/>
                <w:rStyle w:val="IndexLink"/>
                <w:rtl w:val="true"/>
              </w:rPr>
              <w:t>عدم جواز امتناع از تمكين در مهر مؤجّل</w:t>
            </w:r>
            <w:r>
              <w:rPr>
                <w:rStyle w:val="IndexLink"/>
                <w:rtl w:val="true"/>
              </w:rPr>
              <w:tab/>
            </w:r>
            <w:r>
              <w:rPr>
                <w:rStyle w:val="IndexLink"/>
              </w:rPr>
              <w:t>106</w:t>
            </w:r>
          </w:hyperlink>
        </w:p>
        <w:p>
          <w:pPr>
            <w:pStyle w:val="Contents5"/>
            <w:tabs>
              <w:tab w:val="clear" w:pos="7892"/>
              <w:tab w:val="right" w:pos="9026" w:leader="dot"/>
            </w:tabs>
            <w:rPr/>
          </w:pPr>
          <w:hyperlink w:anchor="__RefHeading___Toc3807409_1067777946">
            <w:r>
              <w:rPr>
                <w:webHidden/>
                <w:rStyle w:val="IndexLink"/>
                <w:rtl w:val="true"/>
              </w:rPr>
              <w:t>تغيير صفت در عين مهر و حصول طلاق قبل از دخول</w:t>
            </w:r>
            <w:r>
              <w:rPr>
                <w:rStyle w:val="IndexLink"/>
                <w:rtl w:val="true"/>
              </w:rPr>
              <w:tab/>
            </w:r>
            <w:r>
              <w:rPr>
                <w:rStyle w:val="IndexLink"/>
              </w:rPr>
              <w:t>106</w:t>
            </w:r>
          </w:hyperlink>
        </w:p>
        <w:p>
          <w:pPr>
            <w:pStyle w:val="Contents5"/>
            <w:tabs>
              <w:tab w:val="clear" w:pos="7892"/>
              <w:tab w:val="right" w:pos="9026" w:leader="dot"/>
            </w:tabs>
            <w:rPr/>
          </w:pPr>
          <w:hyperlink w:anchor="__RefHeading___Toc3807411_1067777946">
            <w:r>
              <w:rPr>
                <w:webHidden/>
                <w:rStyle w:val="IndexLink"/>
                <w:rtl w:val="true"/>
              </w:rPr>
              <w:t>جواز جمع بين نكاح و بيع</w:t>
            </w:r>
            <w:r>
              <w:rPr>
                <w:rStyle w:val="IndexLink"/>
                <w:rtl w:val="true"/>
              </w:rPr>
              <w:tab/>
            </w:r>
            <w:r>
              <w:rPr>
                <w:rStyle w:val="IndexLink"/>
              </w:rPr>
              <w:t>107</w:t>
            </w:r>
          </w:hyperlink>
        </w:p>
        <w:p>
          <w:pPr>
            <w:pStyle w:val="Contents5"/>
            <w:tabs>
              <w:tab w:val="clear" w:pos="7892"/>
              <w:tab w:val="right" w:pos="9026" w:leader="dot"/>
            </w:tabs>
            <w:rPr/>
          </w:pPr>
          <w:hyperlink w:anchor="__RefHeading___Toc3807413_1067777946">
            <w:r>
              <w:rPr>
                <w:webHidden/>
                <w:rStyle w:val="IndexLink"/>
                <w:rtl w:val="true"/>
              </w:rPr>
              <w:t>طلاق قبل از دخول بعد از امهار و عتق يا تدبير عبد</w:t>
            </w:r>
            <w:r>
              <w:rPr>
                <w:rStyle w:val="IndexLink"/>
                <w:rtl w:val="true"/>
              </w:rPr>
              <w:tab/>
            </w:r>
            <w:r>
              <w:rPr>
                <w:rStyle w:val="IndexLink"/>
              </w:rPr>
              <w:t>107</w:t>
            </w:r>
          </w:hyperlink>
        </w:p>
        <w:p>
          <w:pPr>
            <w:pStyle w:val="Contents5"/>
            <w:tabs>
              <w:tab w:val="clear" w:pos="7892"/>
              <w:tab w:val="right" w:pos="9026" w:leader="dot"/>
            </w:tabs>
            <w:rPr/>
          </w:pPr>
          <w:hyperlink w:anchor="__RefHeading___Toc3807415_1067777946">
            <w:r>
              <w:rPr>
                <w:webHidden/>
                <w:rStyle w:val="IndexLink"/>
                <w:rtl w:val="true"/>
              </w:rPr>
              <w:t>تزويج به كمتر يا بيشتر از مهر المثل توسط ولى</w:t>
            </w:r>
            <w:r>
              <w:rPr>
                <w:rStyle w:val="IndexLink"/>
                <w:rtl w:val="true"/>
              </w:rPr>
              <w:tab/>
            </w:r>
            <w:r>
              <w:rPr>
                <w:rStyle w:val="IndexLink"/>
              </w:rPr>
              <w:t>107</w:t>
            </w:r>
          </w:hyperlink>
        </w:p>
        <w:p>
          <w:pPr>
            <w:pStyle w:val="Contents5"/>
            <w:tabs>
              <w:tab w:val="clear" w:pos="7892"/>
              <w:tab w:val="right" w:pos="9026" w:leader="dot"/>
            </w:tabs>
            <w:rPr/>
          </w:pPr>
          <w:hyperlink w:anchor="__RefHeading___Toc3807417_1067777946">
            <w:r>
              <w:rPr>
                <w:webHidden/>
                <w:rStyle w:val="IndexLink"/>
                <w:rtl w:val="true"/>
              </w:rPr>
              <w:t>تلف غير معلوم الوزن و ابراء آن و فرض فساد مهر</w:t>
            </w:r>
            <w:r>
              <w:rPr>
                <w:rStyle w:val="IndexLink"/>
                <w:rtl w:val="true"/>
              </w:rPr>
              <w:tab/>
            </w:r>
            <w:r>
              <w:rPr>
                <w:rStyle w:val="IndexLink"/>
              </w:rPr>
              <w:t>108</w:t>
            </w:r>
          </w:hyperlink>
        </w:p>
        <w:p>
          <w:pPr>
            <w:pStyle w:val="Contents5"/>
            <w:tabs>
              <w:tab w:val="clear" w:pos="7892"/>
              <w:tab w:val="right" w:pos="9026" w:leader="dot"/>
            </w:tabs>
            <w:rPr/>
          </w:pPr>
          <w:hyperlink w:anchor="__RefHeading___Toc3807419_1067777946">
            <w:r>
              <w:rPr>
                <w:webHidden/>
                <w:rStyle w:val="IndexLink"/>
                <w:rtl w:val="true"/>
              </w:rPr>
              <w:t>حكم امهار براى صغير از مال ولى يا خودش</w:t>
            </w:r>
            <w:r>
              <w:rPr>
                <w:rStyle w:val="IndexLink"/>
                <w:rtl w:val="true"/>
              </w:rPr>
              <w:tab/>
            </w:r>
            <w:r>
              <w:rPr>
                <w:rStyle w:val="IndexLink"/>
              </w:rPr>
              <w:t>108</w:t>
            </w:r>
          </w:hyperlink>
        </w:p>
        <w:p>
          <w:pPr>
            <w:pStyle w:val="Contents5"/>
            <w:tabs>
              <w:tab w:val="clear" w:pos="7892"/>
              <w:tab w:val="right" w:pos="9026" w:leader="dot"/>
            </w:tabs>
            <w:rPr/>
          </w:pPr>
          <w:hyperlink w:anchor="__RefHeading___Toc3807421_1067777946">
            <w:r>
              <w:rPr>
                <w:webHidden/>
                <w:rStyle w:val="IndexLink"/>
                <w:rtl w:val="true"/>
              </w:rPr>
              <w:t>تبرّع مهر از صغير</w:t>
            </w:r>
            <w:r>
              <w:rPr>
                <w:rStyle w:val="IndexLink"/>
                <w:rtl w:val="true"/>
              </w:rPr>
              <w:tab/>
            </w:r>
            <w:r>
              <w:rPr>
                <w:rStyle w:val="IndexLink"/>
              </w:rPr>
              <w:t>109</w:t>
            </w:r>
          </w:hyperlink>
        </w:p>
        <w:p>
          <w:pPr>
            <w:pStyle w:val="Contents5"/>
            <w:tabs>
              <w:tab w:val="clear" w:pos="7892"/>
              <w:tab w:val="right" w:pos="9026" w:leader="dot"/>
            </w:tabs>
            <w:rPr/>
          </w:pPr>
          <w:hyperlink w:anchor="__RefHeading___Toc3807423_1067777946">
            <w:r>
              <w:rPr>
                <w:webHidden/>
                <w:rStyle w:val="IndexLink"/>
                <w:rtl w:val="true"/>
              </w:rPr>
              <w:t>طلاق قبل از دخول بعد از تبرّع مهر از ولد كبير توسط والد يا اجنبى</w:t>
            </w:r>
            <w:r>
              <w:rPr>
                <w:rStyle w:val="IndexLink"/>
                <w:rtl w:val="true"/>
              </w:rPr>
              <w:tab/>
            </w:r>
            <w:r>
              <w:rPr>
                <w:rStyle w:val="IndexLink"/>
              </w:rPr>
              <w:t>109</w:t>
            </w:r>
          </w:hyperlink>
        </w:p>
        <w:p>
          <w:pPr>
            <w:pStyle w:val="Contents4"/>
            <w:tabs>
              <w:tab w:val="clear" w:pos="8176"/>
              <w:tab w:val="right" w:pos="9026" w:leader="dot"/>
            </w:tabs>
            <w:rPr/>
          </w:pPr>
          <w:hyperlink w:anchor="__RefHeading___Toc3807425_1067777946">
            <w:r>
              <w:rPr>
                <w:webHidden/>
                <w:rStyle w:val="IndexLink"/>
                <w:rtl w:val="true"/>
              </w:rPr>
              <w:t>تنازع زوجين در مهر</w:t>
            </w:r>
            <w:r>
              <w:rPr>
                <w:rStyle w:val="IndexLink"/>
                <w:rtl w:val="true"/>
              </w:rPr>
              <w:tab/>
            </w:r>
            <w:r>
              <w:rPr>
                <w:rStyle w:val="IndexLink"/>
              </w:rPr>
              <w:t>109</w:t>
            </w:r>
          </w:hyperlink>
        </w:p>
        <w:p>
          <w:pPr>
            <w:pStyle w:val="Contents5"/>
            <w:tabs>
              <w:tab w:val="clear" w:pos="7892"/>
              <w:tab w:val="right" w:pos="9026" w:leader="dot"/>
            </w:tabs>
            <w:rPr/>
          </w:pPr>
          <w:hyperlink w:anchor="__RefHeading___Toc3807427_1067777946">
            <w:r>
              <w:rPr>
                <w:webHidden/>
                <w:rStyle w:val="IndexLink"/>
                <w:rtl w:val="true"/>
              </w:rPr>
              <w:t>اختلاف زوجين در اصل استحقاق مهر</w:t>
            </w:r>
            <w:r>
              <w:rPr>
                <w:rStyle w:val="IndexLink"/>
                <w:rtl w:val="true"/>
              </w:rPr>
              <w:tab/>
            </w:r>
            <w:r>
              <w:rPr>
                <w:rStyle w:val="IndexLink"/>
              </w:rPr>
              <w:t>109</w:t>
            </w:r>
          </w:hyperlink>
        </w:p>
        <w:p>
          <w:pPr>
            <w:pStyle w:val="Contents5"/>
            <w:tabs>
              <w:tab w:val="clear" w:pos="7892"/>
              <w:tab w:val="right" w:pos="9026" w:leader="dot"/>
            </w:tabs>
            <w:rPr/>
          </w:pPr>
          <w:hyperlink w:anchor="__RefHeading___Toc3807429_1067777946">
            <w:r>
              <w:rPr>
                <w:webHidden/>
                <w:rStyle w:val="IndexLink"/>
                <w:rtl w:val="true"/>
              </w:rPr>
              <w:t>اختلاف در وصول مهر</w:t>
            </w:r>
            <w:r>
              <w:rPr>
                <w:rStyle w:val="IndexLink"/>
                <w:rtl w:val="true"/>
              </w:rPr>
              <w:tab/>
            </w:r>
            <w:r>
              <w:rPr>
                <w:rStyle w:val="IndexLink"/>
              </w:rPr>
              <w:t>110</w:t>
            </w:r>
          </w:hyperlink>
        </w:p>
        <w:p>
          <w:pPr>
            <w:pStyle w:val="Contents5"/>
            <w:tabs>
              <w:tab w:val="clear" w:pos="7892"/>
              <w:tab w:val="right" w:pos="9026" w:leader="dot"/>
            </w:tabs>
            <w:rPr/>
          </w:pPr>
          <w:hyperlink w:anchor="__RefHeading___Toc3807431_1067777946">
            <w:r>
              <w:rPr>
                <w:webHidden/>
                <w:rStyle w:val="IndexLink"/>
                <w:rtl w:val="true"/>
              </w:rPr>
              <w:t>اختلاف در مقدار، وصف و تأجيل</w:t>
            </w:r>
            <w:r>
              <w:rPr>
                <w:rStyle w:val="IndexLink"/>
                <w:rtl w:val="true"/>
              </w:rPr>
              <w:tab/>
            </w:r>
            <w:r>
              <w:rPr>
                <w:rStyle w:val="IndexLink"/>
              </w:rPr>
              <w:t>110</w:t>
            </w:r>
          </w:hyperlink>
        </w:p>
        <w:p>
          <w:pPr>
            <w:pStyle w:val="Contents5"/>
            <w:tabs>
              <w:tab w:val="clear" w:pos="7892"/>
              <w:tab w:val="right" w:pos="9026" w:leader="dot"/>
            </w:tabs>
            <w:rPr/>
          </w:pPr>
          <w:hyperlink w:anchor="__RefHeading___Toc3807433_1067777946">
            <w:r>
              <w:rPr>
                <w:webHidden/>
                <w:rStyle w:val="IndexLink"/>
                <w:rtl w:val="true"/>
              </w:rPr>
              <w:t>اختلاف در دو وصف مباين</w:t>
            </w:r>
            <w:r>
              <w:rPr>
                <w:rStyle w:val="IndexLink"/>
                <w:rtl w:val="true"/>
              </w:rPr>
              <w:tab/>
            </w:r>
            <w:r>
              <w:rPr>
                <w:rStyle w:val="IndexLink"/>
              </w:rPr>
              <w:t>110</w:t>
            </w:r>
          </w:hyperlink>
        </w:p>
        <w:p>
          <w:pPr>
            <w:pStyle w:val="Contents5"/>
            <w:tabs>
              <w:tab w:val="clear" w:pos="7892"/>
              <w:tab w:val="right" w:pos="9026" w:leader="dot"/>
            </w:tabs>
            <w:rPr/>
          </w:pPr>
          <w:hyperlink w:anchor="__RefHeading___Toc3807435_1067777946">
            <w:r>
              <w:rPr>
                <w:webHidden/>
                <w:rStyle w:val="IndexLink"/>
                <w:rtl w:val="true"/>
              </w:rPr>
              <w:t>اختلاف در تسليم مهر</w:t>
            </w:r>
            <w:r>
              <w:rPr>
                <w:rStyle w:val="IndexLink"/>
                <w:rtl w:val="true"/>
              </w:rPr>
              <w:tab/>
            </w:r>
            <w:r>
              <w:rPr>
                <w:rStyle w:val="IndexLink"/>
              </w:rPr>
              <w:t>111</w:t>
            </w:r>
          </w:hyperlink>
        </w:p>
        <w:p>
          <w:pPr>
            <w:pStyle w:val="Contents5"/>
            <w:tabs>
              <w:tab w:val="clear" w:pos="7892"/>
              <w:tab w:val="right" w:pos="9026" w:leader="dot"/>
            </w:tabs>
            <w:rPr/>
          </w:pPr>
          <w:hyperlink w:anchor="__RefHeading___Toc3807437_1067777946">
            <w:r>
              <w:rPr>
                <w:webHidden/>
                <w:rStyle w:val="IndexLink"/>
                <w:rtl w:val="true"/>
              </w:rPr>
              <w:t>تسلّم بر دفع و اختلاف به عنوان هبه يا صداق</w:t>
            </w:r>
            <w:r>
              <w:rPr>
                <w:rStyle w:val="IndexLink"/>
                <w:rtl w:val="true"/>
              </w:rPr>
              <w:tab/>
            </w:r>
            <w:r>
              <w:rPr>
                <w:rStyle w:val="IndexLink"/>
              </w:rPr>
              <w:t>111</w:t>
            </w:r>
          </w:hyperlink>
        </w:p>
        <w:p>
          <w:pPr>
            <w:pStyle w:val="Contents5"/>
            <w:tabs>
              <w:tab w:val="clear" w:pos="7892"/>
              <w:tab w:val="right" w:pos="9026" w:leader="dot"/>
            </w:tabs>
            <w:rPr/>
          </w:pPr>
          <w:hyperlink w:anchor="__RefHeading___Toc3807439_1067777946">
            <w:r>
              <w:rPr>
                <w:webHidden/>
                <w:rStyle w:val="IndexLink"/>
                <w:rtl w:val="true"/>
              </w:rPr>
              <w:t>ادّعاى مواقعه توسط زوجه و انكار زوج</w:t>
            </w:r>
            <w:r>
              <w:rPr>
                <w:rStyle w:val="IndexLink"/>
                <w:rtl w:val="true"/>
              </w:rPr>
              <w:tab/>
            </w:r>
            <w:r>
              <w:rPr>
                <w:rStyle w:val="IndexLink"/>
              </w:rPr>
              <w:t>111</w:t>
            </w:r>
          </w:hyperlink>
        </w:p>
        <w:p>
          <w:pPr>
            <w:pStyle w:val="Contents5"/>
            <w:tabs>
              <w:tab w:val="clear" w:pos="7892"/>
              <w:tab w:val="right" w:pos="9026" w:leader="dot"/>
            </w:tabs>
            <w:rPr/>
          </w:pPr>
          <w:hyperlink w:anchor="__RefHeading___Toc3807441_1067777946">
            <w:r>
              <w:rPr>
                <w:webHidden/>
                <w:rStyle w:val="IndexLink"/>
                <w:rtl w:val="true"/>
              </w:rPr>
              <w:t>صداق بودن سوره</w:t>
            </w:r>
            <w:r>
              <w:rPr>
                <w:rStyle w:val="IndexLink"/>
                <w:rtl w:val="true"/>
              </w:rPr>
              <w:tab/>
            </w:r>
            <w:r>
              <w:rPr>
                <w:rStyle w:val="IndexLink"/>
              </w:rPr>
              <w:t>112</w:t>
            </w:r>
          </w:hyperlink>
        </w:p>
        <w:p>
          <w:pPr>
            <w:pStyle w:val="Contents3"/>
            <w:tabs>
              <w:tab w:val="clear" w:pos="8459"/>
              <w:tab w:val="right" w:pos="9026" w:leader="dot"/>
            </w:tabs>
            <w:rPr/>
          </w:pPr>
          <w:hyperlink w:anchor="__RefHeading___Toc3807443_1067777946">
            <w:r>
              <w:rPr>
                <w:webHidden/>
                <w:rStyle w:val="IndexLink"/>
                <w:rtl w:val="true"/>
              </w:rPr>
              <w:t>فصل نهم حق قَسم و ساير حقوق زوجين</w:t>
            </w:r>
            <w:r>
              <w:rPr>
                <w:rStyle w:val="IndexLink"/>
                <w:rtl w:val="true"/>
              </w:rPr>
              <w:tab/>
            </w:r>
            <w:r>
              <w:rPr>
                <w:rStyle w:val="IndexLink"/>
              </w:rPr>
              <w:t>113</w:t>
            </w:r>
          </w:hyperlink>
        </w:p>
        <w:p>
          <w:pPr>
            <w:pStyle w:val="Contents4"/>
            <w:tabs>
              <w:tab w:val="clear" w:pos="8176"/>
              <w:tab w:val="right" w:pos="9026" w:leader="dot"/>
            </w:tabs>
            <w:rPr/>
          </w:pPr>
          <w:hyperlink w:anchor="__RefHeading___Toc3807445_1067777946">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3807447_1067777946">
            <w:r>
              <w:rPr>
                <w:webHidden/>
                <w:rStyle w:val="IndexLink"/>
                <w:rtl w:val="true"/>
              </w:rPr>
              <w:t>عدم تلازم اسقاط حق يكى با اسقاط حق ديگرى</w:t>
            </w:r>
            <w:r>
              <w:rPr>
                <w:rStyle w:val="IndexLink"/>
                <w:rtl w:val="true"/>
              </w:rPr>
              <w:tab/>
            </w:r>
            <w:r>
              <w:rPr>
                <w:rStyle w:val="IndexLink"/>
              </w:rPr>
              <w:t>113</w:t>
            </w:r>
          </w:hyperlink>
        </w:p>
        <w:p>
          <w:pPr>
            <w:pStyle w:val="Contents4"/>
            <w:tabs>
              <w:tab w:val="clear" w:pos="8176"/>
              <w:tab w:val="right" w:pos="9026" w:leader="dot"/>
            </w:tabs>
            <w:rPr/>
          </w:pPr>
          <w:hyperlink w:anchor="__RefHeading___Toc3807449_1067777946">
            <w:r>
              <w:rPr>
                <w:webHidden/>
                <w:rStyle w:val="IndexLink"/>
                <w:rtl w:val="true"/>
              </w:rPr>
              <w:t>فرض جنون و تكفّل قسمت توسط ولى</w:t>
            </w:r>
            <w:r>
              <w:rPr>
                <w:rStyle w:val="IndexLink"/>
                <w:rtl w:val="true"/>
              </w:rPr>
              <w:tab/>
            </w:r>
            <w:r>
              <w:rPr>
                <w:rStyle w:val="IndexLink"/>
              </w:rPr>
              <w:t>113</w:t>
            </w:r>
          </w:hyperlink>
        </w:p>
        <w:p>
          <w:pPr>
            <w:pStyle w:val="Contents4"/>
            <w:tabs>
              <w:tab w:val="clear" w:pos="8176"/>
              <w:tab w:val="right" w:pos="9026" w:leader="dot"/>
            </w:tabs>
            <w:rPr/>
          </w:pPr>
          <w:hyperlink w:anchor="__RefHeading___Toc3807451_1067777946">
            <w:r>
              <w:rPr>
                <w:webHidden/>
                <w:rStyle w:val="IndexLink"/>
                <w:rtl w:val="true"/>
              </w:rPr>
              <w:t>قابليت حق براى قضا</w:t>
            </w:r>
            <w:r>
              <w:rPr>
                <w:rStyle w:val="IndexLink"/>
                <w:rtl w:val="true"/>
              </w:rPr>
              <w:tab/>
            </w:r>
            <w:r>
              <w:rPr>
                <w:rStyle w:val="IndexLink"/>
              </w:rPr>
              <w:t>113</w:t>
            </w:r>
          </w:hyperlink>
        </w:p>
        <w:p>
          <w:pPr>
            <w:pStyle w:val="Contents4"/>
            <w:tabs>
              <w:tab w:val="clear" w:pos="8176"/>
              <w:tab w:val="right" w:pos="9026" w:leader="dot"/>
            </w:tabs>
            <w:rPr/>
          </w:pPr>
          <w:hyperlink w:anchor="__RefHeading___Toc3807453_1067777946">
            <w:r>
              <w:rPr>
                <w:webHidden/>
                <w:rStyle w:val="IndexLink"/>
                <w:rtl w:val="true"/>
              </w:rPr>
              <w:t>فرض خوف از مجنونه</w:t>
            </w:r>
            <w:r>
              <w:rPr>
                <w:rStyle w:val="IndexLink"/>
                <w:rtl w:val="true"/>
              </w:rPr>
              <w:tab/>
            </w:r>
            <w:r>
              <w:rPr>
                <w:rStyle w:val="IndexLink"/>
              </w:rPr>
              <w:t>114</w:t>
            </w:r>
          </w:hyperlink>
        </w:p>
        <w:p>
          <w:pPr>
            <w:pStyle w:val="Contents4"/>
            <w:tabs>
              <w:tab w:val="clear" w:pos="8176"/>
              <w:tab w:val="right" w:pos="9026" w:leader="dot"/>
            </w:tabs>
            <w:rPr/>
          </w:pPr>
          <w:hyperlink w:anchor="__RefHeading___Toc3807455_1067777946">
            <w:r>
              <w:rPr>
                <w:webHidden/>
                <w:rStyle w:val="IndexLink"/>
                <w:rtl w:val="true"/>
              </w:rPr>
              <w:t>وجوبى بودن حق قسمت و عدم آن</w:t>
            </w:r>
            <w:r>
              <w:rPr>
                <w:rStyle w:val="IndexLink"/>
                <w:rtl w:val="true"/>
              </w:rPr>
              <w:tab/>
            </w:r>
            <w:r>
              <w:rPr>
                <w:rStyle w:val="IndexLink"/>
              </w:rPr>
              <w:t>114</w:t>
            </w:r>
          </w:hyperlink>
        </w:p>
        <w:p>
          <w:pPr>
            <w:pStyle w:val="Contents4"/>
            <w:tabs>
              <w:tab w:val="clear" w:pos="8176"/>
              <w:tab w:val="right" w:pos="9026" w:leader="dot"/>
            </w:tabs>
            <w:rPr/>
          </w:pPr>
          <w:hyperlink w:anchor="__RefHeading___Toc3807457_1067777946">
            <w:r>
              <w:rPr>
                <w:webHidden/>
                <w:rStyle w:val="IndexLink"/>
                <w:rtl w:val="true"/>
              </w:rPr>
              <w:t>متعلَّقِ حقّ قَسم</w:t>
            </w:r>
            <w:r>
              <w:rPr>
                <w:rStyle w:val="IndexLink"/>
                <w:rtl w:val="true"/>
              </w:rPr>
              <w:tab/>
            </w:r>
            <w:r>
              <w:rPr>
                <w:rStyle w:val="IndexLink"/>
              </w:rPr>
              <w:t>114</w:t>
            </w:r>
          </w:hyperlink>
        </w:p>
        <w:p>
          <w:pPr>
            <w:pStyle w:val="Contents4"/>
            <w:tabs>
              <w:tab w:val="clear" w:pos="8176"/>
              <w:tab w:val="right" w:pos="9026" w:leader="dot"/>
            </w:tabs>
            <w:rPr/>
          </w:pPr>
          <w:hyperlink w:anchor="__RefHeading___Toc3807459_1067777946">
            <w:r>
              <w:rPr>
                <w:webHidden/>
                <w:rStyle w:val="IndexLink"/>
                <w:rtl w:val="true"/>
              </w:rPr>
              <w:t>قرعه براى تعيين در ابتداى شروع به قسمت</w:t>
            </w:r>
            <w:r>
              <w:rPr>
                <w:rStyle w:val="IndexLink"/>
                <w:rtl w:val="true"/>
              </w:rPr>
              <w:tab/>
            </w:r>
            <w:r>
              <w:rPr>
                <w:rStyle w:val="IndexLink"/>
              </w:rPr>
              <w:t>115</w:t>
            </w:r>
          </w:hyperlink>
        </w:p>
        <w:p>
          <w:pPr>
            <w:pStyle w:val="Contents4"/>
            <w:tabs>
              <w:tab w:val="clear" w:pos="8176"/>
              <w:tab w:val="right" w:pos="9026" w:leader="dot"/>
            </w:tabs>
            <w:rPr/>
          </w:pPr>
          <w:hyperlink w:anchor="__RefHeading___Toc3807461_1067777946">
            <w:r>
              <w:rPr>
                <w:webHidden/>
                <w:rStyle w:val="IndexLink"/>
                <w:rtl w:val="true"/>
              </w:rPr>
              <w:t>واجب در قسمت، مضاجعۀ متعارفه در شب</w:t>
            </w:r>
            <w:r>
              <w:rPr>
                <w:rStyle w:val="IndexLink"/>
                <w:rtl w:val="true"/>
              </w:rPr>
              <w:tab/>
            </w:r>
            <w:r>
              <w:rPr>
                <w:rStyle w:val="IndexLink"/>
              </w:rPr>
              <w:t>115</w:t>
            </w:r>
          </w:hyperlink>
        </w:p>
        <w:p>
          <w:pPr>
            <w:pStyle w:val="Contents4"/>
            <w:tabs>
              <w:tab w:val="clear" w:pos="8176"/>
              <w:tab w:val="right" w:pos="9026" w:leader="dot"/>
            </w:tabs>
            <w:rPr/>
          </w:pPr>
          <w:hyperlink w:anchor="__RefHeading___Toc3807463_1067777946">
            <w:r>
              <w:rPr>
                <w:webHidden/>
                <w:rStyle w:val="IndexLink"/>
                <w:rtl w:val="true"/>
              </w:rPr>
              <w:t>وجوب بيتوتۀ متعارفه</w:t>
            </w:r>
            <w:r>
              <w:rPr>
                <w:rStyle w:val="IndexLink"/>
                <w:rtl w:val="true"/>
              </w:rPr>
              <w:tab/>
            </w:r>
            <w:r>
              <w:rPr>
                <w:rStyle w:val="IndexLink"/>
              </w:rPr>
              <w:t>116</w:t>
            </w:r>
          </w:hyperlink>
        </w:p>
        <w:p>
          <w:pPr>
            <w:pStyle w:val="Contents4"/>
            <w:tabs>
              <w:tab w:val="clear" w:pos="8176"/>
              <w:tab w:val="right" w:pos="9026" w:leader="dot"/>
            </w:tabs>
            <w:rPr/>
          </w:pPr>
          <w:hyperlink w:anchor="__RefHeading___Toc3807465_1067777946">
            <w:r>
              <w:rPr>
                <w:webHidden/>
                <w:rStyle w:val="IndexLink"/>
                <w:rtl w:val="true"/>
              </w:rPr>
              <w:t>افرادى كه شغل آنها در شب است</w:t>
            </w:r>
            <w:r>
              <w:rPr>
                <w:rStyle w:val="IndexLink"/>
                <w:rtl w:val="true"/>
              </w:rPr>
              <w:tab/>
            </w:r>
            <w:r>
              <w:rPr>
                <w:rStyle w:val="IndexLink"/>
              </w:rPr>
              <w:t>116</w:t>
            </w:r>
          </w:hyperlink>
        </w:p>
        <w:p>
          <w:pPr>
            <w:pStyle w:val="Contents4"/>
            <w:tabs>
              <w:tab w:val="clear" w:pos="8176"/>
              <w:tab w:val="right" w:pos="9026" w:leader="dot"/>
            </w:tabs>
            <w:rPr/>
          </w:pPr>
          <w:hyperlink w:anchor="__RefHeading___Toc3807467_1067777946">
            <w:r>
              <w:rPr>
                <w:webHidden/>
                <w:rStyle w:val="IndexLink"/>
                <w:rtl w:val="true"/>
              </w:rPr>
              <w:t>قسمت بين حرّه و مملوكه</w:t>
            </w:r>
            <w:r>
              <w:rPr>
                <w:rStyle w:val="IndexLink"/>
                <w:rtl w:val="true"/>
              </w:rPr>
              <w:tab/>
            </w:r>
            <w:r>
              <w:rPr>
                <w:rStyle w:val="IndexLink"/>
              </w:rPr>
              <w:t>116</w:t>
            </w:r>
          </w:hyperlink>
        </w:p>
        <w:p>
          <w:pPr>
            <w:pStyle w:val="Contents4"/>
            <w:tabs>
              <w:tab w:val="clear" w:pos="8176"/>
              <w:tab w:val="right" w:pos="9026" w:leader="dot"/>
            </w:tabs>
            <w:rPr/>
          </w:pPr>
          <w:hyperlink w:anchor="__RefHeading___Toc3807469_1067777946">
            <w:r>
              <w:rPr>
                <w:webHidden/>
                <w:rStyle w:val="IndexLink"/>
                <w:rtl w:val="true"/>
              </w:rPr>
              <w:t>گونه هاى مختلف تحقق حق</w:t>
            </w:r>
            <w:r>
              <w:rPr>
                <w:rStyle w:val="IndexLink"/>
                <w:rtl w:val="true"/>
              </w:rPr>
              <w:tab/>
            </w:r>
            <w:r>
              <w:rPr>
                <w:rStyle w:val="IndexLink"/>
              </w:rPr>
              <w:t>117</w:t>
            </w:r>
          </w:hyperlink>
        </w:p>
        <w:p>
          <w:pPr>
            <w:pStyle w:val="Contents4"/>
            <w:tabs>
              <w:tab w:val="clear" w:pos="8176"/>
              <w:tab w:val="right" w:pos="9026" w:leader="dot"/>
            </w:tabs>
            <w:rPr/>
          </w:pPr>
          <w:hyperlink w:anchor="__RefHeading___Toc3807471_1067777946">
            <w:r>
              <w:rPr>
                <w:webHidden/>
                <w:rStyle w:val="IndexLink"/>
                <w:rtl w:val="true"/>
              </w:rPr>
              <w:t>استحقاق مبيت خصوصى براى زفاف بكر و ثيّب</w:t>
            </w:r>
            <w:r>
              <w:rPr>
                <w:rStyle w:val="IndexLink"/>
                <w:rtl w:val="true"/>
              </w:rPr>
              <w:tab/>
            </w:r>
            <w:r>
              <w:rPr>
                <w:rStyle w:val="IndexLink"/>
              </w:rPr>
              <w:t>118</w:t>
            </w:r>
          </w:hyperlink>
        </w:p>
        <w:p>
          <w:pPr>
            <w:pStyle w:val="Contents4"/>
            <w:tabs>
              <w:tab w:val="clear" w:pos="8176"/>
              <w:tab w:val="right" w:pos="9026" w:leader="dot"/>
            </w:tabs>
            <w:rPr/>
          </w:pPr>
          <w:hyperlink w:anchor="__RefHeading___Toc3807473_1067777946">
            <w:r>
              <w:rPr>
                <w:webHidden/>
                <w:rStyle w:val="IndexLink"/>
                <w:rtl w:val="true"/>
              </w:rPr>
              <w:t>اعتبار موالات در شبهاى اختصاصى به بكر يا ثيّب</w:t>
            </w:r>
            <w:r>
              <w:rPr>
                <w:rStyle w:val="IndexLink"/>
                <w:rtl w:val="true"/>
              </w:rPr>
              <w:tab/>
            </w:r>
            <w:r>
              <w:rPr>
                <w:rStyle w:val="IndexLink"/>
              </w:rPr>
              <w:t>118</w:t>
            </w:r>
          </w:hyperlink>
        </w:p>
        <w:p>
          <w:pPr>
            <w:pStyle w:val="Contents4"/>
            <w:tabs>
              <w:tab w:val="clear" w:pos="8176"/>
              <w:tab w:val="right" w:pos="9026" w:leader="dot"/>
            </w:tabs>
            <w:rPr/>
          </w:pPr>
          <w:hyperlink w:anchor="__RefHeading___Toc3807475_1067777946">
            <w:r>
              <w:rPr>
                <w:webHidden/>
                <w:rStyle w:val="IndexLink"/>
                <w:rtl w:val="true"/>
              </w:rPr>
              <w:t>ديگر احكام شبهاى اختصاصى</w:t>
            </w:r>
            <w:r>
              <w:rPr>
                <w:rStyle w:val="IndexLink"/>
                <w:rtl w:val="true"/>
              </w:rPr>
              <w:tab/>
            </w:r>
            <w:r>
              <w:rPr>
                <w:rStyle w:val="IndexLink"/>
              </w:rPr>
              <w:t>118</w:t>
            </w:r>
          </w:hyperlink>
        </w:p>
        <w:p>
          <w:pPr>
            <w:pStyle w:val="Contents4"/>
            <w:tabs>
              <w:tab w:val="clear" w:pos="8176"/>
              <w:tab w:val="right" w:pos="9026" w:leader="dot"/>
            </w:tabs>
            <w:rPr/>
          </w:pPr>
          <w:hyperlink w:anchor="__RefHeading___Toc3807477_1067777946">
            <w:r>
              <w:rPr>
                <w:webHidden/>
                <w:rStyle w:val="IndexLink"/>
                <w:rtl w:val="true"/>
              </w:rPr>
              <w:t>سقوط قسمت به سفر و مراعات عدل در صورت مصاحبت زنها در سفر</w:t>
            </w:r>
            <w:r>
              <w:rPr>
                <w:rStyle w:val="IndexLink"/>
                <w:rtl w:val="true"/>
              </w:rPr>
              <w:tab/>
            </w:r>
            <w:r>
              <w:rPr>
                <w:rStyle w:val="IndexLink"/>
              </w:rPr>
              <w:t>119</w:t>
            </w:r>
          </w:hyperlink>
        </w:p>
        <w:p>
          <w:pPr>
            <w:pStyle w:val="Contents4"/>
            <w:tabs>
              <w:tab w:val="clear" w:pos="8176"/>
              <w:tab w:val="right" w:pos="9026" w:leader="dot"/>
            </w:tabs>
            <w:rPr/>
          </w:pPr>
          <w:hyperlink w:anchor="__RefHeading___Toc3807479_1067777946">
            <w:r>
              <w:rPr>
                <w:webHidden/>
                <w:rStyle w:val="IndexLink"/>
                <w:rtl w:val="true"/>
              </w:rPr>
              <w:t>قسمت امۀ مزوّجه</w:t>
            </w:r>
            <w:r>
              <w:rPr>
                <w:rStyle w:val="IndexLink"/>
                <w:rtl w:val="true"/>
              </w:rPr>
              <w:tab/>
            </w:r>
            <w:r>
              <w:rPr>
                <w:rStyle w:val="IndexLink"/>
              </w:rPr>
              <w:t>120</w:t>
            </w:r>
          </w:hyperlink>
        </w:p>
        <w:p>
          <w:pPr>
            <w:pStyle w:val="Contents4"/>
            <w:tabs>
              <w:tab w:val="clear" w:pos="8176"/>
              <w:tab w:val="right" w:pos="9026" w:leader="dot"/>
            </w:tabs>
            <w:rPr/>
          </w:pPr>
          <w:hyperlink w:anchor="__RefHeading___Toc3807481_1067777946">
            <w:r>
              <w:rPr>
                <w:webHidden/>
                <w:rStyle w:val="IndexLink"/>
                <w:rtl w:val="true"/>
              </w:rPr>
              <w:t>استحباب تسويه بين زنها در غير واجبات</w:t>
            </w:r>
            <w:r>
              <w:rPr>
                <w:rStyle w:val="IndexLink"/>
                <w:rtl w:val="true"/>
              </w:rPr>
              <w:tab/>
            </w:r>
            <w:r>
              <w:rPr>
                <w:rStyle w:val="IndexLink"/>
              </w:rPr>
              <w:t>120</w:t>
            </w:r>
          </w:hyperlink>
        </w:p>
        <w:p>
          <w:pPr>
            <w:pStyle w:val="Contents4"/>
            <w:tabs>
              <w:tab w:val="clear" w:pos="8176"/>
              <w:tab w:val="right" w:pos="9026" w:leader="dot"/>
            </w:tabs>
            <w:rPr/>
          </w:pPr>
          <w:hyperlink w:anchor="__RefHeading___Toc3807483_1067777946">
            <w:r>
              <w:rPr>
                <w:webHidden/>
                <w:rStyle w:val="IndexLink"/>
                <w:rtl w:val="true"/>
              </w:rPr>
              <w:t>هبه يا اسقاط قسمت</w:t>
            </w:r>
            <w:r>
              <w:rPr>
                <w:rStyle w:val="IndexLink"/>
                <w:rtl w:val="true"/>
              </w:rPr>
              <w:tab/>
            </w:r>
            <w:r>
              <w:rPr>
                <w:rStyle w:val="IndexLink"/>
              </w:rPr>
              <w:t>120</w:t>
            </w:r>
          </w:hyperlink>
        </w:p>
        <w:p>
          <w:pPr>
            <w:pStyle w:val="Contents4"/>
            <w:tabs>
              <w:tab w:val="clear" w:pos="8176"/>
              <w:tab w:val="right" w:pos="9026" w:leader="dot"/>
            </w:tabs>
            <w:rPr/>
          </w:pPr>
          <w:hyperlink w:anchor="__RefHeading___Toc3807485_1067777946">
            <w:r>
              <w:rPr>
                <w:webHidden/>
                <w:rStyle w:val="IndexLink"/>
                <w:rtl w:val="true"/>
              </w:rPr>
              <w:t>رجوع از هبه</w:t>
            </w:r>
            <w:r>
              <w:rPr>
                <w:rStyle w:val="IndexLink"/>
                <w:rtl w:val="true"/>
              </w:rPr>
              <w:tab/>
            </w:r>
            <w:r>
              <w:rPr>
                <w:rStyle w:val="IndexLink"/>
              </w:rPr>
              <w:t>121</w:t>
            </w:r>
          </w:hyperlink>
        </w:p>
        <w:p>
          <w:pPr>
            <w:pStyle w:val="Contents4"/>
            <w:tabs>
              <w:tab w:val="clear" w:pos="8176"/>
              <w:tab w:val="right" w:pos="9026" w:leader="dot"/>
            </w:tabs>
            <w:rPr/>
          </w:pPr>
          <w:hyperlink w:anchor="__RefHeading___Toc3807487_1067777946">
            <w:r>
              <w:rPr>
                <w:webHidden/>
                <w:rStyle w:val="IndexLink"/>
                <w:rtl w:val="true"/>
              </w:rPr>
              <w:t>صلح قسمت</w:t>
            </w:r>
            <w:r>
              <w:rPr>
                <w:rStyle w:val="IndexLink"/>
                <w:rtl w:val="true"/>
              </w:rPr>
              <w:tab/>
            </w:r>
            <w:r>
              <w:rPr>
                <w:rStyle w:val="IndexLink"/>
              </w:rPr>
              <w:t>121</w:t>
            </w:r>
          </w:hyperlink>
        </w:p>
        <w:p>
          <w:pPr>
            <w:pStyle w:val="Contents4"/>
            <w:tabs>
              <w:tab w:val="clear" w:pos="8176"/>
              <w:tab w:val="right" w:pos="9026" w:leader="dot"/>
            </w:tabs>
            <w:rPr/>
          </w:pPr>
          <w:hyperlink w:anchor="__RefHeading___Toc3807489_1067777946">
            <w:r>
              <w:rPr>
                <w:webHidden/>
                <w:rStyle w:val="IndexLink"/>
                <w:rtl w:val="true"/>
              </w:rPr>
              <w:t>عدم ثبوت قسمت براى ناشزه و بعض اقسام صغيره و مجنونه</w:t>
            </w:r>
            <w:r>
              <w:rPr>
                <w:rStyle w:val="IndexLink"/>
                <w:rtl w:val="true"/>
              </w:rPr>
              <w:tab/>
            </w:r>
            <w:r>
              <w:rPr>
                <w:rStyle w:val="IndexLink"/>
              </w:rPr>
              <w:t>122</w:t>
            </w:r>
          </w:hyperlink>
        </w:p>
        <w:p>
          <w:pPr>
            <w:pStyle w:val="Contents4"/>
            <w:tabs>
              <w:tab w:val="clear" w:pos="8176"/>
              <w:tab w:val="right" w:pos="9026" w:leader="dot"/>
            </w:tabs>
            <w:rPr/>
          </w:pPr>
          <w:hyperlink w:anchor="__RefHeading___Toc3807491_1067777946">
            <w:r>
              <w:rPr>
                <w:webHidden/>
                <w:rStyle w:val="IndexLink"/>
                <w:rtl w:val="true"/>
              </w:rPr>
              <w:t>ناشزه بودن مسافرۀ بدون اذن و ضرورت</w:t>
            </w:r>
            <w:r>
              <w:rPr>
                <w:rStyle w:val="IndexLink"/>
                <w:rtl w:val="true"/>
              </w:rPr>
              <w:tab/>
            </w:r>
            <w:r>
              <w:rPr>
                <w:rStyle w:val="IndexLink"/>
              </w:rPr>
              <w:t>122</w:t>
            </w:r>
          </w:hyperlink>
        </w:p>
        <w:p>
          <w:pPr>
            <w:pStyle w:val="Contents4"/>
            <w:tabs>
              <w:tab w:val="clear" w:pos="8176"/>
              <w:tab w:val="right" w:pos="9026" w:leader="dot"/>
            </w:tabs>
            <w:rPr/>
          </w:pPr>
          <w:hyperlink w:anchor="__RefHeading___Toc3807493_1067777946">
            <w:r>
              <w:rPr>
                <w:webHidden/>
                <w:rStyle w:val="IndexLink"/>
                <w:rtl w:val="true"/>
              </w:rPr>
              <w:t>جواز زيارت ضرّه در ليلۀ ديگرى</w:t>
            </w:r>
            <w:r>
              <w:rPr>
                <w:rStyle w:val="IndexLink"/>
                <w:rtl w:val="true"/>
              </w:rPr>
              <w:tab/>
            </w:r>
            <w:r>
              <w:rPr>
                <w:rStyle w:val="IndexLink"/>
              </w:rPr>
              <w:t>122</w:t>
            </w:r>
          </w:hyperlink>
        </w:p>
        <w:p>
          <w:pPr>
            <w:pStyle w:val="Contents4"/>
            <w:tabs>
              <w:tab w:val="clear" w:pos="8176"/>
              <w:tab w:val="right" w:pos="9026" w:leader="dot"/>
            </w:tabs>
            <w:rPr/>
          </w:pPr>
          <w:hyperlink w:anchor="__RefHeading___Toc3807495_1067777946">
            <w:r>
              <w:rPr>
                <w:webHidden/>
                <w:rStyle w:val="IndexLink"/>
                <w:rtl w:val="true"/>
              </w:rPr>
              <w:t>قضا براى مريضه و غير</w:t>
            </w:r>
            <w:r>
              <w:rPr>
                <w:rStyle w:val="IndexLink"/>
                <w:rtl w:val="true"/>
              </w:rPr>
              <w:tab/>
            </w:r>
            <w:r>
              <w:rPr>
                <w:rStyle w:val="IndexLink"/>
              </w:rPr>
              <w:t>122</w:t>
            </w:r>
          </w:hyperlink>
        </w:p>
        <w:p>
          <w:pPr>
            <w:pStyle w:val="Contents4"/>
            <w:tabs>
              <w:tab w:val="clear" w:pos="8176"/>
              <w:tab w:val="right" w:pos="9026" w:leader="dot"/>
            </w:tabs>
            <w:rPr/>
          </w:pPr>
          <w:hyperlink w:anchor="__RefHeading___Toc3807497_1067777946">
            <w:r>
              <w:rPr>
                <w:webHidden/>
                <w:rStyle w:val="IndexLink"/>
                <w:rtl w:val="true"/>
              </w:rPr>
              <w:t>جور در قسمت</w:t>
            </w:r>
            <w:r>
              <w:rPr>
                <w:rStyle w:val="IndexLink"/>
                <w:rtl w:val="true"/>
              </w:rPr>
              <w:tab/>
            </w:r>
            <w:r>
              <w:rPr>
                <w:rStyle w:val="IndexLink"/>
              </w:rPr>
              <w:t>123</w:t>
            </w:r>
          </w:hyperlink>
        </w:p>
        <w:p>
          <w:pPr>
            <w:pStyle w:val="Contents4"/>
            <w:tabs>
              <w:tab w:val="clear" w:pos="8176"/>
              <w:tab w:val="right" w:pos="9026" w:leader="dot"/>
            </w:tabs>
            <w:rPr/>
          </w:pPr>
          <w:hyperlink w:anchor="__RefHeading___Toc3807499_1067777946">
            <w:r>
              <w:rPr>
                <w:webHidden/>
                <w:rStyle w:val="IndexLink"/>
                <w:rtl w:val="true"/>
              </w:rPr>
              <w:t>حق ناشزه</w:t>
            </w:r>
            <w:r>
              <w:rPr>
                <w:rStyle w:val="IndexLink"/>
                <w:rtl w:val="true"/>
              </w:rPr>
              <w:tab/>
            </w:r>
            <w:r>
              <w:rPr>
                <w:rStyle w:val="IndexLink"/>
              </w:rPr>
              <w:t>123</w:t>
            </w:r>
          </w:hyperlink>
        </w:p>
        <w:p>
          <w:pPr>
            <w:pStyle w:val="Contents4"/>
            <w:tabs>
              <w:tab w:val="clear" w:pos="8176"/>
              <w:tab w:val="right" w:pos="9026" w:leader="dot"/>
            </w:tabs>
            <w:rPr/>
          </w:pPr>
          <w:hyperlink w:anchor="__RefHeading___Toc3807501_1067777946">
            <w:r>
              <w:rPr>
                <w:webHidden/>
                <w:rStyle w:val="IndexLink"/>
                <w:rtl w:val="true"/>
              </w:rPr>
              <w:t>طلاق يكى از اربعه بعد از دخول ليلۀ او</w:t>
            </w:r>
            <w:r>
              <w:rPr>
                <w:rStyle w:val="IndexLink"/>
                <w:rtl w:val="true"/>
              </w:rPr>
              <w:tab/>
            </w:r>
            <w:r>
              <w:rPr>
                <w:rStyle w:val="IndexLink"/>
              </w:rPr>
              <w:t>123</w:t>
            </w:r>
          </w:hyperlink>
        </w:p>
        <w:p>
          <w:pPr>
            <w:pStyle w:val="Contents4"/>
            <w:tabs>
              <w:tab w:val="clear" w:pos="8176"/>
              <w:tab w:val="right" w:pos="9026" w:leader="dot"/>
            </w:tabs>
            <w:rPr/>
          </w:pPr>
          <w:hyperlink w:anchor="__RefHeading___Toc3807503_1067777946">
            <w:r>
              <w:rPr>
                <w:webHidden/>
                <w:rStyle w:val="IndexLink"/>
                <w:rtl w:val="true"/>
              </w:rPr>
              <w:t>اقامۀ ده روزه در بلد يك زوجه</w:t>
            </w:r>
            <w:r>
              <w:rPr>
                <w:rStyle w:val="IndexLink"/>
                <w:rtl w:val="true"/>
              </w:rPr>
              <w:tab/>
            </w:r>
            <w:r>
              <w:rPr>
                <w:rStyle w:val="IndexLink"/>
              </w:rPr>
              <w:t>124</w:t>
            </w:r>
          </w:hyperlink>
        </w:p>
        <w:p>
          <w:pPr>
            <w:pStyle w:val="Contents4"/>
            <w:tabs>
              <w:tab w:val="clear" w:pos="8176"/>
              <w:tab w:val="right" w:pos="9026" w:leader="dot"/>
            </w:tabs>
            <w:rPr/>
          </w:pPr>
          <w:hyperlink w:anchor="__RefHeading___Toc3807505_1067777946">
            <w:r>
              <w:rPr>
                <w:webHidden/>
                <w:rStyle w:val="IndexLink"/>
                <w:rtl w:val="true"/>
              </w:rPr>
              <w:t>به سفر بردن بعضى و مسألۀ قسمت</w:t>
            </w:r>
            <w:r>
              <w:rPr>
                <w:rStyle w:val="IndexLink"/>
                <w:rtl w:val="true"/>
              </w:rPr>
              <w:tab/>
            </w:r>
            <w:r>
              <w:rPr>
                <w:rStyle w:val="IndexLink"/>
              </w:rPr>
              <w:t>124</w:t>
            </w:r>
          </w:hyperlink>
        </w:p>
        <w:p>
          <w:pPr>
            <w:pStyle w:val="Contents3"/>
            <w:tabs>
              <w:tab w:val="clear" w:pos="8459"/>
              <w:tab w:val="right" w:pos="9026" w:leader="dot"/>
            </w:tabs>
            <w:rPr/>
          </w:pPr>
          <w:hyperlink w:anchor="__RefHeading___Toc3807507_1067777946">
            <w:r>
              <w:rPr>
                <w:webHidden/>
                <w:rStyle w:val="IndexLink"/>
                <w:rtl w:val="true"/>
              </w:rPr>
              <w:t>فصل دهم نشوز و شقاق</w:t>
            </w:r>
            <w:r>
              <w:rPr>
                <w:rStyle w:val="IndexLink"/>
                <w:rtl w:val="true"/>
              </w:rPr>
              <w:tab/>
            </w:r>
            <w:r>
              <w:rPr>
                <w:rStyle w:val="IndexLink"/>
              </w:rPr>
              <w:t>125</w:t>
            </w:r>
          </w:hyperlink>
        </w:p>
        <w:p>
          <w:pPr>
            <w:pStyle w:val="Contents4"/>
            <w:tabs>
              <w:tab w:val="clear" w:pos="8176"/>
              <w:tab w:val="right" w:pos="9026" w:leader="dot"/>
            </w:tabs>
            <w:rPr/>
          </w:pPr>
          <w:hyperlink w:anchor="__RefHeading___Toc3807509_1067777946">
            <w:r>
              <w:rPr>
                <w:webHidden/>
                <w:rStyle w:val="IndexLink"/>
                <w:rtl w:val="true"/>
              </w:rPr>
              <w:t>تعريف نشوز و شقاق</w:t>
            </w:r>
            <w:r>
              <w:rPr>
                <w:rStyle w:val="IndexLink"/>
                <w:rtl w:val="true"/>
              </w:rPr>
              <w:tab/>
            </w:r>
            <w:r>
              <w:rPr>
                <w:rStyle w:val="IndexLink"/>
              </w:rPr>
              <w:t>125</w:t>
            </w:r>
          </w:hyperlink>
        </w:p>
        <w:p>
          <w:pPr>
            <w:pStyle w:val="Contents4"/>
            <w:tabs>
              <w:tab w:val="clear" w:pos="8176"/>
              <w:tab w:val="right" w:pos="9026" w:leader="dot"/>
            </w:tabs>
            <w:rPr/>
          </w:pPr>
          <w:hyperlink w:anchor="__RefHeading___Toc3807511_1067777946">
            <w:r>
              <w:rPr>
                <w:webHidden/>
                <w:rStyle w:val="IndexLink"/>
                <w:rtl w:val="true"/>
              </w:rPr>
              <w:t>نشوز زوج</w:t>
            </w:r>
            <w:r>
              <w:rPr>
                <w:rStyle w:val="IndexLink"/>
                <w:rtl w:val="true"/>
              </w:rPr>
              <w:tab/>
            </w:r>
            <w:r>
              <w:rPr>
                <w:rStyle w:val="IndexLink"/>
              </w:rPr>
              <w:t>125</w:t>
            </w:r>
          </w:hyperlink>
        </w:p>
        <w:p>
          <w:pPr>
            <w:pStyle w:val="Contents4"/>
            <w:tabs>
              <w:tab w:val="clear" w:pos="8176"/>
              <w:tab w:val="right" w:pos="9026" w:leader="dot"/>
            </w:tabs>
            <w:rPr/>
          </w:pPr>
          <w:hyperlink w:anchor="__RefHeading___Toc3807513_1067777946">
            <w:r>
              <w:rPr>
                <w:webHidden/>
                <w:rStyle w:val="IndexLink"/>
                <w:rtl w:val="true"/>
              </w:rPr>
              <w:t>نشوز طرفين و ارسال حَكَم</w:t>
            </w:r>
            <w:r>
              <w:rPr>
                <w:rStyle w:val="IndexLink"/>
                <w:rtl w:val="true"/>
              </w:rPr>
              <w:tab/>
            </w:r>
            <w:r>
              <w:rPr>
                <w:rStyle w:val="IndexLink"/>
              </w:rPr>
              <w:t>126</w:t>
            </w:r>
          </w:hyperlink>
        </w:p>
        <w:p>
          <w:pPr>
            <w:pStyle w:val="Contents4"/>
            <w:tabs>
              <w:tab w:val="clear" w:pos="8176"/>
              <w:tab w:val="right" w:pos="9026" w:leader="dot"/>
            </w:tabs>
            <w:rPr/>
          </w:pPr>
          <w:hyperlink w:anchor="__RefHeading___Toc3807515_1067777946">
            <w:r>
              <w:rPr>
                <w:webHidden/>
                <w:rStyle w:val="IndexLink"/>
                <w:rtl w:val="true"/>
              </w:rPr>
              <w:t>شرايط و وظايف حَكَم و وكيل</w:t>
            </w:r>
            <w:r>
              <w:rPr>
                <w:rStyle w:val="IndexLink"/>
                <w:rtl w:val="true"/>
              </w:rPr>
              <w:tab/>
            </w:r>
            <w:r>
              <w:rPr>
                <w:rStyle w:val="IndexLink"/>
              </w:rPr>
              <w:t>126</w:t>
            </w:r>
          </w:hyperlink>
        </w:p>
        <w:p>
          <w:pPr>
            <w:pStyle w:val="Contents4"/>
            <w:tabs>
              <w:tab w:val="clear" w:pos="8176"/>
              <w:tab w:val="right" w:pos="9026" w:leader="dot"/>
            </w:tabs>
            <w:rPr/>
          </w:pPr>
          <w:hyperlink w:anchor="__RefHeading___Toc3807517_1067777946">
            <w:r>
              <w:rPr>
                <w:webHidden/>
                <w:rStyle w:val="IndexLink"/>
                <w:rtl w:val="true"/>
              </w:rPr>
              <w:t>اختلاف بين حَكَمين</w:t>
            </w:r>
            <w:r>
              <w:rPr>
                <w:rStyle w:val="IndexLink"/>
                <w:rtl w:val="true"/>
              </w:rPr>
              <w:tab/>
            </w:r>
            <w:r>
              <w:rPr>
                <w:rStyle w:val="IndexLink"/>
              </w:rPr>
              <w:t>127</w:t>
            </w:r>
          </w:hyperlink>
        </w:p>
        <w:p>
          <w:pPr>
            <w:pStyle w:val="Contents4"/>
            <w:tabs>
              <w:tab w:val="clear" w:pos="8176"/>
              <w:tab w:val="right" w:pos="9026" w:leader="dot"/>
            </w:tabs>
            <w:rPr/>
          </w:pPr>
          <w:hyperlink w:anchor="__RefHeading___Toc3807519_1067777946">
            <w:r>
              <w:rPr>
                <w:webHidden/>
                <w:rStyle w:val="IndexLink"/>
                <w:rtl w:val="true"/>
              </w:rPr>
              <w:t>غيبت يا جنون يا اغماى زوجين يا يكى از آن دو</w:t>
            </w:r>
            <w:r>
              <w:rPr>
                <w:rStyle w:val="IndexLink"/>
                <w:rtl w:val="true"/>
              </w:rPr>
              <w:tab/>
            </w:r>
            <w:r>
              <w:rPr>
                <w:rStyle w:val="IndexLink"/>
              </w:rPr>
              <w:t>127</w:t>
            </w:r>
          </w:hyperlink>
        </w:p>
        <w:p>
          <w:pPr>
            <w:pStyle w:val="Contents4"/>
            <w:tabs>
              <w:tab w:val="clear" w:pos="8176"/>
              <w:tab w:val="right" w:pos="9026" w:leader="dot"/>
            </w:tabs>
            <w:rPr/>
          </w:pPr>
          <w:hyperlink w:anchor="__RefHeading___Toc3807521_1067777946">
            <w:r>
              <w:rPr>
                <w:webHidden/>
                <w:rStyle w:val="IndexLink"/>
                <w:rtl w:val="true"/>
              </w:rPr>
              <w:t>لزوم شروط حَكَمين</w:t>
            </w:r>
            <w:r>
              <w:rPr>
                <w:rStyle w:val="IndexLink"/>
                <w:rtl w:val="true"/>
              </w:rPr>
              <w:tab/>
            </w:r>
            <w:r>
              <w:rPr>
                <w:rStyle w:val="IndexLink"/>
              </w:rPr>
              <w:t>127</w:t>
            </w:r>
          </w:hyperlink>
        </w:p>
        <w:p>
          <w:pPr>
            <w:pStyle w:val="Contents3"/>
            <w:tabs>
              <w:tab w:val="clear" w:pos="8459"/>
              <w:tab w:val="right" w:pos="9026" w:leader="dot"/>
            </w:tabs>
            <w:rPr/>
          </w:pPr>
          <w:hyperlink w:anchor="__RefHeading___Toc3807523_1067777946">
            <w:r>
              <w:rPr>
                <w:webHidden/>
                <w:rStyle w:val="IndexLink"/>
                <w:rtl w:val="true"/>
              </w:rPr>
              <w:t>فصل يازدهم احكام اولاد</w:t>
            </w:r>
            <w:r>
              <w:rPr>
                <w:rStyle w:val="IndexLink"/>
                <w:rtl w:val="true"/>
              </w:rPr>
              <w:tab/>
            </w:r>
            <w:r>
              <w:rPr>
                <w:rStyle w:val="IndexLink"/>
              </w:rPr>
              <w:t>129</w:t>
            </w:r>
          </w:hyperlink>
        </w:p>
        <w:p>
          <w:pPr>
            <w:pStyle w:val="Contents4"/>
            <w:tabs>
              <w:tab w:val="clear" w:pos="8176"/>
              <w:tab w:val="right" w:pos="9026" w:leader="dot"/>
            </w:tabs>
            <w:rPr/>
          </w:pPr>
          <w:hyperlink w:anchor="__RefHeading___Toc3807525_1067777946">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3807527_1067777946">
            <w:r>
              <w:rPr>
                <w:webHidden/>
                <w:rStyle w:val="IndexLink"/>
                <w:rtl w:val="true"/>
              </w:rPr>
              <w:t>ولد موطوئۀ به عقد دائم</w:t>
            </w:r>
            <w:r>
              <w:rPr>
                <w:rStyle w:val="IndexLink"/>
                <w:rtl w:val="true"/>
              </w:rPr>
              <w:tab/>
            </w:r>
            <w:r>
              <w:rPr>
                <w:rStyle w:val="IndexLink"/>
              </w:rPr>
              <w:t>129</w:t>
            </w:r>
          </w:hyperlink>
        </w:p>
        <w:p>
          <w:pPr>
            <w:pStyle w:val="Contents5"/>
            <w:tabs>
              <w:tab w:val="clear" w:pos="7892"/>
              <w:tab w:val="right" w:pos="9026" w:leader="dot"/>
            </w:tabs>
            <w:rPr/>
          </w:pPr>
          <w:hyperlink w:anchor="__RefHeading___Toc3807529_1067777946">
            <w:r>
              <w:rPr>
                <w:webHidden/>
                <w:rStyle w:val="IndexLink"/>
                <w:rtl w:val="true"/>
              </w:rPr>
              <w:t>شرايط الحاق اولاد به زوج در عقد دائم</w:t>
            </w:r>
            <w:r>
              <w:rPr>
                <w:rStyle w:val="IndexLink"/>
                <w:rtl w:val="true"/>
              </w:rPr>
              <w:tab/>
            </w:r>
            <w:r>
              <w:rPr>
                <w:rStyle w:val="IndexLink"/>
              </w:rPr>
              <w:t>129</w:t>
            </w:r>
          </w:hyperlink>
        </w:p>
        <w:p>
          <w:pPr>
            <w:pStyle w:val="Contents5"/>
            <w:tabs>
              <w:tab w:val="clear" w:pos="7892"/>
              <w:tab w:val="right" w:pos="9026" w:leader="dot"/>
            </w:tabs>
            <w:rPr/>
          </w:pPr>
          <w:hyperlink w:anchor="__RefHeading___Toc3807531_1067777946">
            <w:r>
              <w:rPr>
                <w:webHidden/>
                <w:rStyle w:val="IndexLink"/>
                <w:rtl w:val="true"/>
              </w:rPr>
              <w:t>گذشتن شش ماه هلالى</w:t>
            </w:r>
            <w:r>
              <w:rPr>
                <w:rStyle w:val="IndexLink"/>
                <w:rtl w:val="true"/>
              </w:rPr>
              <w:tab/>
            </w:r>
            <w:r>
              <w:rPr>
                <w:rStyle w:val="IndexLink"/>
              </w:rPr>
              <w:t>129</w:t>
            </w:r>
          </w:hyperlink>
        </w:p>
        <w:p>
          <w:pPr>
            <w:pStyle w:val="Contents5"/>
            <w:tabs>
              <w:tab w:val="clear" w:pos="7892"/>
              <w:tab w:val="right" w:pos="9026" w:leader="dot"/>
            </w:tabs>
            <w:rPr/>
          </w:pPr>
          <w:hyperlink w:anchor="__RefHeading___Toc3807533_1067777946">
            <w:r>
              <w:rPr>
                <w:webHidden/>
                <w:rStyle w:val="IndexLink"/>
                <w:rtl w:val="true"/>
              </w:rPr>
              <w:t>نگذشتن از اقصى مدت حمل</w:t>
            </w:r>
            <w:r>
              <w:rPr>
                <w:rStyle w:val="IndexLink"/>
                <w:rtl w:val="true"/>
              </w:rPr>
              <w:tab/>
            </w:r>
            <w:r>
              <w:rPr>
                <w:rStyle w:val="IndexLink"/>
              </w:rPr>
              <w:t>129</w:t>
            </w:r>
          </w:hyperlink>
        </w:p>
        <w:p>
          <w:pPr>
            <w:pStyle w:val="Contents5"/>
            <w:tabs>
              <w:tab w:val="clear" w:pos="7892"/>
              <w:tab w:val="right" w:pos="9026" w:leader="dot"/>
            </w:tabs>
            <w:rPr/>
          </w:pPr>
          <w:hyperlink w:anchor="__RefHeading___Toc3807535_1067777946">
            <w:r>
              <w:rPr>
                <w:webHidden/>
                <w:rStyle w:val="IndexLink"/>
                <w:rtl w:val="true"/>
              </w:rPr>
              <w:t>نفى ولد</w:t>
            </w:r>
            <w:r>
              <w:rPr>
                <w:rStyle w:val="IndexLink"/>
                <w:rtl w:val="true"/>
              </w:rPr>
              <w:tab/>
            </w:r>
            <w:r>
              <w:rPr>
                <w:rStyle w:val="IndexLink"/>
              </w:rPr>
              <w:t>130</w:t>
            </w:r>
          </w:hyperlink>
        </w:p>
        <w:p>
          <w:pPr>
            <w:pStyle w:val="Contents5"/>
            <w:tabs>
              <w:tab w:val="clear" w:pos="7892"/>
              <w:tab w:val="right" w:pos="9026" w:leader="dot"/>
            </w:tabs>
            <w:rPr/>
          </w:pPr>
          <w:hyperlink w:anchor="__RefHeading___Toc3807537_1067777946">
            <w:r>
              <w:rPr>
                <w:webHidden/>
                <w:rStyle w:val="IndexLink"/>
                <w:rtl w:val="true"/>
              </w:rPr>
              <w:t>الحاق به زوج در فرض امكان استناد</w:t>
            </w:r>
            <w:r>
              <w:rPr>
                <w:rStyle w:val="IndexLink"/>
                <w:rtl w:val="true"/>
              </w:rPr>
              <w:tab/>
            </w:r>
            <w:r>
              <w:rPr>
                <w:rStyle w:val="IndexLink"/>
              </w:rPr>
              <w:t>130</w:t>
            </w:r>
          </w:hyperlink>
        </w:p>
        <w:p>
          <w:pPr>
            <w:pStyle w:val="Contents5"/>
            <w:tabs>
              <w:tab w:val="clear" w:pos="7892"/>
              <w:tab w:val="right" w:pos="9026" w:leader="dot"/>
            </w:tabs>
            <w:rPr/>
          </w:pPr>
          <w:hyperlink w:anchor="__RefHeading___Toc3807539_1067777946">
            <w:r>
              <w:rPr>
                <w:webHidden/>
                <w:rStyle w:val="IndexLink"/>
                <w:rtl w:val="true"/>
              </w:rPr>
              <w:t>حكم الحاق اگر وطى غير زوج به شبهه باشد</w:t>
            </w:r>
            <w:r>
              <w:rPr>
                <w:rStyle w:val="IndexLink"/>
                <w:rtl w:val="true"/>
              </w:rPr>
              <w:tab/>
            </w:r>
            <w:r>
              <w:rPr>
                <w:rStyle w:val="IndexLink"/>
              </w:rPr>
              <w:t>130</w:t>
            </w:r>
          </w:hyperlink>
        </w:p>
        <w:p>
          <w:pPr>
            <w:pStyle w:val="Contents5"/>
            <w:tabs>
              <w:tab w:val="clear" w:pos="7892"/>
              <w:tab w:val="right" w:pos="9026" w:leader="dot"/>
            </w:tabs>
            <w:rPr/>
          </w:pPr>
          <w:hyperlink w:anchor="__RefHeading___Toc3807541_1067777946">
            <w:r>
              <w:rPr>
                <w:webHidden/>
                <w:rStyle w:val="IndexLink"/>
                <w:rtl w:val="true"/>
              </w:rPr>
              <w:t>اختلاف بين طرفين</w:t>
            </w:r>
            <w:r>
              <w:rPr>
                <w:rStyle w:val="IndexLink"/>
                <w:rtl w:val="true"/>
              </w:rPr>
              <w:tab/>
            </w:r>
            <w:r>
              <w:rPr>
                <w:rStyle w:val="IndexLink"/>
              </w:rPr>
              <w:t>131</w:t>
            </w:r>
          </w:hyperlink>
        </w:p>
        <w:p>
          <w:pPr>
            <w:pStyle w:val="Contents5"/>
            <w:tabs>
              <w:tab w:val="clear" w:pos="7892"/>
              <w:tab w:val="right" w:pos="9026" w:leader="dot"/>
            </w:tabs>
            <w:rPr/>
          </w:pPr>
          <w:hyperlink w:anchor="__RefHeading___Toc3807543_1067777946">
            <w:r>
              <w:rPr>
                <w:webHidden/>
                <w:rStyle w:val="IndexLink"/>
                <w:rtl w:val="true"/>
              </w:rPr>
              <w:t>عدم جواز نفى ولد با تحقق شروط الحاق</w:t>
            </w:r>
            <w:r>
              <w:rPr>
                <w:rStyle w:val="IndexLink"/>
                <w:rtl w:val="true"/>
              </w:rPr>
              <w:tab/>
            </w:r>
            <w:r>
              <w:rPr>
                <w:rStyle w:val="IndexLink"/>
              </w:rPr>
              <w:t>131</w:t>
            </w:r>
          </w:hyperlink>
        </w:p>
        <w:p>
          <w:pPr>
            <w:pStyle w:val="Contents5"/>
            <w:tabs>
              <w:tab w:val="clear" w:pos="7892"/>
              <w:tab w:val="right" w:pos="9026" w:leader="dot"/>
            </w:tabs>
            <w:rPr/>
          </w:pPr>
          <w:hyperlink w:anchor="__RefHeading___Toc3807545_1067777946">
            <w:r>
              <w:rPr>
                <w:webHidden/>
                <w:rStyle w:val="IndexLink"/>
                <w:rtl w:val="true"/>
              </w:rPr>
              <w:t>تولد بعد از طلاق و عدّه و وطى ديگرى</w:t>
            </w:r>
            <w:r>
              <w:rPr>
                <w:rStyle w:val="IndexLink"/>
                <w:rtl w:val="true"/>
              </w:rPr>
              <w:tab/>
            </w:r>
            <w:r>
              <w:rPr>
                <w:rStyle w:val="IndexLink"/>
              </w:rPr>
              <w:t>131</w:t>
            </w:r>
          </w:hyperlink>
        </w:p>
        <w:p>
          <w:pPr>
            <w:pStyle w:val="Contents5"/>
            <w:tabs>
              <w:tab w:val="clear" w:pos="7892"/>
              <w:tab w:val="right" w:pos="9026" w:leader="dot"/>
            </w:tabs>
            <w:rPr/>
          </w:pPr>
          <w:hyperlink w:anchor="__RefHeading___Toc3807547_1067777946">
            <w:r>
              <w:rPr>
                <w:webHidden/>
                <w:rStyle w:val="IndexLink"/>
                <w:rtl w:val="true"/>
              </w:rPr>
              <w:t>حكم ولد در صورت ازدواجِ بعد از حمل از زنا</w:t>
            </w:r>
            <w:r>
              <w:rPr>
                <w:rStyle w:val="IndexLink"/>
                <w:rtl w:val="true"/>
              </w:rPr>
              <w:tab/>
            </w:r>
            <w:r>
              <w:rPr>
                <w:rStyle w:val="IndexLink"/>
              </w:rPr>
              <w:t>131</w:t>
            </w:r>
          </w:hyperlink>
        </w:p>
        <w:p>
          <w:pPr>
            <w:pStyle w:val="Contents4"/>
            <w:tabs>
              <w:tab w:val="clear" w:pos="8176"/>
              <w:tab w:val="right" w:pos="9026" w:leader="dot"/>
            </w:tabs>
            <w:rPr/>
          </w:pPr>
          <w:hyperlink w:anchor="__RefHeading___Toc3807549_1067777946">
            <w:r>
              <w:rPr>
                <w:webHidden/>
                <w:rStyle w:val="IndexLink"/>
                <w:rtl w:val="true"/>
              </w:rPr>
              <w:t>ولد موطوئۀ به ملك</w:t>
            </w:r>
            <w:r>
              <w:rPr>
                <w:rStyle w:val="IndexLink"/>
                <w:rtl w:val="true"/>
              </w:rPr>
              <w:tab/>
            </w:r>
            <w:r>
              <w:rPr>
                <w:rStyle w:val="IndexLink"/>
              </w:rPr>
              <w:t>132</w:t>
            </w:r>
          </w:hyperlink>
        </w:p>
        <w:p>
          <w:pPr>
            <w:pStyle w:val="Contents4"/>
            <w:tabs>
              <w:tab w:val="clear" w:pos="8176"/>
              <w:tab w:val="right" w:pos="9026" w:leader="dot"/>
            </w:tabs>
            <w:rPr/>
          </w:pPr>
          <w:hyperlink w:anchor="__RefHeading___Toc3807551_1067777946">
            <w:r>
              <w:rPr>
                <w:webHidden/>
                <w:rStyle w:val="IndexLink"/>
                <w:rtl w:val="true"/>
              </w:rPr>
              <w:t>ولد موطوئۀ به شبهه</w:t>
            </w:r>
            <w:r>
              <w:rPr>
                <w:rStyle w:val="IndexLink"/>
                <w:rtl w:val="true"/>
              </w:rPr>
              <w:tab/>
            </w:r>
            <w:r>
              <w:rPr>
                <w:rStyle w:val="IndexLink"/>
              </w:rPr>
              <w:t>133</w:t>
            </w:r>
          </w:hyperlink>
        </w:p>
        <w:p>
          <w:pPr>
            <w:pStyle w:val="Contents5"/>
            <w:tabs>
              <w:tab w:val="clear" w:pos="7892"/>
              <w:tab w:val="right" w:pos="9026" w:leader="dot"/>
            </w:tabs>
            <w:rPr/>
          </w:pPr>
          <w:hyperlink w:anchor="__RefHeading___Toc3807553_1067777946">
            <w:r>
              <w:rPr>
                <w:webHidden/>
                <w:rStyle w:val="IndexLink"/>
                <w:rtl w:val="true"/>
              </w:rPr>
              <w:t>اشاره</w:t>
            </w:r>
            <w:r>
              <w:rPr>
                <w:rStyle w:val="IndexLink"/>
                <w:rtl w:val="true"/>
              </w:rPr>
              <w:tab/>
            </w:r>
            <w:r>
              <w:rPr>
                <w:rStyle w:val="IndexLink"/>
              </w:rPr>
              <w:t>133</w:t>
            </w:r>
          </w:hyperlink>
        </w:p>
        <w:p>
          <w:pPr>
            <w:pStyle w:val="Contents5"/>
            <w:tabs>
              <w:tab w:val="clear" w:pos="7892"/>
              <w:tab w:val="right" w:pos="9026" w:leader="dot"/>
            </w:tabs>
            <w:rPr/>
          </w:pPr>
          <w:hyperlink w:anchor="__RefHeading___Toc3807555_1067777946">
            <w:r>
              <w:rPr>
                <w:webHidden/>
                <w:rStyle w:val="IndexLink"/>
                <w:rtl w:val="true"/>
              </w:rPr>
              <w:t>تعدّد واطى به شبهه</w:t>
            </w:r>
            <w:r>
              <w:rPr>
                <w:rStyle w:val="IndexLink"/>
                <w:rtl w:val="true"/>
              </w:rPr>
              <w:tab/>
            </w:r>
            <w:r>
              <w:rPr>
                <w:rStyle w:val="IndexLink"/>
              </w:rPr>
              <w:t>133</w:t>
            </w:r>
          </w:hyperlink>
        </w:p>
        <w:p>
          <w:pPr>
            <w:pStyle w:val="Contents5"/>
            <w:tabs>
              <w:tab w:val="clear" w:pos="7892"/>
              <w:tab w:val="right" w:pos="9026" w:leader="dot"/>
            </w:tabs>
            <w:rPr/>
          </w:pPr>
          <w:hyperlink w:anchor="__RefHeading___Toc3807557_1067777946">
            <w:r>
              <w:rPr>
                <w:webHidden/>
                <w:rStyle w:val="IndexLink"/>
                <w:rtl w:val="true"/>
              </w:rPr>
              <w:t>ازدواج با اعتقاد شوهردار نبودن و حكم ولد</w:t>
            </w:r>
            <w:r>
              <w:rPr>
                <w:rStyle w:val="IndexLink"/>
                <w:rtl w:val="true"/>
              </w:rPr>
              <w:tab/>
            </w:r>
            <w:r>
              <w:rPr>
                <w:rStyle w:val="IndexLink"/>
              </w:rPr>
              <w:t>134</w:t>
            </w:r>
          </w:hyperlink>
        </w:p>
        <w:p>
          <w:pPr>
            <w:pStyle w:val="Contents4"/>
            <w:tabs>
              <w:tab w:val="clear" w:pos="8176"/>
              <w:tab w:val="right" w:pos="9026" w:leader="dot"/>
            </w:tabs>
            <w:rPr/>
          </w:pPr>
          <w:hyperlink w:anchor="__RefHeading___Toc3807559_1067777946">
            <w:r>
              <w:rPr>
                <w:webHidden/>
                <w:rStyle w:val="IndexLink"/>
                <w:rtl w:val="true"/>
              </w:rPr>
              <w:t>آداب ولادت</w:t>
            </w:r>
            <w:r>
              <w:rPr>
                <w:rStyle w:val="IndexLink"/>
                <w:rtl w:val="true"/>
              </w:rPr>
              <w:tab/>
            </w:r>
            <w:r>
              <w:rPr>
                <w:rStyle w:val="IndexLink"/>
              </w:rPr>
              <w:t>134</w:t>
            </w:r>
          </w:hyperlink>
        </w:p>
        <w:p>
          <w:pPr>
            <w:pStyle w:val="Contents5"/>
            <w:tabs>
              <w:tab w:val="clear" w:pos="7892"/>
              <w:tab w:val="right" w:pos="9026" w:leader="dot"/>
            </w:tabs>
            <w:rPr/>
          </w:pPr>
          <w:hyperlink w:anchor="__RefHeading___Toc3807561_1067777946">
            <w:r>
              <w:rPr>
                <w:webHidden/>
                <w:rStyle w:val="IndexLink"/>
                <w:rtl w:val="true"/>
              </w:rPr>
              <w:t>رسيدگى به امور حامل</w:t>
            </w:r>
            <w:r>
              <w:rPr>
                <w:rStyle w:val="IndexLink"/>
                <w:rtl w:val="true"/>
              </w:rPr>
              <w:tab/>
            </w:r>
            <w:r>
              <w:rPr>
                <w:rStyle w:val="IndexLink"/>
              </w:rPr>
              <w:t>134</w:t>
            </w:r>
          </w:hyperlink>
        </w:p>
        <w:p>
          <w:pPr>
            <w:pStyle w:val="Contents5"/>
            <w:tabs>
              <w:tab w:val="clear" w:pos="7892"/>
              <w:tab w:val="right" w:pos="9026" w:leader="dot"/>
            </w:tabs>
            <w:rPr/>
          </w:pPr>
          <w:hyperlink w:anchor="__RefHeading___Toc3807563_1067777946">
            <w:r>
              <w:rPr>
                <w:webHidden/>
                <w:rStyle w:val="IndexLink"/>
                <w:rtl w:val="true"/>
              </w:rPr>
              <w:t>آداب مستحبّۀ ولادت</w:t>
            </w:r>
            <w:r>
              <w:rPr>
                <w:rStyle w:val="IndexLink"/>
                <w:rtl w:val="true"/>
              </w:rPr>
              <w:tab/>
            </w:r>
            <w:r>
              <w:rPr>
                <w:rStyle w:val="IndexLink"/>
              </w:rPr>
              <w:t>135</w:t>
            </w:r>
          </w:hyperlink>
        </w:p>
        <w:p>
          <w:pPr>
            <w:pStyle w:val="Contents5"/>
            <w:tabs>
              <w:tab w:val="clear" w:pos="7892"/>
              <w:tab w:val="right" w:pos="9026" w:leader="dot"/>
            </w:tabs>
            <w:rPr/>
          </w:pPr>
          <w:hyperlink w:anchor="__RefHeading___Toc3807565_1067777946">
            <w:r>
              <w:rPr>
                <w:webHidden/>
                <w:rStyle w:val="IndexLink"/>
                <w:rtl w:val="true"/>
              </w:rPr>
              <w:t>مستحبّات و مكروهات نام گذارى</w:t>
            </w:r>
            <w:r>
              <w:rPr>
                <w:rStyle w:val="IndexLink"/>
                <w:rtl w:val="true"/>
              </w:rPr>
              <w:tab/>
            </w:r>
            <w:r>
              <w:rPr>
                <w:rStyle w:val="IndexLink"/>
              </w:rPr>
              <w:t>135</w:t>
            </w:r>
          </w:hyperlink>
        </w:p>
        <w:p>
          <w:pPr>
            <w:pStyle w:val="Contents5"/>
            <w:tabs>
              <w:tab w:val="clear" w:pos="7892"/>
              <w:tab w:val="right" w:pos="9026" w:leader="dot"/>
            </w:tabs>
            <w:rPr/>
          </w:pPr>
          <w:hyperlink w:anchor="__RefHeading___Toc3807567_1067777946">
            <w:r>
              <w:rPr>
                <w:webHidden/>
                <w:rStyle w:val="IndexLink"/>
                <w:rtl w:val="true"/>
              </w:rPr>
              <w:t>آداب روز هفتم ولادت</w:t>
            </w:r>
            <w:r>
              <w:rPr>
                <w:rStyle w:val="IndexLink"/>
                <w:rtl w:val="true"/>
              </w:rPr>
              <w:tab/>
            </w:r>
            <w:r>
              <w:rPr>
                <w:rStyle w:val="IndexLink"/>
              </w:rPr>
              <w:t>135</w:t>
            </w:r>
          </w:hyperlink>
        </w:p>
        <w:p>
          <w:pPr>
            <w:pStyle w:val="Contents5"/>
            <w:tabs>
              <w:tab w:val="clear" w:pos="7892"/>
              <w:tab w:val="right" w:pos="9026" w:leader="dot"/>
            </w:tabs>
            <w:rPr/>
          </w:pPr>
          <w:hyperlink w:anchor="__RefHeading___Toc3807569_1067777946">
            <w:r>
              <w:rPr>
                <w:webHidden/>
                <w:rStyle w:val="IndexLink"/>
                <w:rtl w:val="true"/>
              </w:rPr>
              <w:t>حلق</w:t>
            </w:r>
            <w:r>
              <w:rPr>
                <w:rStyle w:val="IndexLink"/>
                <w:rtl w:val="true"/>
              </w:rPr>
              <w:tab/>
            </w:r>
            <w:r>
              <w:rPr>
                <w:rStyle w:val="IndexLink"/>
              </w:rPr>
              <w:t>135</w:t>
            </w:r>
          </w:hyperlink>
        </w:p>
        <w:p>
          <w:pPr>
            <w:pStyle w:val="Contents5"/>
            <w:tabs>
              <w:tab w:val="clear" w:pos="7892"/>
              <w:tab w:val="right" w:pos="9026" w:leader="dot"/>
            </w:tabs>
            <w:rPr/>
          </w:pPr>
          <w:hyperlink w:anchor="__RefHeading___Toc3807571_1067777946">
            <w:r>
              <w:rPr>
                <w:webHidden/>
                <w:rStyle w:val="IndexLink"/>
                <w:rtl w:val="true"/>
              </w:rPr>
              <w:t>ختان و سوراخ نمودن گوش</w:t>
            </w:r>
            <w:r>
              <w:rPr>
                <w:rStyle w:val="IndexLink"/>
                <w:rtl w:val="true"/>
              </w:rPr>
              <w:tab/>
            </w:r>
            <w:r>
              <w:rPr>
                <w:rStyle w:val="IndexLink"/>
              </w:rPr>
              <w:t>136</w:t>
            </w:r>
          </w:hyperlink>
        </w:p>
        <w:p>
          <w:pPr>
            <w:pStyle w:val="Contents5"/>
            <w:tabs>
              <w:tab w:val="clear" w:pos="7892"/>
              <w:tab w:val="right" w:pos="9026" w:leader="dot"/>
            </w:tabs>
            <w:rPr/>
          </w:pPr>
          <w:hyperlink w:anchor="__RefHeading___Toc3807573_1067777946">
            <w:r>
              <w:rPr>
                <w:webHidden/>
                <w:rStyle w:val="IndexLink"/>
                <w:rtl w:val="true"/>
              </w:rPr>
              <w:t>عقيقه</w:t>
            </w:r>
            <w:r>
              <w:rPr>
                <w:rStyle w:val="IndexLink"/>
                <w:rtl w:val="true"/>
              </w:rPr>
              <w:tab/>
            </w:r>
            <w:r>
              <w:rPr>
                <w:rStyle w:val="IndexLink"/>
              </w:rPr>
              <w:t>136</w:t>
            </w:r>
          </w:hyperlink>
        </w:p>
        <w:p>
          <w:pPr>
            <w:pStyle w:val="Contents5"/>
            <w:tabs>
              <w:tab w:val="clear" w:pos="7892"/>
              <w:tab w:val="right" w:pos="9026" w:leader="dot"/>
            </w:tabs>
            <w:rPr/>
          </w:pPr>
          <w:hyperlink w:anchor="__RefHeading___Toc3807575_1067777946">
            <w:r>
              <w:rPr>
                <w:webHidden/>
                <w:rStyle w:val="IndexLink"/>
                <w:rtl w:val="true"/>
              </w:rPr>
              <w:t>اختصاصات قابله از عقيقه</w:t>
            </w:r>
            <w:r>
              <w:rPr>
                <w:rStyle w:val="IndexLink"/>
                <w:rtl w:val="true"/>
              </w:rPr>
              <w:tab/>
            </w:r>
            <w:r>
              <w:rPr>
                <w:rStyle w:val="IndexLink"/>
              </w:rPr>
              <w:t>136</w:t>
            </w:r>
          </w:hyperlink>
        </w:p>
        <w:p>
          <w:pPr>
            <w:pStyle w:val="Contents5"/>
            <w:tabs>
              <w:tab w:val="clear" w:pos="7892"/>
              <w:tab w:val="right" w:pos="9026" w:leader="dot"/>
            </w:tabs>
            <w:rPr/>
          </w:pPr>
          <w:hyperlink w:anchor="__RefHeading___Toc3807577_1067777946">
            <w:r>
              <w:rPr>
                <w:webHidden/>
                <w:rStyle w:val="IndexLink"/>
                <w:rtl w:val="true"/>
              </w:rPr>
              <w:t>عقيقه در فرض فوت طفل</w:t>
            </w:r>
            <w:r>
              <w:rPr>
                <w:rStyle w:val="IndexLink"/>
                <w:rtl w:val="true"/>
              </w:rPr>
              <w:tab/>
            </w:r>
            <w:r>
              <w:rPr>
                <w:rStyle w:val="IndexLink"/>
              </w:rPr>
              <w:t>137</w:t>
            </w:r>
          </w:hyperlink>
        </w:p>
        <w:p>
          <w:pPr>
            <w:pStyle w:val="Contents5"/>
            <w:tabs>
              <w:tab w:val="clear" w:pos="7892"/>
              <w:tab w:val="right" w:pos="9026" w:leader="dot"/>
            </w:tabs>
            <w:rPr/>
          </w:pPr>
          <w:hyperlink w:anchor="__RefHeading___Toc3807579_1067777946">
            <w:r>
              <w:rPr>
                <w:webHidden/>
                <w:rStyle w:val="IndexLink"/>
                <w:rtl w:val="true"/>
              </w:rPr>
              <w:t>كراهت خوردن اهل خانه از عقيقه</w:t>
            </w:r>
            <w:r>
              <w:rPr>
                <w:rStyle w:val="IndexLink"/>
                <w:rtl w:val="true"/>
              </w:rPr>
              <w:tab/>
            </w:r>
            <w:r>
              <w:rPr>
                <w:rStyle w:val="IndexLink"/>
              </w:rPr>
              <w:t>137</w:t>
            </w:r>
          </w:hyperlink>
        </w:p>
        <w:p>
          <w:pPr>
            <w:pStyle w:val="Contents5"/>
            <w:tabs>
              <w:tab w:val="clear" w:pos="7892"/>
              <w:tab w:val="right" w:pos="9026" w:leader="dot"/>
            </w:tabs>
            <w:rPr/>
          </w:pPr>
          <w:hyperlink w:anchor="__RefHeading___Toc3807581_1067777946">
            <w:r>
              <w:rPr>
                <w:webHidden/>
                <w:rStyle w:val="IndexLink"/>
                <w:rtl w:val="true"/>
              </w:rPr>
              <w:t>كيفيّت مصرف عقيقه</w:t>
            </w:r>
            <w:r>
              <w:rPr>
                <w:rStyle w:val="IndexLink"/>
                <w:rtl w:val="true"/>
              </w:rPr>
              <w:tab/>
            </w:r>
            <w:r>
              <w:rPr>
                <w:rStyle w:val="IndexLink"/>
              </w:rPr>
              <w:t>137</w:t>
            </w:r>
          </w:hyperlink>
        </w:p>
        <w:p>
          <w:pPr>
            <w:pStyle w:val="Contents4"/>
            <w:tabs>
              <w:tab w:val="clear" w:pos="8176"/>
              <w:tab w:val="right" w:pos="9026" w:leader="dot"/>
            </w:tabs>
            <w:rPr/>
          </w:pPr>
          <w:hyperlink w:anchor="__RefHeading___Toc3807583_1067777946">
            <w:r>
              <w:rPr>
                <w:webHidden/>
                <w:rStyle w:val="IndexLink"/>
                <w:rtl w:val="true"/>
              </w:rPr>
              <w:t>احكام شير دادن</w:t>
            </w:r>
            <w:r>
              <w:rPr>
                <w:rStyle w:val="IndexLink"/>
                <w:rtl w:val="true"/>
              </w:rPr>
              <w:tab/>
            </w:r>
            <w:r>
              <w:rPr>
                <w:rStyle w:val="IndexLink"/>
              </w:rPr>
              <w:t>137</w:t>
            </w:r>
          </w:hyperlink>
        </w:p>
        <w:p>
          <w:pPr>
            <w:pStyle w:val="Contents5"/>
            <w:tabs>
              <w:tab w:val="clear" w:pos="7892"/>
              <w:tab w:val="right" w:pos="9026" w:leader="dot"/>
            </w:tabs>
            <w:rPr/>
          </w:pPr>
          <w:hyperlink w:anchor="__RefHeading___Toc3807585_1067777946">
            <w:r>
              <w:rPr>
                <w:webHidden/>
                <w:rStyle w:val="IndexLink"/>
                <w:rtl w:val="true"/>
              </w:rPr>
              <w:t>عدم وجوب ارضاع بر اُم</w:t>
            </w:r>
            <w:r>
              <w:rPr>
                <w:rStyle w:val="IndexLink"/>
                <w:rtl w:val="true"/>
              </w:rPr>
              <w:tab/>
            </w:r>
            <w:r>
              <w:rPr>
                <w:rStyle w:val="IndexLink"/>
              </w:rPr>
              <w:t>137</w:t>
            </w:r>
          </w:hyperlink>
        </w:p>
        <w:p>
          <w:pPr>
            <w:pStyle w:val="Contents5"/>
            <w:tabs>
              <w:tab w:val="clear" w:pos="7892"/>
              <w:tab w:val="right" w:pos="9026" w:leader="dot"/>
            </w:tabs>
            <w:rPr/>
          </w:pPr>
          <w:hyperlink w:anchor="__RefHeading___Toc3807587_1067777946">
            <w:r>
              <w:rPr>
                <w:webHidden/>
                <w:rStyle w:val="IndexLink"/>
                <w:rtl w:val="true"/>
              </w:rPr>
              <w:t>مطالبۀ اجرت شير دادن</w:t>
            </w:r>
            <w:r>
              <w:rPr>
                <w:rStyle w:val="IndexLink"/>
                <w:rtl w:val="true"/>
              </w:rPr>
              <w:tab/>
            </w:r>
            <w:r>
              <w:rPr>
                <w:rStyle w:val="IndexLink"/>
              </w:rPr>
              <w:t>138</w:t>
            </w:r>
          </w:hyperlink>
        </w:p>
        <w:p>
          <w:pPr>
            <w:pStyle w:val="Contents5"/>
            <w:tabs>
              <w:tab w:val="clear" w:pos="7892"/>
              <w:tab w:val="right" w:pos="9026" w:leader="dot"/>
            </w:tabs>
            <w:rPr/>
          </w:pPr>
          <w:hyperlink w:anchor="__RefHeading___Toc3807589_1067777946">
            <w:r>
              <w:rPr>
                <w:webHidden/>
                <w:rStyle w:val="IndexLink"/>
                <w:rtl w:val="true"/>
              </w:rPr>
              <w:t>جواز استيجار نفس براى شير دادن</w:t>
            </w:r>
            <w:r>
              <w:rPr>
                <w:rStyle w:val="IndexLink"/>
                <w:rtl w:val="true"/>
              </w:rPr>
              <w:tab/>
            </w:r>
            <w:r>
              <w:rPr>
                <w:rStyle w:val="IndexLink"/>
              </w:rPr>
              <w:t>138</w:t>
            </w:r>
          </w:hyperlink>
        </w:p>
        <w:p>
          <w:pPr>
            <w:pStyle w:val="Contents5"/>
            <w:tabs>
              <w:tab w:val="clear" w:pos="7892"/>
              <w:tab w:val="right" w:pos="9026" w:leader="dot"/>
            </w:tabs>
            <w:rPr/>
          </w:pPr>
          <w:hyperlink w:anchor="__RefHeading___Toc3807591_1067777946">
            <w:r>
              <w:rPr>
                <w:webHidden/>
                <w:rStyle w:val="IndexLink"/>
                <w:rtl w:val="true"/>
              </w:rPr>
              <w:t>حد شير دادن</w:t>
            </w:r>
            <w:r>
              <w:rPr>
                <w:rStyle w:val="IndexLink"/>
                <w:rtl w:val="true"/>
              </w:rPr>
              <w:tab/>
            </w:r>
            <w:r>
              <w:rPr>
                <w:rStyle w:val="IndexLink"/>
              </w:rPr>
              <w:t>138</w:t>
            </w:r>
          </w:hyperlink>
        </w:p>
        <w:p>
          <w:pPr>
            <w:pStyle w:val="Contents5"/>
            <w:tabs>
              <w:tab w:val="clear" w:pos="7892"/>
              <w:tab w:val="right" w:pos="9026" w:leader="dot"/>
            </w:tabs>
            <w:rPr/>
          </w:pPr>
          <w:hyperlink w:anchor="__RefHeading___Toc3807593_1067777946">
            <w:r>
              <w:rPr>
                <w:webHidden/>
                <w:rStyle w:val="IndexLink"/>
                <w:rtl w:val="true"/>
              </w:rPr>
              <w:t>استحقاق اجرت شير دادن در فرض عدم تبرّع</w:t>
            </w:r>
            <w:r>
              <w:rPr>
                <w:rStyle w:val="IndexLink"/>
                <w:rtl w:val="true"/>
              </w:rPr>
              <w:tab/>
            </w:r>
            <w:r>
              <w:rPr>
                <w:rStyle w:val="IndexLink"/>
              </w:rPr>
              <w:t>138</w:t>
            </w:r>
          </w:hyperlink>
        </w:p>
        <w:p>
          <w:pPr>
            <w:pStyle w:val="Contents5"/>
            <w:tabs>
              <w:tab w:val="clear" w:pos="7892"/>
              <w:tab w:val="right" w:pos="9026" w:leader="dot"/>
            </w:tabs>
            <w:rPr/>
          </w:pPr>
          <w:hyperlink w:anchor="__RefHeading___Toc3807595_1067777946">
            <w:r>
              <w:rPr>
                <w:webHidden/>
                <w:rStyle w:val="IndexLink"/>
                <w:rtl w:val="true"/>
              </w:rPr>
              <w:t>تقدم اُم در رضاع و فرض استيجار</w:t>
            </w:r>
            <w:r>
              <w:rPr>
                <w:rStyle w:val="IndexLink"/>
                <w:rtl w:val="true"/>
              </w:rPr>
              <w:tab/>
            </w:r>
            <w:r>
              <w:rPr>
                <w:rStyle w:val="IndexLink"/>
              </w:rPr>
              <w:t>139</w:t>
            </w:r>
          </w:hyperlink>
        </w:p>
        <w:p>
          <w:pPr>
            <w:pStyle w:val="Contents4"/>
            <w:tabs>
              <w:tab w:val="clear" w:pos="8176"/>
              <w:tab w:val="right" w:pos="9026" w:leader="dot"/>
            </w:tabs>
            <w:rPr/>
          </w:pPr>
          <w:hyperlink w:anchor="__RefHeading___Toc3807597_1067777946">
            <w:r>
              <w:rPr>
                <w:webHidden/>
                <w:rStyle w:val="IndexLink"/>
                <w:rtl w:val="true"/>
              </w:rPr>
              <w:t>حضانت</w:t>
            </w:r>
            <w:r>
              <w:rPr>
                <w:rStyle w:val="IndexLink"/>
                <w:rtl w:val="true"/>
              </w:rPr>
              <w:tab/>
            </w:r>
            <w:r>
              <w:rPr>
                <w:rStyle w:val="IndexLink"/>
              </w:rPr>
              <w:t>139</w:t>
            </w:r>
          </w:hyperlink>
        </w:p>
        <w:p>
          <w:pPr>
            <w:pStyle w:val="Contents5"/>
            <w:tabs>
              <w:tab w:val="clear" w:pos="7892"/>
              <w:tab w:val="right" w:pos="9026" w:leader="dot"/>
            </w:tabs>
            <w:rPr/>
          </w:pPr>
          <w:hyperlink w:anchor="__RefHeading___Toc3807599_1067777946">
            <w:r>
              <w:rPr>
                <w:webHidden/>
                <w:rStyle w:val="IndexLink"/>
                <w:rtl w:val="true"/>
              </w:rPr>
              <w:t>حضانت مادر و شرايط آن</w:t>
            </w:r>
            <w:r>
              <w:rPr>
                <w:rStyle w:val="IndexLink"/>
                <w:rtl w:val="true"/>
              </w:rPr>
              <w:tab/>
            </w:r>
            <w:r>
              <w:rPr>
                <w:rStyle w:val="IndexLink"/>
              </w:rPr>
              <w:t>139</w:t>
            </w:r>
          </w:hyperlink>
        </w:p>
        <w:p>
          <w:pPr>
            <w:pStyle w:val="Contents5"/>
            <w:tabs>
              <w:tab w:val="clear" w:pos="7892"/>
              <w:tab w:val="right" w:pos="9026" w:leader="dot"/>
            </w:tabs>
            <w:rPr/>
          </w:pPr>
          <w:hyperlink w:anchor="__RefHeading___Toc3807601_1067777946">
            <w:r>
              <w:rPr>
                <w:webHidden/>
                <w:rStyle w:val="IndexLink"/>
                <w:rtl w:val="true"/>
              </w:rPr>
              <w:t>اختلاف در مهايات يا استيجار متصدى حضانت</w:t>
            </w:r>
            <w:r>
              <w:rPr>
                <w:rStyle w:val="IndexLink"/>
                <w:rtl w:val="true"/>
              </w:rPr>
              <w:tab/>
            </w:r>
            <w:r>
              <w:rPr>
                <w:rStyle w:val="IndexLink"/>
              </w:rPr>
              <w:t>140</w:t>
            </w:r>
          </w:hyperlink>
        </w:p>
        <w:p>
          <w:pPr>
            <w:pStyle w:val="Contents5"/>
            <w:tabs>
              <w:tab w:val="clear" w:pos="7892"/>
              <w:tab w:val="right" w:pos="9026" w:leader="dot"/>
            </w:tabs>
            <w:rPr/>
          </w:pPr>
          <w:hyperlink w:anchor="__RefHeading___Toc3807603_1067777946">
            <w:r>
              <w:rPr>
                <w:webHidden/>
                <w:rStyle w:val="IndexLink"/>
                <w:rtl w:val="true"/>
              </w:rPr>
              <w:t>موارد سقوط حضانت اُم</w:t>
            </w:r>
            <w:r>
              <w:rPr>
                <w:rStyle w:val="IndexLink"/>
                <w:rtl w:val="true"/>
              </w:rPr>
              <w:tab/>
            </w:r>
            <w:r>
              <w:rPr>
                <w:rStyle w:val="IndexLink"/>
              </w:rPr>
              <w:t>140</w:t>
            </w:r>
          </w:hyperlink>
        </w:p>
        <w:p>
          <w:pPr>
            <w:pStyle w:val="Contents5"/>
            <w:tabs>
              <w:tab w:val="clear" w:pos="7892"/>
              <w:tab w:val="right" w:pos="9026" w:leader="dot"/>
            </w:tabs>
            <w:rPr/>
          </w:pPr>
          <w:hyperlink w:anchor="__RefHeading___Toc3807605_1067777946">
            <w:r>
              <w:rPr>
                <w:webHidden/>
                <w:rStyle w:val="IndexLink"/>
                <w:rtl w:val="true"/>
              </w:rPr>
              <w:t>مسقطيّت ازدواج جديد</w:t>
            </w:r>
            <w:r>
              <w:rPr>
                <w:rStyle w:val="IndexLink"/>
                <w:rtl w:val="true"/>
              </w:rPr>
              <w:tab/>
            </w:r>
            <w:r>
              <w:rPr>
                <w:rStyle w:val="IndexLink"/>
              </w:rPr>
              <w:t>141</w:t>
            </w:r>
          </w:hyperlink>
        </w:p>
        <w:p>
          <w:pPr>
            <w:pStyle w:val="Contents5"/>
            <w:tabs>
              <w:tab w:val="clear" w:pos="7892"/>
              <w:tab w:val="right" w:pos="9026" w:leader="dot"/>
            </w:tabs>
            <w:rPr/>
          </w:pPr>
          <w:hyperlink w:anchor="__RefHeading___Toc3807607_1067777946">
            <w:r>
              <w:rPr>
                <w:webHidden/>
                <w:rStyle w:val="IndexLink"/>
                <w:rtl w:val="true"/>
              </w:rPr>
              <w:t>ميزان انتهاى حضانت</w:t>
            </w:r>
            <w:r>
              <w:rPr>
                <w:rStyle w:val="IndexLink"/>
                <w:rtl w:val="true"/>
              </w:rPr>
              <w:tab/>
            </w:r>
            <w:r>
              <w:rPr>
                <w:rStyle w:val="IndexLink"/>
              </w:rPr>
              <w:t>141</w:t>
            </w:r>
          </w:hyperlink>
        </w:p>
        <w:p>
          <w:pPr>
            <w:pStyle w:val="Contents5"/>
            <w:tabs>
              <w:tab w:val="clear" w:pos="7892"/>
              <w:tab w:val="right" w:pos="9026" w:leader="dot"/>
            </w:tabs>
            <w:rPr/>
          </w:pPr>
          <w:hyperlink w:anchor="__RefHeading___Toc3807609_1067777946">
            <w:r>
              <w:rPr>
                <w:webHidden/>
                <w:rStyle w:val="IndexLink"/>
                <w:rtl w:val="true"/>
              </w:rPr>
              <w:t>حق حضانت در صورت فوت والدين</w:t>
            </w:r>
            <w:r>
              <w:rPr>
                <w:rStyle w:val="IndexLink"/>
                <w:rtl w:val="true"/>
              </w:rPr>
              <w:tab/>
            </w:r>
            <w:r>
              <w:rPr>
                <w:rStyle w:val="IndexLink"/>
              </w:rPr>
              <w:t>141</w:t>
            </w:r>
          </w:hyperlink>
        </w:p>
        <w:p>
          <w:pPr>
            <w:pStyle w:val="Contents5"/>
            <w:tabs>
              <w:tab w:val="clear" w:pos="7892"/>
              <w:tab w:val="right" w:pos="9026" w:leader="dot"/>
            </w:tabs>
            <w:rPr/>
          </w:pPr>
          <w:hyperlink w:anchor="__RefHeading___Toc3807611_1067777946">
            <w:r>
              <w:rPr>
                <w:webHidden/>
                <w:rStyle w:val="IndexLink"/>
                <w:rtl w:val="true"/>
              </w:rPr>
              <w:t>شرايط حضانت اب</w:t>
            </w:r>
            <w:r>
              <w:rPr>
                <w:rStyle w:val="IndexLink"/>
                <w:rtl w:val="true"/>
              </w:rPr>
              <w:tab/>
            </w:r>
            <w:r>
              <w:rPr>
                <w:rStyle w:val="IndexLink"/>
              </w:rPr>
              <w:t>142</w:t>
            </w:r>
          </w:hyperlink>
        </w:p>
        <w:p>
          <w:pPr>
            <w:pStyle w:val="Contents5"/>
            <w:tabs>
              <w:tab w:val="clear" w:pos="7892"/>
              <w:tab w:val="right" w:pos="9026" w:leader="dot"/>
            </w:tabs>
            <w:rPr/>
          </w:pPr>
          <w:hyperlink w:anchor="__RefHeading___Toc3807613_1067777946">
            <w:r>
              <w:rPr>
                <w:webHidden/>
                <w:rStyle w:val="IndexLink"/>
                <w:rtl w:val="true"/>
              </w:rPr>
              <w:t>مفقود شدن ابوين</w:t>
            </w:r>
            <w:r>
              <w:rPr>
                <w:rStyle w:val="IndexLink"/>
                <w:rtl w:val="true"/>
              </w:rPr>
              <w:tab/>
            </w:r>
            <w:r>
              <w:rPr>
                <w:rStyle w:val="IndexLink"/>
              </w:rPr>
              <w:t>142</w:t>
            </w:r>
          </w:hyperlink>
        </w:p>
        <w:p>
          <w:pPr>
            <w:pStyle w:val="Contents5"/>
            <w:tabs>
              <w:tab w:val="clear" w:pos="7892"/>
              <w:tab w:val="right" w:pos="9026" w:leader="dot"/>
            </w:tabs>
            <w:rPr/>
          </w:pPr>
          <w:hyperlink w:anchor="__RefHeading___Toc3807615_1067777946">
            <w:r>
              <w:rPr>
                <w:webHidden/>
                <w:rStyle w:val="IndexLink"/>
                <w:rtl w:val="true"/>
              </w:rPr>
              <w:t>عدم حضانت بعد از بلوغ</w:t>
            </w:r>
            <w:r>
              <w:rPr>
                <w:rStyle w:val="IndexLink"/>
                <w:rtl w:val="true"/>
              </w:rPr>
              <w:tab/>
            </w:r>
            <w:r>
              <w:rPr>
                <w:rStyle w:val="IndexLink"/>
              </w:rPr>
              <w:t>142</w:t>
            </w:r>
          </w:hyperlink>
        </w:p>
        <w:p>
          <w:pPr>
            <w:pStyle w:val="Contents5"/>
            <w:tabs>
              <w:tab w:val="clear" w:pos="7892"/>
              <w:tab w:val="right" w:pos="9026" w:leader="dot"/>
            </w:tabs>
            <w:rPr/>
          </w:pPr>
          <w:hyperlink w:anchor="__RefHeading___Toc3807617_1067777946">
            <w:r>
              <w:rPr>
                <w:webHidden/>
                <w:rStyle w:val="IndexLink"/>
                <w:rtl w:val="true"/>
              </w:rPr>
              <w:t>وجوب و عدم وجوب حق حضانت، بر غير والدين</w:t>
            </w:r>
            <w:r>
              <w:rPr>
                <w:rStyle w:val="IndexLink"/>
                <w:rtl w:val="true"/>
              </w:rPr>
              <w:tab/>
            </w:r>
            <w:r>
              <w:rPr>
                <w:rStyle w:val="IndexLink"/>
              </w:rPr>
              <w:t>142</w:t>
            </w:r>
          </w:hyperlink>
        </w:p>
        <w:p>
          <w:pPr>
            <w:pStyle w:val="Contents5"/>
            <w:tabs>
              <w:tab w:val="clear" w:pos="7892"/>
              <w:tab w:val="right" w:pos="9026" w:leader="dot"/>
            </w:tabs>
            <w:rPr/>
          </w:pPr>
          <w:hyperlink w:anchor="__RefHeading___Toc3807619_1067777946">
            <w:r>
              <w:rPr>
                <w:webHidden/>
                <w:rStyle w:val="IndexLink"/>
                <w:rtl w:val="true"/>
              </w:rPr>
              <w:t>عود حضانت بعد از طلاق</w:t>
            </w:r>
            <w:r>
              <w:rPr>
                <w:rStyle w:val="IndexLink"/>
                <w:rtl w:val="true"/>
              </w:rPr>
              <w:tab/>
            </w:r>
            <w:r>
              <w:rPr>
                <w:rStyle w:val="IndexLink"/>
              </w:rPr>
              <w:t>143</w:t>
            </w:r>
          </w:hyperlink>
        </w:p>
        <w:p>
          <w:pPr>
            <w:pStyle w:val="Contents3"/>
            <w:tabs>
              <w:tab w:val="clear" w:pos="8459"/>
              <w:tab w:val="right" w:pos="9026" w:leader="dot"/>
            </w:tabs>
            <w:rPr/>
          </w:pPr>
          <w:hyperlink w:anchor="__RefHeading___Toc3807621_1067777946">
            <w:r>
              <w:rPr>
                <w:webHidden/>
                <w:rStyle w:val="IndexLink"/>
                <w:rtl w:val="true"/>
              </w:rPr>
              <w:t>فصل دوازدهم نفقات</w:t>
            </w:r>
            <w:r>
              <w:rPr>
                <w:rStyle w:val="IndexLink"/>
                <w:rtl w:val="true"/>
              </w:rPr>
              <w:tab/>
            </w:r>
            <w:r>
              <w:rPr>
                <w:rStyle w:val="IndexLink"/>
              </w:rPr>
              <w:t>144</w:t>
            </w:r>
          </w:hyperlink>
        </w:p>
        <w:p>
          <w:pPr>
            <w:pStyle w:val="Contents4"/>
            <w:tabs>
              <w:tab w:val="clear" w:pos="8176"/>
              <w:tab w:val="right" w:pos="9026" w:leader="dot"/>
            </w:tabs>
            <w:rPr/>
          </w:pPr>
          <w:hyperlink w:anchor="__RefHeading___Toc3807623_1067777946">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3807625_1067777946">
            <w:r>
              <w:rPr>
                <w:webHidden/>
                <w:rStyle w:val="IndexLink"/>
                <w:rtl w:val="true"/>
              </w:rPr>
              <w:t>نفقۀ زوجه</w:t>
            </w:r>
            <w:r>
              <w:rPr>
                <w:rStyle w:val="IndexLink"/>
                <w:rtl w:val="true"/>
              </w:rPr>
              <w:tab/>
            </w:r>
            <w:r>
              <w:rPr>
                <w:rStyle w:val="IndexLink"/>
              </w:rPr>
              <w:t>144</w:t>
            </w:r>
          </w:hyperlink>
        </w:p>
        <w:p>
          <w:pPr>
            <w:pStyle w:val="Contents5"/>
            <w:tabs>
              <w:tab w:val="clear" w:pos="7892"/>
              <w:tab w:val="right" w:pos="9026" w:leader="dot"/>
            </w:tabs>
            <w:rPr/>
          </w:pPr>
          <w:hyperlink w:anchor="__RefHeading___Toc3807627_1067777946">
            <w:r>
              <w:rPr>
                <w:webHidden/>
                <w:rStyle w:val="IndexLink"/>
                <w:rtl w:val="true"/>
              </w:rPr>
              <w:t>شرايط وجوب نفقۀ زوجه</w:t>
            </w:r>
            <w:r>
              <w:rPr>
                <w:rStyle w:val="IndexLink"/>
                <w:rtl w:val="true"/>
              </w:rPr>
              <w:tab/>
            </w:r>
            <w:r>
              <w:rPr>
                <w:rStyle w:val="IndexLink"/>
              </w:rPr>
              <w:t>144</w:t>
            </w:r>
          </w:hyperlink>
        </w:p>
        <w:p>
          <w:pPr>
            <w:pStyle w:val="Contents5"/>
            <w:tabs>
              <w:tab w:val="clear" w:pos="7892"/>
              <w:tab w:val="right" w:pos="9026" w:leader="dot"/>
            </w:tabs>
            <w:rPr/>
          </w:pPr>
          <w:hyperlink w:anchor="__RefHeading___Toc3807629_1067777946">
            <w:r>
              <w:rPr>
                <w:webHidden/>
                <w:rStyle w:val="IndexLink"/>
                <w:rtl w:val="true"/>
              </w:rPr>
              <w:t>نفقۀ صغيره</w:t>
            </w:r>
            <w:r>
              <w:rPr>
                <w:rStyle w:val="IndexLink"/>
                <w:rtl w:val="true"/>
              </w:rPr>
              <w:tab/>
            </w:r>
            <w:r>
              <w:rPr>
                <w:rStyle w:val="IndexLink"/>
              </w:rPr>
              <w:t>144</w:t>
            </w:r>
          </w:hyperlink>
        </w:p>
        <w:p>
          <w:pPr>
            <w:pStyle w:val="Contents5"/>
            <w:tabs>
              <w:tab w:val="clear" w:pos="7892"/>
              <w:tab w:val="right" w:pos="9026" w:leader="dot"/>
            </w:tabs>
            <w:rPr/>
          </w:pPr>
          <w:hyperlink w:anchor="__RefHeading___Toc3807631_1067777946">
            <w:r>
              <w:rPr>
                <w:webHidden/>
                <w:rStyle w:val="IndexLink"/>
                <w:rtl w:val="true"/>
              </w:rPr>
              <w:t>نفقۀ حائض و امثال آن</w:t>
            </w:r>
            <w:r>
              <w:rPr>
                <w:rStyle w:val="IndexLink"/>
                <w:rtl w:val="true"/>
              </w:rPr>
              <w:tab/>
            </w:r>
            <w:r>
              <w:rPr>
                <w:rStyle w:val="IndexLink"/>
              </w:rPr>
              <w:t>144</w:t>
            </w:r>
          </w:hyperlink>
        </w:p>
        <w:p>
          <w:pPr>
            <w:pStyle w:val="Contents5"/>
            <w:tabs>
              <w:tab w:val="clear" w:pos="7892"/>
              <w:tab w:val="right" w:pos="9026" w:leader="dot"/>
            </w:tabs>
            <w:rPr/>
          </w:pPr>
          <w:hyperlink w:anchor="__RefHeading___Toc3807633_1067777946">
            <w:r>
              <w:rPr>
                <w:webHidden/>
                <w:rStyle w:val="IndexLink"/>
                <w:rtl w:val="true"/>
              </w:rPr>
              <w:t>نفقه در عدّه و زمان حمل</w:t>
            </w:r>
            <w:r>
              <w:rPr>
                <w:rStyle w:val="IndexLink"/>
                <w:rtl w:val="true"/>
              </w:rPr>
              <w:tab/>
            </w:r>
            <w:r>
              <w:rPr>
                <w:rStyle w:val="IndexLink"/>
              </w:rPr>
              <w:t>145</w:t>
            </w:r>
          </w:hyperlink>
        </w:p>
        <w:p>
          <w:pPr>
            <w:pStyle w:val="Contents5"/>
            <w:tabs>
              <w:tab w:val="clear" w:pos="7892"/>
              <w:tab w:val="right" w:pos="9026" w:leader="dot"/>
            </w:tabs>
            <w:rPr/>
          </w:pPr>
          <w:hyperlink w:anchor="__RefHeading___Toc3807635_1067777946">
            <w:r>
              <w:rPr>
                <w:webHidden/>
                <w:rStyle w:val="IndexLink"/>
                <w:rtl w:val="true"/>
              </w:rPr>
              <w:t>عدم نفقه در عدّه بائن مگر حامل</w:t>
            </w:r>
            <w:r>
              <w:rPr>
                <w:rStyle w:val="IndexLink"/>
                <w:rtl w:val="true"/>
              </w:rPr>
              <w:tab/>
            </w:r>
            <w:r>
              <w:rPr>
                <w:rStyle w:val="IndexLink"/>
              </w:rPr>
              <w:t>146</w:t>
            </w:r>
          </w:hyperlink>
        </w:p>
        <w:p>
          <w:pPr>
            <w:pStyle w:val="Contents5"/>
            <w:tabs>
              <w:tab w:val="clear" w:pos="7892"/>
              <w:tab w:val="right" w:pos="9026" w:leader="dot"/>
            </w:tabs>
            <w:rPr/>
          </w:pPr>
          <w:hyperlink w:anchor="__RefHeading___Toc3807637_1067777946">
            <w:r>
              <w:rPr>
                <w:webHidden/>
                <w:rStyle w:val="IndexLink"/>
                <w:rtl w:val="true"/>
              </w:rPr>
              <w:t>ثمرات تفرقه بين ثبوت نفقه براى حامل يا حمل</w:t>
            </w:r>
            <w:r>
              <w:rPr>
                <w:rStyle w:val="IndexLink"/>
                <w:rtl w:val="true"/>
              </w:rPr>
              <w:tab/>
            </w:r>
            <w:r>
              <w:rPr>
                <w:rStyle w:val="IndexLink"/>
              </w:rPr>
              <w:t>146</w:t>
            </w:r>
          </w:hyperlink>
        </w:p>
        <w:p>
          <w:pPr>
            <w:pStyle w:val="Contents5"/>
            <w:tabs>
              <w:tab w:val="clear" w:pos="7892"/>
              <w:tab w:val="right" w:pos="9026" w:leader="dot"/>
            </w:tabs>
            <w:rPr/>
          </w:pPr>
          <w:hyperlink w:anchor="__RefHeading___Toc3807639_1067777946">
            <w:r>
              <w:rPr>
                <w:webHidden/>
                <w:rStyle w:val="IndexLink"/>
                <w:rtl w:val="true"/>
              </w:rPr>
              <w:t>نفقۀ حاملى كه زوجش وفات نموده</w:t>
            </w:r>
            <w:r>
              <w:rPr>
                <w:rStyle w:val="IndexLink"/>
                <w:rtl w:val="true"/>
              </w:rPr>
              <w:tab/>
            </w:r>
            <w:r>
              <w:rPr>
                <w:rStyle w:val="IndexLink"/>
              </w:rPr>
              <w:t>147</w:t>
            </w:r>
          </w:hyperlink>
        </w:p>
        <w:p>
          <w:pPr>
            <w:pStyle w:val="Contents4"/>
            <w:tabs>
              <w:tab w:val="clear" w:pos="8176"/>
              <w:tab w:val="right" w:pos="9026" w:leader="dot"/>
            </w:tabs>
            <w:rPr/>
          </w:pPr>
          <w:hyperlink w:anchor="__RefHeading___Toc3807641_1067777946">
            <w:r>
              <w:rPr>
                <w:webHidden/>
                <w:rStyle w:val="IndexLink"/>
                <w:rtl w:val="true"/>
              </w:rPr>
              <w:t>مقدار نفقۀ زوجه</w:t>
            </w:r>
            <w:r>
              <w:rPr>
                <w:rStyle w:val="IndexLink"/>
                <w:rtl w:val="true"/>
              </w:rPr>
              <w:tab/>
            </w:r>
            <w:r>
              <w:rPr>
                <w:rStyle w:val="IndexLink"/>
              </w:rPr>
              <w:t>147</w:t>
            </w:r>
          </w:hyperlink>
        </w:p>
        <w:p>
          <w:pPr>
            <w:pStyle w:val="Contents5"/>
            <w:tabs>
              <w:tab w:val="clear" w:pos="7892"/>
              <w:tab w:val="right" w:pos="9026" w:leader="dot"/>
            </w:tabs>
            <w:rPr/>
          </w:pPr>
          <w:hyperlink w:anchor="__RefHeading___Toc3807643_1067777946">
            <w:r>
              <w:rPr>
                <w:webHidden/>
                <w:rStyle w:val="IndexLink"/>
                <w:rtl w:val="true"/>
              </w:rPr>
              <w:t>رعايت متعارف اهل بلد به حسب مرتبه</w:t>
            </w:r>
            <w:r>
              <w:rPr>
                <w:rStyle w:val="IndexLink"/>
                <w:rtl w:val="true"/>
              </w:rPr>
              <w:tab/>
            </w:r>
            <w:r>
              <w:rPr>
                <w:rStyle w:val="IndexLink"/>
              </w:rPr>
              <w:t>147</w:t>
            </w:r>
          </w:hyperlink>
        </w:p>
        <w:p>
          <w:pPr>
            <w:pStyle w:val="Contents5"/>
            <w:tabs>
              <w:tab w:val="clear" w:pos="7892"/>
              <w:tab w:val="right" w:pos="9026" w:leader="dot"/>
            </w:tabs>
            <w:rPr/>
          </w:pPr>
          <w:hyperlink w:anchor="__RefHeading___Toc3807645_1067777946">
            <w:r>
              <w:rPr>
                <w:webHidden/>
                <w:rStyle w:val="IndexLink"/>
                <w:rtl w:val="true"/>
              </w:rPr>
              <w:t>عدم قدرت زوج، بر نفقۀ لازمه</w:t>
            </w:r>
            <w:r>
              <w:rPr>
                <w:rStyle w:val="IndexLink"/>
                <w:rtl w:val="true"/>
              </w:rPr>
              <w:tab/>
            </w:r>
            <w:r>
              <w:rPr>
                <w:rStyle w:val="IndexLink"/>
              </w:rPr>
              <w:t>148</w:t>
            </w:r>
          </w:hyperlink>
        </w:p>
        <w:p>
          <w:pPr>
            <w:pStyle w:val="Contents5"/>
            <w:tabs>
              <w:tab w:val="clear" w:pos="7892"/>
              <w:tab w:val="right" w:pos="9026" w:leader="dot"/>
            </w:tabs>
            <w:rPr/>
          </w:pPr>
          <w:hyperlink w:anchor="__RefHeading___Toc3807647_1067777946">
            <w:r>
              <w:rPr>
                <w:webHidden/>
                <w:rStyle w:val="IndexLink"/>
                <w:rtl w:val="true"/>
              </w:rPr>
              <w:t>رعايت عادت امثال در لوازم زندگى</w:t>
            </w:r>
            <w:r>
              <w:rPr>
                <w:rStyle w:val="IndexLink"/>
                <w:rtl w:val="true"/>
              </w:rPr>
              <w:tab/>
            </w:r>
            <w:r>
              <w:rPr>
                <w:rStyle w:val="IndexLink"/>
              </w:rPr>
              <w:t>148</w:t>
            </w:r>
          </w:hyperlink>
        </w:p>
        <w:p>
          <w:pPr>
            <w:pStyle w:val="Contents5"/>
            <w:tabs>
              <w:tab w:val="clear" w:pos="7892"/>
              <w:tab w:val="right" w:pos="9026" w:leader="dot"/>
            </w:tabs>
            <w:rPr/>
          </w:pPr>
          <w:hyperlink w:anchor="__RefHeading___Toc3807649_1067777946">
            <w:r>
              <w:rPr>
                <w:webHidden/>
                <w:rStyle w:val="IndexLink"/>
                <w:rtl w:val="true"/>
              </w:rPr>
              <w:t>آنچه براى بقاى خود زن لازم است</w:t>
            </w:r>
            <w:r>
              <w:rPr>
                <w:rStyle w:val="IndexLink"/>
                <w:rtl w:val="true"/>
              </w:rPr>
              <w:tab/>
            </w:r>
            <w:r>
              <w:rPr>
                <w:rStyle w:val="IndexLink"/>
              </w:rPr>
              <w:t>148</w:t>
            </w:r>
          </w:hyperlink>
        </w:p>
        <w:p>
          <w:pPr>
            <w:pStyle w:val="Contents5"/>
            <w:tabs>
              <w:tab w:val="clear" w:pos="7892"/>
              <w:tab w:val="right" w:pos="9026" w:leader="dot"/>
            </w:tabs>
            <w:rPr/>
          </w:pPr>
          <w:hyperlink w:anchor="__RefHeading___Toc3807651_1067777946">
            <w:r>
              <w:rPr>
                <w:webHidden/>
                <w:rStyle w:val="IndexLink"/>
                <w:rtl w:val="true"/>
              </w:rPr>
              <w:t>معاشرت به معروف</w:t>
            </w:r>
            <w:r>
              <w:rPr>
                <w:rStyle w:val="IndexLink"/>
                <w:rtl w:val="true"/>
              </w:rPr>
              <w:tab/>
            </w:r>
            <w:r>
              <w:rPr>
                <w:rStyle w:val="IndexLink"/>
              </w:rPr>
              <w:t>149</w:t>
            </w:r>
          </w:hyperlink>
        </w:p>
        <w:p>
          <w:pPr>
            <w:pStyle w:val="Contents4"/>
            <w:tabs>
              <w:tab w:val="clear" w:pos="8176"/>
              <w:tab w:val="right" w:pos="9026" w:leader="dot"/>
            </w:tabs>
            <w:rPr/>
          </w:pPr>
          <w:hyperlink w:anchor="__RefHeading___Toc3807653_1067777946">
            <w:r>
              <w:rPr>
                <w:webHidden/>
                <w:rStyle w:val="IndexLink"/>
                <w:rtl w:val="true"/>
              </w:rPr>
              <w:t>احكام نفقۀ زوجه</w:t>
            </w:r>
            <w:r>
              <w:rPr>
                <w:rStyle w:val="IndexLink"/>
                <w:rtl w:val="true"/>
              </w:rPr>
              <w:tab/>
            </w:r>
            <w:r>
              <w:rPr>
                <w:rStyle w:val="IndexLink"/>
              </w:rPr>
              <w:t>149</w:t>
            </w:r>
          </w:hyperlink>
        </w:p>
        <w:p>
          <w:pPr>
            <w:pStyle w:val="Contents5"/>
            <w:tabs>
              <w:tab w:val="clear" w:pos="7892"/>
              <w:tab w:val="right" w:pos="9026" w:leader="dot"/>
            </w:tabs>
            <w:rPr/>
          </w:pPr>
          <w:hyperlink w:anchor="__RefHeading___Toc3807655_1067777946">
            <w:r>
              <w:rPr>
                <w:webHidden/>
                <w:rStyle w:val="IndexLink"/>
                <w:rtl w:val="true"/>
              </w:rPr>
              <w:t>تخيير در نحوۀ خدمت</w:t>
            </w:r>
            <w:r>
              <w:rPr>
                <w:rStyle w:val="IndexLink"/>
                <w:rtl w:val="true"/>
              </w:rPr>
              <w:tab/>
            </w:r>
            <w:r>
              <w:rPr>
                <w:rStyle w:val="IndexLink"/>
              </w:rPr>
              <w:t>149</w:t>
            </w:r>
          </w:hyperlink>
        </w:p>
        <w:p>
          <w:pPr>
            <w:pStyle w:val="Contents5"/>
            <w:tabs>
              <w:tab w:val="clear" w:pos="7892"/>
              <w:tab w:val="right" w:pos="9026" w:leader="dot"/>
            </w:tabs>
            <w:rPr/>
          </w:pPr>
          <w:hyperlink w:anchor="__RefHeading___Toc3807657_1067777946">
            <w:r>
              <w:rPr>
                <w:webHidden/>
                <w:rStyle w:val="IndexLink"/>
                <w:rtl w:val="true"/>
              </w:rPr>
              <w:t>وجوب نفقۀ هر روز و اناطه به تمكين</w:t>
            </w:r>
            <w:r>
              <w:rPr>
                <w:rStyle w:val="IndexLink"/>
                <w:rtl w:val="true"/>
              </w:rPr>
              <w:tab/>
            </w:r>
            <w:r>
              <w:rPr>
                <w:rStyle w:val="IndexLink"/>
              </w:rPr>
              <w:t>149</w:t>
            </w:r>
          </w:hyperlink>
        </w:p>
        <w:p>
          <w:pPr>
            <w:pStyle w:val="Contents5"/>
            <w:tabs>
              <w:tab w:val="clear" w:pos="7892"/>
              <w:tab w:val="right" w:pos="9026" w:leader="dot"/>
            </w:tabs>
            <w:rPr/>
          </w:pPr>
          <w:hyperlink w:anchor="__RefHeading___Toc3807659_1067777946">
            <w:r>
              <w:rPr>
                <w:webHidden/>
                <w:rStyle w:val="IndexLink"/>
                <w:rtl w:val="true"/>
              </w:rPr>
              <w:t>مقدّمات اطعام</w:t>
            </w:r>
            <w:r>
              <w:rPr>
                <w:rStyle w:val="IndexLink"/>
                <w:rtl w:val="true"/>
              </w:rPr>
              <w:tab/>
            </w:r>
            <w:r>
              <w:rPr>
                <w:rStyle w:val="IndexLink"/>
              </w:rPr>
              <w:t>149</w:t>
            </w:r>
          </w:hyperlink>
        </w:p>
        <w:p>
          <w:pPr>
            <w:pStyle w:val="Contents5"/>
            <w:tabs>
              <w:tab w:val="clear" w:pos="7892"/>
              <w:tab w:val="right" w:pos="9026" w:leader="dot"/>
            </w:tabs>
            <w:rPr/>
          </w:pPr>
          <w:hyperlink w:anchor="__RefHeading___Toc3807661_1067777946">
            <w:r>
              <w:rPr>
                <w:webHidden/>
                <w:rStyle w:val="IndexLink"/>
                <w:rtl w:val="true"/>
              </w:rPr>
              <w:t>استقرار در ذمّه با تمكين و عدم دفع</w:t>
            </w:r>
            <w:r>
              <w:rPr>
                <w:rStyle w:val="IndexLink"/>
                <w:rtl w:val="true"/>
              </w:rPr>
              <w:tab/>
            </w:r>
            <w:r>
              <w:rPr>
                <w:rStyle w:val="IndexLink"/>
              </w:rPr>
              <w:t>149</w:t>
            </w:r>
          </w:hyperlink>
        </w:p>
        <w:p>
          <w:pPr>
            <w:pStyle w:val="Contents5"/>
            <w:tabs>
              <w:tab w:val="clear" w:pos="7892"/>
              <w:tab w:val="right" w:pos="9026" w:leader="dot"/>
            </w:tabs>
            <w:rPr/>
          </w:pPr>
          <w:hyperlink w:anchor="__RefHeading___Toc3807663_1067777946">
            <w:r>
              <w:rPr>
                <w:webHidden/>
                <w:rStyle w:val="IndexLink"/>
                <w:rtl w:val="true"/>
              </w:rPr>
              <w:t>استرداد در فرض موت يا طلاق يا نشوز زوجه</w:t>
            </w:r>
            <w:r>
              <w:rPr>
                <w:rStyle w:val="IndexLink"/>
                <w:rtl w:val="true"/>
              </w:rPr>
              <w:tab/>
            </w:r>
            <w:r>
              <w:rPr>
                <w:rStyle w:val="IndexLink"/>
              </w:rPr>
              <w:t>149</w:t>
            </w:r>
          </w:hyperlink>
        </w:p>
        <w:p>
          <w:pPr>
            <w:pStyle w:val="Contents5"/>
            <w:tabs>
              <w:tab w:val="clear" w:pos="7892"/>
              <w:tab w:val="right" w:pos="9026" w:leader="dot"/>
            </w:tabs>
            <w:rPr/>
          </w:pPr>
          <w:hyperlink w:anchor="__RefHeading___Toc3807665_1067777946">
            <w:r>
              <w:rPr>
                <w:webHidden/>
                <w:rStyle w:val="IndexLink"/>
                <w:rtl w:val="true"/>
              </w:rPr>
              <w:t>مالكيّت زن بر نفقه و لو صرف نكند</w:t>
            </w:r>
            <w:r>
              <w:rPr>
                <w:rStyle w:val="IndexLink"/>
                <w:rtl w:val="true"/>
              </w:rPr>
              <w:tab/>
            </w:r>
            <w:r>
              <w:rPr>
                <w:rStyle w:val="IndexLink"/>
              </w:rPr>
              <w:t>150</w:t>
            </w:r>
          </w:hyperlink>
        </w:p>
        <w:p>
          <w:pPr>
            <w:pStyle w:val="Contents5"/>
            <w:tabs>
              <w:tab w:val="clear" w:pos="7892"/>
              <w:tab w:val="right" w:pos="9026" w:leader="dot"/>
            </w:tabs>
            <w:rPr/>
          </w:pPr>
          <w:hyperlink w:anchor="__RefHeading___Toc3807667_1067777946">
            <w:r>
              <w:rPr>
                <w:webHidden/>
                <w:rStyle w:val="IndexLink"/>
                <w:rtl w:val="true"/>
              </w:rPr>
              <w:t>وفات شوهر</w:t>
            </w:r>
            <w:r>
              <w:rPr>
                <w:rStyle w:val="IndexLink"/>
                <w:rtl w:val="true"/>
              </w:rPr>
              <w:tab/>
            </w:r>
            <w:r>
              <w:rPr>
                <w:rStyle w:val="IndexLink"/>
              </w:rPr>
              <w:t>150</w:t>
            </w:r>
          </w:hyperlink>
        </w:p>
        <w:p>
          <w:pPr>
            <w:pStyle w:val="Contents5"/>
            <w:tabs>
              <w:tab w:val="clear" w:pos="7892"/>
              <w:tab w:val="right" w:pos="9026" w:leader="dot"/>
            </w:tabs>
            <w:rPr/>
          </w:pPr>
          <w:hyperlink w:anchor="__RefHeading___Toc3807669_1067777946">
            <w:r>
              <w:rPr>
                <w:webHidden/>
                <w:rStyle w:val="IndexLink"/>
                <w:rtl w:val="true"/>
              </w:rPr>
              <w:t>موارد تمليك و اباحه در نفقه</w:t>
            </w:r>
            <w:r>
              <w:rPr>
                <w:rStyle w:val="IndexLink"/>
                <w:rtl w:val="true"/>
              </w:rPr>
              <w:tab/>
            </w:r>
            <w:r>
              <w:rPr>
                <w:rStyle w:val="IndexLink"/>
              </w:rPr>
              <w:t>150</w:t>
            </w:r>
          </w:hyperlink>
        </w:p>
        <w:p>
          <w:pPr>
            <w:pStyle w:val="Contents5"/>
            <w:tabs>
              <w:tab w:val="clear" w:pos="7892"/>
              <w:tab w:val="right" w:pos="9026" w:leader="dot"/>
            </w:tabs>
            <w:rPr/>
          </w:pPr>
          <w:hyperlink w:anchor="__RefHeading___Toc3807671_1067777946">
            <w:r>
              <w:rPr>
                <w:webHidden/>
                <w:rStyle w:val="IndexLink"/>
                <w:rtl w:val="true"/>
              </w:rPr>
              <w:t>اسقاط حق مطالبه با شركت در اكل و شرب با زوج</w:t>
            </w:r>
            <w:r>
              <w:rPr>
                <w:rStyle w:val="IndexLink"/>
                <w:rtl w:val="true"/>
              </w:rPr>
              <w:tab/>
            </w:r>
            <w:r>
              <w:rPr>
                <w:rStyle w:val="IndexLink"/>
              </w:rPr>
              <w:t>150</w:t>
            </w:r>
          </w:hyperlink>
        </w:p>
        <w:p>
          <w:pPr>
            <w:pStyle w:val="Contents5"/>
            <w:tabs>
              <w:tab w:val="clear" w:pos="7892"/>
              <w:tab w:val="right" w:pos="9026" w:leader="dot"/>
            </w:tabs>
            <w:rPr/>
          </w:pPr>
          <w:hyperlink w:anchor="__RefHeading___Toc3807673_1067777946">
            <w:r>
              <w:rPr>
                <w:webHidden/>
                <w:rStyle w:val="IndexLink"/>
                <w:rtl w:val="true"/>
              </w:rPr>
              <w:t>حكم نفقه در فرض غايب بودن زوج</w:t>
            </w:r>
            <w:r>
              <w:rPr>
                <w:rStyle w:val="IndexLink"/>
                <w:rtl w:val="true"/>
              </w:rPr>
              <w:tab/>
            </w:r>
            <w:r>
              <w:rPr>
                <w:rStyle w:val="IndexLink"/>
              </w:rPr>
              <w:t>151</w:t>
            </w:r>
          </w:hyperlink>
        </w:p>
        <w:p>
          <w:pPr>
            <w:pStyle w:val="Contents5"/>
            <w:tabs>
              <w:tab w:val="clear" w:pos="7892"/>
              <w:tab w:val="right" w:pos="9026" w:leader="dot"/>
            </w:tabs>
            <w:rPr/>
          </w:pPr>
          <w:hyperlink w:anchor="__RefHeading___Toc3807675_1067777946">
            <w:r>
              <w:rPr>
                <w:webHidden/>
                <w:rStyle w:val="IndexLink"/>
                <w:rtl w:val="true"/>
              </w:rPr>
              <w:t>حكم ارتداد و نشوز در فرض مسأله</w:t>
            </w:r>
            <w:r>
              <w:rPr>
                <w:rStyle w:val="IndexLink"/>
                <w:rtl w:val="true"/>
              </w:rPr>
              <w:tab/>
            </w:r>
            <w:r>
              <w:rPr>
                <w:rStyle w:val="IndexLink"/>
              </w:rPr>
              <w:t>151</w:t>
            </w:r>
          </w:hyperlink>
        </w:p>
        <w:p>
          <w:pPr>
            <w:pStyle w:val="Contents5"/>
            <w:tabs>
              <w:tab w:val="clear" w:pos="7892"/>
              <w:tab w:val="right" w:pos="9026" w:leader="dot"/>
            </w:tabs>
            <w:rPr/>
          </w:pPr>
          <w:hyperlink w:anchor="__RefHeading___Toc3807677_1067777946">
            <w:r>
              <w:rPr>
                <w:webHidden/>
                <w:rStyle w:val="IndexLink"/>
                <w:rtl w:val="true"/>
              </w:rPr>
              <w:t>ادّعاى حمل توسط مطلّقۀ بائن</w:t>
            </w:r>
            <w:r>
              <w:rPr>
                <w:rStyle w:val="IndexLink"/>
                <w:rtl w:val="true"/>
              </w:rPr>
              <w:tab/>
            </w:r>
            <w:r>
              <w:rPr>
                <w:rStyle w:val="IndexLink"/>
              </w:rPr>
              <w:t>152</w:t>
            </w:r>
          </w:hyperlink>
        </w:p>
        <w:p>
          <w:pPr>
            <w:pStyle w:val="Contents5"/>
            <w:tabs>
              <w:tab w:val="clear" w:pos="7892"/>
              <w:tab w:val="right" w:pos="9026" w:leader="dot"/>
            </w:tabs>
            <w:rPr/>
          </w:pPr>
          <w:hyperlink w:anchor="__RefHeading___Toc3807679_1067777946">
            <w:r>
              <w:rPr>
                <w:webHidden/>
                <w:rStyle w:val="IndexLink"/>
                <w:rtl w:val="true"/>
              </w:rPr>
              <w:t>ثبوت نفقه براى بائن حامل</w:t>
            </w:r>
            <w:r>
              <w:rPr>
                <w:rStyle w:val="IndexLink"/>
                <w:rtl w:val="true"/>
              </w:rPr>
              <w:tab/>
            </w:r>
            <w:r>
              <w:rPr>
                <w:rStyle w:val="IndexLink"/>
              </w:rPr>
              <w:t>152</w:t>
            </w:r>
          </w:hyperlink>
        </w:p>
        <w:p>
          <w:pPr>
            <w:pStyle w:val="Contents5"/>
            <w:tabs>
              <w:tab w:val="clear" w:pos="7892"/>
              <w:tab w:val="right" w:pos="9026" w:leader="dot"/>
            </w:tabs>
            <w:rPr/>
          </w:pPr>
          <w:hyperlink w:anchor="__RefHeading___Toc3807681_1067777946">
            <w:r>
              <w:rPr>
                <w:webHidden/>
                <w:rStyle w:val="IndexLink"/>
                <w:rtl w:val="true"/>
              </w:rPr>
              <w:t>نفقه در فرض لعان</w:t>
            </w:r>
            <w:r>
              <w:rPr>
                <w:rStyle w:val="IndexLink"/>
                <w:rtl w:val="true"/>
              </w:rPr>
              <w:tab/>
            </w:r>
            <w:r>
              <w:rPr>
                <w:rStyle w:val="IndexLink"/>
              </w:rPr>
              <w:t>152</w:t>
            </w:r>
          </w:hyperlink>
        </w:p>
        <w:p>
          <w:pPr>
            <w:pStyle w:val="Contents5"/>
            <w:tabs>
              <w:tab w:val="clear" w:pos="7892"/>
              <w:tab w:val="right" w:pos="9026" w:leader="dot"/>
            </w:tabs>
            <w:rPr/>
          </w:pPr>
          <w:hyperlink w:anchor="__RefHeading___Toc3807683_1067777946">
            <w:r>
              <w:rPr>
                <w:webHidden/>
                <w:rStyle w:val="IndexLink"/>
                <w:rtl w:val="true"/>
              </w:rPr>
              <w:t>نفقۀ زوجۀ مملوك</w:t>
            </w:r>
            <w:r>
              <w:rPr>
                <w:rStyle w:val="IndexLink"/>
                <w:rtl w:val="true"/>
              </w:rPr>
              <w:tab/>
            </w:r>
            <w:r>
              <w:rPr>
                <w:rStyle w:val="IndexLink"/>
              </w:rPr>
              <w:t>153</w:t>
            </w:r>
          </w:hyperlink>
        </w:p>
        <w:p>
          <w:pPr>
            <w:pStyle w:val="Contents5"/>
            <w:tabs>
              <w:tab w:val="clear" w:pos="7892"/>
              <w:tab w:val="right" w:pos="9026" w:leader="dot"/>
            </w:tabs>
            <w:rPr/>
          </w:pPr>
          <w:hyperlink w:anchor="__RefHeading___Toc3807685_1067777946">
            <w:r>
              <w:rPr>
                <w:webHidden/>
                <w:rStyle w:val="IndexLink"/>
                <w:rtl w:val="true"/>
              </w:rPr>
              <w:t>اختلاف در تقدم و تأخّر حمل از طلاق</w:t>
            </w:r>
            <w:r>
              <w:rPr>
                <w:rStyle w:val="IndexLink"/>
                <w:rtl w:val="true"/>
              </w:rPr>
              <w:tab/>
            </w:r>
            <w:r>
              <w:rPr>
                <w:rStyle w:val="IndexLink"/>
              </w:rPr>
              <w:t>153</w:t>
            </w:r>
          </w:hyperlink>
        </w:p>
        <w:p>
          <w:pPr>
            <w:pStyle w:val="Contents5"/>
            <w:tabs>
              <w:tab w:val="clear" w:pos="7892"/>
              <w:tab w:val="right" w:pos="9026" w:leader="dot"/>
            </w:tabs>
            <w:rPr/>
          </w:pPr>
          <w:hyperlink w:anchor="__RefHeading___Toc3807687_1067777946">
            <w:r>
              <w:rPr>
                <w:webHidden/>
                <w:rStyle w:val="IndexLink"/>
                <w:rtl w:val="true"/>
              </w:rPr>
              <w:t>بدهكار بودن زن و تقاصّ آن از نفقه</w:t>
            </w:r>
            <w:r>
              <w:rPr>
                <w:rStyle w:val="IndexLink"/>
                <w:rtl w:val="true"/>
              </w:rPr>
              <w:tab/>
            </w:r>
            <w:r>
              <w:rPr>
                <w:rStyle w:val="IndexLink"/>
              </w:rPr>
              <w:t>154</w:t>
            </w:r>
          </w:hyperlink>
        </w:p>
        <w:p>
          <w:pPr>
            <w:pStyle w:val="Contents5"/>
            <w:tabs>
              <w:tab w:val="clear" w:pos="7892"/>
              <w:tab w:val="right" w:pos="9026" w:leader="dot"/>
            </w:tabs>
            <w:rPr/>
          </w:pPr>
          <w:hyperlink w:anchor="__RefHeading___Toc3807689_1067777946">
            <w:r>
              <w:rPr>
                <w:webHidden/>
                <w:rStyle w:val="IndexLink"/>
                <w:rtl w:val="true"/>
              </w:rPr>
              <w:t>تقدم نفقۀ نفس بر نفقۀ زوجه و نفقۀ زوجه بر نفقۀ اقارب</w:t>
            </w:r>
            <w:r>
              <w:rPr>
                <w:rStyle w:val="IndexLink"/>
                <w:rtl w:val="true"/>
              </w:rPr>
              <w:tab/>
            </w:r>
            <w:r>
              <w:rPr>
                <w:rStyle w:val="IndexLink"/>
              </w:rPr>
              <w:t>154</w:t>
            </w:r>
          </w:hyperlink>
        </w:p>
        <w:p>
          <w:pPr>
            <w:pStyle w:val="Contents4"/>
            <w:tabs>
              <w:tab w:val="clear" w:pos="8176"/>
              <w:tab w:val="right" w:pos="9026" w:leader="dot"/>
            </w:tabs>
            <w:rPr/>
          </w:pPr>
          <w:hyperlink w:anchor="__RefHeading___Toc3807691_1067777946">
            <w:r>
              <w:rPr>
                <w:webHidden/>
                <w:rStyle w:val="IndexLink"/>
                <w:rtl w:val="true"/>
              </w:rPr>
              <w:t>در نفقۀ اقارب</w:t>
            </w:r>
            <w:r>
              <w:rPr>
                <w:rStyle w:val="IndexLink"/>
                <w:rtl w:val="true"/>
              </w:rPr>
              <w:tab/>
            </w:r>
            <w:r>
              <w:rPr>
                <w:rStyle w:val="IndexLink"/>
              </w:rPr>
              <w:t>154</w:t>
            </w:r>
          </w:hyperlink>
        </w:p>
        <w:p>
          <w:pPr>
            <w:pStyle w:val="Contents5"/>
            <w:tabs>
              <w:tab w:val="clear" w:pos="7892"/>
              <w:tab w:val="right" w:pos="9026" w:leader="dot"/>
            </w:tabs>
            <w:rPr/>
          </w:pPr>
          <w:hyperlink w:anchor="__RefHeading___Toc3807693_1067777946">
            <w:r>
              <w:rPr>
                <w:webHidden/>
                <w:rStyle w:val="IndexLink"/>
                <w:rtl w:val="true"/>
              </w:rPr>
              <w:t>نزديكانى كه نفقۀ آنها واجب است</w:t>
            </w:r>
            <w:r>
              <w:rPr>
                <w:rStyle w:val="IndexLink"/>
                <w:rtl w:val="true"/>
              </w:rPr>
              <w:tab/>
            </w:r>
            <w:r>
              <w:rPr>
                <w:rStyle w:val="IndexLink"/>
              </w:rPr>
              <w:t>154</w:t>
            </w:r>
          </w:hyperlink>
        </w:p>
        <w:p>
          <w:pPr>
            <w:pStyle w:val="Contents5"/>
            <w:tabs>
              <w:tab w:val="clear" w:pos="7892"/>
              <w:tab w:val="right" w:pos="9026" w:leader="dot"/>
            </w:tabs>
            <w:rPr/>
          </w:pPr>
          <w:hyperlink w:anchor="__RefHeading___Toc3807695_1067777946">
            <w:r>
              <w:rPr>
                <w:webHidden/>
                <w:rStyle w:val="IndexLink"/>
                <w:rtl w:val="true"/>
              </w:rPr>
              <w:t>اعتبار فقر در وجوب انفاق بر قريب و عدم اعتبار نقصان خلقت يا محجوريّت</w:t>
            </w:r>
            <w:r>
              <w:rPr>
                <w:rStyle w:val="IndexLink"/>
                <w:rtl w:val="true"/>
              </w:rPr>
              <w:tab/>
            </w:r>
            <w:r>
              <w:rPr>
                <w:rStyle w:val="IndexLink"/>
              </w:rPr>
              <w:t>154</w:t>
            </w:r>
          </w:hyperlink>
        </w:p>
        <w:p>
          <w:pPr>
            <w:pStyle w:val="Contents5"/>
            <w:tabs>
              <w:tab w:val="clear" w:pos="7892"/>
              <w:tab w:val="right" w:pos="9026" w:leader="dot"/>
            </w:tabs>
            <w:rPr/>
          </w:pPr>
          <w:hyperlink w:anchor="__RefHeading___Toc3807697_1067777946">
            <w:r>
              <w:rPr>
                <w:webHidden/>
                <w:rStyle w:val="IndexLink"/>
                <w:rtl w:val="true"/>
              </w:rPr>
              <w:t>طفل قادر بر كسب</w:t>
            </w:r>
            <w:r>
              <w:rPr>
                <w:rStyle w:val="IndexLink"/>
                <w:rtl w:val="true"/>
              </w:rPr>
              <w:tab/>
            </w:r>
            <w:r>
              <w:rPr>
                <w:rStyle w:val="IndexLink"/>
              </w:rPr>
              <w:t>155</w:t>
            </w:r>
          </w:hyperlink>
        </w:p>
        <w:p>
          <w:pPr>
            <w:pStyle w:val="Contents5"/>
            <w:tabs>
              <w:tab w:val="clear" w:pos="7892"/>
              <w:tab w:val="right" w:pos="9026" w:leader="dot"/>
            </w:tabs>
            <w:rPr/>
          </w:pPr>
          <w:hyperlink w:anchor="__RefHeading___Toc3807699_1067777946">
            <w:r>
              <w:rPr>
                <w:webHidden/>
                <w:rStyle w:val="IndexLink"/>
                <w:rtl w:val="true"/>
              </w:rPr>
              <w:t>عدم مانعيت فسق و كفر از وجوب انفاق</w:t>
            </w:r>
            <w:r>
              <w:rPr>
                <w:rStyle w:val="IndexLink"/>
                <w:rtl w:val="true"/>
              </w:rPr>
              <w:tab/>
            </w:r>
            <w:r>
              <w:rPr>
                <w:rStyle w:val="IndexLink"/>
              </w:rPr>
              <w:t>155</w:t>
            </w:r>
          </w:hyperlink>
        </w:p>
        <w:p>
          <w:pPr>
            <w:pStyle w:val="Contents5"/>
            <w:tabs>
              <w:tab w:val="clear" w:pos="7892"/>
              <w:tab w:val="right" w:pos="9026" w:leader="dot"/>
            </w:tabs>
            <w:rPr/>
          </w:pPr>
          <w:hyperlink w:anchor="__RefHeading___Toc3807701_1067777946">
            <w:r>
              <w:rPr>
                <w:webHidden/>
                <w:rStyle w:val="IndexLink"/>
                <w:rtl w:val="true"/>
              </w:rPr>
              <w:t>وجوب تكسّب</w:t>
            </w:r>
            <w:r>
              <w:rPr>
                <w:rStyle w:val="IndexLink"/>
                <w:rtl w:val="true"/>
              </w:rPr>
              <w:tab/>
            </w:r>
            <w:r>
              <w:rPr>
                <w:rStyle w:val="IndexLink"/>
              </w:rPr>
              <w:t>155</w:t>
            </w:r>
          </w:hyperlink>
        </w:p>
        <w:p>
          <w:pPr>
            <w:pStyle w:val="Contents5"/>
            <w:tabs>
              <w:tab w:val="clear" w:pos="7892"/>
              <w:tab w:val="right" w:pos="9026" w:leader="dot"/>
            </w:tabs>
            <w:rPr/>
          </w:pPr>
          <w:hyperlink w:anchor="__RefHeading___Toc3807703_1067777946">
            <w:r>
              <w:rPr>
                <w:webHidden/>
                <w:rStyle w:val="IndexLink"/>
                <w:rtl w:val="true"/>
              </w:rPr>
              <w:t>تزويج واجب النفقه</w:t>
            </w:r>
            <w:r>
              <w:rPr>
                <w:rStyle w:val="IndexLink"/>
                <w:rtl w:val="true"/>
              </w:rPr>
              <w:tab/>
            </w:r>
            <w:r>
              <w:rPr>
                <w:rStyle w:val="IndexLink"/>
              </w:rPr>
              <w:t>155</w:t>
            </w:r>
          </w:hyperlink>
        </w:p>
        <w:p>
          <w:pPr>
            <w:pStyle w:val="Contents5"/>
            <w:tabs>
              <w:tab w:val="clear" w:pos="7892"/>
              <w:tab w:val="right" w:pos="9026" w:leader="dot"/>
            </w:tabs>
            <w:rPr/>
          </w:pPr>
          <w:hyperlink w:anchor="__RefHeading___Toc3807705_1067777946">
            <w:r>
              <w:rPr>
                <w:webHidden/>
                <w:rStyle w:val="IndexLink"/>
                <w:rtl w:val="true"/>
              </w:rPr>
              <w:t>نفقۀ همسر پدر يا فرزند</w:t>
            </w:r>
            <w:r>
              <w:rPr>
                <w:rStyle w:val="IndexLink"/>
                <w:rtl w:val="true"/>
              </w:rPr>
              <w:tab/>
            </w:r>
            <w:r>
              <w:rPr>
                <w:rStyle w:val="IndexLink"/>
              </w:rPr>
              <w:t>155</w:t>
            </w:r>
          </w:hyperlink>
        </w:p>
        <w:p>
          <w:pPr>
            <w:pStyle w:val="Contents5"/>
            <w:tabs>
              <w:tab w:val="clear" w:pos="7892"/>
              <w:tab w:val="right" w:pos="9026" w:leader="dot"/>
            </w:tabs>
            <w:rPr/>
          </w:pPr>
          <w:hyperlink w:anchor="__RefHeading___Toc3807707_1067777946">
            <w:r>
              <w:rPr>
                <w:webHidden/>
                <w:rStyle w:val="IndexLink"/>
                <w:rtl w:val="true"/>
              </w:rPr>
              <w:t>قضايى نبودن و ذمّى نبودن نفقۀ اقارب</w:t>
            </w:r>
            <w:r>
              <w:rPr>
                <w:rStyle w:val="IndexLink"/>
                <w:rtl w:val="true"/>
              </w:rPr>
              <w:tab/>
            </w:r>
            <w:r>
              <w:rPr>
                <w:rStyle w:val="IndexLink"/>
              </w:rPr>
              <w:t>156</w:t>
            </w:r>
          </w:hyperlink>
        </w:p>
        <w:p>
          <w:pPr>
            <w:pStyle w:val="Contents4"/>
            <w:tabs>
              <w:tab w:val="clear" w:pos="8176"/>
              <w:tab w:val="right" w:pos="9026" w:leader="dot"/>
            </w:tabs>
            <w:rPr/>
          </w:pPr>
          <w:hyperlink w:anchor="__RefHeading___Toc3807709_1067777946">
            <w:r>
              <w:rPr>
                <w:webHidden/>
                <w:rStyle w:val="IndexLink"/>
                <w:rtl w:val="true"/>
              </w:rPr>
              <w:t>احكام نفقۀ اقارب</w:t>
            </w:r>
            <w:r>
              <w:rPr>
                <w:rStyle w:val="IndexLink"/>
                <w:rtl w:val="true"/>
              </w:rPr>
              <w:tab/>
            </w:r>
            <w:r>
              <w:rPr>
                <w:rStyle w:val="IndexLink"/>
              </w:rPr>
              <w:t>156</w:t>
            </w:r>
          </w:hyperlink>
        </w:p>
        <w:p>
          <w:pPr>
            <w:pStyle w:val="Contents5"/>
            <w:tabs>
              <w:tab w:val="clear" w:pos="7892"/>
              <w:tab w:val="right" w:pos="9026" w:leader="dot"/>
            </w:tabs>
            <w:rPr/>
          </w:pPr>
          <w:hyperlink w:anchor="__RefHeading___Toc3807711_1067777946">
            <w:r>
              <w:rPr>
                <w:webHidden/>
                <w:rStyle w:val="IndexLink"/>
                <w:rtl w:val="true"/>
              </w:rPr>
              <w:t>ترتيب در منفِق در نفقۀ اقارب</w:t>
            </w:r>
            <w:r>
              <w:rPr>
                <w:rStyle w:val="IndexLink"/>
                <w:rtl w:val="true"/>
              </w:rPr>
              <w:tab/>
            </w:r>
            <w:r>
              <w:rPr>
                <w:rStyle w:val="IndexLink"/>
              </w:rPr>
              <w:t>156</w:t>
            </w:r>
          </w:hyperlink>
        </w:p>
        <w:p>
          <w:pPr>
            <w:pStyle w:val="Contents5"/>
            <w:tabs>
              <w:tab w:val="clear" w:pos="7892"/>
              <w:tab w:val="right" w:pos="9026" w:leader="dot"/>
            </w:tabs>
            <w:rPr/>
          </w:pPr>
          <w:hyperlink w:anchor="__RefHeading___Toc3807713_1067777946">
            <w:r>
              <w:rPr>
                <w:webHidden/>
                <w:rStyle w:val="IndexLink"/>
                <w:rtl w:val="true"/>
              </w:rPr>
              <w:t>چندين مسأله دربارۀ ترتيب در انفاق</w:t>
            </w:r>
            <w:r>
              <w:rPr>
                <w:rStyle w:val="IndexLink"/>
                <w:rtl w:val="true"/>
              </w:rPr>
              <w:tab/>
            </w:r>
            <w:r>
              <w:rPr>
                <w:rStyle w:val="IndexLink"/>
              </w:rPr>
              <w:t>157</w:t>
            </w:r>
          </w:hyperlink>
        </w:p>
        <w:p>
          <w:pPr>
            <w:pStyle w:val="Contents5"/>
            <w:tabs>
              <w:tab w:val="clear" w:pos="7892"/>
              <w:tab w:val="right" w:pos="9026" w:leader="dot"/>
            </w:tabs>
            <w:rPr/>
          </w:pPr>
          <w:hyperlink w:anchor="__RefHeading___Toc3807715_1067777946">
            <w:r>
              <w:rPr>
                <w:webHidden/>
                <w:rStyle w:val="IndexLink"/>
                <w:rtl w:val="true"/>
              </w:rPr>
              <w:t>امتناع از انفاق</w:t>
            </w:r>
            <w:r>
              <w:rPr>
                <w:rStyle w:val="IndexLink"/>
                <w:rtl w:val="true"/>
              </w:rPr>
              <w:tab/>
            </w:r>
            <w:r>
              <w:rPr>
                <w:rStyle w:val="IndexLink"/>
              </w:rPr>
              <w:t>158</w:t>
            </w:r>
          </w:hyperlink>
        </w:p>
        <w:p>
          <w:pPr>
            <w:pStyle w:val="Contents4"/>
            <w:tabs>
              <w:tab w:val="clear" w:pos="8176"/>
              <w:tab w:val="right" w:pos="9026" w:leader="dot"/>
            </w:tabs>
            <w:rPr/>
          </w:pPr>
          <w:hyperlink w:anchor="__RefHeading___Toc3807717_1067777946">
            <w:r>
              <w:rPr>
                <w:webHidden/>
                <w:rStyle w:val="IndexLink"/>
                <w:rtl w:val="true"/>
              </w:rPr>
              <w:t>نفقۀ مملوك</w:t>
            </w:r>
            <w:r>
              <w:rPr>
                <w:rStyle w:val="IndexLink"/>
                <w:rtl w:val="true"/>
              </w:rPr>
              <w:tab/>
            </w:r>
            <w:r>
              <w:rPr>
                <w:rStyle w:val="IndexLink"/>
              </w:rPr>
              <w:t>158</w:t>
            </w:r>
          </w:hyperlink>
        </w:p>
        <w:p>
          <w:pPr>
            <w:pStyle w:val="Contents5"/>
            <w:tabs>
              <w:tab w:val="clear" w:pos="7892"/>
              <w:tab w:val="right" w:pos="9026" w:leader="dot"/>
            </w:tabs>
            <w:rPr/>
          </w:pPr>
          <w:hyperlink w:anchor="__RefHeading___Toc3807719_1067777946">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3807721_1067777946">
            <w:r>
              <w:rPr>
                <w:webHidden/>
                <w:rStyle w:val="IndexLink"/>
                <w:rtl w:val="true"/>
              </w:rPr>
              <w:t>نفقۀ غلام و كنيز</w:t>
            </w:r>
            <w:r>
              <w:rPr>
                <w:rStyle w:val="IndexLink"/>
                <w:rtl w:val="true"/>
              </w:rPr>
              <w:tab/>
            </w:r>
            <w:r>
              <w:rPr>
                <w:rStyle w:val="IndexLink"/>
              </w:rPr>
              <w:t>158</w:t>
            </w:r>
          </w:hyperlink>
        </w:p>
        <w:p>
          <w:pPr>
            <w:pStyle w:val="Contents5"/>
            <w:tabs>
              <w:tab w:val="clear" w:pos="7892"/>
              <w:tab w:val="right" w:pos="9026" w:leader="dot"/>
            </w:tabs>
            <w:rPr/>
          </w:pPr>
          <w:hyperlink w:anchor="__RefHeading___Toc3807723_1067777946">
            <w:r>
              <w:rPr>
                <w:webHidden/>
                <w:rStyle w:val="IndexLink"/>
                <w:rtl w:val="true"/>
              </w:rPr>
              <w:t>نفقۀ بهائم</w:t>
            </w:r>
            <w:r>
              <w:rPr>
                <w:rStyle w:val="IndexLink"/>
                <w:rtl w:val="true"/>
              </w:rPr>
              <w:tab/>
            </w:r>
            <w:r>
              <w:rPr>
                <w:rStyle w:val="IndexLink"/>
              </w:rPr>
              <w:t>159</w:t>
            </w:r>
          </w:hyperlink>
        </w:p>
        <w:p>
          <w:pPr>
            <w:pStyle w:val="Contents6"/>
            <w:tabs>
              <w:tab w:val="clear" w:pos="7609"/>
              <w:tab w:val="right" w:pos="9026" w:leader="dot"/>
            </w:tabs>
            <w:rPr/>
          </w:pPr>
          <w:hyperlink w:anchor="__RefHeading___Toc3807725_1067777946">
            <w:r>
              <w:rPr>
                <w:webHidden/>
                <w:rStyle w:val="IndexLink"/>
                <w:rtl w:val="true"/>
              </w:rPr>
              <w:t>وجوب انفاق بر بهائم مملوكه</w:t>
            </w:r>
            <w:r>
              <w:rPr>
                <w:rStyle w:val="IndexLink"/>
                <w:rtl w:val="true"/>
              </w:rPr>
              <w:tab/>
            </w:r>
            <w:r>
              <w:rPr>
                <w:rStyle w:val="IndexLink"/>
              </w:rPr>
              <w:t>159</w:t>
            </w:r>
          </w:hyperlink>
        </w:p>
        <w:p>
          <w:pPr>
            <w:pStyle w:val="Contents6"/>
            <w:tabs>
              <w:tab w:val="clear" w:pos="7609"/>
              <w:tab w:val="right" w:pos="9026" w:leader="dot"/>
            </w:tabs>
            <w:rPr/>
          </w:pPr>
          <w:hyperlink w:anchor="__RefHeading___Toc3807727_1067777946">
            <w:r>
              <w:rPr>
                <w:webHidden/>
                <w:rStyle w:val="IndexLink"/>
                <w:rtl w:val="true"/>
              </w:rPr>
              <w:t>احكام دوشيدن شير حيوان</w:t>
            </w:r>
            <w:r>
              <w:rPr>
                <w:rStyle w:val="IndexLink"/>
                <w:rtl w:val="true"/>
              </w:rPr>
              <w:tab/>
            </w:r>
            <w:r>
              <w:rPr>
                <w:rStyle w:val="IndexLink"/>
              </w:rPr>
              <w:t>160</w:t>
            </w:r>
          </w:hyperlink>
        </w:p>
        <w:p>
          <w:pPr>
            <w:pStyle w:val="Contents4"/>
            <w:tabs>
              <w:tab w:val="clear" w:pos="8176"/>
              <w:tab w:val="right" w:pos="9026" w:leader="dot"/>
            </w:tabs>
            <w:rPr/>
          </w:pPr>
          <w:hyperlink w:anchor="__RefHeading___Toc3807729_1067777946">
            <w:r>
              <w:rPr>
                <w:webHidden/>
                <w:rStyle w:val="IndexLink"/>
                <w:rtl w:val="true"/>
              </w:rPr>
              <w:t>نفقۀ اموال</w:t>
            </w:r>
            <w:r>
              <w:rPr>
                <w:rStyle w:val="IndexLink"/>
                <w:rtl w:val="true"/>
              </w:rPr>
              <w:tab/>
            </w:r>
            <w:r>
              <w:rPr>
                <w:rStyle w:val="IndexLink"/>
              </w:rPr>
              <w:t>160</w:t>
            </w:r>
          </w:hyperlink>
        </w:p>
        <w:p>
          <w:pPr>
            <w:pStyle w:val="Contents2"/>
            <w:tabs>
              <w:tab w:val="clear" w:pos="8743"/>
              <w:tab w:val="right" w:pos="9026" w:leader="dot"/>
            </w:tabs>
            <w:rPr/>
          </w:pPr>
          <w:hyperlink w:anchor="__RefHeading___Toc3807731_1067777946">
            <w:r>
              <w:rPr>
                <w:webHidden/>
                <w:rStyle w:val="IndexLink"/>
                <w:rtl w:val="true"/>
              </w:rPr>
              <w:t>كتاب طلاق</w:t>
            </w:r>
            <w:r>
              <w:rPr>
                <w:rStyle w:val="IndexLink"/>
                <w:rtl w:val="true"/>
              </w:rPr>
              <w:tab/>
            </w:r>
            <w:r>
              <w:rPr>
                <w:rStyle w:val="IndexLink"/>
              </w:rPr>
              <w:t>162</w:t>
            </w:r>
          </w:hyperlink>
        </w:p>
        <w:p>
          <w:pPr>
            <w:pStyle w:val="Contents3"/>
            <w:tabs>
              <w:tab w:val="clear" w:pos="8459"/>
              <w:tab w:val="right" w:pos="9026" w:leader="dot"/>
            </w:tabs>
            <w:rPr/>
          </w:pPr>
          <w:hyperlink w:anchor="__RefHeading___Toc3807733_1067777946">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3807735_1067777946">
            <w:r>
              <w:rPr>
                <w:webHidden/>
                <w:rStyle w:val="IndexLink"/>
                <w:rtl w:val="true"/>
              </w:rPr>
              <w:t>فصل اوّل شرايط طلاق دهنده</w:t>
            </w:r>
            <w:r>
              <w:rPr>
                <w:rStyle w:val="IndexLink"/>
                <w:rtl w:val="true"/>
              </w:rPr>
              <w:tab/>
            </w:r>
            <w:r>
              <w:rPr>
                <w:rStyle w:val="IndexLink"/>
              </w:rPr>
              <w:t>164</w:t>
            </w:r>
          </w:hyperlink>
        </w:p>
        <w:p>
          <w:pPr>
            <w:pStyle w:val="Contents4"/>
            <w:tabs>
              <w:tab w:val="clear" w:pos="8176"/>
              <w:tab w:val="right" w:pos="9026" w:leader="dot"/>
            </w:tabs>
            <w:rPr/>
          </w:pPr>
          <w:hyperlink w:anchor="__RefHeading___Toc3807737_1067777946">
            <w:r>
              <w:rPr>
                <w:webHidden/>
                <w:rStyle w:val="IndexLink"/>
              </w:rPr>
              <w:t>1</w:t>
            </w:r>
            <w:r>
              <w:rPr>
                <w:rStyle w:val="IndexLink"/>
                <w:rtl w:val="true"/>
              </w:rPr>
              <w:t xml:space="preserve">. </w:t>
            </w:r>
            <w:r>
              <w:rPr>
                <w:rStyle w:val="IndexLink"/>
                <w:rtl w:val="true"/>
              </w:rPr>
              <w:t>بلوغ</w:t>
            </w:r>
            <w:r>
              <w:rPr>
                <w:rStyle w:val="IndexLink"/>
                <w:rtl w:val="true"/>
              </w:rPr>
              <w:tab/>
            </w:r>
            <w:r>
              <w:rPr>
                <w:rStyle w:val="IndexLink"/>
              </w:rPr>
              <w:t>164</w:t>
            </w:r>
          </w:hyperlink>
        </w:p>
        <w:p>
          <w:pPr>
            <w:pStyle w:val="Contents4"/>
            <w:tabs>
              <w:tab w:val="clear" w:pos="8176"/>
              <w:tab w:val="right" w:pos="9026" w:leader="dot"/>
            </w:tabs>
            <w:rPr/>
          </w:pPr>
          <w:hyperlink w:anchor="__RefHeading___Toc3807739_1067777946">
            <w:r>
              <w:rPr>
                <w:webHidden/>
                <w:rStyle w:val="IndexLink"/>
              </w:rPr>
              <w:t>2</w:t>
            </w:r>
            <w:r>
              <w:rPr>
                <w:rStyle w:val="IndexLink"/>
                <w:rtl w:val="true"/>
              </w:rPr>
              <w:t xml:space="preserve">. </w:t>
            </w:r>
            <w:r>
              <w:rPr>
                <w:rStyle w:val="IndexLink"/>
                <w:rtl w:val="true"/>
              </w:rPr>
              <w:t>عقل</w:t>
            </w:r>
            <w:r>
              <w:rPr>
                <w:rStyle w:val="IndexLink"/>
                <w:rtl w:val="true"/>
              </w:rPr>
              <w:tab/>
            </w:r>
            <w:r>
              <w:rPr>
                <w:rStyle w:val="IndexLink"/>
              </w:rPr>
              <w:t>164</w:t>
            </w:r>
          </w:hyperlink>
        </w:p>
        <w:p>
          <w:pPr>
            <w:pStyle w:val="Contents5"/>
            <w:tabs>
              <w:tab w:val="clear" w:pos="7892"/>
              <w:tab w:val="right" w:pos="9026" w:leader="dot"/>
            </w:tabs>
            <w:rPr/>
          </w:pPr>
          <w:hyperlink w:anchor="__RefHeading___Toc3807741_1067777946">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3807743_1067777946">
            <w:r>
              <w:rPr>
                <w:webHidden/>
                <w:rStyle w:val="IndexLink"/>
                <w:rtl w:val="true"/>
              </w:rPr>
              <w:t>طلاق مجنون</w:t>
            </w:r>
            <w:r>
              <w:rPr>
                <w:rStyle w:val="IndexLink"/>
                <w:rtl w:val="true"/>
              </w:rPr>
              <w:tab/>
            </w:r>
            <w:r>
              <w:rPr>
                <w:rStyle w:val="IndexLink"/>
              </w:rPr>
              <w:t>164</w:t>
            </w:r>
          </w:hyperlink>
        </w:p>
        <w:p>
          <w:pPr>
            <w:pStyle w:val="Contents4"/>
            <w:tabs>
              <w:tab w:val="clear" w:pos="8176"/>
              <w:tab w:val="right" w:pos="9026" w:leader="dot"/>
            </w:tabs>
            <w:rPr/>
          </w:pPr>
          <w:hyperlink w:anchor="__RefHeading___Toc3807745_1067777946">
            <w:r>
              <w:rPr>
                <w:webHidden/>
                <w:rStyle w:val="IndexLink"/>
              </w:rPr>
              <w:t>3</w:t>
            </w:r>
            <w:r>
              <w:rPr>
                <w:rStyle w:val="IndexLink"/>
                <w:rtl w:val="true"/>
              </w:rPr>
              <w:t xml:space="preserve">. </w:t>
            </w:r>
            <w:r>
              <w:rPr>
                <w:rStyle w:val="IndexLink"/>
                <w:rtl w:val="true"/>
              </w:rPr>
              <w:t>قصد</w:t>
            </w:r>
            <w:r>
              <w:rPr>
                <w:rStyle w:val="IndexLink"/>
                <w:rtl w:val="true"/>
              </w:rPr>
              <w:tab/>
            </w:r>
            <w:r>
              <w:rPr>
                <w:rStyle w:val="IndexLink"/>
              </w:rPr>
              <w:t>165</w:t>
            </w:r>
          </w:hyperlink>
        </w:p>
        <w:p>
          <w:pPr>
            <w:pStyle w:val="Contents4"/>
            <w:tabs>
              <w:tab w:val="clear" w:pos="8176"/>
              <w:tab w:val="right" w:pos="9026" w:leader="dot"/>
            </w:tabs>
            <w:rPr/>
          </w:pPr>
          <w:hyperlink w:anchor="__RefHeading___Toc3807747_1067777946">
            <w:r>
              <w:rPr>
                <w:webHidden/>
                <w:rStyle w:val="IndexLink"/>
              </w:rPr>
              <w:t>4</w:t>
            </w:r>
            <w:r>
              <w:rPr>
                <w:rStyle w:val="IndexLink"/>
                <w:rtl w:val="true"/>
              </w:rPr>
              <w:t xml:space="preserve">. </w:t>
            </w:r>
            <w:r>
              <w:rPr>
                <w:rStyle w:val="IndexLink"/>
                <w:rtl w:val="true"/>
              </w:rPr>
              <w:t>اختيار</w:t>
            </w:r>
            <w:r>
              <w:rPr>
                <w:rStyle w:val="IndexLink"/>
                <w:rtl w:val="true"/>
              </w:rPr>
              <w:tab/>
            </w:r>
            <w:r>
              <w:rPr>
                <w:rStyle w:val="IndexLink"/>
              </w:rPr>
              <w:t>165</w:t>
            </w:r>
          </w:hyperlink>
        </w:p>
        <w:p>
          <w:pPr>
            <w:pStyle w:val="Contents5"/>
            <w:tabs>
              <w:tab w:val="clear" w:pos="7892"/>
              <w:tab w:val="right" w:pos="9026" w:leader="dot"/>
            </w:tabs>
            <w:rPr/>
          </w:pPr>
          <w:hyperlink w:anchor="__RefHeading___Toc3807749_1067777946">
            <w:r>
              <w:rPr>
                <w:webHidden/>
                <w:rStyle w:val="IndexLink"/>
                <w:rtl w:val="true"/>
              </w:rPr>
              <w:t>نحوۀ تحقق اكراه در طلاق</w:t>
            </w:r>
            <w:r>
              <w:rPr>
                <w:rStyle w:val="IndexLink"/>
                <w:rtl w:val="true"/>
              </w:rPr>
              <w:tab/>
            </w:r>
            <w:r>
              <w:rPr>
                <w:rStyle w:val="IndexLink"/>
              </w:rPr>
              <w:t>165</w:t>
            </w:r>
          </w:hyperlink>
        </w:p>
        <w:p>
          <w:pPr>
            <w:pStyle w:val="Contents5"/>
            <w:tabs>
              <w:tab w:val="clear" w:pos="7892"/>
              <w:tab w:val="right" w:pos="9026" w:leader="dot"/>
            </w:tabs>
            <w:rPr/>
          </w:pPr>
          <w:hyperlink w:anchor="__RefHeading___Toc3807751_1067777946">
            <w:r>
              <w:rPr>
                <w:webHidden/>
                <w:rStyle w:val="IndexLink"/>
                <w:rtl w:val="true"/>
              </w:rPr>
              <w:t>طلاق مضطرّ</w:t>
            </w:r>
            <w:r>
              <w:rPr>
                <w:rStyle w:val="IndexLink"/>
                <w:rtl w:val="true"/>
              </w:rPr>
              <w:tab/>
            </w:r>
            <w:r>
              <w:rPr>
                <w:rStyle w:val="IndexLink"/>
              </w:rPr>
              <w:t>165</w:t>
            </w:r>
          </w:hyperlink>
        </w:p>
        <w:p>
          <w:pPr>
            <w:pStyle w:val="Contents5"/>
            <w:tabs>
              <w:tab w:val="clear" w:pos="7892"/>
              <w:tab w:val="right" w:pos="9026" w:leader="dot"/>
            </w:tabs>
            <w:rPr/>
          </w:pPr>
          <w:hyperlink w:anchor="__RefHeading___Toc3807753_1067777946">
            <w:r>
              <w:rPr>
                <w:webHidden/>
                <w:rStyle w:val="IndexLink"/>
                <w:rtl w:val="true"/>
              </w:rPr>
              <w:t>تخيير اكراهى بين طلاق يا دفع مال</w:t>
            </w:r>
            <w:r>
              <w:rPr>
                <w:rStyle w:val="IndexLink"/>
                <w:rtl w:val="true"/>
              </w:rPr>
              <w:tab/>
            </w:r>
            <w:r>
              <w:rPr>
                <w:rStyle w:val="IndexLink"/>
              </w:rPr>
              <w:t>165</w:t>
            </w:r>
          </w:hyperlink>
        </w:p>
        <w:p>
          <w:pPr>
            <w:pStyle w:val="Contents5"/>
            <w:tabs>
              <w:tab w:val="clear" w:pos="7892"/>
              <w:tab w:val="right" w:pos="9026" w:leader="dot"/>
            </w:tabs>
            <w:rPr/>
          </w:pPr>
          <w:hyperlink w:anchor="__RefHeading___Toc3807755_1067777946">
            <w:r>
              <w:rPr>
                <w:webHidden/>
                <w:rStyle w:val="IndexLink"/>
                <w:rtl w:val="true"/>
              </w:rPr>
              <w:t>اكراه بر طلاق يكىِ معيّن و غير معيّن</w:t>
            </w:r>
            <w:r>
              <w:rPr>
                <w:rStyle w:val="IndexLink"/>
                <w:rtl w:val="true"/>
              </w:rPr>
              <w:tab/>
            </w:r>
            <w:r>
              <w:rPr>
                <w:rStyle w:val="IndexLink"/>
              </w:rPr>
              <w:t>166</w:t>
            </w:r>
          </w:hyperlink>
        </w:p>
        <w:p>
          <w:pPr>
            <w:pStyle w:val="Contents5"/>
            <w:tabs>
              <w:tab w:val="clear" w:pos="7892"/>
              <w:tab w:val="right" w:pos="9026" w:leader="dot"/>
            </w:tabs>
            <w:rPr/>
          </w:pPr>
          <w:hyperlink w:anchor="__RefHeading___Toc3807757_1067777946">
            <w:r>
              <w:rPr>
                <w:webHidden/>
                <w:rStyle w:val="IndexLink"/>
                <w:rtl w:val="true"/>
              </w:rPr>
              <w:t>قدرت بر فرار از ضرر يا توريه</w:t>
            </w:r>
            <w:r>
              <w:rPr>
                <w:rStyle w:val="IndexLink"/>
                <w:rtl w:val="true"/>
              </w:rPr>
              <w:tab/>
            </w:r>
            <w:r>
              <w:rPr>
                <w:rStyle w:val="IndexLink"/>
              </w:rPr>
              <w:t>166</w:t>
            </w:r>
          </w:hyperlink>
        </w:p>
        <w:p>
          <w:pPr>
            <w:pStyle w:val="Contents5"/>
            <w:tabs>
              <w:tab w:val="clear" w:pos="7892"/>
              <w:tab w:val="right" w:pos="9026" w:leader="dot"/>
            </w:tabs>
            <w:rPr/>
          </w:pPr>
          <w:hyperlink w:anchor="__RefHeading___Toc3807759_1067777946">
            <w:r>
              <w:rPr>
                <w:webHidden/>
                <w:rStyle w:val="IndexLink"/>
                <w:rtl w:val="true"/>
              </w:rPr>
              <w:t>ايقاع بودن طلاق</w:t>
            </w:r>
            <w:r>
              <w:rPr>
                <w:rStyle w:val="IndexLink"/>
                <w:rtl w:val="true"/>
              </w:rPr>
              <w:tab/>
            </w:r>
            <w:r>
              <w:rPr>
                <w:rStyle w:val="IndexLink"/>
              </w:rPr>
              <w:t>167</w:t>
            </w:r>
          </w:hyperlink>
        </w:p>
        <w:p>
          <w:pPr>
            <w:pStyle w:val="Contents5"/>
            <w:tabs>
              <w:tab w:val="clear" w:pos="7892"/>
              <w:tab w:val="right" w:pos="9026" w:leader="dot"/>
            </w:tabs>
            <w:rPr/>
          </w:pPr>
          <w:hyperlink w:anchor="__RefHeading___Toc3807761_1067777946">
            <w:r>
              <w:rPr>
                <w:webHidden/>
                <w:rStyle w:val="IndexLink"/>
                <w:rtl w:val="true"/>
              </w:rPr>
              <w:t>عدم تأثير اختيار بعد از اكراه</w:t>
            </w:r>
            <w:r>
              <w:rPr>
                <w:rStyle w:val="IndexLink"/>
                <w:rtl w:val="true"/>
              </w:rPr>
              <w:tab/>
            </w:r>
            <w:r>
              <w:rPr>
                <w:rStyle w:val="IndexLink"/>
              </w:rPr>
              <w:t>167</w:t>
            </w:r>
          </w:hyperlink>
        </w:p>
        <w:p>
          <w:pPr>
            <w:pStyle w:val="Contents3"/>
            <w:tabs>
              <w:tab w:val="clear" w:pos="8459"/>
              <w:tab w:val="right" w:pos="9026" w:leader="dot"/>
            </w:tabs>
            <w:rPr/>
          </w:pPr>
          <w:hyperlink w:anchor="__RefHeading___Toc3807763_1067777946">
            <w:r>
              <w:rPr>
                <w:webHidden/>
                <w:rStyle w:val="IndexLink"/>
                <w:rtl w:val="true"/>
              </w:rPr>
              <w:t>فصل دوّم شرايط مطلَّقه</w:t>
            </w:r>
            <w:r>
              <w:rPr>
                <w:rStyle w:val="IndexLink"/>
                <w:rtl w:val="true"/>
              </w:rPr>
              <w:tab/>
            </w:r>
            <w:r>
              <w:rPr>
                <w:rStyle w:val="IndexLink"/>
              </w:rPr>
              <w:t>168</w:t>
            </w:r>
          </w:hyperlink>
        </w:p>
        <w:p>
          <w:pPr>
            <w:pStyle w:val="Contents4"/>
            <w:tabs>
              <w:tab w:val="clear" w:pos="8176"/>
              <w:tab w:val="right" w:pos="9026" w:leader="dot"/>
            </w:tabs>
            <w:rPr/>
          </w:pPr>
          <w:hyperlink w:anchor="__RefHeading___Toc3807765_1067777946">
            <w:r>
              <w:rPr>
                <w:webHidden/>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 xml:space="preserve">. </w:t>
            </w:r>
            <w:r>
              <w:rPr>
                <w:rStyle w:val="IndexLink"/>
                <w:rtl w:val="true"/>
              </w:rPr>
              <w:t>زوجيّت و دوام آن</w:t>
            </w:r>
            <w:r>
              <w:rPr>
                <w:rStyle w:val="IndexLink"/>
                <w:rtl w:val="true"/>
              </w:rPr>
              <w:tab/>
            </w:r>
            <w:r>
              <w:rPr>
                <w:rStyle w:val="IndexLink"/>
              </w:rPr>
              <w:t>168</w:t>
            </w:r>
          </w:hyperlink>
        </w:p>
        <w:p>
          <w:pPr>
            <w:pStyle w:val="Contents4"/>
            <w:tabs>
              <w:tab w:val="clear" w:pos="8176"/>
              <w:tab w:val="right" w:pos="9026" w:leader="dot"/>
            </w:tabs>
            <w:rPr/>
          </w:pPr>
          <w:hyperlink w:anchor="__RefHeading___Toc3807767_1067777946">
            <w:r>
              <w:rPr>
                <w:webHidden/>
                <w:rStyle w:val="IndexLink"/>
              </w:rPr>
              <w:t>3</w:t>
            </w:r>
            <w:r>
              <w:rPr>
                <w:rStyle w:val="IndexLink"/>
                <w:rtl w:val="true"/>
              </w:rPr>
              <w:t xml:space="preserve">. </w:t>
            </w:r>
            <w:r>
              <w:rPr>
                <w:rStyle w:val="IndexLink"/>
                <w:rtl w:val="true"/>
              </w:rPr>
              <w:t>طُهر غير مواقعه</w:t>
            </w:r>
            <w:r>
              <w:rPr>
                <w:rStyle w:val="IndexLink"/>
                <w:rtl w:val="true"/>
              </w:rPr>
              <w:tab/>
            </w:r>
            <w:r>
              <w:rPr>
                <w:rStyle w:val="IndexLink"/>
              </w:rPr>
              <w:t>168</w:t>
            </w:r>
          </w:hyperlink>
        </w:p>
        <w:p>
          <w:pPr>
            <w:pStyle w:val="Contents5"/>
            <w:tabs>
              <w:tab w:val="clear" w:pos="7892"/>
              <w:tab w:val="right" w:pos="9026" w:leader="dot"/>
            </w:tabs>
            <w:rPr/>
          </w:pPr>
          <w:hyperlink w:anchor="__RefHeading___Toc3807769_1067777946">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3807771_1067777946">
            <w:r>
              <w:rPr>
                <w:webHidden/>
                <w:rStyle w:val="IndexLink"/>
                <w:rtl w:val="true"/>
              </w:rPr>
              <w:t>طلاق در غيبت و احكام آن</w:t>
            </w:r>
            <w:r>
              <w:rPr>
                <w:rStyle w:val="IndexLink"/>
                <w:rtl w:val="true"/>
              </w:rPr>
              <w:tab/>
            </w:r>
            <w:r>
              <w:rPr>
                <w:rStyle w:val="IndexLink"/>
              </w:rPr>
              <w:t>168</w:t>
            </w:r>
          </w:hyperlink>
        </w:p>
        <w:p>
          <w:pPr>
            <w:pStyle w:val="Contents5"/>
            <w:tabs>
              <w:tab w:val="clear" w:pos="7892"/>
              <w:tab w:val="right" w:pos="9026" w:leader="dot"/>
            </w:tabs>
            <w:rPr/>
          </w:pPr>
          <w:hyperlink w:anchor="__RefHeading___Toc3807773_1067777946">
            <w:r>
              <w:rPr>
                <w:webHidden/>
                <w:rStyle w:val="IndexLink"/>
                <w:rtl w:val="true"/>
              </w:rPr>
              <w:t>حكم محبوس از زن و نظاير آن</w:t>
            </w:r>
            <w:r>
              <w:rPr>
                <w:rStyle w:val="IndexLink"/>
                <w:rtl w:val="true"/>
              </w:rPr>
              <w:tab/>
            </w:r>
            <w:r>
              <w:rPr>
                <w:rStyle w:val="IndexLink"/>
              </w:rPr>
              <w:t>169</w:t>
            </w:r>
          </w:hyperlink>
        </w:p>
        <w:p>
          <w:pPr>
            <w:pStyle w:val="Contents5"/>
            <w:tabs>
              <w:tab w:val="clear" w:pos="7892"/>
              <w:tab w:val="right" w:pos="9026" w:leader="dot"/>
            </w:tabs>
            <w:rPr/>
          </w:pPr>
          <w:hyperlink w:anchor="__RefHeading___Toc3807775_1067777946">
            <w:r>
              <w:rPr>
                <w:webHidden/>
                <w:rStyle w:val="IndexLink"/>
                <w:rtl w:val="true"/>
              </w:rPr>
              <w:t>موارد جواز طلاق در طهر مواقعه</w:t>
            </w:r>
            <w:r>
              <w:rPr>
                <w:rStyle w:val="IndexLink"/>
                <w:rtl w:val="true"/>
              </w:rPr>
              <w:tab/>
            </w:r>
            <w:r>
              <w:rPr>
                <w:rStyle w:val="IndexLink"/>
              </w:rPr>
              <w:t>169</w:t>
            </w:r>
          </w:hyperlink>
        </w:p>
        <w:p>
          <w:pPr>
            <w:pStyle w:val="Contents5"/>
            <w:tabs>
              <w:tab w:val="clear" w:pos="7892"/>
              <w:tab w:val="right" w:pos="9026" w:leader="dot"/>
            </w:tabs>
            <w:rPr/>
          </w:pPr>
          <w:hyperlink w:anchor="__RefHeading___Toc3807777_1067777946">
            <w:r>
              <w:rPr>
                <w:webHidden/>
                <w:rStyle w:val="IndexLink"/>
                <w:rtl w:val="true"/>
              </w:rPr>
              <w:t>عدم اكتفا به طهر بعد از مواقعه در اثناى حيض</w:t>
            </w:r>
            <w:r>
              <w:rPr>
                <w:rStyle w:val="IndexLink"/>
                <w:rtl w:val="true"/>
              </w:rPr>
              <w:tab/>
            </w:r>
            <w:r>
              <w:rPr>
                <w:rStyle w:val="IndexLink"/>
              </w:rPr>
              <w:t>170</w:t>
            </w:r>
          </w:hyperlink>
        </w:p>
        <w:p>
          <w:pPr>
            <w:pStyle w:val="Contents5"/>
            <w:tabs>
              <w:tab w:val="clear" w:pos="7892"/>
              <w:tab w:val="right" w:pos="9026" w:leader="dot"/>
            </w:tabs>
            <w:rPr/>
          </w:pPr>
          <w:hyperlink w:anchor="__RefHeading___Toc3807779_1067777946">
            <w:r>
              <w:rPr>
                <w:webHidden/>
                <w:rStyle w:val="IndexLink"/>
                <w:rtl w:val="true"/>
              </w:rPr>
              <w:t>طلاق مسترابه</w:t>
            </w:r>
            <w:r>
              <w:rPr>
                <w:rStyle w:val="IndexLink"/>
                <w:rtl w:val="true"/>
              </w:rPr>
              <w:tab/>
            </w:r>
            <w:r>
              <w:rPr>
                <w:rStyle w:val="IndexLink"/>
              </w:rPr>
              <w:t>170</w:t>
            </w:r>
          </w:hyperlink>
        </w:p>
        <w:p>
          <w:pPr>
            <w:pStyle w:val="Contents4"/>
            <w:tabs>
              <w:tab w:val="clear" w:pos="8176"/>
              <w:tab w:val="right" w:pos="9026" w:leader="dot"/>
            </w:tabs>
            <w:rPr/>
          </w:pPr>
          <w:hyperlink w:anchor="__RefHeading___Toc3807781_1067777946">
            <w:r>
              <w:rPr>
                <w:webHidden/>
                <w:rStyle w:val="IndexLink"/>
              </w:rPr>
              <w:t>4</w:t>
            </w:r>
            <w:r>
              <w:rPr>
                <w:rStyle w:val="IndexLink"/>
                <w:rtl w:val="true"/>
              </w:rPr>
              <w:t xml:space="preserve">. </w:t>
            </w:r>
            <w:r>
              <w:rPr>
                <w:rStyle w:val="IndexLink"/>
                <w:rtl w:val="true"/>
              </w:rPr>
              <w:t>تعيين مطلَّقه</w:t>
            </w:r>
            <w:r>
              <w:rPr>
                <w:rStyle w:val="IndexLink"/>
                <w:rtl w:val="true"/>
              </w:rPr>
              <w:tab/>
            </w:r>
            <w:r>
              <w:rPr>
                <w:rStyle w:val="IndexLink"/>
              </w:rPr>
              <w:t>170</w:t>
            </w:r>
          </w:hyperlink>
        </w:p>
        <w:p>
          <w:pPr>
            <w:pStyle w:val="Contents4"/>
            <w:tabs>
              <w:tab w:val="clear" w:pos="8176"/>
              <w:tab w:val="right" w:pos="9026" w:leader="dot"/>
            </w:tabs>
            <w:rPr/>
          </w:pPr>
          <w:hyperlink w:anchor="__RefHeading___Toc3807783_1067777946">
            <w:r>
              <w:rPr>
                <w:webHidden/>
                <w:rStyle w:val="IndexLink"/>
                <w:rtl w:val="true"/>
              </w:rPr>
              <w:t>چند مسأله در صيغۀ طلاق</w:t>
            </w:r>
            <w:r>
              <w:rPr>
                <w:rStyle w:val="IndexLink"/>
                <w:rtl w:val="true"/>
              </w:rPr>
              <w:tab/>
            </w:r>
            <w:r>
              <w:rPr>
                <w:rStyle w:val="IndexLink"/>
              </w:rPr>
              <w:t>170</w:t>
            </w:r>
          </w:hyperlink>
        </w:p>
        <w:p>
          <w:pPr>
            <w:pStyle w:val="Contents5"/>
            <w:tabs>
              <w:tab w:val="clear" w:pos="7892"/>
              <w:tab w:val="right" w:pos="9026" w:leader="dot"/>
            </w:tabs>
            <w:rPr/>
          </w:pPr>
          <w:hyperlink w:anchor="__RefHeading___Toc3807785_1067777946">
            <w:r>
              <w:rPr>
                <w:webHidden/>
                <w:rStyle w:val="IndexLink"/>
                <w:rtl w:val="true"/>
              </w:rPr>
              <w:t>شرط و تعليق در صيغۀ طلاق</w:t>
            </w:r>
            <w:r>
              <w:rPr>
                <w:rStyle w:val="IndexLink"/>
                <w:rtl w:val="true"/>
              </w:rPr>
              <w:tab/>
            </w:r>
            <w:r>
              <w:rPr>
                <w:rStyle w:val="IndexLink"/>
              </w:rPr>
              <w:t>170</w:t>
            </w:r>
          </w:hyperlink>
        </w:p>
        <w:p>
          <w:pPr>
            <w:pStyle w:val="Contents5"/>
            <w:tabs>
              <w:tab w:val="clear" w:pos="7892"/>
              <w:tab w:val="right" w:pos="9026" w:leader="dot"/>
            </w:tabs>
            <w:rPr/>
          </w:pPr>
          <w:hyperlink w:anchor="__RefHeading___Toc3807787_1067777946">
            <w:r>
              <w:rPr>
                <w:webHidden/>
                <w:rStyle w:val="IndexLink"/>
                <w:rtl w:val="true"/>
              </w:rPr>
              <w:t>اجراى صيغۀ طلاق واحدِ مفسَّرِ به دو يا سه طلاق</w:t>
            </w:r>
            <w:r>
              <w:rPr>
                <w:rStyle w:val="IndexLink"/>
                <w:rtl w:val="true"/>
              </w:rPr>
              <w:tab/>
            </w:r>
            <w:r>
              <w:rPr>
                <w:rStyle w:val="IndexLink"/>
              </w:rPr>
              <w:t>171</w:t>
            </w:r>
          </w:hyperlink>
        </w:p>
        <w:p>
          <w:pPr>
            <w:pStyle w:val="Contents5"/>
            <w:tabs>
              <w:tab w:val="clear" w:pos="7892"/>
              <w:tab w:val="right" w:pos="9026" w:leader="dot"/>
            </w:tabs>
            <w:rPr/>
          </w:pPr>
          <w:hyperlink w:anchor="__RefHeading___Toc3807789_1067777946">
            <w:r>
              <w:rPr>
                <w:webHidden/>
                <w:rStyle w:val="IndexLink"/>
                <w:rtl w:val="true"/>
              </w:rPr>
              <w:t>سه طلاق بدون تخلّل</w:t>
            </w:r>
            <w:r>
              <w:rPr>
                <w:rStyle w:val="IndexLink"/>
                <w:rtl w:val="true"/>
              </w:rPr>
              <w:tab/>
            </w:r>
            <w:r>
              <w:rPr>
                <w:rStyle w:val="IndexLink"/>
              </w:rPr>
              <w:t>171</w:t>
            </w:r>
          </w:hyperlink>
        </w:p>
        <w:p>
          <w:pPr>
            <w:pStyle w:val="Contents5"/>
            <w:tabs>
              <w:tab w:val="clear" w:pos="7892"/>
              <w:tab w:val="right" w:pos="9026" w:leader="dot"/>
            </w:tabs>
            <w:rPr/>
          </w:pPr>
          <w:hyperlink w:anchor="__RefHeading___Toc3807791_1067777946">
            <w:r>
              <w:rPr>
                <w:webHidden/>
                <w:rStyle w:val="IndexLink"/>
                <w:rtl w:val="true"/>
              </w:rPr>
              <w:t>حكم جريان و يا عدم جريان قاعده</w:t>
            </w:r>
            <w:r>
              <w:rPr>
                <w:rStyle w:val="IndexLink"/>
                <w:rtl w:val="true"/>
              </w:rPr>
              <w:tab/>
            </w:r>
            <w:r>
              <w:rPr>
                <w:rStyle w:val="IndexLink"/>
              </w:rPr>
              <w:t>171</w:t>
            </w:r>
          </w:hyperlink>
        </w:p>
        <w:p>
          <w:pPr>
            <w:pStyle w:val="Contents3"/>
            <w:tabs>
              <w:tab w:val="clear" w:pos="8459"/>
              <w:tab w:val="right" w:pos="9026" w:leader="dot"/>
            </w:tabs>
            <w:rPr/>
          </w:pPr>
          <w:hyperlink w:anchor="__RefHeading___Toc3807793_1067777946">
            <w:r>
              <w:rPr>
                <w:webHidden/>
                <w:rStyle w:val="IndexLink"/>
                <w:rtl w:val="true"/>
              </w:rPr>
              <w:t>فصل سوّم اشهاد در طلاق</w:t>
            </w:r>
            <w:r>
              <w:rPr>
                <w:rStyle w:val="IndexLink"/>
                <w:rtl w:val="true"/>
              </w:rPr>
              <w:tab/>
            </w:r>
            <w:r>
              <w:rPr>
                <w:rStyle w:val="IndexLink"/>
              </w:rPr>
              <w:t>172</w:t>
            </w:r>
          </w:hyperlink>
        </w:p>
        <w:p>
          <w:pPr>
            <w:pStyle w:val="Contents4"/>
            <w:tabs>
              <w:tab w:val="clear" w:pos="8176"/>
              <w:tab w:val="right" w:pos="9026" w:leader="dot"/>
            </w:tabs>
            <w:rPr/>
          </w:pPr>
          <w:hyperlink w:anchor="__RefHeading___Toc3807795_1067777946">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3807797_1067777946">
            <w:r>
              <w:rPr>
                <w:webHidden/>
                <w:rStyle w:val="IndexLink"/>
                <w:rtl w:val="true"/>
              </w:rPr>
              <w:t>كفايت سماع</w:t>
            </w:r>
            <w:r>
              <w:rPr>
                <w:rStyle w:val="IndexLink"/>
                <w:rtl w:val="true"/>
              </w:rPr>
              <w:tab/>
            </w:r>
            <w:r>
              <w:rPr>
                <w:rStyle w:val="IndexLink"/>
              </w:rPr>
              <w:t>172</w:t>
            </w:r>
          </w:hyperlink>
        </w:p>
        <w:p>
          <w:pPr>
            <w:pStyle w:val="Contents4"/>
            <w:tabs>
              <w:tab w:val="clear" w:pos="8176"/>
              <w:tab w:val="right" w:pos="9026" w:leader="dot"/>
            </w:tabs>
            <w:rPr/>
          </w:pPr>
          <w:hyperlink w:anchor="__RefHeading___Toc3807799_1067777946">
            <w:r>
              <w:rPr>
                <w:webHidden/>
                <w:rStyle w:val="IndexLink"/>
                <w:rtl w:val="true"/>
              </w:rPr>
              <w:t>عدم لزوم اجتماع شهود بر اقرار به طلاق</w:t>
            </w:r>
            <w:r>
              <w:rPr>
                <w:rStyle w:val="IndexLink"/>
                <w:rtl w:val="true"/>
              </w:rPr>
              <w:tab/>
            </w:r>
            <w:r>
              <w:rPr>
                <w:rStyle w:val="IndexLink"/>
              </w:rPr>
              <w:t>172</w:t>
            </w:r>
          </w:hyperlink>
        </w:p>
        <w:p>
          <w:pPr>
            <w:pStyle w:val="Contents4"/>
            <w:tabs>
              <w:tab w:val="clear" w:pos="8176"/>
              <w:tab w:val="right" w:pos="9026" w:leader="dot"/>
            </w:tabs>
            <w:rPr/>
          </w:pPr>
          <w:hyperlink w:anchor="__RefHeading___Toc3807801_1067777946">
            <w:r>
              <w:rPr>
                <w:webHidden/>
                <w:rStyle w:val="IndexLink"/>
                <w:rtl w:val="true"/>
              </w:rPr>
              <w:t>لزوم اجتماع دو شاهد و مرد بودن آن دو</w:t>
            </w:r>
            <w:r>
              <w:rPr>
                <w:rStyle w:val="IndexLink"/>
                <w:rtl w:val="true"/>
              </w:rPr>
              <w:tab/>
            </w:r>
            <w:r>
              <w:rPr>
                <w:rStyle w:val="IndexLink"/>
              </w:rPr>
              <w:t>172</w:t>
            </w:r>
          </w:hyperlink>
        </w:p>
        <w:p>
          <w:pPr>
            <w:pStyle w:val="Contents4"/>
            <w:tabs>
              <w:tab w:val="clear" w:pos="8176"/>
              <w:tab w:val="right" w:pos="9026" w:leader="dot"/>
            </w:tabs>
            <w:rPr/>
          </w:pPr>
          <w:hyperlink w:anchor="__RefHeading___Toc3807803_1067777946">
            <w:r>
              <w:rPr>
                <w:webHidden/>
                <w:rStyle w:val="IndexLink"/>
                <w:rtl w:val="true"/>
              </w:rPr>
              <w:t>لزوم تغاير شاهدين با وكيل و موكّل</w:t>
            </w:r>
            <w:r>
              <w:rPr>
                <w:rStyle w:val="IndexLink"/>
                <w:rtl w:val="true"/>
              </w:rPr>
              <w:tab/>
            </w:r>
            <w:r>
              <w:rPr>
                <w:rStyle w:val="IndexLink"/>
              </w:rPr>
              <w:t>173</w:t>
            </w:r>
          </w:hyperlink>
        </w:p>
        <w:p>
          <w:pPr>
            <w:pStyle w:val="Contents4"/>
            <w:tabs>
              <w:tab w:val="clear" w:pos="8176"/>
              <w:tab w:val="right" w:pos="9026" w:leader="dot"/>
            </w:tabs>
            <w:rPr/>
          </w:pPr>
          <w:hyperlink w:anchor="__RefHeading___Toc3807805_1067777946">
            <w:r>
              <w:rPr>
                <w:webHidden/>
                <w:rStyle w:val="IndexLink"/>
                <w:rtl w:val="true"/>
              </w:rPr>
              <w:t>اشتراط عدالت در شاهد</w:t>
            </w:r>
            <w:r>
              <w:rPr>
                <w:rStyle w:val="IndexLink"/>
                <w:rtl w:val="true"/>
              </w:rPr>
              <w:tab/>
            </w:r>
            <w:r>
              <w:rPr>
                <w:rStyle w:val="IndexLink"/>
              </w:rPr>
              <w:t>173</w:t>
            </w:r>
          </w:hyperlink>
        </w:p>
        <w:p>
          <w:pPr>
            <w:pStyle w:val="Contents4"/>
            <w:tabs>
              <w:tab w:val="clear" w:pos="8176"/>
              <w:tab w:val="right" w:pos="9026" w:leader="dot"/>
            </w:tabs>
            <w:rPr/>
          </w:pPr>
          <w:hyperlink w:anchor="__RefHeading___Toc3807807_1067777946">
            <w:r>
              <w:rPr>
                <w:webHidden/>
                <w:rStyle w:val="IndexLink"/>
                <w:rtl w:val="true"/>
              </w:rPr>
              <w:t>كفايت احتمال عدالت توسط مجرى</w:t>
            </w:r>
            <w:r>
              <w:rPr>
                <w:rStyle w:val="IndexLink"/>
                <w:rtl w:val="true"/>
              </w:rPr>
              <w:tab/>
            </w:r>
            <w:r>
              <w:rPr>
                <w:rStyle w:val="IndexLink"/>
              </w:rPr>
              <w:t>173</w:t>
            </w:r>
          </w:hyperlink>
        </w:p>
        <w:p>
          <w:pPr>
            <w:pStyle w:val="Contents4"/>
            <w:tabs>
              <w:tab w:val="clear" w:pos="8176"/>
              <w:tab w:val="right" w:pos="9026" w:leader="dot"/>
            </w:tabs>
            <w:rPr/>
          </w:pPr>
          <w:hyperlink w:anchor="__RefHeading___Toc3807809_1067777946">
            <w:r>
              <w:rPr>
                <w:webHidden/>
                <w:rStyle w:val="IndexLink"/>
                <w:rtl w:val="true"/>
              </w:rPr>
              <w:t>فرض علم مجرى به عدالت و علم ديگران به فسق</w:t>
            </w:r>
            <w:r>
              <w:rPr>
                <w:rStyle w:val="IndexLink"/>
                <w:rtl w:val="true"/>
              </w:rPr>
              <w:tab/>
            </w:r>
            <w:r>
              <w:rPr>
                <w:rStyle w:val="IndexLink"/>
              </w:rPr>
              <w:t>173</w:t>
            </w:r>
          </w:hyperlink>
        </w:p>
        <w:p>
          <w:pPr>
            <w:pStyle w:val="Contents3"/>
            <w:tabs>
              <w:tab w:val="clear" w:pos="8459"/>
              <w:tab w:val="right" w:pos="9026" w:leader="dot"/>
            </w:tabs>
            <w:rPr/>
          </w:pPr>
          <w:hyperlink w:anchor="__RefHeading___Toc3807811_1067777946">
            <w:r>
              <w:rPr>
                <w:webHidden/>
                <w:rStyle w:val="IndexLink"/>
                <w:rtl w:val="true"/>
              </w:rPr>
              <w:t>فصل چهارم اقسام طلاق و صيغۀ آن</w:t>
            </w:r>
            <w:r>
              <w:rPr>
                <w:rStyle w:val="IndexLink"/>
                <w:rtl w:val="true"/>
              </w:rPr>
              <w:tab/>
            </w:r>
            <w:r>
              <w:rPr>
                <w:rStyle w:val="IndexLink"/>
              </w:rPr>
              <w:t>174</w:t>
            </w:r>
          </w:hyperlink>
        </w:p>
        <w:p>
          <w:pPr>
            <w:pStyle w:val="Contents4"/>
            <w:tabs>
              <w:tab w:val="clear" w:pos="8176"/>
              <w:tab w:val="right" w:pos="9026" w:leader="dot"/>
            </w:tabs>
            <w:rPr/>
          </w:pPr>
          <w:hyperlink w:anchor="__RefHeading___Toc3807813_1067777946">
            <w:r>
              <w:rPr>
                <w:webHidden/>
                <w:rStyle w:val="IndexLink"/>
                <w:rtl w:val="true"/>
              </w:rPr>
              <w:t>اقسام طلاق</w:t>
            </w:r>
            <w:r>
              <w:rPr>
                <w:rStyle w:val="IndexLink"/>
                <w:rtl w:val="true"/>
              </w:rPr>
              <w:tab/>
            </w:r>
            <w:r>
              <w:rPr>
                <w:rStyle w:val="IndexLink"/>
              </w:rPr>
              <w:t>174</w:t>
            </w:r>
          </w:hyperlink>
        </w:p>
        <w:p>
          <w:pPr>
            <w:pStyle w:val="Contents5"/>
            <w:tabs>
              <w:tab w:val="clear" w:pos="7892"/>
              <w:tab w:val="right" w:pos="9026" w:leader="dot"/>
            </w:tabs>
            <w:rPr/>
          </w:pPr>
          <w:hyperlink w:anchor="__RefHeading___Toc3807815_1067777946">
            <w:r>
              <w:rPr>
                <w:webHidden/>
                <w:rStyle w:val="IndexLink"/>
                <w:rtl w:val="true"/>
              </w:rPr>
              <w:t>اشاره</w:t>
            </w:r>
            <w:r>
              <w:rPr>
                <w:rStyle w:val="IndexLink"/>
                <w:rtl w:val="true"/>
              </w:rPr>
              <w:tab/>
            </w:r>
            <w:r>
              <w:rPr>
                <w:rStyle w:val="IndexLink"/>
              </w:rPr>
              <w:t>174</w:t>
            </w:r>
          </w:hyperlink>
        </w:p>
        <w:p>
          <w:pPr>
            <w:pStyle w:val="Contents5"/>
            <w:tabs>
              <w:tab w:val="clear" w:pos="7892"/>
              <w:tab w:val="right" w:pos="9026" w:leader="dot"/>
            </w:tabs>
            <w:rPr/>
          </w:pPr>
          <w:hyperlink w:anchor="__RefHeading___Toc3807817_1067777946">
            <w:r>
              <w:rPr>
                <w:webHidden/>
                <w:rStyle w:val="IndexLink"/>
                <w:rtl w:val="true"/>
              </w:rPr>
              <w:t>طلاق بائن</w:t>
            </w:r>
            <w:r>
              <w:rPr>
                <w:rStyle w:val="IndexLink"/>
                <w:rtl w:val="true"/>
              </w:rPr>
              <w:tab/>
            </w:r>
            <w:r>
              <w:rPr>
                <w:rStyle w:val="IndexLink"/>
              </w:rPr>
              <w:t>174</w:t>
            </w:r>
          </w:hyperlink>
        </w:p>
        <w:p>
          <w:pPr>
            <w:pStyle w:val="Contents5"/>
            <w:tabs>
              <w:tab w:val="clear" w:pos="7892"/>
              <w:tab w:val="right" w:pos="9026" w:leader="dot"/>
            </w:tabs>
            <w:rPr/>
          </w:pPr>
          <w:hyperlink w:anchor="__RefHeading___Toc3807819_1067777946">
            <w:r>
              <w:rPr>
                <w:webHidden/>
                <w:rStyle w:val="IndexLink"/>
                <w:rtl w:val="true"/>
              </w:rPr>
              <w:t>طلاق عدّه</w:t>
            </w:r>
            <w:r>
              <w:rPr>
                <w:rStyle w:val="IndexLink"/>
                <w:rtl w:val="true"/>
              </w:rPr>
              <w:tab/>
            </w:r>
            <w:r>
              <w:rPr>
                <w:rStyle w:val="IndexLink"/>
              </w:rPr>
              <w:t>174</w:t>
            </w:r>
          </w:hyperlink>
        </w:p>
        <w:p>
          <w:pPr>
            <w:pStyle w:val="Contents5"/>
            <w:tabs>
              <w:tab w:val="clear" w:pos="7892"/>
              <w:tab w:val="right" w:pos="9026" w:leader="dot"/>
            </w:tabs>
            <w:rPr/>
          </w:pPr>
          <w:hyperlink w:anchor="__RefHeading___Toc3807821_1067777946">
            <w:r>
              <w:rPr>
                <w:webHidden/>
                <w:rStyle w:val="IndexLink"/>
                <w:rtl w:val="true"/>
              </w:rPr>
              <w:t>نياز به محلّل در همه طلاقهاى مقدّم بر طلاق سوم</w:t>
            </w:r>
            <w:r>
              <w:rPr>
                <w:rStyle w:val="IndexLink"/>
                <w:rtl w:val="true"/>
              </w:rPr>
              <w:tab/>
            </w:r>
            <w:r>
              <w:rPr>
                <w:rStyle w:val="IndexLink"/>
              </w:rPr>
              <w:t>175</w:t>
            </w:r>
          </w:hyperlink>
        </w:p>
        <w:p>
          <w:pPr>
            <w:pStyle w:val="Contents5"/>
            <w:tabs>
              <w:tab w:val="clear" w:pos="7892"/>
              <w:tab w:val="right" w:pos="9026" w:leader="dot"/>
            </w:tabs>
            <w:rPr/>
          </w:pPr>
          <w:hyperlink w:anchor="__RefHeading___Toc3807823_1067777946">
            <w:r>
              <w:rPr>
                <w:webHidden/>
                <w:rStyle w:val="IndexLink"/>
                <w:rtl w:val="true"/>
              </w:rPr>
              <w:t>شرط تحقق طلاق سوّم</w:t>
            </w:r>
            <w:r>
              <w:rPr>
                <w:rStyle w:val="IndexLink"/>
                <w:rtl w:val="true"/>
              </w:rPr>
              <w:tab/>
            </w:r>
            <w:r>
              <w:rPr>
                <w:rStyle w:val="IndexLink"/>
              </w:rPr>
              <w:t>175</w:t>
            </w:r>
          </w:hyperlink>
        </w:p>
        <w:p>
          <w:pPr>
            <w:pStyle w:val="Contents4"/>
            <w:tabs>
              <w:tab w:val="clear" w:pos="8176"/>
              <w:tab w:val="right" w:pos="9026" w:leader="dot"/>
            </w:tabs>
            <w:rPr/>
          </w:pPr>
          <w:hyperlink w:anchor="__RefHeading___Toc3807825_1067777946">
            <w:r>
              <w:rPr>
                <w:webHidden/>
                <w:rStyle w:val="IndexLink"/>
                <w:rtl w:val="true"/>
              </w:rPr>
              <w:t>صيغۀ طلاق</w:t>
            </w:r>
            <w:r>
              <w:rPr>
                <w:rStyle w:val="IndexLink"/>
                <w:rtl w:val="true"/>
              </w:rPr>
              <w:tab/>
            </w:r>
            <w:r>
              <w:rPr>
                <w:rStyle w:val="IndexLink"/>
              </w:rPr>
              <w:t>175</w:t>
            </w:r>
          </w:hyperlink>
        </w:p>
        <w:p>
          <w:pPr>
            <w:pStyle w:val="Contents5"/>
            <w:tabs>
              <w:tab w:val="clear" w:pos="7892"/>
              <w:tab w:val="right" w:pos="9026" w:leader="dot"/>
            </w:tabs>
            <w:rPr/>
          </w:pPr>
          <w:hyperlink w:anchor="__RefHeading___Toc3807827_1067777946">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3807829_1067777946">
            <w:r>
              <w:rPr>
                <w:webHidden/>
                <w:rStyle w:val="IndexLink"/>
                <w:rtl w:val="true"/>
              </w:rPr>
              <w:t>عربى يا غير عربى بودن صيغه و طلاق اخرس</w:t>
            </w:r>
            <w:r>
              <w:rPr>
                <w:rStyle w:val="IndexLink"/>
                <w:rtl w:val="true"/>
              </w:rPr>
              <w:tab/>
            </w:r>
            <w:r>
              <w:rPr>
                <w:rStyle w:val="IndexLink"/>
              </w:rPr>
              <w:t>176</w:t>
            </w:r>
          </w:hyperlink>
        </w:p>
        <w:p>
          <w:pPr>
            <w:pStyle w:val="Contents5"/>
            <w:tabs>
              <w:tab w:val="clear" w:pos="7892"/>
              <w:tab w:val="right" w:pos="9026" w:leader="dot"/>
            </w:tabs>
            <w:rPr/>
          </w:pPr>
          <w:hyperlink w:anchor="__RefHeading___Toc3807831_1067777946">
            <w:r>
              <w:rPr>
                <w:webHidden/>
                <w:rStyle w:val="IndexLink"/>
                <w:rtl w:val="true"/>
              </w:rPr>
              <w:t>طلاق با كتابت</w:t>
            </w:r>
            <w:r>
              <w:rPr>
                <w:rStyle w:val="IndexLink"/>
                <w:rtl w:val="true"/>
              </w:rPr>
              <w:tab/>
            </w:r>
            <w:r>
              <w:rPr>
                <w:rStyle w:val="IndexLink"/>
              </w:rPr>
              <w:t>176</w:t>
            </w:r>
          </w:hyperlink>
        </w:p>
        <w:p>
          <w:pPr>
            <w:pStyle w:val="Contents5"/>
            <w:tabs>
              <w:tab w:val="clear" w:pos="7892"/>
              <w:tab w:val="right" w:pos="9026" w:leader="dot"/>
            </w:tabs>
            <w:rPr/>
          </w:pPr>
          <w:hyperlink w:anchor="__RefHeading___Toc3807833_1067777946">
            <w:r>
              <w:rPr>
                <w:webHidden/>
                <w:rStyle w:val="IndexLink"/>
                <w:rtl w:val="true"/>
              </w:rPr>
              <w:t>اگر مرد اختيار طلاق را به همسر خود بسپارد</w:t>
            </w:r>
            <w:r>
              <w:rPr>
                <w:rStyle w:val="IndexLink"/>
                <w:rtl w:val="true"/>
              </w:rPr>
              <w:tab/>
            </w:r>
            <w:r>
              <w:rPr>
                <w:rStyle w:val="IndexLink"/>
              </w:rPr>
              <w:t>176</w:t>
            </w:r>
          </w:hyperlink>
        </w:p>
        <w:p>
          <w:pPr>
            <w:pStyle w:val="Contents5"/>
            <w:tabs>
              <w:tab w:val="clear" w:pos="7892"/>
              <w:tab w:val="right" w:pos="9026" w:leader="dot"/>
            </w:tabs>
            <w:rPr/>
          </w:pPr>
          <w:hyperlink w:anchor="__RefHeading___Toc3807835_1067777946">
            <w:r>
              <w:rPr>
                <w:webHidden/>
                <w:rStyle w:val="IndexLink"/>
                <w:rtl w:val="true"/>
              </w:rPr>
              <w:t>زيادى قيد در طلاق</w:t>
            </w:r>
            <w:r>
              <w:rPr>
                <w:rStyle w:val="IndexLink"/>
                <w:rtl w:val="true"/>
              </w:rPr>
              <w:tab/>
            </w:r>
            <w:r>
              <w:rPr>
                <w:rStyle w:val="IndexLink"/>
              </w:rPr>
              <w:t>176</w:t>
            </w:r>
          </w:hyperlink>
        </w:p>
        <w:p>
          <w:pPr>
            <w:pStyle w:val="Contents5"/>
            <w:tabs>
              <w:tab w:val="clear" w:pos="7892"/>
              <w:tab w:val="right" w:pos="9026" w:leader="dot"/>
            </w:tabs>
            <w:rPr/>
          </w:pPr>
          <w:hyperlink w:anchor="__RefHeading___Toc3807837_1067777946">
            <w:r>
              <w:rPr>
                <w:webHidden/>
                <w:rStyle w:val="IndexLink"/>
                <w:rtl w:val="true"/>
              </w:rPr>
              <w:t>اجراى صيغه با احتمال خلل در شرط و مانع</w:t>
            </w:r>
            <w:r>
              <w:rPr>
                <w:rStyle w:val="IndexLink"/>
                <w:rtl w:val="true"/>
              </w:rPr>
              <w:tab/>
            </w:r>
            <w:r>
              <w:rPr>
                <w:rStyle w:val="IndexLink"/>
              </w:rPr>
              <w:t>177</w:t>
            </w:r>
          </w:hyperlink>
        </w:p>
        <w:p>
          <w:pPr>
            <w:pStyle w:val="Contents5"/>
            <w:tabs>
              <w:tab w:val="clear" w:pos="7892"/>
              <w:tab w:val="right" w:pos="9026" w:leader="dot"/>
            </w:tabs>
            <w:rPr/>
          </w:pPr>
          <w:hyperlink w:anchor="__RefHeading___Toc3807839_1067777946">
            <w:r>
              <w:rPr>
                <w:webHidden/>
                <w:rStyle w:val="IndexLink"/>
                <w:rtl w:val="true"/>
              </w:rPr>
              <w:t>تعليق به مستقبل و غير آن</w:t>
            </w:r>
            <w:r>
              <w:rPr>
                <w:rStyle w:val="IndexLink"/>
                <w:rtl w:val="true"/>
              </w:rPr>
              <w:tab/>
            </w:r>
            <w:r>
              <w:rPr>
                <w:rStyle w:val="IndexLink"/>
              </w:rPr>
              <w:t>177</w:t>
            </w:r>
          </w:hyperlink>
        </w:p>
        <w:p>
          <w:pPr>
            <w:pStyle w:val="Contents5"/>
            <w:tabs>
              <w:tab w:val="clear" w:pos="7892"/>
              <w:tab w:val="right" w:pos="9026" w:leader="dot"/>
            </w:tabs>
            <w:rPr/>
          </w:pPr>
          <w:hyperlink w:anchor="__RefHeading___Toc3807841_1067777946">
            <w:r>
              <w:rPr>
                <w:webHidden/>
                <w:rStyle w:val="IndexLink"/>
                <w:rtl w:val="true"/>
              </w:rPr>
              <w:t>ادّعاى سبق لسان در لفظ طالق</w:t>
            </w:r>
            <w:r>
              <w:rPr>
                <w:rStyle w:val="IndexLink"/>
                <w:rtl w:val="true"/>
              </w:rPr>
              <w:tab/>
            </w:r>
            <w:r>
              <w:rPr>
                <w:rStyle w:val="IndexLink"/>
              </w:rPr>
              <w:t>177</w:t>
            </w:r>
          </w:hyperlink>
        </w:p>
        <w:p>
          <w:pPr>
            <w:pStyle w:val="Contents5"/>
            <w:tabs>
              <w:tab w:val="clear" w:pos="7892"/>
              <w:tab w:val="right" w:pos="9026" w:leader="dot"/>
            </w:tabs>
            <w:rPr/>
          </w:pPr>
          <w:hyperlink w:anchor="__RefHeading___Toc3807843_1067777946">
            <w:r>
              <w:rPr>
                <w:webHidden/>
                <w:rStyle w:val="IndexLink"/>
                <w:rtl w:val="true"/>
              </w:rPr>
              <w:t>حكم بعضى از گونه هاى بيان صيغه</w:t>
            </w:r>
            <w:r>
              <w:rPr>
                <w:rStyle w:val="IndexLink"/>
                <w:rtl w:val="true"/>
              </w:rPr>
              <w:tab/>
            </w:r>
            <w:r>
              <w:rPr>
                <w:rStyle w:val="IndexLink"/>
              </w:rPr>
              <w:t>178</w:t>
            </w:r>
          </w:hyperlink>
        </w:p>
        <w:p>
          <w:pPr>
            <w:pStyle w:val="Contents5"/>
            <w:tabs>
              <w:tab w:val="clear" w:pos="7892"/>
              <w:tab w:val="right" w:pos="9026" w:leader="dot"/>
            </w:tabs>
            <w:rPr/>
          </w:pPr>
          <w:hyperlink w:anchor="__RefHeading___Toc3807845_1067777946">
            <w:r>
              <w:rPr>
                <w:webHidden/>
                <w:rStyle w:val="IndexLink"/>
                <w:rtl w:val="true"/>
              </w:rPr>
              <w:t>طلاق اكثر از واحده به يك صيغه</w:t>
            </w:r>
            <w:r>
              <w:rPr>
                <w:rStyle w:val="IndexLink"/>
                <w:rtl w:val="true"/>
              </w:rPr>
              <w:tab/>
            </w:r>
            <w:r>
              <w:rPr>
                <w:rStyle w:val="IndexLink"/>
              </w:rPr>
              <w:t>178</w:t>
            </w:r>
          </w:hyperlink>
        </w:p>
        <w:p>
          <w:pPr>
            <w:pStyle w:val="Contents5"/>
            <w:tabs>
              <w:tab w:val="clear" w:pos="7892"/>
              <w:tab w:val="right" w:pos="9026" w:leader="dot"/>
            </w:tabs>
            <w:rPr/>
          </w:pPr>
          <w:hyperlink w:anchor="__RefHeading___Toc3807847_1067777946">
            <w:r>
              <w:rPr>
                <w:webHidden/>
                <w:rStyle w:val="IndexLink"/>
                <w:rtl w:val="true"/>
              </w:rPr>
              <w:t>استثنا در صيغۀ طلاق به اِلّا و غير</w:t>
            </w:r>
            <w:r>
              <w:rPr>
                <w:rStyle w:val="IndexLink"/>
                <w:rtl w:val="true"/>
              </w:rPr>
              <w:tab/>
            </w:r>
            <w:r>
              <w:rPr>
                <w:rStyle w:val="IndexLink"/>
              </w:rPr>
              <w:t>178</w:t>
            </w:r>
          </w:hyperlink>
        </w:p>
        <w:p>
          <w:pPr>
            <w:pStyle w:val="Contents5"/>
            <w:tabs>
              <w:tab w:val="clear" w:pos="7892"/>
              <w:tab w:val="right" w:pos="9026" w:leader="dot"/>
            </w:tabs>
            <w:rPr/>
          </w:pPr>
          <w:hyperlink w:anchor="__RefHeading___Toc3807849_1067777946">
            <w:r>
              <w:rPr>
                <w:webHidden/>
                <w:rStyle w:val="IndexLink"/>
                <w:rtl w:val="true"/>
              </w:rPr>
              <w:t>ادّعاى سبق لسان در اسم مطلّقه</w:t>
            </w:r>
            <w:r>
              <w:rPr>
                <w:rStyle w:val="IndexLink"/>
                <w:rtl w:val="true"/>
              </w:rPr>
              <w:tab/>
            </w:r>
            <w:r>
              <w:rPr>
                <w:rStyle w:val="IndexLink"/>
              </w:rPr>
              <w:t>179</w:t>
            </w:r>
          </w:hyperlink>
        </w:p>
        <w:p>
          <w:pPr>
            <w:pStyle w:val="Contents5"/>
            <w:tabs>
              <w:tab w:val="clear" w:pos="7892"/>
              <w:tab w:val="right" w:pos="9026" w:leader="dot"/>
            </w:tabs>
            <w:rPr/>
          </w:pPr>
          <w:hyperlink w:anchor="__RefHeading___Toc3807851_1067777946">
            <w:r>
              <w:rPr>
                <w:webHidden/>
                <w:rStyle w:val="IndexLink"/>
                <w:rtl w:val="true"/>
              </w:rPr>
              <w:t>اضراب به بل</w:t>
            </w:r>
            <w:r>
              <w:rPr>
                <w:rStyle w:val="IndexLink"/>
                <w:rtl w:val="true"/>
              </w:rPr>
              <w:tab/>
            </w:r>
            <w:r>
              <w:rPr>
                <w:rStyle w:val="IndexLink"/>
              </w:rPr>
              <w:t>179</w:t>
            </w:r>
          </w:hyperlink>
        </w:p>
        <w:p>
          <w:pPr>
            <w:pStyle w:val="Contents5"/>
            <w:tabs>
              <w:tab w:val="clear" w:pos="7892"/>
              <w:tab w:val="right" w:pos="9026" w:leader="dot"/>
            </w:tabs>
            <w:rPr/>
          </w:pPr>
          <w:hyperlink w:anchor="__RefHeading___Toc3807853_1067777946">
            <w:r>
              <w:rPr>
                <w:webHidden/>
                <w:rStyle w:val="IndexLink"/>
                <w:rtl w:val="true"/>
              </w:rPr>
              <w:t>بقيۀ مسائل مربوط به اقسام طلاق</w:t>
            </w:r>
            <w:r>
              <w:rPr>
                <w:rStyle w:val="IndexLink"/>
                <w:rtl w:val="true"/>
              </w:rPr>
              <w:tab/>
            </w:r>
            <w:r>
              <w:rPr>
                <w:rStyle w:val="IndexLink"/>
              </w:rPr>
              <w:t>179</w:t>
            </w:r>
          </w:hyperlink>
        </w:p>
        <w:p>
          <w:pPr>
            <w:pStyle w:val="Contents5"/>
            <w:tabs>
              <w:tab w:val="clear" w:pos="7892"/>
              <w:tab w:val="right" w:pos="9026" w:leader="dot"/>
            </w:tabs>
            <w:rPr/>
          </w:pPr>
          <w:hyperlink w:anchor="__RefHeading___Toc3807855_1067777946">
            <w:r>
              <w:rPr>
                <w:webHidden/>
                <w:rStyle w:val="IndexLink"/>
                <w:rtl w:val="true"/>
              </w:rPr>
              <w:t>در حامل سه طلاق دادن تصوير دارد به خلاف نه طلاق</w:t>
            </w:r>
            <w:r>
              <w:rPr>
                <w:rStyle w:val="IndexLink"/>
                <w:rtl w:val="true"/>
              </w:rPr>
              <w:tab/>
            </w:r>
            <w:r>
              <w:rPr>
                <w:rStyle w:val="IndexLink"/>
              </w:rPr>
              <w:t>179</w:t>
            </w:r>
          </w:hyperlink>
        </w:p>
        <w:p>
          <w:pPr>
            <w:pStyle w:val="Contents5"/>
            <w:tabs>
              <w:tab w:val="clear" w:pos="7892"/>
              <w:tab w:val="right" w:pos="9026" w:leader="dot"/>
            </w:tabs>
            <w:rPr/>
          </w:pPr>
          <w:hyperlink w:anchor="__RefHeading___Toc3807857_1067777946">
            <w:r>
              <w:rPr>
                <w:webHidden/>
                <w:rStyle w:val="IndexLink"/>
                <w:rtl w:val="true"/>
              </w:rPr>
              <w:t>عدم اناطه سه طلاق دادن به مواقعه بعد از هر طلاق</w:t>
            </w:r>
            <w:r>
              <w:rPr>
                <w:rStyle w:val="IndexLink"/>
                <w:rtl w:val="true"/>
              </w:rPr>
              <w:tab/>
            </w:r>
            <w:r>
              <w:rPr>
                <w:rStyle w:val="IndexLink"/>
              </w:rPr>
              <w:t>180</w:t>
            </w:r>
          </w:hyperlink>
        </w:p>
        <w:p>
          <w:pPr>
            <w:pStyle w:val="Contents5"/>
            <w:tabs>
              <w:tab w:val="clear" w:pos="7892"/>
              <w:tab w:val="right" w:pos="9026" w:leader="dot"/>
            </w:tabs>
            <w:rPr/>
          </w:pPr>
          <w:hyperlink w:anchor="__RefHeading___Toc3807859_1067777946">
            <w:r>
              <w:rPr>
                <w:webHidden/>
                <w:rStyle w:val="IndexLink"/>
                <w:rtl w:val="true"/>
              </w:rPr>
              <w:t>شك در اصل طلاق يا عدد آن</w:t>
            </w:r>
            <w:r>
              <w:rPr>
                <w:rStyle w:val="IndexLink"/>
                <w:rtl w:val="true"/>
              </w:rPr>
              <w:tab/>
            </w:r>
            <w:r>
              <w:rPr>
                <w:rStyle w:val="IndexLink"/>
              </w:rPr>
              <w:t>180</w:t>
            </w:r>
          </w:hyperlink>
        </w:p>
        <w:p>
          <w:pPr>
            <w:pStyle w:val="Contents3"/>
            <w:tabs>
              <w:tab w:val="clear" w:pos="8459"/>
              <w:tab w:val="right" w:pos="9026" w:leader="dot"/>
            </w:tabs>
            <w:rPr/>
          </w:pPr>
          <w:hyperlink w:anchor="__RefHeading___Toc3807861_1067777946">
            <w:r>
              <w:rPr>
                <w:webHidden/>
                <w:rStyle w:val="IndexLink"/>
                <w:rtl w:val="true"/>
              </w:rPr>
              <w:t>فصل پنجم طلاق غايب و مريض</w:t>
            </w:r>
            <w:r>
              <w:rPr>
                <w:rStyle w:val="IndexLink"/>
                <w:rtl w:val="true"/>
              </w:rPr>
              <w:tab/>
            </w:r>
            <w:r>
              <w:rPr>
                <w:rStyle w:val="IndexLink"/>
              </w:rPr>
              <w:t>181</w:t>
            </w:r>
          </w:hyperlink>
        </w:p>
        <w:p>
          <w:pPr>
            <w:pStyle w:val="Contents4"/>
            <w:tabs>
              <w:tab w:val="clear" w:pos="8176"/>
              <w:tab w:val="right" w:pos="9026" w:leader="dot"/>
            </w:tabs>
            <w:rPr/>
          </w:pPr>
          <w:hyperlink w:anchor="__RefHeading___Toc3807863_1067777946">
            <w:r>
              <w:rPr>
                <w:webHidden/>
                <w:rStyle w:val="IndexLink"/>
              </w:rPr>
              <w:t>1</w:t>
            </w:r>
            <w:r>
              <w:rPr>
                <w:rStyle w:val="IndexLink"/>
                <w:rtl w:val="true"/>
              </w:rPr>
              <w:t xml:space="preserve">. </w:t>
            </w:r>
            <w:r>
              <w:rPr>
                <w:rStyle w:val="IndexLink"/>
                <w:rtl w:val="true"/>
              </w:rPr>
              <w:t>طلاق شخص غايب</w:t>
            </w:r>
            <w:r>
              <w:rPr>
                <w:rStyle w:val="IndexLink"/>
                <w:rtl w:val="true"/>
              </w:rPr>
              <w:tab/>
            </w:r>
            <w:r>
              <w:rPr>
                <w:rStyle w:val="IndexLink"/>
              </w:rPr>
              <w:t>181</w:t>
            </w:r>
          </w:hyperlink>
        </w:p>
        <w:p>
          <w:pPr>
            <w:pStyle w:val="Contents5"/>
            <w:tabs>
              <w:tab w:val="clear" w:pos="7892"/>
              <w:tab w:val="right" w:pos="9026" w:leader="dot"/>
            </w:tabs>
            <w:rPr/>
          </w:pPr>
          <w:hyperlink w:anchor="__RefHeading___Toc3807865_1067777946">
            <w:r>
              <w:rPr>
                <w:webHidden/>
                <w:rStyle w:val="IndexLink"/>
                <w:rtl w:val="true"/>
              </w:rPr>
              <w:t>طلاق غايب و اعلام به آن بعد از حضور و مقاربت</w:t>
            </w:r>
            <w:r>
              <w:rPr>
                <w:rStyle w:val="IndexLink"/>
                <w:rtl w:val="true"/>
              </w:rPr>
              <w:tab/>
            </w:r>
            <w:r>
              <w:rPr>
                <w:rStyle w:val="IndexLink"/>
              </w:rPr>
              <w:t>181</w:t>
            </w:r>
          </w:hyperlink>
        </w:p>
        <w:p>
          <w:pPr>
            <w:pStyle w:val="Contents5"/>
            <w:tabs>
              <w:tab w:val="clear" w:pos="7892"/>
              <w:tab w:val="right" w:pos="9026" w:leader="dot"/>
            </w:tabs>
            <w:rPr/>
          </w:pPr>
          <w:hyperlink w:anchor="__RefHeading___Toc3807867_1067777946">
            <w:r>
              <w:rPr>
                <w:webHidden/>
                <w:rStyle w:val="IndexLink"/>
                <w:rtl w:val="true"/>
              </w:rPr>
              <w:t>طلاق رجعى توسط غايب و ارادۀ ازدواج با اخت و امثال آن</w:t>
            </w:r>
            <w:r>
              <w:rPr>
                <w:rStyle w:val="IndexLink"/>
                <w:rtl w:val="true"/>
              </w:rPr>
              <w:tab/>
            </w:r>
            <w:r>
              <w:rPr>
                <w:rStyle w:val="IndexLink"/>
              </w:rPr>
              <w:t>181</w:t>
            </w:r>
          </w:hyperlink>
        </w:p>
        <w:p>
          <w:pPr>
            <w:pStyle w:val="Contents4"/>
            <w:tabs>
              <w:tab w:val="clear" w:pos="8176"/>
              <w:tab w:val="right" w:pos="9026" w:leader="dot"/>
            </w:tabs>
            <w:rPr/>
          </w:pPr>
          <w:hyperlink w:anchor="__RefHeading___Toc3807869_1067777946">
            <w:r>
              <w:rPr>
                <w:webHidden/>
                <w:rStyle w:val="IndexLink"/>
              </w:rPr>
              <w:t>2</w:t>
            </w:r>
            <w:r>
              <w:rPr>
                <w:rStyle w:val="IndexLink"/>
                <w:rtl w:val="true"/>
              </w:rPr>
              <w:t xml:space="preserve">. </w:t>
            </w:r>
            <w:r>
              <w:rPr>
                <w:rStyle w:val="IndexLink"/>
                <w:rtl w:val="true"/>
              </w:rPr>
              <w:t>طلاق مريض</w:t>
            </w:r>
            <w:r>
              <w:rPr>
                <w:rStyle w:val="IndexLink"/>
                <w:rtl w:val="true"/>
              </w:rPr>
              <w:tab/>
            </w:r>
            <w:r>
              <w:rPr>
                <w:rStyle w:val="IndexLink"/>
              </w:rPr>
              <w:t>182</w:t>
            </w:r>
          </w:hyperlink>
        </w:p>
        <w:p>
          <w:pPr>
            <w:pStyle w:val="Contents5"/>
            <w:tabs>
              <w:tab w:val="clear" w:pos="7892"/>
              <w:tab w:val="right" w:pos="9026" w:leader="dot"/>
            </w:tabs>
            <w:rPr/>
          </w:pPr>
          <w:hyperlink w:anchor="__RefHeading___Toc3807871_1067777946">
            <w:r>
              <w:rPr>
                <w:webHidden/>
                <w:rStyle w:val="IndexLink"/>
                <w:rtl w:val="true"/>
              </w:rPr>
              <w:t>كراهت شديدۀ طلاق مريض</w:t>
            </w:r>
            <w:r>
              <w:rPr>
                <w:rStyle w:val="IndexLink"/>
                <w:rtl w:val="true"/>
              </w:rPr>
              <w:tab/>
            </w:r>
            <w:r>
              <w:rPr>
                <w:rStyle w:val="IndexLink"/>
              </w:rPr>
              <w:t>182</w:t>
            </w:r>
          </w:hyperlink>
        </w:p>
        <w:p>
          <w:pPr>
            <w:pStyle w:val="Contents5"/>
            <w:tabs>
              <w:tab w:val="clear" w:pos="7892"/>
              <w:tab w:val="right" w:pos="9026" w:leader="dot"/>
            </w:tabs>
            <w:rPr/>
          </w:pPr>
          <w:hyperlink w:anchor="__RefHeading___Toc3807873_1067777946">
            <w:r>
              <w:rPr>
                <w:webHidden/>
                <w:rStyle w:val="IndexLink"/>
                <w:rtl w:val="true"/>
              </w:rPr>
              <w:t>حكم ارث مرد از زوجۀ مطلّقه در صورت فوت او</w:t>
            </w:r>
            <w:r>
              <w:rPr>
                <w:rStyle w:val="IndexLink"/>
                <w:rtl w:val="true"/>
              </w:rPr>
              <w:tab/>
            </w:r>
            <w:r>
              <w:rPr>
                <w:rStyle w:val="IndexLink"/>
              </w:rPr>
              <w:t>182</w:t>
            </w:r>
          </w:hyperlink>
        </w:p>
        <w:p>
          <w:pPr>
            <w:pStyle w:val="Contents5"/>
            <w:tabs>
              <w:tab w:val="clear" w:pos="7892"/>
              <w:tab w:val="right" w:pos="9026" w:leader="dot"/>
            </w:tabs>
            <w:rPr/>
          </w:pPr>
          <w:hyperlink w:anchor="__RefHeading___Toc3807875_1067777946">
            <w:r>
              <w:rPr>
                <w:webHidden/>
                <w:rStyle w:val="IndexLink"/>
                <w:rtl w:val="true"/>
              </w:rPr>
              <w:t>حكم ارث مطلّقه از شوهر در صورت فوت او</w:t>
            </w:r>
            <w:r>
              <w:rPr>
                <w:rStyle w:val="IndexLink"/>
                <w:rtl w:val="true"/>
              </w:rPr>
              <w:tab/>
            </w:r>
            <w:r>
              <w:rPr>
                <w:rStyle w:val="IndexLink"/>
              </w:rPr>
              <w:t>182</w:t>
            </w:r>
          </w:hyperlink>
        </w:p>
        <w:p>
          <w:pPr>
            <w:pStyle w:val="Contents5"/>
            <w:tabs>
              <w:tab w:val="clear" w:pos="7892"/>
              <w:tab w:val="right" w:pos="9026" w:leader="dot"/>
            </w:tabs>
            <w:rPr/>
          </w:pPr>
          <w:hyperlink w:anchor="__RefHeading___Toc3807877_1067777946">
            <w:r>
              <w:rPr>
                <w:webHidden/>
                <w:rStyle w:val="IndexLink"/>
                <w:rtl w:val="true"/>
              </w:rPr>
              <w:t>ادّعاى طلاق در حال صحّت</w:t>
            </w:r>
            <w:r>
              <w:rPr>
                <w:rStyle w:val="IndexLink"/>
                <w:rtl w:val="true"/>
              </w:rPr>
              <w:tab/>
            </w:r>
            <w:r>
              <w:rPr>
                <w:rStyle w:val="IndexLink"/>
              </w:rPr>
              <w:t>182</w:t>
            </w:r>
          </w:hyperlink>
        </w:p>
        <w:p>
          <w:pPr>
            <w:pStyle w:val="Contents5"/>
            <w:tabs>
              <w:tab w:val="clear" w:pos="7892"/>
              <w:tab w:val="right" w:pos="9026" w:leader="dot"/>
            </w:tabs>
            <w:rPr/>
          </w:pPr>
          <w:hyperlink w:anchor="__RefHeading___Toc3807879_1067777946">
            <w:r>
              <w:rPr>
                <w:webHidden/>
                <w:rStyle w:val="IndexLink"/>
                <w:rtl w:val="true"/>
              </w:rPr>
              <w:t>بينونت به غير طلاق مريض</w:t>
            </w:r>
            <w:r>
              <w:rPr>
                <w:rStyle w:val="IndexLink"/>
                <w:rtl w:val="true"/>
              </w:rPr>
              <w:tab/>
            </w:r>
            <w:r>
              <w:rPr>
                <w:rStyle w:val="IndexLink"/>
              </w:rPr>
              <w:t>183</w:t>
            </w:r>
          </w:hyperlink>
        </w:p>
        <w:p>
          <w:pPr>
            <w:pStyle w:val="Contents5"/>
            <w:tabs>
              <w:tab w:val="clear" w:pos="7892"/>
              <w:tab w:val="right" w:pos="9026" w:leader="dot"/>
            </w:tabs>
            <w:rPr/>
          </w:pPr>
          <w:hyperlink w:anchor="__RefHeading___Toc3807881_1067777946">
            <w:r>
              <w:rPr>
                <w:webHidden/>
                <w:rStyle w:val="IndexLink"/>
                <w:rtl w:val="true"/>
              </w:rPr>
              <w:t>ارث ثابت است و لو طلاق مريض به درخواست زوجه انجام شود</w:t>
            </w:r>
            <w:r>
              <w:rPr>
                <w:rStyle w:val="IndexLink"/>
                <w:rtl w:val="true"/>
              </w:rPr>
              <w:tab/>
            </w:r>
            <w:r>
              <w:rPr>
                <w:rStyle w:val="IndexLink"/>
              </w:rPr>
              <w:t>183</w:t>
            </w:r>
          </w:hyperlink>
        </w:p>
        <w:p>
          <w:pPr>
            <w:pStyle w:val="Contents5"/>
            <w:tabs>
              <w:tab w:val="clear" w:pos="7892"/>
              <w:tab w:val="right" w:pos="9026" w:leader="dot"/>
            </w:tabs>
            <w:rPr/>
          </w:pPr>
          <w:hyperlink w:anchor="__RefHeading___Toc3807883_1067777946">
            <w:r>
              <w:rPr>
                <w:webHidden/>
                <w:rStyle w:val="IndexLink"/>
                <w:rtl w:val="true"/>
              </w:rPr>
              <w:t>حكم ارث بعد از طلاق امه توسط شوهر مريض</w:t>
            </w:r>
            <w:r>
              <w:rPr>
                <w:rStyle w:val="IndexLink"/>
                <w:rtl w:val="true"/>
              </w:rPr>
              <w:tab/>
            </w:r>
            <w:r>
              <w:rPr>
                <w:rStyle w:val="IndexLink"/>
              </w:rPr>
              <w:t>183</w:t>
            </w:r>
          </w:hyperlink>
        </w:p>
        <w:p>
          <w:pPr>
            <w:pStyle w:val="Contents5"/>
            <w:tabs>
              <w:tab w:val="clear" w:pos="7892"/>
              <w:tab w:val="right" w:pos="9026" w:leader="dot"/>
            </w:tabs>
            <w:rPr/>
          </w:pPr>
          <w:hyperlink w:anchor="__RefHeading___Toc3807885_1067777946">
            <w:r>
              <w:rPr>
                <w:webHidden/>
                <w:rStyle w:val="IndexLink"/>
                <w:rtl w:val="true"/>
              </w:rPr>
              <w:t>حكم ارث بعد از طلاق كتابيّه توسّط مريض مسلمان</w:t>
            </w:r>
            <w:r>
              <w:rPr>
                <w:rStyle w:val="IndexLink"/>
                <w:rtl w:val="true"/>
              </w:rPr>
              <w:tab/>
            </w:r>
            <w:r>
              <w:rPr>
                <w:rStyle w:val="IndexLink"/>
              </w:rPr>
              <w:t>183</w:t>
            </w:r>
          </w:hyperlink>
        </w:p>
        <w:p>
          <w:pPr>
            <w:pStyle w:val="Contents5"/>
            <w:tabs>
              <w:tab w:val="clear" w:pos="7892"/>
              <w:tab w:val="right" w:pos="9026" w:leader="dot"/>
            </w:tabs>
            <w:rPr/>
          </w:pPr>
          <w:hyperlink w:anchor="__RefHeading___Toc3807887_1067777946">
            <w:r>
              <w:rPr>
                <w:webHidden/>
                <w:rStyle w:val="IndexLink"/>
                <w:rtl w:val="true"/>
              </w:rPr>
              <w:t>اختلاف زن و ورثه در تقدم و تأخر طلاق و مرض</w:t>
            </w:r>
            <w:r>
              <w:rPr>
                <w:rStyle w:val="IndexLink"/>
                <w:rtl w:val="true"/>
              </w:rPr>
              <w:tab/>
            </w:r>
            <w:r>
              <w:rPr>
                <w:rStyle w:val="IndexLink"/>
              </w:rPr>
              <w:t>183</w:t>
            </w:r>
          </w:hyperlink>
        </w:p>
        <w:p>
          <w:pPr>
            <w:pStyle w:val="Contents5"/>
            <w:tabs>
              <w:tab w:val="clear" w:pos="7892"/>
              <w:tab w:val="right" w:pos="9026" w:leader="dot"/>
            </w:tabs>
            <w:rPr/>
          </w:pPr>
          <w:hyperlink w:anchor="__RefHeading___Toc3807889_1067777946">
            <w:r>
              <w:rPr>
                <w:webHidden/>
                <w:rStyle w:val="IndexLink"/>
                <w:rtl w:val="true"/>
              </w:rPr>
              <w:t>حكم ارث در صورت وفات مريض بعد طلاق اربعه و نكاح اربعه</w:t>
            </w:r>
            <w:r>
              <w:rPr>
                <w:rStyle w:val="IndexLink"/>
                <w:rtl w:val="true"/>
              </w:rPr>
              <w:tab/>
            </w:r>
            <w:r>
              <w:rPr>
                <w:rStyle w:val="IndexLink"/>
              </w:rPr>
              <w:t>184</w:t>
            </w:r>
          </w:hyperlink>
        </w:p>
        <w:p>
          <w:pPr>
            <w:pStyle w:val="Contents5"/>
            <w:tabs>
              <w:tab w:val="clear" w:pos="7892"/>
              <w:tab w:val="right" w:pos="9026" w:leader="dot"/>
            </w:tabs>
            <w:rPr/>
          </w:pPr>
          <w:hyperlink w:anchor="__RefHeading___Toc3807891_1067777946">
            <w:r>
              <w:rPr>
                <w:webHidden/>
                <w:rStyle w:val="IndexLink"/>
                <w:rtl w:val="true"/>
              </w:rPr>
              <w:t>اختصاص توارث به صورت وفات به سبب مرض</w:t>
            </w:r>
            <w:r>
              <w:rPr>
                <w:rStyle w:val="IndexLink"/>
                <w:rtl w:val="true"/>
              </w:rPr>
              <w:tab/>
            </w:r>
            <w:r>
              <w:rPr>
                <w:rStyle w:val="IndexLink"/>
              </w:rPr>
              <w:t>184</w:t>
            </w:r>
          </w:hyperlink>
        </w:p>
        <w:p>
          <w:pPr>
            <w:pStyle w:val="Contents3"/>
            <w:tabs>
              <w:tab w:val="clear" w:pos="8459"/>
              <w:tab w:val="right" w:pos="9026" w:leader="dot"/>
            </w:tabs>
            <w:rPr/>
          </w:pPr>
          <w:hyperlink w:anchor="__RefHeading___Toc3807893_1067777946">
            <w:r>
              <w:rPr>
                <w:webHidden/>
                <w:rStyle w:val="IndexLink"/>
                <w:rtl w:val="true"/>
              </w:rPr>
              <w:t>فصل ششم شروط تحليل</w:t>
            </w:r>
            <w:r>
              <w:rPr>
                <w:rStyle w:val="IndexLink"/>
                <w:rtl w:val="true"/>
              </w:rPr>
              <w:tab/>
            </w:r>
            <w:r>
              <w:rPr>
                <w:rStyle w:val="IndexLink"/>
              </w:rPr>
              <w:t>185</w:t>
            </w:r>
          </w:hyperlink>
        </w:p>
        <w:p>
          <w:pPr>
            <w:pStyle w:val="Contents4"/>
            <w:tabs>
              <w:tab w:val="clear" w:pos="8176"/>
              <w:tab w:val="right" w:pos="9026" w:leader="dot"/>
            </w:tabs>
            <w:rPr/>
          </w:pPr>
          <w:hyperlink w:anchor="__RefHeading___Toc3807895_1067777946">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3807897_1067777946">
            <w:r>
              <w:rPr>
                <w:webHidden/>
                <w:rStyle w:val="IndexLink"/>
                <w:rtl w:val="true"/>
              </w:rPr>
              <w:t>هدم مطلق طلاق توسط نكاح محلّل</w:t>
            </w:r>
            <w:r>
              <w:rPr>
                <w:rStyle w:val="IndexLink"/>
                <w:rtl w:val="true"/>
              </w:rPr>
              <w:tab/>
            </w:r>
            <w:r>
              <w:rPr>
                <w:rStyle w:val="IndexLink"/>
              </w:rPr>
              <w:t>185</w:t>
            </w:r>
          </w:hyperlink>
        </w:p>
        <w:p>
          <w:pPr>
            <w:pStyle w:val="Contents4"/>
            <w:tabs>
              <w:tab w:val="clear" w:pos="8176"/>
              <w:tab w:val="right" w:pos="9026" w:leader="dot"/>
            </w:tabs>
            <w:rPr/>
          </w:pPr>
          <w:hyperlink w:anchor="__RefHeading___Toc3807899_1067777946">
            <w:r>
              <w:rPr>
                <w:webHidden/>
                <w:rStyle w:val="IndexLink"/>
                <w:rtl w:val="true"/>
              </w:rPr>
              <w:t>سه طلاق در اهل ذمّه</w:t>
            </w:r>
            <w:r>
              <w:rPr>
                <w:rStyle w:val="IndexLink"/>
                <w:rtl w:val="true"/>
              </w:rPr>
              <w:tab/>
            </w:r>
            <w:r>
              <w:rPr>
                <w:rStyle w:val="IndexLink"/>
              </w:rPr>
              <w:t>186</w:t>
            </w:r>
          </w:hyperlink>
        </w:p>
        <w:p>
          <w:pPr>
            <w:pStyle w:val="Contents4"/>
            <w:tabs>
              <w:tab w:val="clear" w:pos="8176"/>
              <w:tab w:val="right" w:pos="9026" w:leader="dot"/>
            </w:tabs>
            <w:rPr/>
          </w:pPr>
          <w:hyperlink w:anchor="__RefHeading___Toc3807901_1067777946">
            <w:r>
              <w:rPr>
                <w:webHidden/>
                <w:rStyle w:val="IndexLink"/>
                <w:rtl w:val="true"/>
              </w:rPr>
              <w:t>دو طلاق در امه موجب حرمت قبل از نكاح محلّل است</w:t>
            </w:r>
            <w:r>
              <w:rPr>
                <w:rStyle w:val="IndexLink"/>
                <w:rtl w:val="true"/>
              </w:rPr>
              <w:tab/>
            </w:r>
            <w:r>
              <w:rPr>
                <w:rStyle w:val="IndexLink"/>
              </w:rPr>
              <w:t>186</w:t>
            </w:r>
          </w:hyperlink>
        </w:p>
        <w:p>
          <w:pPr>
            <w:pStyle w:val="Contents4"/>
            <w:tabs>
              <w:tab w:val="clear" w:pos="8176"/>
              <w:tab w:val="right" w:pos="9026" w:leader="dot"/>
            </w:tabs>
            <w:rPr/>
          </w:pPr>
          <w:hyperlink w:anchor="__RefHeading___Toc3807903_1067777946">
            <w:r>
              <w:rPr>
                <w:webHidden/>
                <w:rStyle w:val="IndexLink"/>
                <w:rtl w:val="true"/>
              </w:rPr>
              <w:t>حصول تحليل به نكاح خصى</w:t>
            </w:r>
            <w:r>
              <w:rPr>
                <w:rStyle w:val="IndexLink"/>
                <w:rtl w:val="true"/>
              </w:rPr>
              <w:tab/>
            </w:r>
            <w:r>
              <w:rPr>
                <w:rStyle w:val="IndexLink"/>
              </w:rPr>
              <w:t>186</w:t>
            </w:r>
          </w:hyperlink>
        </w:p>
        <w:p>
          <w:pPr>
            <w:pStyle w:val="Contents4"/>
            <w:tabs>
              <w:tab w:val="clear" w:pos="8176"/>
              <w:tab w:val="right" w:pos="9026" w:leader="dot"/>
            </w:tabs>
            <w:rPr/>
          </w:pPr>
          <w:hyperlink w:anchor="__RefHeading___Toc3807905_1067777946">
            <w:r>
              <w:rPr>
                <w:webHidden/>
                <w:rStyle w:val="IndexLink"/>
                <w:rtl w:val="true"/>
              </w:rPr>
              <w:t>ارتداد محلّل يا زوجه</w:t>
            </w:r>
            <w:r>
              <w:rPr>
                <w:rStyle w:val="IndexLink"/>
                <w:rtl w:val="true"/>
              </w:rPr>
              <w:tab/>
            </w:r>
            <w:r>
              <w:rPr>
                <w:rStyle w:val="IndexLink"/>
              </w:rPr>
              <w:t>186</w:t>
            </w:r>
          </w:hyperlink>
        </w:p>
        <w:p>
          <w:pPr>
            <w:pStyle w:val="Contents4"/>
            <w:tabs>
              <w:tab w:val="clear" w:pos="8176"/>
              <w:tab w:val="right" w:pos="9026" w:leader="dot"/>
            </w:tabs>
            <w:rPr/>
          </w:pPr>
          <w:hyperlink w:anchor="__RefHeading___Toc3807907_1067777946">
            <w:r>
              <w:rPr>
                <w:webHidden/>
                <w:rStyle w:val="IndexLink"/>
                <w:rtl w:val="true"/>
              </w:rPr>
              <w:t>حكم ادّعاى نكاح با محلّل و دخول او، توسط زن</w:t>
            </w:r>
            <w:r>
              <w:rPr>
                <w:rStyle w:val="IndexLink"/>
                <w:rtl w:val="true"/>
              </w:rPr>
              <w:tab/>
            </w:r>
            <w:r>
              <w:rPr>
                <w:rStyle w:val="IndexLink"/>
              </w:rPr>
              <w:t>187</w:t>
            </w:r>
          </w:hyperlink>
        </w:p>
        <w:p>
          <w:pPr>
            <w:pStyle w:val="Contents4"/>
            <w:tabs>
              <w:tab w:val="clear" w:pos="8176"/>
              <w:tab w:val="right" w:pos="9026" w:leader="dot"/>
            </w:tabs>
            <w:rPr/>
          </w:pPr>
          <w:hyperlink w:anchor="__RefHeading___Toc3807909_1067777946">
            <w:r>
              <w:rPr>
                <w:webHidden/>
                <w:rStyle w:val="IndexLink"/>
                <w:rtl w:val="true"/>
              </w:rPr>
              <w:t>رجوع از ادّعا قبل يا بعد از عقد</w:t>
            </w:r>
            <w:r>
              <w:rPr>
                <w:rStyle w:val="IndexLink"/>
                <w:rtl w:val="true"/>
              </w:rPr>
              <w:tab/>
            </w:r>
            <w:r>
              <w:rPr>
                <w:rStyle w:val="IndexLink"/>
              </w:rPr>
              <w:t>187</w:t>
            </w:r>
          </w:hyperlink>
        </w:p>
        <w:p>
          <w:pPr>
            <w:pStyle w:val="Contents4"/>
            <w:tabs>
              <w:tab w:val="clear" w:pos="8176"/>
              <w:tab w:val="right" w:pos="9026" w:leader="dot"/>
            </w:tabs>
            <w:rPr/>
          </w:pPr>
          <w:hyperlink w:anchor="__RefHeading___Toc3807911_1067777946">
            <w:r>
              <w:rPr>
                <w:webHidden/>
                <w:rStyle w:val="IndexLink"/>
                <w:rtl w:val="true"/>
              </w:rPr>
              <w:t>حصول تحليل به وسيلۀ وطى محرّمِ محلّل</w:t>
            </w:r>
            <w:r>
              <w:rPr>
                <w:rStyle w:val="IndexLink"/>
                <w:rtl w:val="true"/>
              </w:rPr>
              <w:tab/>
            </w:r>
            <w:r>
              <w:rPr>
                <w:rStyle w:val="IndexLink"/>
              </w:rPr>
              <w:t>187</w:t>
            </w:r>
          </w:hyperlink>
        </w:p>
        <w:p>
          <w:pPr>
            <w:pStyle w:val="Contents3"/>
            <w:tabs>
              <w:tab w:val="clear" w:pos="8459"/>
              <w:tab w:val="right" w:pos="9026" w:leader="dot"/>
            </w:tabs>
            <w:rPr/>
          </w:pPr>
          <w:hyperlink w:anchor="__RefHeading___Toc3807913_1067777946">
            <w:r>
              <w:rPr>
                <w:webHidden/>
                <w:rStyle w:val="IndexLink"/>
                <w:rtl w:val="true"/>
              </w:rPr>
              <w:t>فصل هفتم رجوع به نكاح</w:t>
            </w:r>
            <w:r>
              <w:rPr>
                <w:rStyle w:val="IndexLink"/>
                <w:rtl w:val="true"/>
              </w:rPr>
              <w:tab/>
            </w:r>
            <w:r>
              <w:rPr>
                <w:rStyle w:val="IndexLink"/>
              </w:rPr>
              <w:t>188</w:t>
            </w:r>
          </w:hyperlink>
        </w:p>
        <w:p>
          <w:pPr>
            <w:pStyle w:val="Contents4"/>
            <w:tabs>
              <w:tab w:val="clear" w:pos="8176"/>
              <w:tab w:val="right" w:pos="9026" w:leader="dot"/>
            </w:tabs>
            <w:rPr/>
          </w:pPr>
          <w:hyperlink w:anchor="__RefHeading___Toc3807915_1067777946">
            <w:r>
              <w:rPr>
                <w:webHidden/>
                <w:rStyle w:val="IndexLink"/>
                <w:rtl w:val="true"/>
              </w:rPr>
              <w:t>نحوۀ حصول رجوع</w:t>
            </w:r>
            <w:r>
              <w:rPr>
                <w:rStyle w:val="IndexLink"/>
                <w:rtl w:val="true"/>
              </w:rPr>
              <w:tab/>
            </w:r>
            <w:r>
              <w:rPr>
                <w:rStyle w:val="IndexLink"/>
              </w:rPr>
              <w:t>188</w:t>
            </w:r>
          </w:hyperlink>
        </w:p>
        <w:p>
          <w:pPr>
            <w:pStyle w:val="Contents4"/>
            <w:tabs>
              <w:tab w:val="clear" w:pos="8176"/>
              <w:tab w:val="right" w:pos="9026" w:leader="dot"/>
            </w:tabs>
            <w:rPr/>
          </w:pPr>
          <w:hyperlink w:anchor="__RefHeading___Toc3807917_1067777946">
            <w:r>
              <w:rPr>
                <w:webHidden/>
                <w:rStyle w:val="IndexLink"/>
                <w:rtl w:val="true"/>
              </w:rPr>
              <w:t>ارتداد زوجه يا زوج</w:t>
            </w:r>
            <w:r>
              <w:rPr>
                <w:rStyle w:val="IndexLink"/>
                <w:rtl w:val="true"/>
              </w:rPr>
              <w:tab/>
            </w:r>
            <w:r>
              <w:rPr>
                <w:rStyle w:val="IndexLink"/>
              </w:rPr>
              <w:t>189</w:t>
            </w:r>
          </w:hyperlink>
        </w:p>
        <w:p>
          <w:pPr>
            <w:pStyle w:val="Contents4"/>
            <w:tabs>
              <w:tab w:val="clear" w:pos="8176"/>
              <w:tab w:val="right" w:pos="9026" w:leader="dot"/>
            </w:tabs>
            <w:rPr/>
          </w:pPr>
          <w:hyperlink w:anchor="__RefHeading___Toc3807919_1067777946">
            <w:r>
              <w:rPr>
                <w:webHidden/>
                <w:rStyle w:val="IndexLink"/>
                <w:rtl w:val="true"/>
              </w:rPr>
              <w:t>طلاق ذميّه و رجوع در عده</w:t>
            </w:r>
            <w:r>
              <w:rPr>
                <w:rStyle w:val="IndexLink"/>
                <w:rtl w:val="true"/>
              </w:rPr>
              <w:tab/>
            </w:r>
            <w:r>
              <w:rPr>
                <w:rStyle w:val="IndexLink"/>
              </w:rPr>
              <w:t>189</w:t>
            </w:r>
          </w:hyperlink>
        </w:p>
        <w:p>
          <w:pPr>
            <w:pStyle w:val="Contents4"/>
            <w:tabs>
              <w:tab w:val="clear" w:pos="8176"/>
              <w:tab w:val="right" w:pos="9026" w:leader="dot"/>
            </w:tabs>
            <w:rPr/>
          </w:pPr>
          <w:hyperlink w:anchor="__RefHeading___Toc3807921_1067777946">
            <w:r>
              <w:rPr>
                <w:webHidden/>
                <w:rStyle w:val="IndexLink"/>
                <w:rtl w:val="true"/>
              </w:rPr>
              <w:t>حكم رجوع با انكار دخول و عدّه توسّط زن</w:t>
            </w:r>
            <w:r>
              <w:rPr>
                <w:rStyle w:val="IndexLink"/>
                <w:rtl w:val="true"/>
              </w:rPr>
              <w:tab/>
            </w:r>
            <w:r>
              <w:rPr>
                <w:rStyle w:val="IndexLink"/>
              </w:rPr>
              <w:t>189</w:t>
            </w:r>
          </w:hyperlink>
        </w:p>
        <w:p>
          <w:pPr>
            <w:pStyle w:val="Contents4"/>
            <w:tabs>
              <w:tab w:val="clear" w:pos="8176"/>
              <w:tab w:val="right" w:pos="9026" w:leader="dot"/>
            </w:tabs>
            <w:rPr/>
          </w:pPr>
          <w:hyperlink w:anchor="__RefHeading___Toc3807923_1067777946">
            <w:r>
              <w:rPr>
                <w:webHidden/>
                <w:rStyle w:val="IndexLink"/>
                <w:rtl w:val="true"/>
              </w:rPr>
              <w:t>كفايت اشارۀ مفهمه در رجوع اخرس</w:t>
            </w:r>
            <w:r>
              <w:rPr>
                <w:rStyle w:val="IndexLink"/>
                <w:rtl w:val="true"/>
              </w:rPr>
              <w:tab/>
            </w:r>
            <w:r>
              <w:rPr>
                <w:rStyle w:val="IndexLink"/>
              </w:rPr>
              <w:t>189</w:t>
            </w:r>
          </w:hyperlink>
        </w:p>
        <w:p>
          <w:pPr>
            <w:pStyle w:val="Contents4"/>
            <w:tabs>
              <w:tab w:val="clear" w:pos="8176"/>
              <w:tab w:val="right" w:pos="9026" w:leader="dot"/>
            </w:tabs>
            <w:rPr/>
          </w:pPr>
          <w:hyperlink w:anchor="__RefHeading___Toc3807925_1067777946">
            <w:r>
              <w:rPr>
                <w:webHidden/>
                <w:rStyle w:val="IndexLink"/>
                <w:rtl w:val="true"/>
              </w:rPr>
              <w:t>ادّعاى انقضاى عده توسط زن</w:t>
            </w:r>
            <w:r>
              <w:rPr>
                <w:rStyle w:val="IndexLink"/>
                <w:rtl w:val="true"/>
              </w:rPr>
              <w:tab/>
            </w:r>
            <w:r>
              <w:rPr>
                <w:rStyle w:val="IndexLink"/>
              </w:rPr>
              <w:t>190</w:t>
            </w:r>
          </w:hyperlink>
        </w:p>
        <w:p>
          <w:pPr>
            <w:pStyle w:val="Contents4"/>
            <w:tabs>
              <w:tab w:val="clear" w:pos="8176"/>
              <w:tab w:val="right" w:pos="9026" w:leader="dot"/>
            </w:tabs>
            <w:rPr/>
          </w:pPr>
          <w:hyperlink w:anchor="__RefHeading___Toc3807927_1067777946">
            <w:r>
              <w:rPr>
                <w:webHidden/>
                <w:rStyle w:val="IndexLink"/>
                <w:rtl w:val="true"/>
              </w:rPr>
              <w:t>نزاع در تقدّم و تأخّر رجوع از انقضاى عدّه</w:t>
            </w:r>
            <w:r>
              <w:rPr>
                <w:rStyle w:val="IndexLink"/>
                <w:rtl w:val="true"/>
              </w:rPr>
              <w:tab/>
            </w:r>
            <w:r>
              <w:rPr>
                <w:rStyle w:val="IndexLink"/>
              </w:rPr>
              <w:t>190</w:t>
            </w:r>
          </w:hyperlink>
        </w:p>
        <w:p>
          <w:pPr>
            <w:pStyle w:val="Contents4"/>
            <w:tabs>
              <w:tab w:val="clear" w:pos="8176"/>
              <w:tab w:val="right" w:pos="9026" w:leader="dot"/>
            </w:tabs>
            <w:rPr/>
          </w:pPr>
          <w:hyperlink w:anchor="__RefHeading___Toc3807929_1067777946">
            <w:r>
              <w:rPr>
                <w:webHidden/>
                <w:rStyle w:val="IndexLink"/>
                <w:rtl w:val="true"/>
              </w:rPr>
              <w:t>در استعمال حيل شرعيّه</w:t>
            </w:r>
            <w:r>
              <w:rPr>
                <w:rStyle w:val="IndexLink"/>
                <w:rtl w:val="true"/>
              </w:rPr>
              <w:tab/>
            </w:r>
            <w:r>
              <w:rPr>
                <w:rStyle w:val="IndexLink"/>
              </w:rPr>
              <w:t>191</w:t>
            </w:r>
          </w:hyperlink>
        </w:p>
        <w:p>
          <w:pPr>
            <w:pStyle w:val="Contents4"/>
            <w:tabs>
              <w:tab w:val="clear" w:pos="8176"/>
              <w:tab w:val="right" w:pos="9026" w:leader="dot"/>
            </w:tabs>
            <w:rPr/>
          </w:pPr>
          <w:hyperlink w:anchor="__RefHeading___Toc3807931_1067777946">
            <w:r>
              <w:rPr>
                <w:webHidden/>
                <w:rStyle w:val="IndexLink"/>
                <w:rtl w:val="true"/>
              </w:rPr>
              <w:t>توريۀ در يمين</w:t>
            </w:r>
            <w:r>
              <w:rPr>
                <w:rStyle w:val="IndexLink"/>
                <w:rtl w:val="true"/>
              </w:rPr>
              <w:tab/>
            </w:r>
            <w:r>
              <w:rPr>
                <w:rStyle w:val="IndexLink"/>
              </w:rPr>
              <w:t>191</w:t>
            </w:r>
          </w:hyperlink>
        </w:p>
        <w:p>
          <w:pPr>
            <w:pStyle w:val="Contents3"/>
            <w:tabs>
              <w:tab w:val="clear" w:pos="8459"/>
              <w:tab w:val="right" w:pos="9026" w:leader="dot"/>
            </w:tabs>
            <w:rPr/>
          </w:pPr>
          <w:hyperlink w:anchor="__RefHeading___Toc3807933_1067777946">
            <w:r>
              <w:rPr>
                <w:webHidden/>
                <w:rStyle w:val="IndexLink"/>
                <w:rtl w:val="true"/>
              </w:rPr>
              <w:t>فصل هشتم عدّه و اقسام آن</w:t>
            </w:r>
            <w:r>
              <w:rPr>
                <w:rStyle w:val="IndexLink"/>
                <w:rtl w:val="true"/>
              </w:rPr>
              <w:tab/>
            </w:r>
            <w:r>
              <w:rPr>
                <w:rStyle w:val="IndexLink"/>
              </w:rPr>
              <w:t>192</w:t>
            </w:r>
          </w:hyperlink>
        </w:p>
        <w:p>
          <w:pPr>
            <w:pStyle w:val="Contents4"/>
            <w:tabs>
              <w:tab w:val="clear" w:pos="8176"/>
              <w:tab w:val="right" w:pos="9026" w:leader="dot"/>
            </w:tabs>
            <w:rPr/>
          </w:pPr>
          <w:hyperlink w:anchor="__RefHeading___Toc3807935_1067777946">
            <w:r>
              <w:rPr>
                <w:webHidden/>
                <w:rStyle w:val="IndexLink"/>
              </w:rPr>
              <w:t>1</w:t>
            </w:r>
            <w:r>
              <w:rPr>
                <w:rStyle w:val="IndexLink"/>
                <w:rtl w:val="true"/>
              </w:rPr>
              <w:t xml:space="preserve">. </w:t>
            </w:r>
            <w:r>
              <w:rPr>
                <w:rStyle w:val="IndexLink"/>
                <w:rtl w:val="true"/>
              </w:rPr>
              <w:t>معناى عدّه و شرايط تحقّق آن</w:t>
            </w:r>
            <w:r>
              <w:rPr>
                <w:rStyle w:val="IndexLink"/>
                <w:rtl w:val="true"/>
              </w:rPr>
              <w:tab/>
            </w:r>
            <w:r>
              <w:rPr>
                <w:rStyle w:val="IndexLink"/>
              </w:rPr>
              <w:t>192</w:t>
            </w:r>
          </w:hyperlink>
        </w:p>
        <w:p>
          <w:pPr>
            <w:pStyle w:val="Contents5"/>
            <w:tabs>
              <w:tab w:val="clear" w:pos="7892"/>
              <w:tab w:val="right" w:pos="9026" w:leader="dot"/>
            </w:tabs>
            <w:rPr/>
          </w:pPr>
          <w:hyperlink w:anchor="__RefHeading___Toc3807937_1067777946">
            <w:r>
              <w:rPr>
                <w:webHidden/>
                <w:rStyle w:val="IndexLink"/>
                <w:rtl w:val="true"/>
              </w:rPr>
              <w:t>كلام در عده ها است</w:t>
            </w:r>
            <w:r>
              <w:rPr>
                <w:rStyle w:val="IndexLink"/>
                <w:rtl w:val="true"/>
              </w:rPr>
              <w:tab/>
            </w:r>
            <w:r>
              <w:rPr>
                <w:rStyle w:val="IndexLink"/>
              </w:rPr>
              <w:t>192</w:t>
            </w:r>
          </w:hyperlink>
        </w:p>
        <w:p>
          <w:pPr>
            <w:pStyle w:val="Contents5"/>
            <w:tabs>
              <w:tab w:val="clear" w:pos="7892"/>
              <w:tab w:val="right" w:pos="9026" w:leader="dot"/>
            </w:tabs>
            <w:rPr/>
          </w:pPr>
          <w:hyperlink w:anchor="__RefHeading___Toc3807939_1067777946">
            <w:r>
              <w:rPr>
                <w:webHidden/>
                <w:rStyle w:val="IndexLink"/>
                <w:rtl w:val="true"/>
              </w:rPr>
              <w:t>غير مدخول بها عدّه ندارد مگر در صورت وفات زوج</w:t>
            </w:r>
            <w:r>
              <w:rPr>
                <w:rStyle w:val="IndexLink"/>
                <w:rtl w:val="true"/>
              </w:rPr>
              <w:tab/>
            </w:r>
            <w:r>
              <w:rPr>
                <w:rStyle w:val="IndexLink"/>
              </w:rPr>
              <w:t>192</w:t>
            </w:r>
          </w:hyperlink>
        </w:p>
        <w:p>
          <w:pPr>
            <w:pStyle w:val="Contents5"/>
            <w:tabs>
              <w:tab w:val="clear" w:pos="7892"/>
              <w:tab w:val="right" w:pos="9026" w:leader="dot"/>
            </w:tabs>
            <w:rPr/>
          </w:pPr>
          <w:hyperlink w:anchor="__RefHeading___Toc3807941_1067777946">
            <w:r>
              <w:rPr>
                <w:webHidden/>
                <w:rStyle w:val="IndexLink"/>
                <w:rtl w:val="true"/>
              </w:rPr>
              <w:t>ميزان تحقق دخول</w:t>
            </w:r>
            <w:r>
              <w:rPr>
                <w:rStyle w:val="IndexLink"/>
                <w:rtl w:val="true"/>
              </w:rPr>
              <w:tab/>
            </w:r>
            <w:r>
              <w:rPr>
                <w:rStyle w:val="IndexLink"/>
              </w:rPr>
              <w:t>192</w:t>
            </w:r>
          </w:hyperlink>
        </w:p>
        <w:p>
          <w:pPr>
            <w:pStyle w:val="Contents5"/>
            <w:tabs>
              <w:tab w:val="clear" w:pos="7892"/>
              <w:tab w:val="right" w:pos="9026" w:leader="dot"/>
            </w:tabs>
            <w:rPr/>
          </w:pPr>
          <w:hyperlink w:anchor="__RefHeading___Toc3807943_1067777946">
            <w:r>
              <w:rPr>
                <w:webHidden/>
                <w:rStyle w:val="IndexLink"/>
                <w:rtl w:val="true"/>
              </w:rPr>
              <w:t>حكم عدّه در صورت انزال بدون دخول</w:t>
            </w:r>
            <w:r>
              <w:rPr>
                <w:rStyle w:val="IndexLink"/>
                <w:rtl w:val="true"/>
              </w:rPr>
              <w:tab/>
            </w:r>
            <w:r>
              <w:rPr>
                <w:rStyle w:val="IndexLink"/>
              </w:rPr>
              <w:t>193</w:t>
            </w:r>
          </w:hyperlink>
        </w:p>
        <w:p>
          <w:pPr>
            <w:pStyle w:val="Contents5"/>
            <w:tabs>
              <w:tab w:val="clear" w:pos="7892"/>
              <w:tab w:val="right" w:pos="9026" w:leader="dot"/>
            </w:tabs>
            <w:rPr/>
          </w:pPr>
          <w:hyperlink w:anchor="__RefHeading___Toc3807945_1067777946">
            <w:r>
              <w:rPr>
                <w:webHidden/>
                <w:rStyle w:val="IndexLink"/>
                <w:rtl w:val="true"/>
              </w:rPr>
              <w:t>حكم مسأله در صورت اختلاف در اصابه</w:t>
            </w:r>
            <w:r>
              <w:rPr>
                <w:rStyle w:val="IndexLink"/>
                <w:rtl w:val="true"/>
              </w:rPr>
              <w:tab/>
            </w:r>
            <w:r>
              <w:rPr>
                <w:rStyle w:val="IndexLink"/>
              </w:rPr>
              <w:t>193</w:t>
            </w:r>
          </w:hyperlink>
        </w:p>
        <w:p>
          <w:pPr>
            <w:pStyle w:val="Contents4"/>
            <w:tabs>
              <w:tab w:val="clear" w:pos="8176"/>
              <w:tab w:val="right" w:pos="9026" w:leader="dot"/>
            </w:tabs>
            <w:rPr/>
          </w:pPr>
          <w:hyperlink w:anchor="__RefHeading___Toc3807947_1067777946">
            <w:r>
              <w:rPr>
                <w:webHidden/>
                <w:rStyle w:val="IndexLink"/>
              </w:rPr>
              <w:t>2</w:t>
            </w:r>
            <w:r>
              <w:rPr>
                <w:rStyle w:val="IndexLink"/>
                <w:rtl w:val="true"/>
              </w:rPr>
              <w:t xml:space="preserve">. </w:t>
            </w:r>
            <w:r>
              <w:rPr>
                <w:rStyle w:val="IndexLink"/>
                <w:rtl w:val="true"/>
              </w:rPr>
              <w:t>عدۀ مستقيمة الحيض</w:t>
            </w:r>
            <w:r>
              <w:rPr>
                <w:rStyle w:val="IndexLink"/>
                <w:rtl w:val="true"/>
              </w:rPr>
              <w:tab/>
            </w:r>
            <w:r>
              <w:rPr>
                <w:rStyle w:val="IndexLink"/>
              </w:rPr>
              <w:t>193</w:t>
            </w:r>
          </w:hyperlink>
        </w:p>
        <w:p>
          <w:pPr>
            <w:pStyle w:val="Contents5"/>
            <w:tabs>
              <w:tab w:val="clear" w:pos="7892"/>
              <w:tab w:val="right" w:pos="9026" w:leader="dot"/>
            </w:tabs>
            <w:rPr/>
          </w:pPr>
          <w:hyperlink w:anchor="__RefHeading___Toc3807949_1067777946">
            <w:r>
              <w:rPr>
                <w:webHidden/>
                <w:rStyle w:val="IndexLink"/>
                <w:rtl w:val="true"/>
              </w:rPr>
              <w:t>اشاره</w:t>
            </w:r>
            <w:r>
              <w:rPr>
                <w:rStyle w:val="IndexLink"/>
                <w:rtl w:val="true"/>
              </w:rPr>
              <w:tab/>
            </w:r>
            <w:r>
              <w:rPr>
                <w:rStyle w:val="IndexLink"/>
              </w:rPr>
              <w:t>193</w:t>
            </w:r>
          </w:hyperlink>
        </w:p>
        <w:p>
          <w:pPr>
            <w:pStyle w:val="Contents5"/>
            <w:tabs>
              <w:tab w:val="clear" w:pos="7892"/>
              <w:tab w:val="right" w:pos="9026" w:leader="dot"/>
            </w:tabs>
            <w:rPr/>
          </w:pPr>
          <w:hyperlink w:anchor="__RefHeading___Toc3807951_1067777946">
            <w:r>
              <w:rPr>
                <w:webHidden/>
                <w:rStyle w:val="IndexLink"/>
                <w:rtl w:val="true"/>
              </w:rPr>
              <w:t>اقل عدّه</w:t>
            </w:r>
            <w:r>
              <w:rPr>
                <w:rStyle w:val="IndexLink"/>
                <w:rtl w:val="true"/>
              </w:rPr>
              <w:tab/>
            </w:r>
            <w:r>
              <w:rPr>
                <w:rStyle w:val="IndexLink"/>
              </w:rPr>
              <w:t>194</w:t>
            </w:r>
          </w:hyperlink>
        </w:p>
        <w:p>
          <w:pPr>
            <w:pStyle w:val="Contents5"/>
            <w:tabs>
              <w:tab w:val="clear" w:pos="7892"/>
              <w:tab w:val="right" w:pos="9026" w:leader="dot"/>
            </w:tabs>
            <w:rPr/>
          </w:pPr>
          <w:hyperlink w:anchor="__RefHeading___Toc3807953_1067777946">
            <w:r>
              <w:rPr>
                <w:webHidden/>
                <w:rStyle w:val="IndexLink"/>
                <w:rtl w:val="true"/>
              </w:rPr>
              <w:t>اگر طلاق در آخر طهر متصل به حيض واقع شود</w:t>
            </w:r>
            <w:r>
              <w:rPr>
                <w:rStyle w:val="IndexLink"/>
                <w:rtl w:val="true"/>
              </w:rPr>
              <w:tab/>
            </w:r>
            <w:r>
              <w:rPr>
                <w:rStyle w:val="IndexLink"/>
              </w:rPr>
              <w:t>194</w:t>
            </w:r>
          </w:hyperlink>
        </w:p>
        <w:p>
          <w:pPr>
            <w:pStyle w:val="Contents5"/>
            <w:tabs>
              <w:tab w:val="clear" w:pos="7892"/>
              <w:tab w:val="right" w:pos="9026" w:leader="dot"/>
            </w:tabs>
            <w:rPr/>
          </w:pPr>
          <w:hyperlink w:anchor="__RefHeading___Toc3807955_1067777946">
            <w:r>
              <w:rPr>
                <w:webHidden/>
                <w:rStyle w:val="IndexLink"/>
                <w:rtl w:val="true"/>
              </w:rPr>
              <w:t>اختلاف در انقضاى عده</w:t>
            </w:r>
            <w:r>
              <w:rPr>
                <w:rStyle w:val="IndexLink"/>
                <w:rtl w:val="true"/>
              </w:rPr>
              <w:tab/>
            </w:r>
            <w:r>
              <w:rPr>
                <w:rStyle w:val="IndexLink"/>
              </w:rPr>
              <w:t>194</w:t>
            </w:r>
          </w:hyperlink>
        </w:p>
        <w:p>
          <w:pPr>
            <w:pStyle w:val="Contents5"/>
            <w:tabs>
              <w:tab w:val="clear" w:pos="7892"/>
              <w:tab w:val="right" w:pos="9026" w:leader="dot"/>
            </w:tabs>
            <w:rPr/>
          </w:pPr>
          <w:hyperlink w:anchor="__RefHeading___Toc3807957_1067777946">
            <w:r>
              <w:rPr>
                <w:webHidden/>
                <w:rStyle w:val="IndexLink"/>
                <w:rtl w:val="true"/>
              </w:rPr>
              <w:t>عدّه زنى كه حيض نمى بيند</w:t>
            </w:r>
            <w:r>
              <w:rPr>
                <w:rStyle w:val="IndexLink"/>
                <w:rtl w:val="true"/>
              </w:rPr>
              <w:tab/>
            </w:r>
            <w:r>
              <w:rPr>
                <w:rStyle w:val="IndexLink"/>
              </w:rPr>
              <w:t>195</w:t>
            </w:r>
          </w:hyperlink>
        </w:p>
        <w:p>
          <w:pPr>
            <w:pStyle w:val="Contents5"/>
            <w:tabs>
              <w:tab w:val="clear" w:pos="7892"/>
              <w:tab w:val="right" w:pos="9026" w:leader="dot"/>
            </w:tabs>
            <w:rPr/>
          </w:pPr>
          <w:hyperlink w:anchor="__RefHeading___Toc3807959_1067777946">
            <w:r>
              <w:rPr>
                <w:webHidden/>
                <w:rStyle w:val="IndexLink"/>
                <w:rtl w:val="true"/>
              </w:rPr>
              <w:t>زنى كه در بيش از سه ماه، يك عادت مى بيند</w:t>
            </w:r>
            <w:r>
              <w:rPr>
                <w:rStyle w:val="IndexLink"/>
                <w:rtl w:val="true"/>
              </w:rPr>
              <w:tab/>
            </w:r>
            <w:r>
              <w:rPr>
                <w:rStyle w:val="IndexLink"/>
              </w:rPr>
              <w:t>195</w:t>
            </w:r>
          </w:hyperlink>
        </w:p>
        <w:p>
          <w:pPr>
            <w:pStyle w:val="Contents5"/>
            <w:tabs>
              <w:tab w:val="clear" w:pos="7892"/>
              <w:tab w:val="right" w:pos="9026" w:leader="dot"/>
            </w:tabs>
            <w:rPr/>
          </w:pPr>
          <w:hyperlink w:anchor="__RefHeading___Toc3807961_1067777946">
            <w:r>
              <w:rPr>
                <w:webHidden/>
                <w:rStyle w:val="IndexLink"/>
                <w:rtl w:val="true"/>
              </w:rPr>
              <w:t>عدّۀ يائسۀ مسترابه</w:t>
            </w:r>
            <w:r>
              <w:rPr>
                <w:rStyle w:val="IndexLink"/>
                <w:rtl w:val="true"/>
              </w:rPr>
              <w:tab/>
            </w:r>
            <w:r>
              <w:rPr>
                <w:rStyle w:val="IndexLink"/>
              </w:rPr>
              <w:t>195</w:t>
            </w:r>
          </w:hyperlink>
        </w:p>
        <w:p>
          <w:pPr>
            <w:pStyle w:val="Contents5"/>
            <w:tabs>
              <w:tab w:val="clear" w:pos="7892"/>
              <w:tab w:val="right" w:pos="9026" w:leader="dot"/>
            </w:tabs>
            <w:rPr/>
          </w:pPr>
          <w:hyperlink w:anchor="__RefHeading___Toc3807963_1067777946">
            <w:r>
              <w:rPr>
                <w:webHidden/>
                <w:rStyle w:val="IndexLink"/>
                <w:rtl w:val="true"/>
              </w:rPr>
              <w:t>حكم عدّۀ شابّۀ مستقيمة الحيض اگر بعد از طلاق در سه ماه يك حيض ببيند</w:t>
            </w:r>
            <w:r>
              <w:rPr>
                <w:rStyle w:val="IndexLink"/>
                <w:rtl w:val="true"/>
              </w:rPr>
              <w:tab/>
            </w:r>
            <w:r>
              <w:rPr>
                <w:rStyle w:val="IndexLink"/>
              </w:rPr>
              <w:t>196</w:t>
            </w:r>
          </w:hyperlink>
        </w:p>
        <w:p>
          <w:pPr>
            <w:pStyle w:val="Contents5"/>
            <w:tabs>
              <w:tab w:val="clear" w:pos="7892"/>
              <w:tab w:val="right" w:pos="9026" w:leader="dot"/>
            </w:tabs>
            <w:rPr/>
          </w:pPr>
          <w:hyperlink w:anchor="__RefHeading___Toc3807965_1067777946">
            <w:r>
              <w:rPr>
                <w:webHidden/>
                <w:rStyle w:val="IndexLink"/>
                <w:rtl w:val="true"/>
              </w:rPr>
              <w:t>ديدن يك يا دو حيض بعد از طلاق و يائسه شدن</w:t>
            </w:r>
            <w:r>
              <w:rPr>
                <w:rStyle w:val="IndexLink"/>
                <w:rtl w:val="true"/>
              </w:rPr>
              <w:tab/>
            </w:r>
            <w:r>
              <w:rPr>
                <w:rStyle w:val="IndexLink"/>
              </w:rPr>
              <w:t>196</w:t>
            </w:r>
          </w:hyperlink>
        </w:p>
        <w:p>
          <w:pPr>
            <w:pStyle w:val="Contents5"/>
            <w:tabs>
              <w:tab w:val="clear" w:pos="7892"/>
              <w:tab w:val="right" w:pos="9026" w:leader="dot"/>
            </w:tabs>
            <w:rPr/>
          </w:pPr>
          <w:hyperlink w:anchor="__RefHeading___Toc3807967_1067777946">
            <w:r>
              <w:rPr>
                <w:webHidden/>
                <w:rStyle w:val="IndexLink"/>
                <w:rtl w:val="true"/>
              </w:rPr>
              <w:t>نحوۀ تعيين عدّه مستقيمة الحيض مبتلىٰ به استمرار خون</w:t>
            </w:r>
            <w:r>
              <w:rPr>
                <w:rStyle w:val="IndexLink"/>
                <w:rtl w:val="true"/>
              </w:rPr>
              <w:tab/>
            </w:r>
            <w:r>
              <w:rPr>
                <w:rStyle w:val="IndexLink"/>
              </w:rPr>
              <w:t>196</w:t>
            </w:r>
          </w:hyperlink>
        </w:p>
        <w:p>
          <w:pPr>
            <w:pStyle w:val="Contents5"/>
            <w:tabs>
              <w:tab w:val="clear" w:pos="7892"/>
              <w:tab w:val="right" w:pos="9026" w:leader="dot"/>
            </w:tabs>
            <w:rPr/>
          </w:pPr>
          <w:hyperlink w:anchor="__RefHeading___Toc3807969_1067777946">
            <w:r>
              <w:rPr>
                <w:webHidden/>
                <w:rStyle w:val="IndexLink"/>
                <w:rtl w:val="true"/>
              </w:rPr>
              <w:t xml:space="preserve">ميزان </w:t>
            </w:r>
            <w:r>
              <w:rPr>
                <w:rStyle w:val="IndexLink"/>
                <w:rtl w:val="true"/>
              </w:rPr>
              <w:t>«</w:t>
            </w:r>
            <w:r>
              <w:rPr>
                <w:rStyle w:val="IndexLink"/>
                <w:rtl w:val="true"/>
              </w:rPr>
              <w:t>ماه</w:t>
            </w:r>
            <w:r>
              <w:rPr>
                <w:rStyle w:val="IndexLink"/>
                <w:rtl w:val="true"/>
              </w:rPr>
              <w:t>»</w:t>
              <w:tab/>
            </w:r>
            <w:r>
              <w:rPr>
                <w:rStyle w:val="IndexLink"/>
              </w:rPr>
              <w:t>197</w:t>
            </w:r>
          </w:hyperlink>
        </w:p>
        <w:p>
          <w:pPr>
            <w:pStyle w:val="Contents5"/>
            <w:tabs>
              <w:tab w:val="clear" w:pos="7892"/>
              <w:tab w:val="right" w:pos="9026" w:leader="dot"/>
            </w:tabs>
            <w:rPr/>
          </w:pPr>
          <w:hyperlink w:anchor="__RefHeading___Toc3807971_1067777946">
            <w:r>
              <w:rPr>
                <w:webHidden/>
                <w:rStyle w:val="IndexLink"/>
                <w:rtl w:val="true"/>
              </w:rPr>
              <w:t>ارتياب حمل و تبيّن حمل</w:t>
            </w:r>
            <w:r>
              <w:rPr>
                <w:rStyle w:val="IndexLink"/>
                <w:rtl w:val="true"/>
              </w:rPr>
              <w:tab/>
            </w:r>
            <w:r>
              <w:rPr>
                <w:rStyle w:val="IndexLink"/>
              </w:rPr>
              <w:t>197</w:t>
            </w:r>
          </w:hyperlink>
        </w:p>
        <w:p>
          <w:pPr>
            <w:pStyle w:val="Contents4"/>
            <w:tabs>
              <w:tab w:val="clear" w:pos="8176"/>
              <w:tab w:val="right" w:pos="9026" w:leader="dot"/>
            </w:tabs>
            <w:rPr/>
          </w:pPr>
          <w:hyperlink w:anchor="__RefHeading___Toc3807973_1067777946">
            <w:r>
              <w:rPr>
                <w:webHidden/>
                <w:rStyle w:val="IndexLink"/>
              </w:rPr>
              <w:t>3</w:t>
            </w:r>
            <w:r>
              <w:rPr>
                <w:rStyle w:val="IndexLink"/>
                <w:rtl w:val="true"/>
              </w:rPr>
              <w:t xml:space="preserve">. </w:t>
            </w:r>
            <w:r>
              <w:rPr>
                <w:rStyle w:val="IndexLink"/>
                <w:rtl w:val="true"/>
              </w:rPr>
              <w:t>عدّۀ حامل</w:t>
            </w:r>
            <w:r>
              <w:rPr>
                <w:rStyle w:val="IndexLink"/>
                <w:rtl w:val="true"/>
              </w:rPr>
              <w:tab/>
            </w:r>
            <w:r>
              <w:rPr>
                <w:rStyle w:val="IndexLink"/>
              </w:rPr>
              <w:t>197</w:t>
            </w:r>
          </w:hyperlink>
        </w:p>
        <w:p>
          <w:pPr>
            <w:pStyle w:val="Contents5"/>
            <w:tabs>
              <w:tab w:val="clear" w:pos="7892"/>
              <w:tab w:val="right" w:pos="9026" w:leader="dot"/>
            </w:tabs>
            <w:rPr/>
          </w:pPr>
          <w:hyperlink w:anchor="__RefHeading___Toc3807975_1067777946">
            <w:r>
              <w:rPr>
                <w:webHidden/>
                <w:rStyle w:val="IndexLink"/>
                <w:rtl w:val="true"/>
              </w:rPr>
              <w:t>اشاره</w:t>
            </w:r>
            <w:r>
              <w:rPr>
                <w:rStyle w:val="IndexLink"/>
                <w:rtl w:val="true"/>
              </w:rPr>
              <w:tab/>
            </w:r>
            <w:r>
              <w:rPr>
                <w:rStyle w:val="IndexLink"/>
              </w:rPr>
              <w:t>197</w:t>
            </w:r>
          </w:hyperlink>
        </w:p>
        <w:p>
          <w:pPr>
            <w:pStyle w:val="Contents5"/>
            <w:tabs>
              <w:tab w:val="clear" w:pos="7892"/>
              <w:tab w:val="right" w:pos="9026" w:leader="dot"/>
            </w:tabs>
            <w:rPr/>
          </w:pPr>
          <w:hyperlink w:anchor="__RefHeading___Toc3807977_1067777946">
            <w:r>
              <w:rPr>
                <w:webHidden/>
                <w:rStyle w:val="IndexLink"/>
                <w:rtl w:val="true"/>
              </w:rPr>
              <w:t>معيار در حمل و وضع</w:t>
            </w:r>
            <w:r>
              <w:rPr>
                <w:rStyle w:val="IndexLink"/>
                <w:rtl w:val="true"/>
              </w:rPr>
              <w:tab/>
            </w:r>
            <w:r>
              <w:rPr>
                <w:rStyle w:val="IndexLink"/>
              </w:rPr>
              <w:t>197</w:t>
            </w:r>
          </w:hyperlink>
        </w:p>
        <w:p>
          <w:pPr>
            <w:pStyle w:val="Contents5"/>
            <w:tabs>
              <w:tab w:val="clear" w:pos="7892"/>
              <w:tab w:val="right" w:pos="9026" w:leader="dot"/>
            </w:tabs>
            <w:rPr/>
          </w:pPr>
          <w:hyperlink w:anchor="__RefHeading___Toc3807979_1067777946">
            <w:r>
              <w:rPr>
                <w:webHidden/>
                <w:rStyle w:val="IndexLink"/>
                <w:rtl w:val="true"/>
              </w:rPr>
              <w:t>اگر بعد از طلاق ادّعاى حمل كرد</w:t>
            </w:r>
            <w:r>
              <w:rPr>
                <w:rStyle w:val="IndexLink"/>
                <w:rtl w:val="true"/>
              </w:rPr>
              <w:tab/>
            </w:r>
            <w:r>
              <w:rPr>
                <w:rStyle w:val="IndexLink"/>
              </w:rPr>
              <w:t>198</w:t>
            </w:r>
          </w:hyperlink>
        </w:p>
        <w:p>
          <w:pPr>
            <w:pStyle w:val="Contents5"/>
            <w:tabs>
              <w:tab w:val="clear" w:pos="7892"/>
              <w:tab w:val="right" w:pos="9026" w:leader="dot"/>
            </w:tabs>
            <w:rPr/>
          </w:pPr>
          <w:hyperlink w:anchor="__RefHeading___Toc3807981_1067777946">
            <w:r>
              <w:rPr>
                <w:webHidden/>
                <w:rStyle w:val="IndexLink"/>
                <w:rtl w:val="true"/>
              </w:rPr>
              <w:t>تعدّد حمل</w:t>
            </w:r>
            <w:r>
              <w:rPr>
                <w:rStyle w:val="IndexLink"/>
                <w:rtl w:val="true"/>
              </w:rPr>
              <w:tab/>
            </w:r>
            <w:r>
              <w:rPr>
                <w:rStyle w:val="IndexLink"/>
              </w:rPr>
              <w:t>198</w:t>
            </w:r>
          </w:hyperlink>
        </w:p>
        <w:p>
          <w:pPr>
            <w:pStyle w:val="Contents5"/>
            <w:tabs>
              <w:tab w:val="clear" w:pos="7892"/>
              <w:tab w:val="right" w:pos="9026" w:leader="dot"/>
            </w:tabs>
            <w:rPr/>
          </w:pPr>
          <w:hyperlink w:anchor="__RefHeading___Toc3807983_1067777946">
            <w:r>
              <w:rPr>
                <w:webHidden/>
                <w:rStyle w:val="IndexLink"/>
                <w:rtl w:val="true"/>
              </w:rPr>
              <w:t>حكم عدّۀ در صورت وفات زوج در اثناى عدّۀ طلاق</w:t>
            </w:r>
            <w:r>
              <w:rPr>
                <w:rStyle w:val="IndexLink"/>
                <w:rtl w:val="true"/>
              </w:rPr>
              <w:tab/>
            </w:r>
            <w:r>
              <w:rPr>
                <w:rStyle w:val="IndexLink"/>
              </w:rPr>
              <w:t>198</w:t>
            </w:r>
          </w:hyperlink>
        </w:p>
        <w:p>
          <w:pPr>
            <w:pStyle w:val="Contents5"/>
            <w:tabs>
              <w:tab w:val="clear" w:pos="7892"/>
              <w:tab w:val="right" w:pos="9026" w:leader="dot"/>
            </w:tabs>
            <w:rPr/>
          </w:pPr>
          <w:hyperlink w:anchor="__RefHeading___Toc3807985_1067777946">
            <w:r>
              <w:rPr>
                <w:webHidden/>
                <w:rStyle w:val="IndexLink"/>
                <w:rtl w:val="true"/>
              </w:rPr>
              <w:t>عدم عدّۀ حمل در حمل از زنا</w:t>
            </w:r>
            <w:r>
              <w:rPr>
                <w:rStyle w:val="IndexLink"/>
                <w:rtl w:val="true"/>
              </w:rPr>
              <w:tab/>
            </w:r>
            <w:r>
              <w:rPr>
                <w:rStyle w:val="IndexLink"/>
              </w:rPr>
              <w:t>198</w:t>
            </w:r>
          </w:hyperlink>
        </w:p>
        <w:p>
          <w:pPr>
            <w:pStyle w:val="Contents5"/>
            <w:tabs>
              <w:tab w:val="clear" w:pos="7892"/>
              <w:tab w:val="right" w:pos="9026" w:leader="dot"/>
            </w:tabs>
            <w:rPr/>
          </w:pPr>
          <w:hyperlink w:anchor="__RefHeading___Toc3807987_1067777946">
            <w:r>
              <w:rPr>
                <w:webHidden/>
                <w:rStyle w:val="IndexLink"/>
                <w:rtl w:val="true"/>
              </w:rPr>
              <w:t>حكم عدّه در صورت اجتماع وطى به شبهه و طلاق</w:t>
            </w:r>
            <w:r>
              <w:rPr>
                <w:rStyle w:val="IndexLink"/>
                <w:rtl w:val="true"/>
              </w:rPr>
              <w:tab/>
            </w:r>
            <w:r>
              <w:rPr>
                <w:rStyle w:val="IndexLink"/>
              </w:rPr>
              <w:t>199</w:t>
            </w:r>
          </w:hyperlink>
        </w:p>
        <w:p>
          <w:pPr>
            <w:pStyle w:val="Contents5"/>
            <w:tabs>
              <w:tab w:val="clear" w:pos="7892"/>
              <w:tab w:val="right" w:pos="9026" w:leader="dot"/>
            </w:tabs>
            <w:rPr/>
          </w:pPr>
          <w:hyperlink w:anchor="__RefHeading___Toc3807989_1067777946">
            <w:r>
              <w:rPr>
                <w:webHidden/>
                <w:rStyle w:val="IndexLink"/>
                <w:rtl w:val="true"/>
              </w:rPr>
              <w:t>اختلاف بين زوجين در تاريخ طلاق يا وضع</w:t>
            </w:r>
            <w:r>
              <w:rPr>
                <w:rStyle w:val="IndexLink"/>
                <w:rtl w:val="true"/>
              </w:rPr>
              <w:tab/>
            </w:r>
            <w:r>
              <w:rPr>
                <w:rStyle w:val="IndexLink"/>
              </w:rPr>
              <w:t>200</w:t>
            </w:r>
          </w:hyperlink>
        </w:p>
        <w:p>
          <w:pPr>
            <w:pStyle w:val="Contents5"/>
            <w:tabs>
              <w:tab w:val="clear" w:pos="7892"/>
              <w:tab w:val="right" w:pos="9026" w:leader="dot"/>
            </w:tabs>
            <w:rPr/>
          </w:pPr>
          <w:hyperlink w:anchor="__RefHeading___Toc3807991_1067777946">
            <w:r>
              <w:rPr>
                <w:webHidden/>
                <w:rStyle w:val="IndexLink"/>
                <w:rtl w:val="true"/>
              </w:rPr>
              <w:t>تولد فرزند بعد از اقرار به انقضاى عدّۀ طلاق</w:t>
            </w:r>
            <w:r>
              <w:rPr>
                <w:rStyle w:val="IndexLink"/>
                <w:rtl w:val="true"/>
              </w:rPr>
              <w:tab/>
            </w:r>
            <w:r>
              <w:rPr>
                <w:rStyle w:val="IndexLink"/>
              </w:rPr>
              <w:t>200</w:t>
            </w:r>
          </w:hyperlink>
        </w:p>
        <w:p>
          <w:pPr>
            <w:pStyle w:val="Contents5"/>
            <w:tabs>
              <w:tab w:val="clear" w:pos="7892"/>
              <w:tab w:val="right" w:pos="9026" w:leader="dot"/>
            </w:tabs>
            <w:rPr/>
          </w:pPr>
          <w:hyperlink w:anchor="__RefHeading___Toc3807993_1067777946">
            <w:r>
              <w:rPr>
                <w:webHidden/>
                <w:rStyle w:val="IndexLink"/>
                <w:rtl w:val="true"/>
              </w:rPr>
              <w:t>ادّعاى زن بعد از موت زوج به رجوع در عدّه يا ازدواج جديد</w:t>
            </w:r>
            <w:r>
              <w:rPr>
                <w:rStyle w:val="IndexLink"/>
                <w:rtl w:val="true"/>
              </w:rPr>
              <w:tab/>
            </w:r>
            <w:r>
              <w:rPr>
                <w:rStyle w:val="IndexLink"/>
              </w:rPr>
              <w:t>200</w:t>
            </w:r>
          </w:hyperlink>
        </w:p>
        <w:p>
          <w:pPr>
            <w:pStyle w:val="Contents4"/>
            <w:tabs>
              <w:tab w:val="clear" w:pos="8176"/>
              <w:tab w:val="right" w:pos="9026" w:leader="dot"/>
            </w:tabs>
            <w:rPr/>
          </w:pPr>
          <w:hyperlink w:anchor="__RefHeading___Toc3807995_1067777946">
            <w:r>
              <w:rPr>
                <w:webHidden/>
                <w:rStyle w:val="IndexLink"/>
              </w:rPr>
              <w:t>4</w:t>
            </w:r>
            <w:r>
              <w:rPr>
                <w:rStyle w:val="IndexLink"/>
                <w:rtl w:val="true"/>
              </w:rPr>
              <w:t xml:space="preserve">. </w:t>
            </w:r>
            <w:r>
              <w:rPr>
                <w:rStyle w:val="IndexLink"/>
                <w:rtl w:val="true"/>
              </w:rPr>
              <w:t>در عدۀ وفات</w:t>
            </w:r>
            <w:r>
              <w:rPr>
                <w:rStyle w:val="IndexLink"/>
                <w:rtl w:val="true"/>
              </w:rPr>
              <w:tab/>
            </w:r>
            <w:r>
              <w:rPr>
                <w:rStyle w:val="IndexLink"/>
              </w:rPr>
              <w:t>201</w:t>
            </w:r>
          </w:hyperlink>
        </w:p>
        <w:p>
          <w:pPr>
            <w:pStyle w:val="Contents5"/>
            <w:tabs>
              <w:tab w:val="clear" w:pos="7892"/>
              <w:tab w:val="right" w:pos="9026" w:leader="dot"/>
            </w:tabs>
            <w:rPr/>
          </w:pPr>
          <w:hyperlink w:anchor="__RefHeading___Toc3807997_1067777946">
            <w:r>
              <w:rPr>
                <w:webHidden/>
                <w:rStyle w:val="IndexLink"/>
                <w:rtl w:val="true"/>
              </w:rPr>
              <w:t>اشاره</w:t>
            </w:r>
            <w:r>
              <w:rPr>
                <w:rStyle w:val="IndexLink"/>
                <w:rtl w:val="true"/>
              </w:rPr>
              <w:tab/>
            </w:r>
            <w:r>
              <w:rPr>
                <w:rStyle w:val="IndexLink"/>
              </w:rPr>
              <w:t>201</w:t>
            </w:r>
          </w:hyperlink>
        </w:p>
        <w:p>
          <w:pPr>
            <w:pStyle w:val="Contents5"/>
            <w:tabs>
              <w:tab w:val="clear" w:pos="7892"/>
              <w:tab w:val="right" w:pos="9026" w:leader="dot"/>
            </w:tabs>
            <w:rPr/>
          </w:pPr>
          <w:hyperlink w:anchor="__RefHeading___Toc3807999_1067777946">
            <w:r>
              <w:rPr>
                <w:webHidden/>
                <w:rStyle w:val="IndexLink"/>
                <w:rtl w:val="true"/>
              </w:rPr>
              <w:t xml:space="preserve">وجوب ترك زينت </w:t>
            </w:r>
            <w:r>
              <w:rPr>
                <w:rStyle w:val="IndexLink"/>
                <w:rtl w:val="true"/>
              </w:rPr>
              <w:t>«</w:t>
            </w:r>
            <w:r>
              <w:rPr>
                <w:rStyle w:val="IndexLink"/>
                <w:rtl w:val="true"/>
              </w:rPr>
              <w:t>حداد</w:t>
            </w:r>
            <w:r>
              <w:rPr>
                <w:rStyle w:val="IndexLink"/>
                <w:rtl w:val="true"/>
              </w:rPr>
              <w:t>»</w:t>
              <w:tab/>
            </w:r>
            <w:r>
              <w:rPr>
                <w:rStyle w:val="IndexLink"/>
              </w:rPr>
              <w:t>201</w:t>
            </w:r>
          </w:hyperlink>
        </w:p>
        <w:p>
          <w:pPr>
            <w:pStyle w:val="Contents5"/>
            <w:tabs>
              <w:tab w:val="clear" w:pos="7892"/>
              <w:tab w:val="right" w:pos="9026" w:leader="dot"/>
            </w:tabs>
            <w:rPr/>
          </w:pPr>
          <w:hyperlink w:anchor="__RefHeading___Toc3808001_1067777946">
            <w:r>
              <w:rPr>
                <w:webHidden/>
                <w:rStyle w:val="IndexLink"/>
                <w:rtl w:val="true"/>
              </w:rPr>
              <w:t>طلاق يكى از زوجات بدون تعيين، و وفات شوهر</w:t>
            </w:r>
            <w:r>
              <w:rPr>
                <w:rStyle w:val="IndexLink"/>
                <w:rtl w:val="true"/>
              </w:rPr>
              <w:tab/>
            </w:r>
            <w:r>
              <w:rPr>
                <w:rStyle w:val="IndexLink"/>
              </w:rPr>
              <w:t>202</w:t>
            </w:r>
          </w:hyperlink>
        </w:p>
        <w:p>
          <w:pPr>
            <w:pStyle w:val="Contents5"/>
            <w:tabs>
              <w:tab w:val="clear" w:pos="7892"/>
              <w:tab w:val="right" w:pos="9026" w:leader="dot"/>
            </w:tabs>
            <w:rPr/>
          </w:pPr>
          <w:hyperlink w:anchor="__RefHeading___Toc3808003_1067777946">
            <w:r>
              <w:rPr>
                <w:webHidden/>
                <w:rStyle w:val="IndexLink"/>
                <w:rtl w:val="true"/>
              </w:rPr>
              <w:t>عدّۀ طلاق متعقّب به وفات در صورت تعيين مطلّقه</w:t>
            </w:r>
            <w:r>
              <w:rPr>
                <w:rStyle w:val="IndexLink"/>
                <w:rtl w:val="true"/>
              </w:rPr>
              <w:tab/>
            </w:r>
            <w:r>
              <w:rPr>
                <w:rStyle w:val="IndexLink"/>
              </w:rPr>
              <w:t>202</w:t>
            </w:r>
          </w:hyperlink>
        </w:p>
        <w:p>
          <w:pPr>
            <w:pStyle w:val="Contents4"/>
            <w:tabs>
              <w:tab w:val="clear" w:pos="8176"/>
              <w:tab w:val="right" w:pos="9026" w:leader="dot"/>
            </w:tabs>
            <w:rPr/>
          </w:pPr>
          <w:hyperlink w:anchor="__RefHeading___Toc3808005_1067777946">
            <w:r>
              <w:rPr>
                <w:webHidden/>
                <w:rStyle w:val="IndexLink"/>
              </w:rPr>
              <w:t>5</w:t>
            </w:r>
            <w:r>
              <w:rPr>
                <w:rStyle w:val="IndexLink"/>
                <w:rtl w:val="true"/>
              </w:rPr>
              <w:t xml:space="preserve">. </w:t>
            </w:r>
            <w:r>
              <w:rPr>
                <w:rStyle w:val="IndexLink"/>
                <w:rtl w:val="true"/>
              </w:rPr>
              <w:t>احكام زوجۀ شخص مفقود</w:t>
            </w:r>
            <w:r>
              <w:rPr>
                <w:rStyle w:val="IndexLink"/>
                <w:rtl w:val="true"/>
              </w:rPr>
              <w:tab/>
            </w:r>
            <w:r>
              <w:rPr>
                <w:rStyle w:val="IndexLink"/>
              </w:rPr>
              <w:t>202</w:t>
            </w:r>
          </w:hyperlink>
        </w:p>
        <w:p>
          <w:pPr>
            <w:pStyle w:val="Contents5"/>
            <w:tabs>
              <w:tab w:val="clear" w:pos="7892"/>
              <w:tab w:val="right" w:pos="9026" w:leader="dot"/>
            </w:tabs>
            <w:rPr/>
          </w:pPr>
          <w:hyperlink w:anchor="__RefHeading___Toc3808007_1067777946">
            <w:r>
              <w:rPr>
                <w:webHidden/>
                <w:rStyle w:val="IndexLink"/>
                <w:rtl w:val="true"/>
              </w:rPr>
              <w:t>اشاره</w:t>
            </w:r>
            <w:r>
              <w:rPr>
                <w:rStyle w:val="IndexLink"/>
                <w:rtl w:val="true"/>
              </w:rPr>
              <w:tab/>
            </w:r>
            <w:r>
              <w:rPr>
                <w:rStyle w:val="IndexLink"/>
              </w:rPr>
              <w:t>202</w:t>
            </w:r>
          </w:hyperlink>
        </w:p>
        <w:p>
          <w:pPr>
            <w:pStyle w:val="Contents5"/>
            <w:tabs>
              <w:tab w:val="clear" w:pos="7892"/>
              <w:tab w:val="right" w:pos="9026" w:leader="dot"/>
            </w:tabs>
            <w:rPr/>
          </w:pPr>
          <w:hyperlink w:anchor="__RefHeading___Toc3808009_1067777946">
            <w:r>
              <w:rPr>
                <w:webHidden/>
                <w:rStyle w:val="IndexLink"/>
                <w:rtl w:val="true"/>
              </w:rPr>
              <w:t>قرار دادن چهار سال</w:t>
            </w:r>
            <w:r>
              <w:rPr>
                <w:rStyle w:val="IndexLink"/>
                <w:rtl w:val="true"/>
              </w:rPr>
              <w:tab/>
            </w:r>
            <w:r>
              <w:rPr>
                <w:rStyle w:val="IndexLink"/>
              </w:rPr>
              <w:t>203</w:t>
            </w:r>
          </w:hyperlink>
        </w:p>
        <w:p>
          <w:pPr>
            <w:pStyle w:val="Contents5"/>
            <w:tabs>
              <w:tab w:val="clear" w:pos="7892"/>
              <w:tab w:val="right" w:pos="9026" w:leader="dot"/>
            </w:tabs>
            <w:rPr/>
          </w:pPr>
          <w:hyperlink w:anchor="__RefHeading___Toc3808011_1067777946">
            <w:r>
              <w:rPr>
                <w:webHidden/>
                <w:rStyle w:val="IndexLink"/>
                <w:rtl w:val="true"/>
              </w:rPr>
              <w:t>عدم اختصاص حكم مفقود به مسافر</w:t>
            </w:r>
            <w:r>
              <w:rPr>
                <w:rStyle w:val="IndexLink"/>
                <w:rtl w:val="true"/>
              </w:rPr>
              <w:tab/>
            </w:r>
            <w:r>
              <w:rPr>
                <w:rStyle w:val="IndexLink"/>
              </w:rPr>
              <w:t>203</w:t>
            </w:r>
          </w:hyperlink>
        </w:p>
        <w:p>
          <w:pPr>
            <w:pStyle w:val="Contents5"/>
            <w:tabs>
              <w:tab w:val="clear" w:pos="7892"/>
              <w:tab w:val="right" w:pos="9026" w:leader="dot"/>
            </w:tabs>
            <w:rPr/>
          </w:pPr>
          <w:hyperlink w:anchor="__RefHeading___Toc3808013_1067777946">
            <w:r>
              <w:rPr>
                <w:webHidden/>
                <w:rStyle w:val="IndexLink"/>
                <w:rtl w:val="true"/>
              </w:rPr>
              <w:t>احكام مذكور مربوط به زوجۀ دائميّه است نه متمتع بها و نه ارث</w:t>
            </w:r>
            <w:r>
              <w:rPr>
                <w:rStyle w:val="IndexLink"/>
                <w:rtl w:val="true"/>
              </w:rPr>
              <w:tab/>
            </w:r>
            <w:r>
              <w:rPr>
                <w:rStyle w:val="IndexLink"/>
              </w:rPr>
              <w:t>204</w:t>
            </w:r>
          </w:hyperlink>
        </w:p>
        <w:p>
          <w:pPr>
            <w:pStyle w:val="Contents5"/>
            <w:tabs>
              <w:tab w:val="clear" w:pos="7892"/>
              <w:tab w:val="right" w:pos="9026" w:leader="dot"/>
            </w:tabs>
            <w:rPr/>
          </w:pPr>
          <w:hyperlink w:anchor="__RefHeading___Toc3808015_1067777946">
            <w:r>
              <w:rPr>
                <w:webHidden/>
                <w:rStyle w:val="IndexLink"/>
                <w:rtl w:val="true"/>
              </w:rPr>
              <w:t>حكم نفقۀ مأخوذه در فرض انكشاف موت</w:t>
            </w:r>
            <w:r>
              <w:rPr>
                <w:rStyle w:val="IndexLink"/>
                <w:rtl w:val="true"/>
              </w:rPr>
              <w:tab/>
            </w:r>
            <w:r>
              <w:rPr>
                <w:rStyle w:val="IndexLink"/>
              </w:rPr>
              <w:t>204</w:t>
            </w:r>
          </w:hyperlink>
        </w:p>
        <w:p>
          <w:pPr>
            <w:pStyle w:val="Contents5"/>
            <w:tabs>
              <w:tab w:val="clear" w:pos="7892"/>
              <w:tab w:val="right" w:pos="9026" w:leader="dot"/>
            </w:tabs>
            <w:rPr/>
          </w:pPr>
          <w:hyperlink w:anchor="__RefHeading___Toc3808017_1067777946">
            <w:r>
              <w:rPr>
                <w:webHidden/>
                <w:rStyle w:val="IndexLink"/>
                <w:rtl w:val="true"/>
              </w:rPr>
              <w:t>وجه جمع بين طلاق و عدّۀ وفات</w:t>
            </w:r>
            <w:r>
              <w:rPr>
                <w:rStyle w:val="IndexLink"/>
                <w:rtl w:val="true"/>
              </w:rPr>
              <w:tab/>
            </w:r>
            <w:r>
              <w:rPr>
                <w:rStyle w:val="IndexLink"/>
              </w:rPr>
              <w:t>204</w:t>
            </w:r>
          </w:hyperlink>
        </w:p>
        <w:p>
          <w:pPr>
            <w:pStyle w:val="Contents5"/>
            <w:tabs>
              <w:tab w:val="clear" w:pos="7892"/>
              <w:tab w:val="right" w:pos="9026" w:leader="dot"/>
            </w:tabs>
            <w:rPr/>
          </w:pPr>
          <w:hyperlink w:anchor="__RefHeading___Toc3808019_1067777946">
            <w:r>
              <w:rPr>
                <w:webHidden/>
                <w:rStyle w:val="IndexLink"/>
                <w:rtl w:val="true"/>
              </w:rPr>
              <w:t>انكشاف وقت وفات زوج</w:t>
            </w:r>
            <w:r>
              <w:rPr>
                <w:rStyle w:val="IndexLink"/>
                <w:rtl w:val="true"/>
              </w:rPr>
              <w:tab/>
            </w:r>
            <w:r>
              <w:rPr>
                <w:rStyle w:val="IndexLink"/>
              </w:rPr>
              <w:t>204</w:t>
            </w:r>
          </w:hyperlink>
        </w:p>
        <w:p>
          <w:pPr>
            <w:pStyle w:val="Contents5"/>
            <w:tabs>
              <w:tab w:val="clear" w:pos="7892"/>
              <w:tab w:val="right" w:pos="9026" w:leader="dot"/>
            </w:tabs>
            <w:rPr/>
          </w:pPr>
          <w:hyperlink w:anchor="__RefHeading___Toc3808021_1067777946">
            <w:r>
              <w:rPr>
                <w:webHidden/>
                <w:rStyle w:val="IndexLink"/>
                <w:rtl w:val="true"/>
              </w:rPr>
              <w:t>حكم نفقه در اثناى عدّه و هم چنين حكم طلاق و ظهار و ايلاء زوج</w:t>
            </w:r>
            <w:r>
              <w:rPr>
                <w:rStyle w:val="IndexLink"/>
                <w:rtl w:val="true"/>
              </w:rPr>
              <w:tab/>
            </w:r>
            <w:r>
              <w:rPr>
                <w:rStyle w:val="IndexLink"/>
              </w:rPr>
              <w:t>204</w:t>
            </w:r>
          </w:hyperlink>
        </w:p>
        <w:p>
          <w:pPr>
            <w:pStyle w:val="Contents5"/>
            <w:tabs>
              <w:tab w:val="clear" w:pos="7892"/>
              <w:tab w:val="right" w:pos="9026" w:leader="dot"/>
            </w:tabs>
            <w:rPr/>
          </w:pPr>
          <w:hyperlink w:anchor="__RefHeading___Toc3808023_1067777946">
            <w:r>
              <w:rPr>
                <w:webHidden/>
                <w:rStyle w:val="IndexLink"/>
                <w:rtl w:val="true"/>
              </w:rPr>
              <w:t>حكم توارث در اثناى عدّه و بعد آن</w:t>
            </w:r>
            <w:r>
              <w:rPr>
                <w:rStyle w:val="IndexLink"/>
                <w:rtl w:val="true"/>
              </w:rPr>
              <w:tab/>
            </w:r>
            <w:r>
              <w:rPr>
                <w:rStyle w:val="IndexLink"/>
              </w:rPr>
              <w:t>205</w:t>
            </w:r>
          </w:hyperlink>
        </w:p>
        <w:p>
          <w:pPr>
            <w:pStyle w:val="Contents5"/>
            <w:tabs>
              <w:tab w:val="clear" w:pos="7892"/>
              <w:tab w:val="right" w:pos="9026" w:leader="dot"/>
            </w:tabs>
            <w:rPr/>
          </w:pPr>
          <w:hyperlink w:anchor="__RefHeading___Toc3808025_1067777946">
            <w:r>
              <w:rPr>
                <w:webHidden/>
                <w:rStyle w:val="IndexLink"/>
                <w:rtl w:val="true"/>
              </w:rPr>
              <w:t>اشتباه حاكم در حساب و وقوع تزويج</w:t>
            </w:r>
            <w:r>
              <w:rPr>
                <w:rStyle w:val="IndexLink"/>
                <w:rtl w:val="true"/>
              </w:rPr>
              <w:tab/>
            </w:r>
            <w:r>
              <w:rPr>
                <w:rStyle w:val="IndexLink"/>
              </w:rPr>
              <w:t>205</w:t>
            </w:r>
          </w:hyperlink>
        </w:p>
        <w:p>
          <w:pPr>
            <w:pStyle w:val="Contents4"/>
            <w:tabs>
              <w:tab w:val="clear" w:pos="8176"/>
              <w:tab w:val="right" w:pos="9026" w:leader="dot"/>
            </w:tabs>
            <w:rPr/>
          </w:pPr>
          <w:hyperlink w:anchor="__RefHeading___Toc3808027_1067777946">
            <w:r>
              <w:rPr>
                <w:webHidden/>
                <w:rStyle w:val="IndexLink"/>
              </w:rPr>
              <w:t>6</w:t>
            </w:r>
            <w:r>
              <w:rPr>
                <w:rStyle w:val="IndexLink"/>
                <w:rtl w:val="true"/>
              </w:rPr>
              <w:t xml:space="preserve">. </w:t>
            </w:r>
            <w:r>
              <w:rPr>
                <w:rStyle w:val="IndexLink"/>
                <w:rtl w:val="true"/>
              </w:rPr>
              <w:t>عدۀ امه</w:t>
            </w:r>
            <w:r>
              <w:rPr>
                <w:rStyle w:val="IndexLink"/>
                <w:rtl w:val="true"/>
              </w:rPr>
              <w:tab/>
            </w:r>
            <w:r>
              <w:rPr>
                <w:rStyle w:val="IndexLink"/>
              </w:rPr>
              <w:t>206</w:t>
            </w:r>
          </w:hyperlink>
        </w:p>
        <w:p>
          <w:pPr>
            <w:pStyle w:val="Contents5"/>
            <w:tabs>
              <w:tab w:val="clear" w:pos="7892"/>
              <w:tab w:val="right" w:pos="9026" w:leader="dot"/>
            </w:tabs>
            <w:rPr/>
          </w:pPr>
          <w:hyperlink w:anchor="__RefHeading___Toc3808029_1067777946">
            <w:r>
              <w:rPr>
                <w:webHidden/>
                <w:rStyle w:val="IndexLink"/>
                <w:rtl w:val="true"/>
              </w:rPr>
              <w:t>اشاره</w:t>
            </w:r>
            <w:r>
              <w:rPr>
                <w:rStyle w:val="IndexLink"/>
                <w:rtl w:val="true"/>
              </w:rPr>
              <w:tab/>
            </w:r>
            <w:r>
              <w:rPr>
                <w:rStyle w:val="IndexLink"/>
              </w:rPr>
              <w:t>206</w:t>
            </w:r>
          </w:hyperlink>
        </w:p>
        <w:p>
          <w:pPr>
            <w:pStyle w:val="Contents5"/>
            <w:tabs>
              <w:tab w:val="clear" w:pos="7892"/>
              <w:tab w:val="right" w:pos="9026" w:leader="dot"/>
            </w:tabs>
            <w:rPr/>
          </w:pPr>
          <w:hyperlink w:anchor="__RefHeading___Toc3808031_1067777946">
            <w:r>
              <w:rPr>
                <w:webHidden/>
                <w:rStyle w:val="IndexLink"/>
                <w:rtl w:val="true"/>
              </w:rPr>
              <w:t>اقل ايام عدۀ امه</w:t>
            </w:r>
            <w:r>
              <w:rPr>
                <w:rStyle w:val="IndexLink"/>
                <w:rtl w:val="true"/>
              </w:rPr>
              <w:tab/>
            </w:r>
            <w:r>
              <w:rPr>
                <w:rStyle w:val="IndexLink"/>
              </w:rPr>
              <w:t>206</w:t>
            </w:r>
          </w:hyperlink>
        </w:p>
        <w:p>
          <w:pPr>
            <w:pStyle w:val="Contents5"/>
            <w:tabs>
              <w:tab w:val="clear" w:pos="7892"/>
              <w:tab w:val="right" w:pos="9026" w:leader="dot"/>
            </w:tabs>
            <w:rPr/>
          </w:pPr>
          <w:hyperlink w:anchor="__RefHeading___Toc3808033_1067777946">
            <w:r>
              <w:rPr>
                <w:webHidden/>
                <w:rStyle w:val="IndexLink"/>
                <w:rtl w:val="true"/>
              </w:rPr>
              <w:t>عدّه امه مسترابه</w:t>
            </w:r>
            <w:r>
              <w:rPr>
                <w:rStyle w:val="IndexLink"/>
                <w:rtl w:val="true"/>
              </w:rPr>
              <w:tab/>
            </w:r>
            <w:r>
              <w:rPr>
                <w:rStyle w:val="IndexLink"/>
              </w:rPr>
              <w:t>206</w:t>
            </w:r>
          </w:hyperlink>
        </w:p>
        <w:p>
          <w:pPr>
            <w:pStyle w:val="Contents5"/>
            <w:tabs>
              <w:tab w:val="clear" w:pos="7892"/>
              <w:tab w:val="right" w:pos="9026" w:leader="dot"/>
            </w:tabs>
            <w:rPr/>
          </w:pPr>
          <w:hyperlink w:anchor="__RefHeading___Toc3808035_1067777946">
            <w:r>
              <w:rPr>
                <w:webHidden/>
                <w:rStyle w:val="IndexLink"/>
                <w:rtl w:val="true"/>
              </w:rPr>
              <w:t>وقوع عتق و عدّۀ طلاق امه</w:t>
            </w:r>
            <w:r>
              <w:rPr>
                <w:rStyle w:val="IndexLink"/>
                <w:rtl w:val="true"/>
              </w:rPr>
              <w:tab/>
            </w:r>
            <w:r>
              <w:rPr>
                <w:rStyle w:val="IndexLink"/>
              </w:rPr>
              <w:t>207</w:t>
            </w:r>
          </w:hyperlink>
        </w:p>
        <w:p>
          <w:pPr>
            <w:pStyle w:val="Contents5"/>
            <w:tabs>
              <w:tab w:val="clear" w:pos="7892"/>
              <w:tab w:val="right" w:pos="9026" w:leader="dot"/>
            </w:tabs>
            <w:rPr/>
          </w:pPr>
          <w:hyperlink w:anchor="__RefHeading___Toc3808037_1067777946">
            <w:r>
              <w:rPr>
                <w:webHidden/>
                <w:rStyle w:val="IndexLink"/>
                <w:rtl w:val="true"/>
              </w:rPr>
              <w:t>عدّۀ ذميّه در موت و طلاق و هم چنين عدّۀ امه از وفات زوج</w:t>
            </w:r>
            <w:r>
              <w:rPr>
                <w:rStyle w:val="IndexLink"/>
                <w:rtl w:val="true"/>
              </w:rPr>
              <w:tab/>
            </w:r>
            <w:r>
              <w:rPr>
                <w:rStyle w:val="IndexLink"/>
              </w:rPr>
              <w:t>207</w:t>
            </w:r>
          </w:hyperlink>
        </w:p>
        <w:p>
          <w:pPr>
            <w:pStyle w:val="Contents5"/>
            <w:tabs>
              <w:tab w:val="clear" w:pos="7892"/>
              <w:tab w:val="right" w:pos="9026" w:leader="dot"/>
            </w:tabs>
            <w:rPr/>
          </w:pPr>
          <w:hyperlink w:anchor="__RefHeading___Toc3808039_1067777946">
            <w:r>
              <w:rPr>
                <w:webHidden/>
                <w:rStyle w:val="IndexLink"/>
                <w:rtl w:val="true"/>
              </w:rPr>
              <w:t>احكام وطى امه در صورت ابتياع و مكاتبه و ارتداد و طلاق</w:t>
            </w:r>
            <w:r>
              <w:rPr>
                <w:rStyle w:val="IndexLink"/>
                <w:rtl w:val="true"/>
              </w:rPr>
              <w:tab/>
            </w:r>
            <w:r>
              <w:rPr>
                <w:rStyle w:val="IndexLink"/>
              </w:rPr>
              <w:t>208</w:t>
            </w:r>
          </w:hyperlink>
        </w:p>
        <w:p>
          <w:pPr>
            <w:pStyle w:val="Contents3"/>
            <w:tabs>
              <w:tab w:val="clear" w:pos="8459"/>
              <w:tab w:val="right" w:pos="9026" w:leader="dot"/>
            </w:tabs>
            <w:rPr/>
          </w:pPr>
          <w:hyperlink w:anchor="__RefHeading___Toc3808041_1067777946">
            <w:r>
              <w:rPr>
                <w:webHidden/>
                <w:rStyle w:val="IndexLink"/>
                <w:rtl w:val="true"/>
              </w:rPr>
              <w:t>فصل نهم مسائلى از طلاق</w:t>
            </w:r>
            <w:r>
              <w:rPr>
                <w:rStyle w:val="IndexLink"/>
                <w:rtl w:val="true"/>
              </w:rPr>
              <w:tab/>
            </w:r>
            <w:r>
              <w:rPr>
                <w:rStyle w:val="IndexLink"/>
              </w:rPr>
              <w:t>210</w:t>
            </w:r>
          </w:hyperlink>
        </w:p>
        <w:p>
          <w:pPr>
            <w:pStyle w:val="Contents4"/>
            <w:tabs>
              <w:tab w:val="clear" w:pos="8176"/>
              <w:tab w:val="right" w:pos="9026" w:leader="dot"/>
            </w:tabs>
            <w:rPr/>
          </w:pPr>
          <w:hyperlink w:anchor="__RefHeading___Toc3808043_1067777946">
            <w:r>
              <w:rPr>
                <w:webHidden/>
                <w:rStyle w:val="IndexLink"/>
                <w:rtl w:val="true"/>
              </w:rPr>
              <w:t>موارد عدم جواز و جواز اخراج مطلّقۀ رجعيه</w:t>
            </w:r>
            <w:r>
              <w:rPr>
                <w:rStyle w:val="IndexLink"/>
                <w:rtl w:val="true"/>
              </w:rPr>
              <w:tab/>
            </w:r>
            <w:r>
              <w:rPr>
                <w:rStyle w:val="IndexLink"/>
              </w:rPr>
              <w:t>210</w:t>
            </w:r>
          </w:hyperlink>
        </w:p>
        <w:p>
          <w:pPr>
            <w:pStyle w:val="Contents4"/>
            <w:tabs>
              <w:tab w:val="clear" w:pos="8176"/>
              <w:tab w:val="right" w:pos="9026" w:leader="dot"/>
            </w:tabs>
            <w:rPr/>
          </w:pPr>
          <w:hyperlink w:anchor="__RefHeading___Toc3808045_1067777946">
            <w:r>
              <w:rPr>
                <w:webHidden/>
                <w:rStyle w:val="IndexLink"/>
                <w:rtl w:val="true"/>
              </w:rPr>
              <w:t>نفقۀ رجعيه و بائن حامل</w:t>
            </w:r>
            <w:r>
              <w:rPr>
                <w:rStyle w:val="IndexLink"/>
                <w:rtl w:val="true"/>
              </w:rPr>
              <w:tab/>
            </w:r>
            <w:r>
              <w:rPr>
                <w:rStyle w:val="IndexLink"/>
              </w:rPr>
              <w:t>211</w:t>
            </w:r>
          </w:hyperlink>
        </w:p>
        <w:p>
          <w:pPr>
            <w:pStyle w:val="Contents5"/>
            <w:tabs>
              <w:tab w:val="clear" w:pos="7892"/>
              <w:tab w:val="right" w:pos="9026" w:leader="dot"/>
            </w:tabs>
            <w:rPr/>
          </w:pPr>
          <w:hyperlink w:anchor="__RefHeading___Toc3808047_1067777946">
            <w:r>
              <w:rPr>
                <w:webHidden/>
                <w:rStyle w:val="IndexLink"/>
                <w:rtl w:val="true"/>
              </w:rPr>
              <w:t>اشاره</w:t>
            </w:r>
            <w:r>
              <w:rPr>
                <w:rStyle w:val="IndexLink"/>
                <w:rtl w:val="true"/>
              </w:rPr>
              <w:tab/>
            </w:r>
            <w:r>
              <w:rPr>
                <w:rStyle w:val="IndexLink"/>
              </w:rPr>
              <w:t>211</w:t>
            </w:r>
          </w:hyperlink>
        </w:p>
        <w:p>
          <w:pPr>
            <w:pStyle w:val="Contents5"/>
            <w:tabs>
              <w:tab w:val="clear" w:pos="7892"/>
              <w:tab w:val="right" w:pos="9026" w:leader="dot"/>
            </w:tabs>
            <w:rPr/>
          </w:pPr>
          <w:hyperlink w:anchor="__RefHeading___Toc3808049_1067777946">
            <w:r>
              <w:rPr>
                <w:webHidden/>
                <w:rStyle w:val="IndexLink"/>
                <w:rtl w:val="true"/>
              </w:rPr>
              <w:t>فروع سكناى مطلّقه</w:t>
            </w:r>
            <w:r>
              <w:rPr>
                <w:rStyle w:val="IndexLink"/>
                <w:rtl w:val="true"/>
              </w:rPr>
              <w:tab/>
            </w:r>
            <w:r>
              <w:rPr>
                <w:rStyle w:val="IndexLink"/>
              </w:rPr>
              <w:t>211</w:t>
            </w:r>
          </w:hyperlink>
        </w:p>
        <w:p>
          <w:pPr>
            <w:pStyle w:val="Contents6"/>
            <w:tabs>
              <w:tab w:val="clear" w:pos="7609"/>
              <w:tab w:val="right" w:pos="9026" w:leader="dot"/>
            </w:tabs>
            <w:rPr/>
          </w:pPr>
          <w:hyperlink w:anchor="__RefHeading___Toc3808051_1067777946">
            <w:r>
              <w:rPr>
                <w:webHidden/>
                <w:rStyle w:val="IndexLink"/>
                <w:rtl w:val="true"/>
              </w:rPr>
              <w:t>انهدام مسكن مطلّقۀ رجعيّه</w:t>
            </w:r>
            <w:r>
              <w:rPr>
                <w:rStyle w:val="IndexLink"/>
                <w:rtl w:val="true"/>
              </w:rPr>
              <w:tab/>
            </w:r>
            <w:r>
              <w:rPr>
                <w:rStyle w:val="IndexLink"/>
              </w:rPr>
              <w:t>211</w:t>
            </w:r>
          </w:hyperlink>
        </w:p>
        <w:p>
          <w:pPr>
            <w:pStyle w:val="Contents6"/>
            <w:tabs>
              <w:tab w:val="clear" w:pos="7609"/>
              <w:tab w:val="right" w:pos="9026" w:leader="dot"/>
            </w:tabs>
            <w:rPr/>
          </w:pPr>
          <w:hyperlink w:anchor="__RefHeading___Toc3808053_1067777946">
            <w:r>
              <w:rPr>
                <w:webHidden/>
                <w:rStyle w:val="IndexLink"/>
                <w:rtl w:val="true"/>
              </w:rPr>
              <w:t>توسعه و تضييق مسكن</w:t>
            </w:r>
            <w:r>
              <w:rPr>
                <w:rStyle w:val="IndexLink"/>
                <w:rtl w:val="true"/>
              </w:rPr>
              <w:tab/>
            </w:r>
            <w:r>
              <w:rPr>
                <w:rStyle w:val="IndexLink"/>
              </w:rPr>
              <w:t>212</w:t>
            </w:r>
          </w:hyperlink>
        </w:p>
        <w:p>
          <w:pPr>
            <w:pStyle w:val="Contents6"/>
            <w:tabs>
              <w:tab w:val="clear" w:pos="7609"/>
              <w:tab w:val="right" w:pos="9026" w:leader="dot"/>
            </w:tabs>
            <w:rPr/>
          </w:pPr>
          <w:hyperlink w:anchor="__RefHeading___Toc3808055_1067777946">
            <w:r>
              <w:rPr>
                <w:webHidden/>
                <w:rStyle w:val="IndexLink"/>
                <w:rtl w:val="true"/>
              </w:rPr>
              <w:t>خلوت و نظر بر مطلقۀ رجعيّه با قصد عدم رجوع</w:t>
            </w:r>
            <w:r>
              <w:rPr>
                <w:rStyle w:val="IndexLink"/>
                <w:rtl w:val="true"/>
              </w:rPr>
              <w:tab/>
            </w:r>
            <w:r>
              <w:rPr>
                <w:rStyle w:val="IndexLink"/>
              </w:rPr>
              <w:t>212</w:t>
            </w:r>
          </w:hyperlink>
        </w:p>
        <w:p>
          <w:pPr>
            <w:pStyle w:val="Contents6"/>
            <w:tabs>
              <w:tab w:val="clear" w:pos="7609"/>
              <w:tab w:val="right" w:pos="9026" w:leader="dot"/>
            </w:tabs>
            <w:rPr/>
          </w:pPr>
          <w:hyperlink w:anchor="__RefHeading___Toc3808057_1067777946">
            <w:r>
              <w:rPr>
                <w:webHidden/>
                <w:rStyle w:val="IndexLink"/>
                <w:rtl w:val="true"/>
              </w:rPr>
              <w:t>اشاره</w:t>
            </w:r>
            <w:r>
              <w:rPr>
                <w:rStyle w:val="IndexLink"/>
                <w:rtl w:val="true"/>
              </w:rPr>
              <w:tab/>
            </w:r>
            <w:r>
              <w:rPr>
                <w:rStyle w:val="IndexLink"/>
              </w:rPr>
              <w:t>212</w:t>
            </w:r>
          </w:hyperlink>
        </w:p>
        <w:p>
          <w:pPr>
            <w:pStyle w:val="Contents6"/>
            <w:tabs>
              <w:tab w:val="clear" w:pos="7609"/>
              <w:tab w:val="right" w:pos="9026" w:leader="dot"/>
            </w:tabs>
            <w:rPr/>
          </w:pPr>
          <w:hyperlink w:anchor="__RefHeading___Toc3808059_1067777946">
            <w:r>
              <w:rPr>
                <w:webHidden/>
                <w:rStyle w:val="IndexLink"/>
                <w:rtl w:val="true"/>
              </w:rPr>
              <w:t>خلوت با اجنبيّه</w:t>
            </w:r>
            <w:r>
              <w:rPr>
                <w:rStyle w:val="IndexLink"/>
                <w:rtl w:val="true"/>
              </w:rPr>
              <w:tab/>
            </w:r>
            <w:r>
              <w:rPr>
                <w:rStyle w:val="IndexLink"/>
              </w:rPr>
              <w:t>212</w:t>
            </w:r>
          </w:hyperlink>
        </w:p>
        <w:p>
          <w:pPr>
            <w:pStyle w:val="Contents6"/>
            <w:tabs>
              <w:tab w:val="clear" w:pos="7609"/>
              <w:tab w:val="right" w:pos="9026" w:leader="dot"/>
            </w:tabs>
            <w:rPr/>
          </w:pPr>
          <w:hyperlink w:anchor="__RefHeading___Toc3808061_1067777946">
            <w:r>
              <w:rPr>
                <w:webHidden/>
                <w:rStyle w:val="IndexLink"/>
                <w:rtl w:val="true"/>
              </w:rPr>
              <w:t>فروش محل سكونت مطلّقه رجعيّه در ايّام عدّه</w:t>
            </w:r>
            <w:r>
              <w:rPr>
                <w:rStyle w:val="IndexLink"/>
                <w:rtl w:val="true"/>
              </w:rPr>
              <w:tab/>
            </w:r>
            <w:r>
              <w:rPr>
                <w:rStyle w:val="IndexLink"/>
              </w:rPr>
              <w:t>212</w:t>
            </w:r>
          </w:hyperlink>
        </w:p>
        <w:p>
          <w:pPr>
            <w:pStyle w:val="Contents6"/>
            <w:tabs>
              <w:tab w:val="clear" w:pos="7609"/>
              <w:tab w:val="right" w:pos="9026" w:leader="dot"/>
            </w:tabs>
            <w:rPr/>
          </w:pPr>
          <w:hyperlink w:anchor="__RefHeading___Toc3808063_1067777946">
            <w:r>
              <w:rPr>
                <w:webHidden/>
                <w:rStyle w:val="IndexLink"/>
                <w:rtl w:val="true"/>
              </w:rPr>
              <w:t>سكنى و نفقۀ مطلقه رجعيّه و وقوع حجر</w:t>
            </w:r>
            <w:r>
              <w:rPr>
                <w:rStyle w:val="IndexLink"/>
                <w:rtl w:val="true"/>
              </w:rPr>
              <w:tab/>
            </w:r>
            <w:r>
              <w:rPr>
                <w:rStyle w:val="IndexLink"/>
              </w:rPr>
              <w:t>213</w:t>
            </w:r>
          </w:hyperlink>
        </w:p>
        <w:p>
          <w:pPr>
            <w:pStyle w:val="Contents6"/>
            <w:tabs>
              <w:tab w:val="clear" w:pos="7609"/>
              <w:tab w:val="right" w:pos="9026" w:leader="dot"/>
            </w:tabs>
            <w:rPr/>
          </w:pPr>
          <w:hyperlink w:anchor="__RefHeading___Toc3808065_1067777946">
            <w:r>
              <w:rPr>
                <w:webHidden/>
                <w:rStyle w:val="IndexLink"/>
                <w:rtl w:val="true"/>
              </w:rPr>
              <w:t>مطلقه رجعيه بعد از وفات زوج حق سكنى ندارد</w:t>
            </w:r>
            <w:r>
              <w:rPr>
                <w:rStyle w:val="IndexLink"/>
                <w:rtl w:val="true"/>
              </w:rPr>
              <w:tab/>
            </w:r>
            <w:r>
              <w:rPr>
                <w:rStyle w:val="IndexLink"/>
              </w:rPr>
              <w:t>213</w:t>
            </w:r>
          </w:hyperlink>
        </w:p>
        <w:p>
          <w:pPr>
            <w:pStyle w:val="Contents6"/>
            <w:tabs>
              <w:tab w:val="clear" w:pos="7609"/>
              <w:tab w:val="right" w:pos="9026" w:leader="dot"/>
            </w:tabs>
            <w:rPr/>
          </w:pPr>
          <w:hyperlink w:anchor="__RefHeading___Toc3808067_1067777946">
            <w:r>
              <w:rPr>
                <w:webHidden/>
                <w:rStyle w:val="IndexLink"/>
                <w:rtl w:val="true"/>
              </w:rPr>
              <w:t>انتقال با اذن قبل از طلاق</w:t>
            </w:r>
            <w:r>
              <w:rPr>
                <w:rStyle w:val="IndexLink"/>
                <w:rtl w:val="true"/>
              </w:rPr>
              <w:tab/>
            </w:r>
            <w:r>
              <w:rPr>
                <w:rStyle w:val="IndexLink"/>
              </w:rPr>
              <w:t>213</w:t>
            </w:r>
          </w:hyperlink>
        </w:p>
        <w:p>
          <w:pPr>
            <w:pStyle w:val="Contents6"/>
            <w:tabs>
              <w:tab w:val="clear" w:pos="7609"/>
              <w:tab w:val="right" w:pos="9026" w:leader="dot"/>
            </w:tabs>
            <w:rPr/>
          </w:pPr>
          <w:hyperlink w:anchor="__RefHeading___Toc3808069_1067777946">
            <w:r>
              <w:rPr>
                <w:webHidden/>
                <w:rStyle w:val="IndexLink"/>
                <w:rtl w:val="true"/>
              </w:rPr>
              <w:t>اشاره</w:t>
            </w:r>
            <w:r>
              <w:rPr>
                <w:rStyle w:val="IndexLink"/>
                <w:rtl w:val="true"/>
              </w:rPr>
              <w:tab/>
            </w:r>
            <w:r>
              <w:rPr>
                <w:rStyle w:val="IndexLink"/>
              </w:rPr>
              <w:t>213</w:t>
            </w:r>
          </w:hyperlink>
        </w:p>
        <w:p>
          <w:pPr>
            <w:pStyle w:val="Contents6"/>
            <w:tabs>
              <w:tab w:val="clear" w:pos="7609"/>
              <w:tab w:val="right" w:pos="9026" w:leader="dot"/>
            </w:tabs>
            <w:rPr/>
          </w:pPr>
          <w:hyperlink w:anchor="__RefHeading___Toc3808071_1067777946">
            <w:r>
              <w:rPr>
                <w:webHidden/>
                <w:rStyle w:val="IndexLink"/>
                <w:rtl w:val="true"/>
              </w:rPr>
              <w:t>نهى از اخراج و خروج شرط صحّت اعتداد نيست</w:t>
            </w:r>
            <w:r>
              <w:rPr>
                <w:rStyle w:val="IndexLink"/>
                <w:rtl w:val="true"/>
              </w:rPr>
              <w:tab/>
            </w:r>
            <w:r>
              <w:rPr>
                <w:rStyle w:val="IndexLink"/>
              </w:rPr>
              <w:t>214</w:t>
            </w:r>
          </w:hyperlink>
        </w:p>
        <w:p>
          <w:pPr>
            <w:pStyle w:val="Contents6"/>
            <w:tabs>
              <w:tab w:val="clear" w:pos="7609"/>
              <w:tab w:val="right" w:pos="9026" w:leader="dot"/>
            </w:tabs>
            <w:rPr/>
          </w:pPr>
          <w:hyperlink w:anchor="__RefHeading___Toc3808073_1067777946">
            <w:r>
              <w:rPr>
                <w:webHidden/>
                <w:rStyle w:val="IndexLink"/>
                <w:rtl w:val="true"/>
              </w:rPr>
              <w:t>سكناى بَدَوِيۀ رجعيّه</w:t>
            </w:r>
            <w:r>
              <w:rPr>
                <w:rStyle w:val="IndexLink"/>
                <w:rtl w:val="true"/>
              </w:rPr>
              <w:tab/>
            </w:r>
            <w:r>
              <w:rPr>
                <w:rStyle w:val="IndexLink"/>
              </w:rPr>
              <w:t>214</w:t>
            </w:r>
          </w:hyperlink>
        </w:p>
        <w:p>
          <w:pPr>
            <w:pStyle w:val="Contents6"/>
            <w:tabs>
              <w:tab w:val="clear" w:pos="7609"/>
              <w:tab w:val="right" w:pos="9026" w:leader="dot"/>
            </w:tabs>
            <w:rPr/>
          </w:pPr>
          <w:hyperlink w:anchor="__RefHeading___Toc3808075_1067777946">
            <w:r>
              <w:rPr>
                <w:webHidden/>
                <w:rStyle w:val="IndexLink"/>
                <w:rtl w:val="true"/>
              </w:rPr>
              <w:t>اعتداد در سفينه</w:t>
            </w:r>
            <w:r>
              <w:rPr>
                <w:rStyle w:val="IndexLink"/>
                <w:rtl w:val="true"/>
              </w:rPr>
              <w:tab/>
            </w:r>
            <w:r>
              <w:rPr>
                <w:rStyle w:val="IndexLink"/>
              </w:rPr>
              <w:t>214</w:t>
            </w:r>
          </w:hyperlink>
        </w:p>
        <w:p>
          <w:pPr>
            <w:pStyle w:val="Contents6"/>
            <w:tabs>
              <w:tab w:val="clear" w:pos="7609"/>
              <w:tab w:val="right" w:pos="9026" w:leader="dot"/>
            </w:tabs>
            <w:rPr/>
          </w:pPr>
          <w:hyperlink w:anchor="__RefHeading___Toc3808077_1067777946">
            <w:r>
              <w:rPr>
                <w:webHidden/>
                <w:rStyle w:val="IndexLink"/>
                <w:rtl w:val="true"/>
              </w:rPr>
              <w:t>حكم استحقاق اجرت سكنى در صورت سكونت در غير منزل زوج</w:t>
            </w:r>
            <w:r>
              <w:rPr>
                <w:rStyle w:val="IndexLink"/>
                <w:rtl w:val="true"/>
              </w:rPr>
              <w:tab/>
            </w:r>
            <w:r>
              <w:rPr>
                <w:rStyle w:val="IndexLink"/>
              </w:rPr>
              <w:t>214</w:t>
            </w:r>
          </w:hyperlink>
        </w:p>
        <w:p>
          <w:pPr>
            <w:pStyle w:val="Contents4"/>
            <w:tabs>
              <w:tab w:val="clear" w:pos="8176"/>
              <w:tab w:val="right" w:pos="9026" w:leader="dot"/>
            </w:tabs>
            <w:rPr/>
          </w:pPr>
          <w:hyperlink w:anchor="__RefHeading___Toc3808079_1067777946">
            <w:r>
              <w:rPr>
                <w:webHidden/>
                <w:rStyle w:val="IndexLink"/>
                <w:rtl w:val="true"/>
              </w:rPr>
              <w:t>عدم استحقاق نفقه براى عدّۀ وفات</w:t>
            </w:r>
            <w:r>
              <w:rPr>
                <w:rStyle w:val="IndexLink"/>
                <w:rtl w:val="true"/>
              </w:rPr>
              <w:tab/>
            </w:r>
            <w:r>
              <w:rPr>
                <w:rStyle w:val="IndexLink"/>
              </w:rPr>
              <w:t>215</w:t>
            </w:r>
          </w:hyperlink>
        </w:p>
        <w:p>
          <w:pPr>
            <w:pStyle w:val="Contents4"/>
            <w:tabs>
              <w:tab w:val="clear" w:pos="8176"/>
              <w:tab w:val="right" w:pos="9026" w:leader="dot"/>
            </w:tabs>
            <w:rPr/>
          </w:pPr>
          <w:hyperlink w:anchor="__RefHeading___Toc3808081_1067777946">
            <w:r>
              <w:rPr>
                <w:webHidden/>
                <w:rStyle w:val="IndexLink"/>
                <w:rtl w:val="true"/>
              </w:rPr>
              <w:t>تزويج در عدّه</w:t>
            </w:r>
            <w:r>
              <w:rPr>
                <w:rStyle w:val="IndexLink"/>
                <w:rtl w:val="true"/>
              </w:rPr>
              <w:tab/>
            </w:r>
            <w:r>
              <w:rPr>
                <w:rStyle w:val="IndexLink"/>
              </w:rPr>
              <w:t>215</w:t>
            </w:r>
          </w:hyperlink>
        </w:p>
        <w:p>
          <w:pPr>
            <w:pStyle w:val="Contents5"/>
            <w:tabs>
              <w:tab w:val="clear" w:pos="7892"/>
              <w:tab w:val="right" w:pos="9026" w:leader="dot"/>
            </w:tabs>
            <w:rPr/>
          </w:pPr>
          <w:hyperlink w:anchor="__RefHeading___Toc3808083_1067777946">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3808085_1067777946">
            <w:r>
              <w:rPr>
                <w:webHidden/>
                <w:rStyle w:val="IndexLink"/>
                <w:rtl w:val="true"/>
              </w:rPr>
              <w:t>وطى به شبهه در اثناى عدّه</w:t>
            </w:r>
            <w:r>
              <w:rPr>
                <w:rStyle w:val="IndexLink"/>
                <w:rtl w:val="true"/>
              </w:rPr>
              <w:tab/>
            </w:r>
            <w:r>
              <w:rPr>
                <w:rStyle w:val="IndexLink"/>
              </w:rPr>
              <w:t>216</w:t>
            </w:r>
          </w:hyperlink>
        </w:p>
        <w:p>
          <w:pPr>
            <w:pStyle w:val="Contents4"/>
            <w:tabs>
              <w:tab w:val="clear" w:pos="8176"/>
              <w:tab w:val="right" w:pos="9026" w:leader="dot"/>
            </w:tabs>
            <w:rPr/>
          </w:pPr>
          <w:hyperlink w:anchor="__RefHeading___Toc3808087_1067777946">
            <w:r>
              <w:rPr>
                <w:webHidden/>
                <w:rStyle w:val="IndexLink"/>
                <w:rtl w:val="true"/>
              </w:rPr>
              <w:t>مبدأ عدّه</w:t>
            </w:r>
            <w:r>
              <w:rPr>
                <w:rStyle w:val="IndexLink"/>
                <w:rtl w:val="true"/>
              </w:rPr>
              <w:tab/>
            </w:r>
            <w:r>
              <w:rPr>
                <w:rStyle w:val="IndexLink"/>
              </w:rPr>
              <w:t>216</w:t>
            </w:r>
          </w:hyperlink>
        </w:p>
        <w:p>
          <w:pPr>
            <w:pStyle w:val="Contents4"/>
            <w:tabs>
              <w:tab w:val="clear" w:pos="8176"/>
              <w:tab w:val="right" w:pos="9026" w:leader="dot"/>
            </w:tabs>
            <w:rPr/>
          </w:pPr>
          <w:hyperlink w:anchor="__RefHeading___Toc3808089_1067777946">
            <w:r>
              <w:rPr>
                <w:webHidden/>
                <w:rStyle w:val="IndexLink"/>
                <w:rtl w:val="true"/>
              </w:rPr>
              <w:t>حكم عدّۀ طلاق دوّم واقع در اثناى عدّۀ طلاق اوّل</w:t>
            </w:r>
            <w:r>
              <w:rPr>
                <w:rStyle w:val="IndexLink"/>
                <w:rtl w:val="true"/>
              </w:rPr>
              <w:tab/>
            </w:r>
            <w:r>
              <w:rPr>
                <w:rStyle w:val="IndexLink"/>
              </w:rPr>
              <w:t>217</w:t>
            </w:r>
          </w:hyperlink>
        </w:p>
        <w:p>
          <w:pPr>
            <w:pStyle w:val="Contents4"/>
            <w:tabs>
              <w:tab w:val="clear" w:pos="8176"/>
              <w:tab w:val="right" w:pos="9026" w:leader="dot"/>
            </w:tabs>
            <w:rPr/>
          </w:pPr>
          <w:hyperlink w:anchor="__RefHeading___Toc3808091_1067777946">
            <w:r>
              <w:rPr>
                <w:webHidden/>
                <w:rStyle w:val="IndexLink"/>
                <w:rtl w:val="true"/>
              </w:rPr>
              <w:t>عدۀ وطى به شبهه و ساير احكام مترتّب بر آن</w:t>
            </w:r>
            <w:r>
              <w:rPr>
                <w:rStyle w:val="IndexLink"/>
                <w:rtl w:val="true"/>
              </w:rPr>
              <w:tab/>
            </w:r>
            <w:r>
              <w:rPr>
                <w:rStyle w:val="IndexLink"/>
              </w:rPr>
              <w:t>218</w:t>
            </w:r>
          </w:hyperlink>
        </w:p>
        <w:p>
          <w:pPr>
            <w:pStyle w:val="Contents4"/>
            <w:tabs>
              <w:tab w:val="clear" w:pos="8176"/>
              <w:tab w:val="right" w:pos="9026" w:leader="dot"/>
            </w:tabs>
            <w:rPr/>
          </w:pPr>
          <w:hyperlink w:anchor="__RefHeading___Toc3808093_1067777946">
            <w:r>
              <w:rPr>
                <w:webHidden/>
                <w:rStyle w:val="IndexLink"/>
                <w:rtl w:val="true"/>
              </w:rPr>
              <w:t>وطى به شبهه توسّط مطلّق در ايّام عدّه</w:t>
            </w:r>
            <w:r>
              <w:rPr>
                <w:rStyle w:val="IndexLink"/>
                <w:rtl w:val="true"/>
              </w:rPr>
              <w:tab/>
            </w:r>
            <w:r>
              <w:rPr>
                <w:rStyle w:val="IndexLink"/>
              </w:rPr>
              <w:t>218</w:t>
            </w:r>
          </w:hyperlink>
        </w:p>
        <w:p>
          <w:pPr>
            <w:pStyle w:val="Contents4"/>
            <w:tabs>
              <w:tab w:val="clear" w:pos="8176"/>
              <w:tab w:val="right" w:pos="9026" w:leader="dot"/>
            </w:tabs>
            <w:rPr/>
          </w:pPr>
          <w:hyperlink w:anchor="__RefHeading___Toc3808095_1067777946">
            <w:r>
              <w:rPr>
                <w:webHidden/>
                <w:rStyle w:val="IndexLink"/>
                <w:rtl w:val="true"/>
              </w:rPr>
              <w:t>فرض تحقق حمل در صورت وطى به شبهه توسّط مطلّق در ايّام عدّه</w:t>
            </w:r>
            <w:r>
              <w:rPr>
                <w:rStyle w:val="IndexLink"/>
                <w:rtl w:val="true"/>
              </w:rPr>
              <w:tab/>
            </w:r>
            <w:r>
              <w:rPr>
                <w:rStyle w:val="IndexLink"/>
              </w:rPr>
              <w:t>218</w:t>
            </w:r>
          </w:hyperlink>
        </w:p>
        <w:p>
          <w:pPr>
            <w:pStyle w:val="Contents4"/>
            <w:tabs>
              <w:tab w:val="clear" w:pos="8176"/>
              <w:tab w:val="right" w:pos="9026" w:leader="dot"/>
            </w:tabs>
            <w:rPr/>
          </w:pPr>
          <w:hyperlink w:anchor="__RefHeading___Toc3808097_1067777946">
            <w:r>
              <w:rPr>
                <w:webHidden/>
                <w:rStyle w:val="IndexLink"/>
                <w:rtl w:val="true"/>
              </w:rPr>
              <w:t>فسخ مطلقۀ رجعيه در اثناى عده</w:t>
            </w:r>
            <w:r>
              <w:rPr>
                <w:rStyle w:val="IndexLink"/>
                <w:rtl w:val="true"/>
              </w:rPr>
              <w:tab/>
            </w:r>
            <w:r>
              <w:rPr>
                <w:rStyle w:val="IndexLink"/>
              </w:rPr>
              <w:t>219</w:t>
            </w:r>
          </w:hyperlink>
        </w:p>
        <w:p>
          <w:pPr>
            <w:pStyle w:val="Contents4"/>
            <w:tabs>
              <w:tab w:val="clear" w:pos="8176"/>
              <w:tab w:val="right" w:pos="9026" w:leader="dot"/>
            </w:tabs>
            <w:rPr/>
          </w:pPr>
          <w:hyperlink w:anchor="__RefHeading___Toc3808099_1067777946">
            <w:r>
              <w:rPr>
                <w:webHidden/>
                <w:rStyle w:val="IndexLink"/>
                <w:rtl w:val="true"/>
              </w:rPr>
              <w:t>نكاح با مشتبه در اثناى عدۀ رجعيّه</w:t>
            </w:r>
            <w:r>
              <w:rPr>
                <w:rStyle w:val="IndexLink"/>
                <w:rtl w:val="true"/>
              </w:rPr>
              <w:tab/>
            </w:r>
            <w:r>
              <w:rPr>
                <w:rStyle w:val="IndexLink"/>
              </w:rPr>
              <w:t>220</w:t>
            </w:r>
          </w:hyperlink>
        </w:p>
        <w:p>
          <w:pPr>
            <w:pStyle w:val="Contents2"/>
            <w:tabs>
              <w:tab w:val="clear" w:pos="8743"/>
              <w:tab w:val="right" w:pos="9026" w:leader="dot"/>
            </w:tabs>
            <w:rPr/>
          </w:pPr>
          <w:hyperlink w:anchor="__RefHeading___Toc3808101_1067777946">
            <w:r>
              <w:rPr>
                <w:webHidden/>
                <w:rStyle w:val="IndexLink"/>
                <w:rtl w:val="true"/>
              </w:rPr>
              <w:t>كتاب خُلع</w:t>
            </w:r>
            <w:r>
              <w:rPr>
                <w:rStyle w:val="IndexLink"/>
                <w:rtl w:val="true"/>
              </w:rPr>
              <w:tab/>
            </w:r>
            <w:r>
              <w:rPr>
                <w:rStyle w:val="IndexLink"/>
              </w:rPr>
              <w:t>222</w:t>
            </w:r>
          </w:hyperlink>
        </w:p>
        <w:p>
          <w:pPr>
            <w:pStyle w:val="Contents3"/>
            <w:tabs>
              <w:tab w:val="clear" w:pos="8459"/>
              <w:tab w:val="right" w:pos="9026" w:leader="dot"/>
            </w:tabs>
            <w:rPr/>
          </w:pPr>
          <w:hyperlink w:anchor="__RefHeading___Toc3808103_1067777946">
            <w:r>
              <w:rPr>
                <w:webHidden/>
                <w:rStyle w:val="IndexLink"/>
                <w:rtl w:val="true"/>
              </w:rPr>
              <w:t>اشاره</w:t>
            </w:r>
            <w:r>
              <w:rPr>
                <w:rStyle w:val="IndexLink"/>
                <w:rtl w:val="true"/>
              </w:rPr>
              <w:tab/>
            </w:r>
            <w:r>
              <w:rPr>
                <w:rStyle w:val="IndexLink"/>
              </w:rPr>
              <w:t>222</w:t>
            </w:r>
          </w:hyperlink>
        </w:p>
        <w:p>
          <w:pPr>
            <w:pStyle w:val="Contents3"/>
            <w:tabs>
              <w:tab w:val="clear" w:pos="8459"/>
              <w:tab w:val="right" w:pos="9026" w:leader="dot"/>
            </w:tabs>
            <w:rPr/>
          </w:pPr>
          <w:hyperlink w:anchor="__RefHeading___Toc3808105_1067777946">
            <w:r>
              <w:rPr>
                <w:webHidden/>
                <w:rStyle w:val="IndexLink"/>
                <w:rtl w:val="true"/>
              </w:rPr>
              <w:t>فصل اوّل صيغۀ خُلع</w:t>
            </w:r>
            <w:r>
              <w:rPr>
                <w:rStyle w:val="IndexLink"/>
                <w:rtl w:val="true"/>
              </w:rPr>
              <w:tab/>
            </w:r>
            <w:r>
              <w:rPr>
                <w:rStyle w:val="IndexLink"/>
              </w:rPr>
              <w:t>224</w:t>
            </w:r>
          </w:hyperlink>
        </w:p>
        <w:p>
          <w:pPr>
            <w:pStyle w:val="Contents4"/>
            <w:tabs>
              <w:tab w:val="clear" w:pos="8176"/>
              <w:tab w:val="right" w:pos="9026" w:leader="dot"/>
            </w:tabs>
            <w:rPr/>
          </w:pPr>
          <w:hyperlink w:anchor="__RefHeading___Toc3808107_1067777946">
            <w:r>
              <w:rPr>
                <w:webHidden/>
                <w:rStyle w:val="IndexLink"/>
                <w:rtl w:val="true"/>
              </w:rPr>
              <w:t>تعريف خُلع</w:t>
            </w:r>
            <w:r>
              <w:rPr>
                <w:rStyle w:val="IndexLink"/>
                <w:rtl w:val="true"/>
              </w:rPr>
              <w:tab/>
            </w:r>
            <w:r>
              <w:rPr>
                <w:rStyle w:val="IndexLink"/>
              </w:rPr>
              <w:t>224</w:t>
            </w:r>
          </w:hyperlink>
        </w:p>
        <w:p>
          <w:pPr>
            <w:pStyle w:val="Contents4"/>
            <w:tabs>
              <w:tab w:val="clear" w:pos="8176"/>
              <w:tab w:val="right" w:pos="9026" w:leader="dot"/>
            </w:tabs>
            <w:rPr/>
          </w:pPr>
          <w:hyperlink w:anchor="__RefHeading___Toc3808109_1067777946">
            <w:r>
              <w:rPr>
                <w:webHidden/>
                <w:rStyle w:val="IndexLink"/>
                <w:rtl w:val="true"/>
              </w:rPr>
              <w:t>صيغۀ خُلع</w:t>
            </w:r>
            <w:r>
              <w:rPr>
                <w:rStyle w:val="IndexLink"/>
                <w:rtl w:val="true"/>
              </w:rPr>
              <w:tab/>
            </w:r>
            <w:r>
              <w:rPr>
                <w:rStyle w:val="IndexLink"/>
              </w:rPr>
              <w:t>224</w:t>
            </w:r>
          </w:hyperlink>
        </w:p>
        <w:p>
          <w:pPr>
            <w:pStyle w:val="Contents4"/>
            <w:tabs>
              <w:tab w:val="clear" w:pos="8176"/>
              <w:tab w:val="right" w:pos="9026" w:leader="dot"/>
            </w:tabs>
            <w:rPr/>
          </w:pPr>
          <w:hyperlink w:anchor="__RefHeading___Toc3808111_1067777946">
            <w:r>
              <w:rPr>
                <w:webHidden/>
                <w:rStyle w:val="IndexLink"/>
                <w:rtl w:val="true"/>
              </w:rPr>
              <w:t>بعضى از موارد صدق و يا عدم صدق خُلع</w:t>
            </w:r>
            <w:r>
              <w:rPr>
                <w:rStyle w:val="IndexLink"/>
                <w:rtl w:val="true"/>
              </w:rPr>
              <w:tab/>
            </w:r>
            <w:r>
              <w:rPr>
                <w:rStyle w:val="IndexLink"/>
              </w:rPr>
              <w:t>224</w:t>
            </w:r>
          </w:hyperlink>
        </w:p>
        <w:p>
          <w:pPr>
            <w:pStyle w:val="Contents3"/>
            <w:tabs>
              <w:tab w:val="clear" w:pos="8459"/>
              <w:tab w:val="right" w:pos="9026" w:leader="dot"/>
            </w:tabs>
            <w:rPr/>
          </w:pPr>
          <w:hyperlink w:anchor="__RefHeading___Toc3808113_1067777946">
            <w:r>
              <w:rPr>
                <w:webHidden/>
                <w:rStyle w:val="IndexLink"/>
                <w:rtl w:val="true"/>
              </w:rPr>
              <w:t>فصل دوّم احكام فديه</w:t>
            </w:r>
            <w:r>
              <w:rPr>
                <w:rStyle w:val="IndexLink"/>
                <w:rtl w:val="true"/>
              </w:rPr>
              <w:tab/>
            </w:r>
            <w:r>
              <w:rPr>
                <w:rStyle w:val="IndexLink"/>
              </w:rPr>
              <w:t>226</w:t>
            </w:r>
          </w:hyperlink>
        </w:p>
        <w:p>
          <w:pPr>
            <w:pStyle w:val="Contents4"/>
            <w:tabs>
              <w:tab w:val="clear" w:pos="8176"/>
              <w:tab w:val="right" w:pos="9026" w:leader="dot"/>
            </w:tabs>
            <w:rPr/>
          </w:pPr>
          <w:hyperlink w:anchor="__RefHeading___Toc3808115_1067777946">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3808117_1067777946">
            <w:r>
              <w:rPr>
                <w:webHidden/>
                <w:rStyle w:val="IndexLink"/>
                <w:rtl w:val="true"/>
              </w:rPr>
              <w:t>علم و جهل به فداء</w:t>
            </w:r>
            <w:r>
              <w:rPr>
                <w:rStyle w:val="IndexLink"/>
                <w:rtl w:val="true"/>
              </w:rPr>
              <w:tab/>
            </w:r>
            <w:r>
              <w:rPr>
                <w:rStyle w:val="IndexLink"/>
              </w:rPr>
              <w:t>226</w:t>
            </w:r>
          </w:hyperlink>
        </w:p>
        <w:p>
          <w:pPr>
            <w:pStyle w:val="Contents4"/>
            <w:tabs>
              <w:tab w:val="clear" w:pos="8176"/>
              <w:tab w:val="right" w:pos="9026" w:leader="dot"/>
            </w:tabs>
            <w:rPr/>
          </w:pPr>
          <w:hyperlink w:anchor="__RefHeading___Toc3808119_1067777946">
            <w:r>
              <w:rPr>
                <w:webHidden/>
                <w:rStyle w:val="IndexLink"/>
                <w:rtl w:val="true"/>
              </w:rPr>
              <w:t>غير مملوك بودن فدا و يا مستحق غير بودن آن</w:t>
            </w:r>
            <w:r>
              <w:rPr>
                <w:rStyle w:val="IndexLink"/>
                <w:rtl w:val="true"/>
              </w:rPr>
              <w:tab/>
            </w:r>
            <w:r>
              <w:rPr>
                <w:rStyle w:val="IndexLink"/>
              </w:rPr>
              <w:t>226</w:t>
            </w:r>
          </w:hyperlink>
        </w:p>
        <w:p>
          <w:pPr>
            <w:pStyle w:val="Contents4"/>
            <w:tabs>
              <w:tab w:val="clear" w:pos="8176"/>
              <w:tab w:val="right" w:pos="9026" w:leader="dot"/>
            </w:tabs>
            <w:rPr/>
          </w:pPr>
          <w:hyperlink w:anchor="__RefHeading___Toc3808121_1067777946">
            <w:r>
              <w:rPr>
                <w:webHidden/>
                <w:rStyle w:val="IndexLink"/>
                <w:rtl w:val="true"/>
              </w:rPr>
              <w:t>بذل فداء</w:t>
            </w:r>
            <w:r>
              <w:rPr>
                <w:rStyle w:val="IndexLink"/>
                <w:rtl w:val="true"/>
              </w:rPr>
              <w:tab/>
            </w:r>
            <w:r>
              <w:rPr>
                <w:rStyle w:val="IndexLink"/>
              </w:rPr>
              <w:t>227</w:t>
            </w:r>
          </w:hyperlink>
        </w:p>
        <w:p>
          <w:pPr>
            <w:pStyle w:val="Contents4"/>
            <w:tabs>
              <w:tab w:val="clear" w:pos="8176"/>
              <w:tab w:val="right" w:pos="9026" w:leader="dot"/>
            </w:tabs>
            <w:rPr/>
          </w:pPr>
          <w:hyperlink w:anchor="__RefHeading___Toc3808123_1067777946">
            <w:r>
              <w:rPr>
                <w:webHidden/>
                <w:rStyle w:val="IndexLink"/>
                <w:rtl w:val="true"/>
              </w:rPr>
              <w:t>خلع در مرض موت</w:t>
            </w:r>
            <w:r>
              <w:rPr>
                <w:rStyle w:val="IndexLink"/>
                <w:rtl w:val="true"/>
              </w:rPr>
              <w:tab/>
            </w:r>
            <w:r>
              <w:rPr>
                <w:rStyle w:val="IndexLink"/>
              </w:rPr>
              <w:t>228</w:t>
            </w:r>
          </w:hyperlink>
        </w:p>
        <w:p>
          <w:pPr>
            <w:pStyle w:val="Contents4"/>
            <w:tabs>
              <w:tab w:val="clear" w:pos="8176"/>
              <w:tab w:val="right" w:pos="9026" w:leader="dot"/>
            </w:tabs>
            <w:rPr/>
          </w:pPr>
          <w:hyperlink w:anchor="__RefHeading___Toc3808125_1067777946">
            <w:r>
              <w:rPr>
                <w:webHidden/>
                <w:rStyle w:val="IndexLink"/>
                <w:rtl w:val="true"/>
              </w:rPr>
              <w:t>اگر فدا، شير دادن يا نفقۀ طفل باشد</w:t>
            </w:r>
            <w:r>
              <w:rPr>
                <w:rStyle w:val="IndexLink"/>
                <w:rtl w:val="true"/>
              </w:rPr>
              <w:tab/>
            </w:r>
            <w:r>
              <w:rPr>
                <w:rStyle w:val="IndexLink"/>
              </w:rPr>
              <w:t>228</w:t>
            </w:r>
          </w:hyperlink>
        </w:p>
        <w:p>
          <w:pPr>
            <w:pStyle w:val="Contents4"/>
            <w:tabs>
              <w:tab w:val="clear" w:pos="8176"/>
              <w:tab w:val="right" w:pos="9026" w:leader="dot"/>
            </w:tabs>
            <w:rPr/>
          </w:pPr>
          <w:hyperlink w:anchor="__RefHeading___Toc3808127_1067777946">
            <w:r>
              <w:rPr>
                <w:webHidden/>
                <w:rStyle w:val="IndexLink"/>
                <w:rtl w:val="true"/>
              </w:rPr>
              <w:t>تلف فدا قبل از قبض</w:t>
            </w:r>
            <w:r>
              <w:rPr>
                <w:rStyle w:val="IndexLink"/>
                <w:rtl w:val="true"/>
              </w:rPr>
              <w:tab/>
            </w:r>
            <w:r>
              <w:rPr>
                <w:rStyle w:val="IndexLink"/>
              </w:rPr>
              <w:t>228</w:t>
            </w:r>
          </w:hyperlink>
        </w:p>
        <w:p>
          <w:pPr>
            <w:pStyle w:val="Contents4"/>
            <w:tabs>
              <w:tab w:val="clear" w:pos="8176"/>
              <w:tab w:val="right" w:pos="9026" w:leader="dot"/>
            </w:tabs>
            <w:rPr/>
          </w:pPr>
          <w:hyperlink w:anchor="__RefHeading___Toc3808129_1067777946">
            <w:r>
              <w:rPr>
                <w:webHidden/>
                <w:rStyle w:val="IndexLink"/>
                <w:rtl w:val="true"/>
              </w:rPr>
              <w:t>انكشاف عيب يا خلاف در وصف فدا</w:t>
            </w:r>
            <w:r>
              <w:rPr>
                <w:rStyle w:val="IndexLink"/>
                <w:rtl w:val="true"/>
              </w:rPr>
              <w:tab/>
            </w:r>
            <w:r>
              <w:rPr>
                <w:rStyle w:val="IndexLink"/>
              </w:rPr>
              <w:t>228</w:t>
            </w:r>
          </w:hyperlink>
        </w:p>
        <w:p>
          <w:pPr>
            <w:pStyle w:val="Contents4"/>
            <w:tabs>
              <w:tab w:val="clear" w:pos="8176"/>
              <w:tab w:val="right" w:pos="9026" w:leader="dot"/>
            </w:tabs>
            <w:rPr/>
          </w:pPr>
          <w:hyperlink w:anchor="__RefHeading___Toc3808131_1067777946">
            <w:r>
              <w:rPr>
                <w:webHidden/>
                <w:rStyle w:val="IndexLink"/>
                <w:rtl w:val="true"/>
              </w:rPr>
              <w:t>لزوم ظهور انشاى بذل</w:t>
            </w:r>
            <w:r>
              <w:rPr>
                <w:rStyle w:val="IndexLink"/>
                <w:rtl w:val="true"/>
              </w:rPr>
              <w:tab/>
            </w:r>
            <w:r>
              <w:rPr>
                <w:rStyle w:val="IndexLink"/>
              </w:rPr>
              <w:t>229</w:t>
            </w:r>
          </w:hyperlink>
        </w:p>
        <w:p>
          <w:pPr>
            <w:pStyle w:val="Contents4"/>
            <w:tabs>
              <w:tab w:val="clear" w:pos="8176"/>
              <w:tab w:val="right" w:pos="9026" w:leader="dot"/>
            </w:tabs>
            <w:rPr/>
          </w:pPr>
          <w:hyperlink w:anchor="__RefHeading___Toc3808133_1067777946">
            <w:r>
              <w:rPr>
                <w:webHidden/>
                <w:rStyle w:val="IndexLink"/>
                <w:rtl w:val="true"/>
              </w:rPr>
              <w:t>خلع اكثر از يكى به يك فدا</w:t>
            </w:r>
            <w:r>
              <w:rPr>
                <w:rStyle w:val="IndexLink"/>
                <w:rtl w:val="true"/>
              </w:rPr>
              <w:tab/>
            </w:r>
            <w:r>
              <w:rPr>
                <w:rStyle w:val="IndexLink"/>
              </w:rPr>
              <w:t>229</w:t>
            </w:r>
          </w:hyperlink>
        </w:p>
        <w:p>
          <w:pPr>
            <w:pStyle w:val="Contents4"/>
            <w:tabs>
              <w:tab w:val="clear" w:pos="8176"/>
              <w:tab w:val="right" w:pos="9026" w:leader="dot"/>
            </w:tabs>
            <w:rPr/>
          </w:pPr>
          <w:hyperlink w:anchor="__RefHeading___Toc3808135_1067777946">
            <w:r>
              <w:rPr>
                <w:webHidden/>
                <w:rStyle w:val="IndexLink"/>
                <w:rtl w:val="true"/>
              </w:rPr>
              <w:t>انكشاف بودن عين، مال غير</w:t>
            </w:r>
            <w:r>
              <w:rPr>
                <w:rStyle w:val="IndexLink"/>
                <w:rtl w:val="true"/>
              </w:rPr>
              <w:tab/>
            </w:r>
            <w:r>
              <w:rPr>
                <w:rStyle w:val="IndexLink"/>
              </w:rPr>
              <w:t>230</w:t>
            </w:r>
          </w:hyperlink>
        </w:p>
        <w:p>
          <w:pPr>
            <w:pStyle w:val="Contents4"/>
            <w:tabs>
              <w:tab w:val="clear" w:pos="8176"/>
              <w:tab w:val="right" w:pos="9026" w:leader="dot"/>
            </w:tabs>
            <w:rPr/>
          </w:pPr>
          <w:hyperlink w:anchor="__RefHeading___Toc3808137_1067777946">
            <w:r>
              <w:rPr>
                <w:webHidden/>
                <w:rStyle w:val="IndexLink"/>
                <w:rtl w:val="true"/>
              </w:rPr>
              <w:t>جواز بذل توسط امه</w:t>
            </w:r>
            <w:r>
              <w:rPr>
                <w:rStyle w:val="IndexLink"/>
                <w:rtl w:val="true"/>
              </w:rPr>
              <w:tab/>
            </w:r>
            <w:r>
              <w:rPr>
                <w:rStyle w:val="IndexLink"/>
              </w:rPr>
              <w:t>230</w:t>
            </w:r>
          </w:hyperlink>
        </w:p>
        <w:p>
          <w:pPr>
            <w:pStyle w:val="Contents3"/>
            <w:tabs>
              <w:tab w:val="clear" w:pos="8459"/>
              <w:tab w:val="right" w:pos="9026" w:leader="dot"/>
            </w:tabs>
            <w:rPr/>
          </w:pPr>
          <w:hyperlink w:anchor="__RefHeading___Toc3808139_1067777946">
            <w:r>
              <w:rPr>
                <w:webHidden/>
                <w:rStyle w:val="IndexLink"/>
                <w:rtl w:val="true"/>
              </w:rPr>
              <w:t>فصل سوّم شرايط صحّت خُلع</w:t>
            </w:r>
            <w:r>
              <w:rPr>
                <w:rStyle w:val="IndexLink"/>
                <w:rtl w:val="true"/>
              </w:rPr>
              <w:tab/>
            </w:r>
            <w:r>
              <w:rPr>
                <w:rStyle w:val="IndexLink"/>
              </w:rPr>
              <w:t>231</w:t>
            </w:r>
          </w:hyperlink>
        </w:p>
        <w:p>
          <w:pPr>
            <w:pStyle w:val="Contents4"/>
            <w:tabs>
              <w:tab w:val="clear" w:pos="8176"/>
              <w:tab w:val="right" w:pos="9026" w:leader="dot"/>
            </w:tabs>
            <w:rPr/>
          </w:pPr>
          <w:hyperlink w:anchor="__RefHeading___Toc3808141_1067777946">
            <w:r>
              <w:rPr>
                <w:webHidden/>
                <w:rStyle w:val="IndexLink"/>
                <w:rtl w:val="true"/>
              </w:rPr>
              <w:t>شرايط معتبر در خلُع</w:t>
            </w:r>
            <w:r>
              <w:rPr>
                <w:rStyle w:val="IndexLink"/>
                <w:rtl w:val="true"/>
              </w:rPr>
              <w:tab/>
            </w:r>
            <w:r>
              <w:rPr>
                <w:rStyle w:val="IndexLink"/>
              </w:rPr>
              <w:t>231</w:t>
            </w:r>
          </w:hyperlink>
        </w:p>
        <w:p>
          <w:pPr>
            <w:pStyle w:val="Contents4"/>
            <w:tabs>
              <w:tab w:val="clear" w:pos="8176"/>
              <w:tab w:val="right" w:pos="9026" w:leader="dot"/>
            </w:tabs>
            <w:rPr/>
          </w:pPr>
          <w:hyperlink w:anchor="__RefHeading___Toc3808143_1067777946">
            <w:r>
              <w:rPr>
                <w:webHidden/>
                <w:rStyle w:val="IndexLink"/>
                <w:rtl w:val="true"/>
              </w:rPr>
              <w:t>شرايط مختلعه</w:t>
            </w:r>
            <w:r>
              <w:rPr>
                <w:rStyle w:val="IndexLink"/>
                <w:rtl w:val="true"/>
              </w:rPr>
              <w:tab/>
            </w:r>
            <w:r>
              <w:rPr>
                <w:rStyle w:val="IndexLink"/>
              </w:rPr>
              <w:t>231</w:t>
            </w:r>
          </w:hyperlink>
        </w:p>
        <w:p>
          <w:pPr>
            <w:pStyle w:val="Contents4"/>
            <w:tabs>
              <w:tab w:val="clear" w:pos="8176"/>
              <w:tab w:val="right" w:pos="9026" w:leader="dot"/>
            </w:tabs>
            <w:rPr/>
          </w:pPr>
          <w:hyperlink w:anchor="__RefHeading___Toc3808145_1067777946">
            <w:r>
              <w:rPr>
                <w:webHidden/>
                <w:rStyle w:val="IndexLink"/>
                <w:rtl w:val="true"/>
              </w:rPr>
              <w:t>خلع حامل و يائسه و غير مدخول بها</w:t>
            </w:r>
            <w:r>
              <w:rPr>
                <w:rStyle w:val="IndexLink"/>
                <w:rtl w:val="true"/>
              </w:rPr>
              <w:tab/>
            </w:r>
            <w:r>
              <w:rPr>
                <w:rStyle w:val="IndexLink"/>
              </w:rPr>
              <w:t>232</w:t>
            </w:r>
          </w:hyperlink>
        </w:p>
        <w:p>
          <w:pPr>
            <w:pStyle w:val="Contents4"/>
            <w:tabs>
              <w:tab w:val="clear" w:pos="8176"/>
              <w:tab w:val="right" w:pos="9026" w:leader="dot"/>
            </w:tabs>
            <w:rPr/>
          </w:pPr>
          <w:hyperlink w:anchor="__RefHeading___Toc3808147_1067777946">
            <w:r>
              <w:rPr>
                <w:webHidden/>
                <w:rStyle w:val="IndexLink"/>
                <w:rtl w:val="true"/>
              </w:rPr>
              <w:t>لزوم حضور دو شاهد عادل</w:t>
            </w:r>
            <w:r>
              <w:rPr>
                <w:rStyle w:val="IndexLink"/>
                <w:rtl w:val="true"/>
              </w:rPr>
              <w:tab/>
            </w:r>
            <w:r>
              <w:rPr>
                <w:rStyle w:val="IndexLink"/>
              </w:rPr>
              <w:t>232</w:t>
            </w:r>
          </w:hyperlink>
        </w:p>
        <w:p>
          <w:pPr>
            <w:pStyle w:val="Contents4"/>
            <w:tabs>
              <w:tab w:val="clear" w:pos="8176"/>
              <w:tab w:val="right" w:pos="9026" w:leader="dot"/>
            </w:tabs>
            <w:rPr/>
          </w:pPr>
          <w:hyperlink w:anchor="__RefHeading___Toc3808149_1067777946">
            <w:r>
              <w:rPr>
                <w:webHidden/>
                <w:rStyle w:val="IndexLink"/>
                <w:rtl w:val="true"/>
              </w:rPr>
              <w:t>صحّت خلع از محجور عليه</w:t>
            </w:r>
            <w:r>
              <w:rPr>
                <w:rStyle w:val="IndexLink"/>
                <w:rtl w:val="true"/>
              </w:rPr>
              <w:tab/>
            </w:r>
            <w:r>
              <w:rPr>
                <w:rStyle w:val="IndexLink"/>
              </w:rPr>
              <w:t>232</w:t>
            </w:r>
          </w:hyperlink>
        </w:p>
        <w:p>
          <w:pPr>
            <w:pStyle w:val="Contents4"/>
            <w:tabs>
              <w:tab w:val="clear" w:pos="8176"/>
              <w:tab w:val="right" w:pos="9026" w:leader="dot"/>
            </w:tabs>
            <w:rPr/>
          </w:pPr>
          <w:hyperlink w:anchor="__RefHeading___Toc3808151_1067777946">
            <w:r>
              <w:rPr>
                <w:webHidden/>
                <w:rStyle w:val="IndexLink"/>
                <w:rtl w:val="true"/>
              </w:rPr>
              <w:t>بذل مختلعه سفيهه و مفلّسه</w:t>
            </w:r>
            <w:r>
              <w:rPr>
                <w:rStyle w:val="IndexLink"/>
                <w:rtl w:val="true"/>
              </w:rPr>
              <w:tab/>
            </w:r>
            <w:r>
              <w:rPr>
                <w:rStyle w:val="IndexLink"/>
              </w:rPr>
              <w:t>232</w:t>
            </w:r>
          </w:hyperlink>
        </w:p>
        <w:p>
          <w:pPr>
            <w:pStyle w:val="Contents4"/>
            <w:tabs>
              <w:tab w:val="clear" w:pos="8176"/>
              <w:tab w:val="right" w:pos="9026" w:leader="dot"/>
            </w:tabs>
            <w:rPr/>
          </w:pPr>
          <w:hyperlink w:anchor="__RefHeading___Toc3808153_1067777946">
            <w:r>
              <w:rPr>
                <w:webHidden/>
                <w:rStyle w:val="IndexLink"/>
                <w:rtl w:val="true"/>
              </w:rPr>
              <w:t>خلع ذمى و حربى</w:t>
            </w:r>
            <w:r>
              <w:rPr>
                <w:rStyle w:val="IndexLink"/>
                <w:rtl w:val="true"/>
              </w:rPr>
              <w:tab/>
            </w:r>
            <w:r>
              <w:rPr>
                <w:rStyle w:val="IndexLink"/>
              </w:rPr>
              <w:t>233</w:t>
            </w:r>
          </w:hyperlink>
        </w:p>
        <w:p>
          <w:pPr>
            <w:pStyle w:val="Contents4"/>
            <w:tabs>
              <w:tab w:val="clear" w:pos="8176"/>
              <w:tab w:val="right" w:pos="9026" w:leader="dot"/>
            </w:tabs>
            <w:rPr/>
          </w:pPr>
          <w:hyperlink w:anchor="__RefHeading___Toc3808155_1067777946">
            <w:r>
              <w:rPr>
                <w:webHidden/>
                <w:rStyle w:val="IndexLink"/>
                <w:rtl w:val="true"/>
              </w:rPr>
              <w:t>شرط حق رجوع</w:t>
            </w:r>
            <w:r>
              <w:rPr>
                <w:rStyle w:val="IndexLink"/>
                <w:rtl w:val="true"/>
              </w:rPr>
              <w:tab/>
            </w:r>
            <w:r>
              <w:rPr>
                <w:rStyle w:val="IndexLink"/>
              </w:rPr>
              <w:t>233</w:t>
            </w:r>
          </w:hyperlink>
        </w:p>
        <w:p>
          <w:pPr>
            <w:pStyle w:val="Contents4"/>
            <w:tabs>
              <w:tab w:val="clear" w:pos="8176"/>
              <w:tab w:val="right" w:pos="9026" w:leader="dot"/>
            </w:tabs>
            <w:rPr/>
          </w:pPr>
          <w:hyperlink w:anchor="__RefHeading___Toc3808157_1067777946">
            <w:r>
              <w:rPr>
                <w:webHidden/>
                <w:rStyle w:val="IndexLink"/>
                <w:rtl w:val="true"/>
              </w:rPr>
              <w:t>تعليق در خلع</w:t>
            </w:r>
            <w:r>
              <w:rPr>
                <w:rStyle w:val="IndexLink"/>
                <w:rtl w:val="true"/>
              </w:rPr>
              <w:tab/>
            </w:r>
            <w:r>
              <w:rPr>
                <w:rStyle w:val="IndexLink"/>
              </w:rPr>
              <w:t>233</w:t>
            </w:r>
          </w:hyperlink>
        </w:p>
        <w:p>
          <w:pPr>
            <w:pStyle w:val="Contents3"/>
            <w:tabs>
              <w:tab w:val="clear" w:pos="8459"/>
              <w:tab w:val="right" w:pos="9026" w:leader="dot"/>
            </w:tabs>
            <w:rPr/>
          </w:pPr>
          <w:hyperlink w:anchor="__RefHeading___Toc3808159_1067777946">
            <w:r>
              <w:rPr>
                <w:webHidden/>
                <w:rStyle w:val="IndexLink"/>
                <w:rtl w:val="true"/>
              </w:rPr>
              <w:t>فصل چهارم احكام خُلع و تنازع در خُلع</w:t>
            </w:r>
            <w:r>
              <w:rPr>
                <w:rStyle w:val="IndexLink"/>
                <w:rtl w:val="true"/>
              </w:rPr>
              <w:tab/>
            </w:r>
            <w:r>
              <w:rPr>
                <w:rStyle w:val="IndexLink"/>
              </w:rPr>
              <w:t>234</w:t>
            </w:r>
          </w:hyperlink>
        </w:p>
        <w:p>
          <w:pPr>
            <w:pStyle w:val="Contents4"/>
            <w:tabs>
              <w:tab w:val="clear" w:pos="8176"/>
              <w:tab w:val="right" w:pos="9026" w:leader="dot"/>
            </w:tabs>
            <w:rPr/>
          </w:pPr>
          <w:hyperlink w:anchor="__RefHeading___Toc3808161_1067777946">
            <w:r>
              <w:rPr>
                <w:webHidden/>
                <w:rStyle w:val="IndexLink"/>
              </w:rPr>
              <w:t>1</w:t>
            </w:r>
            <w:r>
              <w:rPr>
                <w:rStyle w:val="IndexLink"/>
                <w:rtl w:val="true"/>
              </w:rPr>
              <w:t xml:space="preserve">. </w:t>
            </w:r>
            <w:r>
              <w:rPr>
                <w:rStyle w:val="IndexLink"/>
                <w:rtl w:val="true"/>
              </w:rPr>
              <w:t>احكام خلع</w:t>
            </w:r>
            <w:r>
              <w:rPr>
                <w:rStyle w:val="IndexLink"/>
                <w:rtl w:val="true"/>
              </w:rPr>
              <w:tab/>
            </w:r>
            <w:r>
              <w:rPr>
                <w:rStyle w:val="IndexLink"/>
              </w:rPr>
              <w:t>234</w:t>
            </w:r>
          </w:hyperlink>
        </w:p>
        <w:p>
          <w:pPr>
            <w:pStyle w:val="Contents5"/>
            <w:tabs>
              <w:tab w:val="clear" w:pos="7892"/>
              <w:tab w:val="right" w:pos="9026" w:leader="dot"/>
            </w:tabs>
            <w:rPr/>
          </w:pPr>
          <w:hyperlink w:anchor="__RefHeading___Toc3808163_1067777946">
            <w:r>
              <w:rPr>
                <w:webHidden/>
                <w:rStyle w:val="IndexLink"/>
                <w:rtl w:val="true"/>
              </w:rPr>
              <w:t>اكراه بر فداء</w:t>
            </w:r>
            <w:r>
              <w:rPr>
                <w:rStyle w:val="IndexLink"/>
                <w:rtl w:val="true"/>
              </w:rPr>
              <w:tab/>
            </w:r>
            <w:r>
              <w:rPr>
                <w:rStyle w:val="IndexLink"/>
              </w:rPr>
              <w:t>234</w:t>
            </w:r>
          </w:hyperlink>
        </w:p>
        <w:p>
          <w:pPr>
            <w:pStyle w:val="Contents5"/>
            <w:tabs>
              <w:tab w:val="clear" w:pos="7892"/>
              <w:tab w:val="right" w:pos="9026" w:leader="dot"/>
            </w:tabs>
            <w:rPr/>
          </w:pPr>
          <w:hyperlink w:anchor="__RefHeading___Toc3808165_1067777946">
            <w:r>
              <w:rPr>
                <w:webHidden/>
                <w:rStyle w:val="IndexLink"/>
                <w:rtl w:val="true"/>
              </w:rPr>
              <w:t>عدم صحّت خلع بدون كراهت</w:t>
            </w:r>
            <w:r>
              <w:rPr>
                <w:rStyle w:val="IndexLink"/>
                <w:rtl w:val="true"/>
              </w:rPr>
              <w:tab/>
            </w:r>
            <w:r>
              <w:rPr>
                <w:rStyle w:val="IndexLink"/>
              </w:rPr>
              <w:t>234</w:t>
            </w:r>
          </w:hyperlink>
        </w:p>
        <w:p>
          <w:pPr>
            <w:pStyle w:val="Contents5"/>
            <w:tabs>
              <w:tab w:val="clear" w:pos="7892"/>
              <w:tab w:val="right" w:pos="9026" w:leader="dot"/>
            </w:tabs>
            <w:rPr/>
          </w:pPr>
          <w:hyperlink w:anchor="__RefHeading___Toc3808167_1067777946">
            <w:r>
              <w:rPr>
                <w:webHidden/>
                <w:rStyle w:val="IndexLink"/>
                <w:rtl w:val="true"/>
              </w:rPr>
              <w:t>بدسلوكى در فرض ارتكاب فاحشه</w:t>
            </w:r>
            <w:r>
              <w:rPr>
                <w:rStyle w:val="IndexLink"/>
                <w:rtl w:val="true"/>
              </w:rPr>
              <w:tab/>
            </w:r>
            <w:r>
              <w:rPr>
                <w:rStyle w:val="IndexLink"/>
              </w:rPr>
              <w:t>234</w:t>
            </w:r>
          </w:hyperlink>
        </w:p>
        <w:p>
          <w:pPr>
            <w:pStyle w:val="Contents5"/>
            <w:tabs>
              <w:tab w:val="clear" w:pos="7892"/>
              <w:tab w:val="right" w:pos="9026" w:leader="dot"/>
            </w:tabs>
            <w:rPr/>
          </w:pPr>
          <w:hyperlink w:anchor="__RefHeading___Toc3808169_1067777946">
            <w:r>
              <w:rPr>
                <w:webHidden/>
                <w:rStyle w:val="IndexLink"/>
                <w:rtl w:val="true"/>
              </w:rPr>
              <w:t>احكام رجوع در بذل</w:t>
            </w:r>
            <w:r>
              <w:rPr>
                <w:rStyle w:val="IndexLink"/>
                <w:rtl w:val="true"/>
              </w:rPr>
              <w:tab/>
            </w:r>
            <w:r>
              <w:rPr>
                <w:rStyle w:val="IndexLink"/>
              </w:rPr>
              <w:t>235</w:t>
            </w:r>
          </w:hyperlink>
        </w:p>
        <w:p>
          <w:pPr>
            <w:pStyle w:val="Contents5"/>
            <w:tabs>
              <w:tab w:val="clear" w:pos="7892"/>
              <w:tab w:val="right" w:pos="9026" w:leader="dot"/>
            </w:tabs>
            <w:rPr/>
          </w:pPr>
          <w:hyperlink w:anchor="__RefHeading___Toc3808171_1067777946">
            <w:r>
              <w:rPr>
                <w:webHidden/>
                <w:rStyle w:val="IndexLink"/>
                <w:rtl w:val="true"/>
              </w:rPr>
              <w:t>بطلان شرط رجوع در خلع و حكم صحّت و عدم صحّت طلاق</w:t>
            </w:r>
            <w:r>
              <w:rPr>
                <w:rStyle w:val="IndexLink"/>
                <w:rtl w:val="true"/>
              </w:rPr>
              <w:tab/>
            </w:r>
            <w:r>
              <w:rPr>
                <w:rStyle w:val="IndexLink"/>
              </w:rPr>
              <w:t>235</w:t>
            </w:r>
          </w:hyperlink>
        </w:p>
        <w:p>
          <w:pPr>
            <w:pStyle w:val="Contents5"/>
            <w:tabs>
              <w:tab w:val="clear" w:pos="7892"/>
              <w:tab w:val="right" w:pos="9026" w:leader="dot"/>
            </w:tabs>
            <w:rPr/>
          </w:pPr>
          <w:hyperlink w:anchor="__RefHeading___Toc3808173_1067777946">
            <w:r>
              <w:rPr>
                <w:webHidden/>
                <w:rStyle w:val="IndexLink"/>
                <w:rtl w:val="true"/>
              </w:rPr>
              <w:t>بعد از خلع بودن رجوع، طلاق و ظهار و ايلاء محقّق نمى شود</w:t>
            </w:r>
            <w:r>
              <w:rPr>
                <w:rStyle w:val="IndexLink"/>
                <w:rtl w:val="true"/>
              </w:rPr>
              <w:tab/>
            </w:r>
            <w:r>
              <w:rPr>
                <w:rStyle w:val="IndexLink"/>
              </w:rPr>
              <w:t>236</w:t>
            </w:r>
          </w:hyperlink>
        </w:p>
        <w:p>
          <w:pPr>
            <w:pStyle w:val="Contents5"/>
            <w:tabs>
              <w:tab w:val="clear" w:pos="7892"/>
              <w:tab w:val="right" w:pos="9026" w:leader="dot"/>
            </w:tabs>
            <w:rPr/>
          </w:pPr>
          <w:hyperlink w:anchor="__RefHeading___Toc3808175_1067777946">
            <w:r>
              <w:rPr>
                <w:webHidden/>
                <w:rStyle w:val="IndexLink"/>
                <w:rtl w:val="true"/>
              </w:rPr>
              <w:t>تقاضاى سه طلاق در مقابل مبلغى</w:t>
            </w:r>
            <w:r>
              <w:rPr>
                <w:rStyle w:val="IndexLink"/>
                <w:rtl w:val="true"/>
              </w:rPr>
              <w:tab/>
            </w:r>
            <w:r>
              <w:rPr>
                <w:rStyle w:val="IndexLink"/>
              </w:rPr>
              <w:t>236</w:t>
            </w:r>
          </w:hyperlink>
        </w:p>
        <w:p>
          <w:pPr>
            <w:pStyle w:val="Contents5"/>
            <w:tabs>
              <w:tab w:val="clear" w:pos="7892"/>
              <w:tab w:val="right" w:pos="9026" w:leader="dot"/>
            </w:tabs>
            <w:rPr/>
          </w:pPr>
          <w:hyperlink w:anchor="__RefHeading___Toc3808177_1067777946">
            <w:r>
              <w:rPr>
                <w:webHidden/>
                <w:rStyle w:val="IndexLink"/>
                <w:rtl w:val="true"/>
              </w:rPr>
              <w:t>تقاضاى يك طلاق به مبلغى و اجراى سه طلاق توسّط زوج به طور ارسال و توالى</w:t>
            </w:r>
            <w:r>
              <w:rPr>
                <w:rStyle w:val="IndexLink"/>
                <w:rtl w:val="true"/>
              </w:rPr>
              <w:tab/>
            </w:r>
            <w:r>
              <w:rPr>
                <w:rStyle w:val="IndexLink"/>
              </w:rPr>
              <w:t>237</w:t>
            </w:r>
          </w:hyperlink>
        </w:p>
        <w:p>
          <w:pPr>
            <w:pStyle w:val="Contents5"/>
            <w:tabs>
              <w:tab w:val="clear" w:pos="7892"/>
              <w:tab w:val="right" w:pos="9026" w:leader="dot"/>
            </w:tabs>
            <w:rPr/>
          </w:pPr>
          <w:hyperlink w:anchor="__RefHeading___Toc3808179_1067777946">
            <w:r>
              <w:rPr>
                <w:webHidden/>
                <w:rStyle w:val="IndexLink"/>
                <w:rtl w:val="true"/>
              </w:rPr>
              <w:t>تقاضاى طلاق و ابراء از مهر توسط ولى</w:t>
            </w:r>
            <w:r>
              <w:rPr>
                <w:rStyle w:val="IndexLink"/>
                <w:rtl w:val="true"/>
              </w:rPr>
              <w:tab/>
            </w:r>
            <w:r>
              <w:rPr>
                <w:rStyle w:val="IndexLink"/>
              </w:rPr>
              <w:t>237</w:t>
            </w:r>
          </w:hyperlink>
        </w:p>
        <w:p>
          <w:pPr>
            <w:pStyle w:val="Contents5"/>
            <w:tabs>
              <w:tab w:val="clear" w:pos="7892"/>
              <w:tab w:val="right" w:pos="9026" w:leader="dot"/>
            </w:tabs>
            <w:rPr/>
          </w:pPr>
          <w:hyperlink w:anchor="__RefHeading___Toc3808181_1067777946">
            <w:r>
              <w:rPr>
                <w:webHidden/>
                <w:rStyle w:val="IndexLink"/>
                <w:rtl w:val="true"/>
              </w:rPr>
              <w:t>توكيل در خلع و بذل</w:t>
            </w:r>
            <w:r>
              <w:rPr>
                <w:rStyle w:val="IndexLink"/>
                <w:rtl w:val="true"/>
              </w:rPr>
              <w:tab/>
            </w:r>
            <w:r>
              <w:rPr>
                <w:rStyle w:val="IndexLink"/>
              </w:rPr>
              <w:t>238</w:t>
            </w:r>
          </w:hyperlink>
        </w:p>
        <w:p>
          <w:pPr>
            <w:pStyle w:val="Contents4"/>
            <w:tabs>
              <w:tab w:val="clear" w:pos="8176"/>
              <w:tab w:val="right" w:pos="9026" w:leader="dot"/>
            </w:tabs>
            <w:rPr/>
          </w:pPr>
          <w:hyperlink w:anchor="__RefHeading___Toc3808183_1067777946">
            <w:r>
              <w:rPr>
                <w:webHidden/>
                <w:rStyle w:val="IndexLink"/>
              </w:rPr>
              <w:t>2</w:t>
            </w:r>
            <w:r>
              <w:rPr>
                <w:rStyle w:val="IndexLink"/>
                <w:rtl w:val="true"/>
              </w:rPr>
              <w:t xml:space="preserve">. </w:t>
            </w:r>
            <w:r>
              <w:rPr>
                <w:rStyle w:val="IndexLink"/>
                <w:rtl w:val="true"/>
              </w:rPr>
              <w:t>احكام تنازع در خُلع</w:t>
            </w:r>
            <w:r>
              <w:rPr>
                <w:rStyle w:val="IndexLink"/>
                <w:rtl w:val="true"/>
              </w:rPr>
              <w:tab/>
            </w:r>
            <w:r>
              <w:rPr>
                <w:rStyle w:val="IndexLink"/>
              </w:rPr>
              <w:t>238</w:t>
            </w:r>
          </w:hyperlink>
        </w:p>
        <w:p>
          <w:pPr>
            <w:pStyle w:val="Contents3"/>
            <w:tabs>
              <w:tab w:val="clear" w:pos="8459"/>
              <w:tab w:val="right" w:pos="9026" w:leader="dot"/>
            </w:tabs>
            <w:rPr/>
          </w:pPr>
          <w:hyperlink w:anchor="__RefHeading___Toc3808185_1067777946">
            <w:r>
              <w:rPr>
                <w:webHidden/>
                <w:rStyle w:val="IndexLink"/>
                <w:rtl w:val="true"/>
              </w:rPr>
              <w:t>فصل پنجم مبارات</w:t>
            </w:r>
            <w:r>
              <w:rPr>
                <w:rStyle w:val="IndexLink"/>
                <w:rtl w:val="true"/>
              </w:rPr>
              <w:tab/>
            </w:r>
            <w:r>
              <w:rPr>
                <w:rStyle w:val="IndexLink"/>
              </w:rPr>
              <w:t>240</w:t>
            </w:r>
          </w:hyperlink>
        </w:p>
        <w:p>
          <w:pPr>
            <w:pStyle w:val="Contents4"/>
            <w:tabs>
              <w:tab w:val="clear" w:pos="8176"/>
              <w:tab w:val="right" w:pos="9026" w:leader="dot"/>
            </w:tabs>
            <w:rPr/>
          </w:pPr>
          <w:hyperlink w:anchor="__RefHeading___Toc3808187_1067777946">
            <w:r>
              <w:rPr>
                <w:webHidden/>
                <w:rStyle w:val="IndexLink"/>
                <w:rtl w:val="true"/>
              </w:rPr>
              <w:t>تعريف، شروط و صيغۀ مبارات</w:t>
            </w:r>
            <w:r>
              <w:rPr>
                <w:rStyle w:val="IndexLink"/>
                <w:rtl w:val="true"/>
              </w:rPr>
              <w:tab/>
            </w:r>
            <w:r>
              <w:rPr>
                <w:rStyle w:val="IndexLink"/>
              </w:rPr>
              <w:t>240</w:t>
            </w:r>
          </w:hyperlink>
        </w:p>
        <w:p>
          <w:pPr>
            <w:pStyle w:val="Contents4"/>
            <w:tabs>
              <w:tab w:val="clear" w:pos="8176"/>
              <w:tab w:val="right" w:pos="9026" w:leader="dot"/>
            </w:tabs>
            <w:rPr/>
          </w:pPr>
          <w:hyperlink w:anchor="__RefHeading___Toc3808189_1067777946">
            <w:r>
              <w:rPr>
                <w:webHidden/>
                <w:rStyle w:val="IndexLink"/>
                <w:rtl w:val="true"/>
              </w:rPr>
              <w:t>اعتبار شروط طلاق و خلع در مبارات</w:t>
            </w:r>
            <w:r>
              <w:rPr>
                <w:rStyle w:val="IndexLink"/>
                <w:rtl w:val="true"/>
              </w:rPr>
              <w:tab/>
            </w:r>
            <w:r>
              <w:rPr>
                <w:rStyle w:val="IndexLink"/>
              </w:rPr>
              <w:t>240</w:t>
            </w:r>
          </w:hyperlink>
        </w:p>
        <w:p>
          <w:pPr>
            <w:pStyle w:val="Contents4"/>
            <w:tabs>
              <w:tab w:val="clear" w:pos="8176"/>
              <w:tab w:val="right" w:pos="9026" w:leader="dot"/>
            </w:tabs>
            <w:rPr/>
          </w:pPr>
          <w:hyperlink w:anchor="__RefHeading___Toc3808191_1067777946">
            <w:r>
              <w:rPr>
                <w:webHidden/>
                <w:rStyle w:val="IndexLink"/>
                <w:rtl w:val="true"/>
              </w:rPr>
              <w:t>احكام رجوع در مبارات</w:t>
            </w:r>
            <w:r>
              <w:rPr>
                <w:rStyle w:val="IndexLink"/>
                <w:rtl w:val="true"/>
              </w:rPr>
              <w:tab/>
            </w:r>
            <w:r>
              <w:rPr>
                <w:rStyle w:val="IndexLink"/>
              </w:rPr>
              <w:t>241</w:t>
            </w:r>
          </w:hyperlink>
        </w:p>
        <w:p>
          <w:pPr>
            <w:pStyle w:val="Contents4"/>
            <w:tabs>
              <w:tab w:val="clear" w:pos="8176"/>
              <w:tab w:val="right" w:pos="9026" w:leader="dot"/>
            </w:tabs>
            <w:rPr/>
          </w:pPr>
          <w:hyperlink w:anchor="__RefHeading___Toc3808193_1067777946">
            <w:r>
              <w:rPr>
                <w:webHidden/>
                <w:rStyle w:val="IndexLink"/>
                <w:rtl w:val="true"/>
              </w:rPr>
              <w:t>افتراق مبارات از خلع</w:t>
            </w:r>
            <w:r>
              <w:rPr>
                <w:rStyle w:val="IndexLink"/>
                <w:rtl w:val="true"/>
              </w:rPr>
              <w:tab/>
            </w:r>
            <w:r>
              <w:rPr>
                <w:rStyle w:val="IndexLink"/>
              </w:rPr>
              <w:t>241</w:t>
            </w:r>
          </w:hyperlink>
        </w:p>
        <w:p>
          <w:pPr>
            <w:pStyle w:val="Contents2"/>
            <w:tabs>
              <w:tab w:val="clear" w:pos="8743"/>
              <w:tab w:val="right" w:pos="9026" w:leader="dot"/>
            </w:tabs>
            <w:rPr/>
          </w:pPr>
          <w:hyperlink w:anchor="__RefHeading___Toc3808195_1067777946">
            <w:r>
              <w:rPr>
                <w:webHidden/>
                <w:rStyle w:val="IndexLink"/>
                <w:rtl w:val="true"/>
              </w:rPr>
              <w:t>كتاب ظهار</w:t>
            </w:r>
            <w:r>
              <w:rPr>
                <w:rStyle w:val="IndexLink"/>
                <w:rtl w:val="true"/>
              </w:rPr>
              <w:tab/>
            </w:r>
            <w:r>
              <w:rPr>
                <w:rStyle w:val="IndexLink"/>
              </w:rPr>
              <w:t>242</w:t>
            </w:r>
          </w:hyperlink>
        </w:p>
        <w:p>
          <w:pPr>
            <w:pStyle w:val="Contents3"/>
            <w:tabs>
              <w:tab w:val="clear" w:pos="8459"/>
              <w:tab w:val="right" w:pos="9026" w:leader="dot"/>
            </w:tabs>
            <w:rPr/>
          </w:pPr>
          <w:hyperlink w:anchor="__RefHeading___Toc3808197_1067777946">
            <w:r>
              <w:rPr>
                <w:webHidden/>
                <w:rStyle w:val="IndexLink"/>
                <w:rtl w:val="true"/>
              </w:rPr>
              <w:t>اشاره</w:t>
            </w:r>
            <w:r>
              <w:rPr>
                <w:rStyle w:val="IndexLink"/>
                <w:rtl w:val="true"/>
              </w:rPr>
              <w:tab/>
            </w:r>
            <w:r>
              <w:rPr>
                <w:rStyle w:val="IndexLink"/>
              </w:rPr>
              <w:t>242</w:t>
            </w:r>
          </w:hyperlink>
        </w:p>
        <w:p>
          <w:pPr>
            <w:pStyle w:val="Contents3"/>
            <w:tabs>
              <w:tab w:val="clear" w:pos="8459"/>
              <w:tab w:val="right" w:pos="9026" w:leader="dot"/>
            </w:tabs>
            <w:rPr/>
          </w:pPr>
          <w:hyperlink w:anchor="__RefHeading___Toc3808199_1067777946">
            <w:r>
              <w:rPr>
                <w:webHidden/>
                <w:rStyle w:val="IndexLink"/>
                <w:rtl w:val="true"/>
              </w:rPr>
              <w:t>فصل اوّل صيغۀ ظهار</w:t>
            </w:r>
            <w:r>
              <w:rPr>
                <w:rStyle w:val="IndexLink"/>
                <w:rtl w:val="true"/>
              </w:rPr>
              <w:tab/>
            </w:r>
            <w:r>
              <w:rPr>
                <w:rStyle w:val="IndexLink"/>
              </w:rPr>
              <w:t>244</w:t>
            </w:r>
          </w:hyperlink>
        </w:p>
        <w:p>
          <w:pPr>
            <w:pStyle w:val="Contents4"/>
            <w:tabs>
              <w:tab w:val="clear" w:pos="8176"/>
              <w:tab w:val="right" w:pos="9026" w:leader="dot"/>
            </w:tabs>
            <w:rPr/>
          </w:pPr>
          <w:hyperlink w:anchor="__RefHeading___Toc3808201_1067777946">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3808203_1067777946">
            <w:r>
              <w:rPr>
                <w:webHidden/>
                <w:rStyle w:val="IndexLink"/>
                <w:rtl w:val="true"/>
              </w:rPr>
              <w:t>فروض تحقّق و عدم تحقّق ظهار</w:t>
            </w:r>
            <w:r>
              <w:rPr>
                <w:rStyle w:val="IndexLink"/>
                <w:rtl w:val="true"/>
              </w:rPr>
              <w:tab/>
            </w:r>
            <w:r>
              <w:rPr>
                <w:rStyle w:val="IndexLink"/>
              </w:rPr>
              <w:t>244</w:t>
            </w:r>
          </w:hyperlink>
        </w:p>
        <w:p>
          <w:pPr>
            <w:pStyle w:val="Contents4"/>
            <w:tabs>
              <w:tab w:val="clear" w:pos="8176"/>
              <w:tab w:val="right" w:pos="9026" w:leader="dot"/>
            </w:tabs>
            <w:rPr/>
          </w:pPr>
          <w:hyperlink w:anchor="__RefHeading___Toc3808205_1067777946">
            <w:r>
              <w:rPr>
                <w:webHidden/>
                <w:rStyle w:val="IndexLink"/>
                <w:rtl w:val="true"/>
              </w:rPr>
              <w:t>اعتبار حضور دو شاهد عادل</w:t>
            </w:r>
            <w:r>
              <w:rPr>
                <w:rStyle w:val="IndexLink"/>
                <w:rtl w:val="true"/>
              </w:rPr>
              <w:tab/>
            </w:r>
            <w:r>
              <w:rPr>
                <w:rStyle w:val="IndexLink"/>
              </w:rPr>
              <w:t>245</w:t>
            </w:r>
          </w:hyperlink>
        </w:p>
        <w:p>
          <w:pPr>
            <w:pStyle w:val="Contents4"/>
            <w:tabs>
              <w:tab w:val="clear" w:pos="8176"/>
              <w:tab w:val="right" w:pos="9026" w:leader="dot"/>
            </w:tabs>
            <w:rPr/>
          </w:pPr>
          <w:hyperlink w:anchor="__RefHeading___Toc3808207_1067777946">
            <w:r>
              <w:rPr>
                <w:webHidden/>
                <w:rStyle w:val="IndexLink"/>
                <w:rtl w:val="true"/>
              </w:rPr>
              <w:t>صُوَر تعليق در ظهار و حكم هر كدام</w:t>
            </w:r>
            <w:r>
              <w:rPr>
                <w:rStyle w:val="IndexLink"/>
                <w:rtl w:val="true"/>
              </w:rPr>
              <w:tab/>
            </w:r>
            <w:r>
              <w:rPr>
                <w:rStyle w:val="IndexLink"/>
              </w:rPr>
              <w:t>245</w:t>
            </w:r>
          </w:hyperlink>
        </w:p>
        <w:p>
          <w:pPr>
            <w:pStyle w:val="Contents3"/>
            <w:tabs>
              <w:tab w:val="clear" w:pos="8459"/>
              <w:tab w:val="right" w:pos="9026" w:leader="dot"/>
            </w:tabs>
            <w:rPr/>
          </w:pPr>
          <w:hyperlink w:anchor="__RefHeading___Toc3808209_1067777946">
            <w:r>
              <w:rPr>
                <w:webHidden/>
                <w:rStyle w:val="IndexLink"/>
                <w:rtl w:val="true"/>
              </w:rPr>
              <w:t>فصل دوّم آنچه در مُظاهِر و مُظاهرَه معتبر است</w:t>
            </w:r>
            <w:r>
              <w:rPr>
                <w:rStyle w:val="IndexLink"/>
                <w:rtl w:val="true"/>
              </w:rPr>
              <w:tab/>
            </w:r>
            <w:r>
              <w:rPr>
                <w:rStyle w:val="IndexLink"/>
              </w:rPr>
              <w:t>248</w:t>
            </w:r>
          </w:hyperlink>
        </w:p>
        <w:p>
          <w:pPr>
            <w:pStyle w:val="Contents4"/>
            <w:tabs>
              <w:tab w:val="clear" w:pos="8176"/>
              <w:tab w:val="right" w:pos="9026" w:leader="dot"/>
            </w:tabs>
            <w:rPr/>
          </w:pPr>
          <w:hyperlink w:anchor="__RefHeading___Toc3808211_1067777946">
            <w:r>
              <w:rPr>
                <w:webHidden/>
                <w:rStyle w:val="IndexLink"/>
                <w:rtl w:val="true"/>
              </w:rPr>
              <w:t>شرايط معتبر در مُظاهِر</w:t>
            </w:r>
            <w:r>
              <w:rPr>
                <w:rStyle w:val="IndexLink"/>
                <w:rtl w:val="true"/>
              </w:rPr>
              <w:tab/>
            </w:r>
            <w:r>
              <w:rPr>
                <w:rStyle w:val="IndexLink"/>
              </w:rPr>
              <w:t>248</w:t>
            </w:r>
          </w:hyperlink>
        </w:p>
        <w:p>
          <w:pPr>
            <w:pStyle w:val="Contents4"/>
            <w:tabs>
              <w:tab w:val="clear" w:pos="8176"/>
              <w:tab w:val="right" w:pos="9026" w:leader="dot"/>
            </w:tabs>
            <w:rPr/>
          </w:pPr>
          <w:hyperlink w:anchor="__RefHeading___Toc3808213_1067777946">
            <w:r>
              <w:rPr>
                <w:webHidden/>
                <w:rStyle w:val="IndexLink"/>
                <w:rtl w:val="true"/>
              </w:rPr>
              <w:t>شرايط معتبر در مُظاهَره</w:t>
            </w:r>
            <w:r>
              <w:rPr>
                <w:rStyle w:val="IndexLink"/>
                <w:rtl w:val="true"/>
              </w:rPr>
              <w:tab/>
            </w:r>
            <w:r>
              <w:rPr>
                <w:rStyle w:val="IndexLink"/>
              </w:rPr>
              <w:t>249</w:t>
            </w:r>
          </w:hyperlink>
        </w:p>
        <w:p>
          <w:pPr>
            <w:pStyle w:val="Contents3"/>
            <w:tabs>
              <w:tab w:val="clear" w:pos="8459"/>
              <w:tab w:val="right" w:pos="9026" w:leader="dot"/>
            </w:tabs>
            <w:rPr/>
          </w:pPr>
          <w:hyperlink w:anchor="__RefHeading___Toc3808215_1067777946">
            <w:r>
              <w:rPr>
                <w:webHidden/>
                <w:rStyle w:val="IndexLink"/>
                <w:rtl w:val="true"/>
              </w:rPr>
              <w:t>فصل سوّم احكام ظهار</w:t>
            </w:r>
            <w:r>
              <w:rPr>
                <w:rStyle w:val="IndexLink"/>
                <w:rtl w:val="true"/>
              </w:rPr>
              <w:tab/>
            </w:r>
            <w:r>
              <w:rPr>
                <w:rStyle w:val="IndexLink"/>
              </w:rPr>
              <w:t>250</w:t>
            </w:r>
          </w:hyperlink>
        </w:p>
        <w:p>
          <w:pPr>
            <w:pStyle w:val="Contents4"/>
            <w:tabs>
              <w:tab w:val="clear" w:pos="8176"/>
              <w:tab w:val="right" w:pos="9026" w:leader="dot"/>
            </w:tabs>
            <w:rPr/>
          </w:pPr>
          <w:hyperlink w:anchor="__RefHeading___Toc3808217_1067777946">
            <w:r>
              <w:rPr>
                <w:webHidden/>
                <w:rStyle w:val="IndexLink"/>
                <w:rtl w:val="true"/>
              </w:rPr>
              <w:t>حرمت ظهار</w:t>
            </w:r>
            <w:r>
              <w:rPr>
                <w:rStyle w:val="IndexLink"/>
                <w:rtl w:val="true"/>
              </w:rPr>
              <w:tab/>
            </w:r>
            <w:r>
              <w:rPr>
                <w:rStyle w:val="IndexLink"/>
              </w:rPr>
              <w:t>250</w:t>
            </w:r>
          </w:hyperlink>
        </w:p>
        <w:p>
          <w:pPr>
            <w:pStyle w:val="Contents4"/>
            <w:tabs>
              <w:tab w:val="clear" w:pos="8176"/>
              <w:tab w:val="right" w:pos="9026" w:leader="dot"/>
            </w:tabs>
            <w:rPr/>
          </w:pPr>
          <w:hyperlink w:anchor="__RefHeading___Toc3808219_1067777946">
            <w:r>
              <w:rPr>
                <w:webHidden/>
                <w:rStyle w:val="IndexLink"/>
                <w:rtl w:val="true"/>
              </w:rPr>
              <w:t>زمان وجوب كفّاره بر مظاهِر</w:t>
            </w:r>
            <w:r>
              <w:rPr>
                <w:rStyle w:val="IndexLink"/>
                <w:rtl w:val="true"/>
              </w:rPr>
              <w:tab/>
            </w:r>
            <w:r>
              <w:rPr>
                <w:rStyle w:val="IndexLink"/>
              </w:rPr>
              <w:t>250</w:t>
            </w:r>
          </w:hyperlink>
        </w:p>
        <w:p>
          <w:pPr>
            <w:pStyle w:val="Contents4"/>
            <w:tabs>
              <w:tab w:val="clear" w:pos="8176"/>
              <w:tab w:val="right" w:pos="9026" w:leader="dot"/>
            </w:tabs>
            <w:rPr/>
          </w:pPr>
          <w:hyperlink w:anchor="__RefHeading___Toc3808221_1067777946">
            <w:r>
              <w:rPr>
                <w:webHidden/>
                <w:rStyle w:val="IndexLink"/>
                <w:rtl w:val="true"/>
              </w:rPr>
              <w:t>تكرّر كفّاره به تعدّد وطى</w:t>
            </w:r>
            <w:r>
              <w:rPr>
                <w:rStyle w:val="IndexLink"/>
                <w:rtl w:val="true"/>
              </w:rPr>
              <w:tab/>
            </w:r>
            <w:r>
              <w:rPr>
                <w:rStyle w:val="IndexLink"/>
              </w:rPr>
              <w:t>250</w:t>
            </w:r>
          </w:hyperlink>
        </w:p>
        <w:p>
          <w:pPr>
            <w:pStyle w:val="Contents4"/>
            <w:tabs>
              <w:tab w:val="clear" w:pos="8176"/>
              <w:tab w:val="right" w:pos="9026" w:leader="dot"/>
            </w:tabs>
            <w:rPr/>
          </w:pPr>
          <w:hyperlink w:anchor="__RefHeading___Toc3808223_1067777946">
            <w:r>
              <w:rPr>
                <w:webHidden/>
                <w:rStyle w:val="IndexLink"/>
                <w:rtl w:val="true"/>
              </w:rPr>
              <w:t>حرمت وطى قبل تكفير اگر بعد از ظهار طلاق رجعى بدهد و</w:t>
            </w:r>
            <w:r>
              <w:rPr>
                <w:rStyle w:val="IndexLink"/>
                <w:rtl w:val="true"/>
              </w:rPr>
              <w:t>...</w:t>
              <w:tab/>
            </w:r>
            <w:r>
              <w:rPr>
                <w:rStyle w:val="IndexLink"/>
              </w:rPr>
              <w:t>250</w:t>
            </w:r>
          </w:hyperlink>
        </w:p>
        <w:p>
          <w:pPr>
            <w:pStyle w:val="Contents4"/>
            <w:tabs>
              <w:tab w:val="clear" w:pos="8176"/>
              <w:tab w:val="right" w:pos="9026" w:leader="dot"/>
            </w:tabs>
            <w:rPr/>
          </w:pPr>
          <w:hyperlink w:anchor="__RefHeading___Toc3808225_1067777946">
            <w:r>
              <w:rPr>
                <w:webHidden/>
                <w:rStyle w:val="IndexLink"/>
                <w:rtl w:val="true"/>
              </w:rPr>
              <w:t>اگر با زوجۀ امۀ خود ظهار كند و</w:t>
            </w:r>
            <w:r>
              <w:rPr>
                <w:rStyle w:val="IndexLink"/>
                <w:rtl w:val="true"/>
              </w:rPr>
              <w:t>...</w:t>
              <w:tab/>
            </w:r>
            <w:r>
              <w:rPr>
                <w:rStyle w:val="IndexLink"/>
              </w:rPr>
              <w:t>251</w:t>
            </w:r>
          </w:hyperlink>
        </w:p>
        <w:p>
          <w:pPr>
            <w:pStyle w:val="Contents4"/>
            <w:tabs>
              <w:tab w:val="clear" w:pos="8176"/>
              <w:tab w:val="right" w:pos="9026" w:leader="dot"/>
            </w:tabs>
            <w:rPr/>
          </w:pPr>
          <w:hyperlink w:anchor="__RefHeading___Toc3808227_1067777946">
            <w:r>
              <w:rPr>
                <w:webHidden/>
                <w:rStyle w:val="IndexLink"/>
                <w:rtl w:val="true"/>
              </w:rPr>
              <w:t>صورتهاى مختلف تعليق ظهار و حكم هر كدام</w:t>
            </w:r>
            <w:r>
              <w:rPr>
                <w:rStyle w:val="IndexLink"/>
                <w:rtl w:val="true"/>
              </w:rPr>
              <w:tab/>
            </w:r>
            <w:r>
              <w:rPr>
                <w:rStyle w:val="IndexLink"/>
              </w:rPr>
              <w:t>252</w:t>
            </w:r>
          </w:hyperlink>
        </w:p>
        <w:p>
          <w:pPr>
            <w:pStyle w:val="Contents4"/>
            <w:tabs>
              <w:tab w:val="clear" w:pos="8176"/>
              <w:tab w:val="right" w:pos="9026" w:leader="dot"/>
            </w:tabs>
            <w:rPr/>
          </w:pPr>
          <w:hyperlink w:anchor="__RefHeading___Toc3808229_1067777946">
            <w:r>
              <w:rPr>
                <w:webHidden/>
                <w:rStyle w:val="IndexLink"/>
                <w:rtl w:val="true"/>
              </w:rPr>
              <w:t>ظهار از چهار زن با يك صيغه</w:t>
            </w:r>
            <w:r>
              <w:rPr>
                <w:rStyle w:val="IndexLink"/>
                <w:rtl w:val="true"/>
              </w:rPr>
              <w:tab/>
            </w:r>
            <w:r>
              <w:rPr>
                <w:rStyle w:val="IndexLink"/>
              </w:rPr>
              <w:t>252</w:t>
            </w:r>
          </w:hyperlink>
        </w:p>
        <w:p>
          <w:pPr>
            <w:pStyle w:val="Contents4"/>
            <w:tabs>
              <w:tab w:val="clear" w:pos="8176"/>
              <w:tab w:val="right" w:pos="9026" w:leader="dot"/>
            </w:tabs>
            <w:rPr/>
          </w:pPr>
          <w:hyperlink w:anchor="__RefHeading___Toc3808231_1067777946">
            <w:r>
              <w:rPr>
                <w:webHidden/>
                <w:rStyle w:val="IndexLink"/>
                <w:rtl w:val="true"/>
              </w:rPr>
              <w:t>ظهار مكرّر</w:t>
            </w:r>
            <w:r>
              <w:rPr>
                <w:rStyle w:val="IndexLink"/>
                <w:rtl w:val="true"/>
              </w:rPr>
              <w:tab/>
            </w:r>
            <w:r>
              <w:rPr>
                <w:rStyle w:val="IndexLink"/>
              </w:rPr>
              <w:t>252</w:t>
            </w:r>
          </w:hyperlink>
        </w:p>
        <w:p>
          <w:pPr>
            <w:pStyle w:val="Contents4"/>
            <w:tabs>
              <w:tab w:val="clear" w:pos="8176"/>
              <w:tab w:val="right" w:pos="9026" w:leader="dot"/>
            </w:tabs>
            <w:rPr/>
          </w:pPr>
          <w:hyperlink w:anchor="__RefHeading___Toc3808233_1067777946">
            <w:r>
              <w:rPr>
                <w:webHidden/>
                <w:rStyle w:val="IndexLink"/>
                <w:rtl w:val="true"/>
              </w:rPr>
              <w:t>حكم ظهار مطلق و معلّق</w:t>
            </w:r>
            <w:r>
              <w:rPr>
                <w:rStyle w:val="IndexLink"/>
                <w:rtl w:val="true"/>
              </w:rPr>
              <w:tab/>
            </w:r>
            <w:r>
              <w:rPr>
                <w:rStyle w:val="IndexLink"/>
              </w:rPr>
              <w:t>253</w:t>
            </w:r>
          </w:hyperlink>
        </w:p>
        <w:p>
          <w:pPr>
            <w:pStyle w:val="Contents4"/>
            <w:tabs>
              <w:tab w:val="clear" w:pos="8176"/>
              <w:tab w:val="right" w:pos="9026" w:leader="dot"/>
            </w:tabs>
            <w:rPr/>
          </w:pPr>
          <w:hyperlink w:anchor="__RefHeading___Toc3808235_1067777946">
            <w:r>
              <w:rPr>
                <w:webHidden/>
                <w:rStyle w:val="IndexLink"/>
                <w:rtl w:val="true"/>
              </w:rPr>
              <w:t>حكم تعليق ظهار بر نفى فعل</w:t>
            </w:r>
            <w:r>
              <w:rPr>
                <w:rStyle w:val="IndexLink"/>
                <w:rtl w:val="true"/>
              </w:rPr>
              <w:tab/>
            </w:r>
            <w:r>
              <w:rPr>
                <w:rStyle w:val="IndexLink"/>
              </w:rPr>
              <w:t>253</w:t>
            </w:r>
          </w:hyperlink>
        </w:p>
        <w:p>
          <w:pPr>
            <w:pStyle w:val="Contents4"/>
            <w:tabs>
              <w:tab w:val="clear" w:pos="8176"/>
              <w:tab w:val="right" w:pos="9026" w:leader="dot"/>
            </w:tabs>
            <w:rPr/>
          </w:pPr>
          <w:hyperlink w:anchor="__RefHeading___Toc3808237_1067777946">
            <w:r>
              <w:rPr>
                <w:webHidden/>
                <w:rStyle w:val="IndexLink"/>
                <w:rtl w:val="true"/>
              </w:rPr>
              <w:t>حكم تعليق ظهار بر حمل زن</w:t>
            </w:r>
            <w:r>
              <w:rPr>
                <w:rStyle w:val="IndexLink"/>
                <w:rtl w:val="true"/>
              </w:rPr>
              <w:tab/>
            </w:r>
            <w:r>
              <w:rPr>
                <w:rStyle w:val="IndexLink"/>
              </w:rPr>
              <w:t>253</w:t>
            </w:r>
          </w:hyperlink>
        </w:p>
        <w:p>
          <w:pPr>
            <w:pStyle w:val="Contents4"/>
            <w:tabs>
              <w:tab w:val="clear" w:pos="8176"/>
              <w:tab w:val="right" w:pos="9026" w:leader="dot"/>
            </w:tabs>
            <w:rPr/>
          </w:pPr>
          <w:hyperlink w:anchor="__RefHeading___Toc3808239_1067777946">
            <w:r>
              <w:rPr>
                <w:webHidden/>
                <w:rStyle w:val="IndexLink"/>
                <w:rtl w:val="true"/>
              </w:rPr>
              <w:t>حكم تعليق ظهار بر حيض زن</w:t>
            </w:r>
            <w:r>
              <w:rPr>
                <w:rStyle w:val="IndexLink"/>
                <w:rtl w:val="true"/>
              </w:rPr>
              <w:tab/>
            </w:r>
            <w:r>
              <w:rPr>
                <w:rStyle w:val="IndexLink"/>
              </w:rPr>
              <w:t>254</w:t>
            </w:r>
          </w:hyperlink>
        </w:p>
        <w:p>
          <w:pPr>
            <w:pStyle w:val="Contents4"/>
            <w:tabs>
              <w:tab w:val="clear" w:pos="8176"/>
              <w:tab w:val="right" w:pos="9026" w:leader="dot"/>
            </w:tabs>
            <w:rPr/>
          </w:pPr>
          <w:hyperlink w:anchor="__RefHeading___Toc3808241_1067777946">
            <w:r>
              <w:rPr>
                <w:webHidden/>
                <w:rStyle w:val="IndexLink"/>
                <w:rtl w:val="true"/>
              </w:rPr>
              <w:t>حكم تعليق ظهار بر دخول زن به خانه و يا</w:t>
            </w:r>
            <w:r>
              <w:rPr>
                <w:rStyle w:val="IndexLink"/>
                <w:rtl w:val="true"/>
              </w:rPr>
              <w:t>...</w:t>
              <w:tab/>
            </w:r>
            <w:r>
              <w:rPr>
                <w:rStyle w:val="IndexLink"/>
              </w:rPr>
              <w:t>255</w:t>
            </w:r>
          </w:hyperlink>
        </w:p>
        <w:p>
          <w:pPr>
            <w:pStyle w:val="Contents4"/>
            <w:tabs>
              <w:tab w:val="clear" w:pos="8176"/>
              <w:tab w:val="right" w:pos="9026" w:leader="dot"/>
            </w:tabs>
            <w:rPr/>
          </w:pPr>
          <w:hyperlink w:anchor="__RefHeading___Toc3808243_1067777946">
            <w:r>
              <w:rPr>
                <w:webHidden/>
                <w:rStyle w:val="IndexLink"/>
                <w:rtl w:val="true"/>
              </w:rPr>
              <w:t>حكم تعليق ظهار بر مخالفت امر زوج</w:t>
            </w:r>
            <w:r>
              <w:rPr>
                <w:rStyle w:val="IndexLink"/>
                <w:rtl w:val="true"/>
              </w:rPr>
              <w:tab/>
            </w:r>
            <w:r>
              <w:rPr>
                <w:rStyle w:val="IndexLink"/>
              </w:rPr>
              <w:t>255</w:t>
            </w:r>
          </w:hyperlink>
        </w:p>
        <w:p>
          <w:pPr>
            <w:pStyle w:val="Contents4"/>
            <w:tabs>
              <w:tab w:val="clear" w:pos="8176"/>
              <w:tab w:val="right" w:pos="9026" w:leader="dot"/>
            </w:tabs>
            <w:rPr/>
          </w:pPr>
          <w:hyperlink w:anchor="__RefHeading___Toc3808245_1067777946">
            <w:r>
              <w:rPr>
                <w:webHidden/>
                <w:rStyle w:val="IndexLink"/>
                <w:rtl w:val="true"/>
              </w:rPr>
              <w:t>حكم تعليق ظهار بر قذف زيد يا تكلّم با او</w:t>
            </w:r>
            <w:r>
              <w:rPr>
                <w:rStyle w:val="IndexLink"/>
                <w:rtl w:val="true"/>
              </w:rPr>
              <w:tab/>
            </w:r>
            <w:r>
              <w:rPr>
                <w:rStyle w:val="IndexLink"/>
              </w:rPr>
              <w:t>255</w:t>
            </w:r>
          </w:hyperlink>
        </w:p>
        <w:p>
          <w:pPr>
            <w:pStyle w:val="Contents4"/>
            <w:tabs>
              <w:tab w:val="clear" w:pos="8176"/>
              <w:tab w:val="right" w:pos="9026" w:leader="dot"/>
            </w:tabs>
            <w:rPr/>
          </w:pPr>
          <w:hyperlink w:anchor="__RefHeading___Toc3808247_1067777946">
            <w:r>
              <w:rPr>
                <w:webHidden/>
                <w:rStyle w:val="IndexLink"/>
                <w:rtl w:val="true"/>
              </w:rPr>
              <w:t>حكم تعليق ظهار بر رؤيت زيد</w:t>
            </w:r>
            <w:r>
              <w:rPr>
                <w:rStyle w:val="IndexLink"/>
                <w:rtl w:val="true"/>
              </w:rPr>
              <w:tab/>
            </w:r>
            <w:r>
              <w:rPr>
                <w:rStyle w:val="IndexLink"/>
              </w:rPr>
              <w:t>256</w:t>
            </w:r>
          </w:hyperlink>
        </w:p>
        <w:p>
          <w:pPr>
            <w:pStyle w:val="Contents4"/>
            <w:tabs>
              <w:tab w:val="clear" w:pos="8176"/>
              <w:tab w:val="right" w:pos="9026" w:leader="dot"/>
            </w:tabs>
            <w:rPr/>
          </w:pPr>
          <w:hyperlink w:anchor="__RefHeading___Toc3808249_1067777946">
            <w:r>
              <w:rPr>
                <w:webHidden/>
                <w:rStyle w:val="IndexLink"/>
                <w:rtl w:val="true"/>
              </w:rPr>
              <w:t>حكم تعليق ظهار بر مسّ زيد</w:t>
            </w:r>
            <w:r>
              <w:rPr>
                <w:rStyle w:val="IndexLink"/>
                <w:rtl w:val="true"/>
              </w:rPr>
              <w:tab/>
            </w:r>
            <w:r>
              <w:rPr>
                <w:rStyle w:val="IndexLink"/>
              </w:rPr>
              <w:t>256</w:t>
            </w:r>
          </w:hyperlink>
        </w:p>
        <w:p>
          <w:pPr>
            <w:pStyle w:val="Contents4"/>
            <w:tabs>
              <w:tab w:val="clear" w:pos="8176"/>
              <w:tab w:val="right" w:pos="9026" w:leader="dot"/>
            </w:tabs>
            <w:rPr/>
          </w:pPr>
          <w:hyperlink w:anchor="__RefHeading___Toc3808251_1067777946">
            <w:r>
              <w:rPr>
                <w:webHidden/>
                <w:rStyle w:val="IndexLink"/>
                <w:rtl w:val="true"/>
              </w:rPr>
              <w:t>حكم تعليق ظهار بر ماه مخصوص</w:t>
            </w:r>
            <w:r>
              <w:rPr>
                <w:rStyle w:val="IndexLink"/>
                <w:rtl w:val="true"/>
              </w:rPr>
              <w:tab/>
            </w:r>
            <w:r>
              <w:rPr>
                <w:rStyle w:val="IndexLink"/>
              </w:rPr>
              <w:t>256</w:t>
            </w:r>
          </w:hyperlink>
        </w:p>
        <w:p>
          <w:pPr>
            <w:pStyle w:val="Contents4"/>
            <w:tabs>
              <w:tab w:val="clear" w:pos="8176"/>
              <w:tab w:val="right" w:pos="9026" w:leader="dot"/>
            </w:tabs>
            <w:rPr/>
          </w:pPr>
          <w:hyperlink w:anchor="__RefHeading___Toc3808253_1067777946">
            <w:r>
              <w:rPr>
                <w:webHidden/>
                <w:rStyle w:val="IndexLink"/>
                <w:rtl w:val="true"/>
              </w:rPr>
              <w:t>حكم تعليق ظهار بر امر غير اختيارى</w:t>
            </w:r>
            <w:r>
              <w:rPr>
                <w:rStyle w:val="IndexLink"/>
                <w:rtl w:val="true"/>
              </w:rPr>
              <w:tab/>
            </w:r>
            <w:r>
              <w:rPr>
                <w:rStyle w:val="IndexLink"/>
              </w:rPr>
              <w:t>257</w:t>
            </w:r>
          </w:hyperlink>
        </w:p>
        <w:p>
          <w:pPr>
            <w:pStyle w:val="Contents4"/>
            <w:tabs>
              <w:tab w:val="clear" w:pos="8176"/>
              <w:tab w:val="right" w:pos="9026" w:leader="dot"/>
            </w:tabs>
            <w:rPr/>
          </w:pPr>
          <w:hyperlink w:anchor="__RefHeading___Toc3808255_1067777946">
            <w:r>
              <w:rPr>
                <w:webHidden/>
                <w:rStyle w:val="IndexLink"/>
                <w:rtl w:val="true"/>
              </w:rPr>
              <w:t>حرمت وطى قبل از تكفير</w:t>
            </w:r>
            <w:r>
              <w:rPr>
                <w:rStyle w:val="IndexLink"/>
                <w:rtl w:val="true"/>
              </w:rPr>
              <w:tab/>
            </w:r>
            <w:r>
              <w:rPr>
                <w:rStyle w:val="IndexLink"/>
              </w:rPr>
              <w:t>257</w:t>
            </w:r>
          </w:hyperlink>
        </w:p>
        <w:p>
          <w:pPr>
            <w:pStyle w:val="Contents4"/>
            <w:tabs>
              <w:tab w:val="clear" w:pos="8176"/>
              <w:tab w:val="right" w:pos="9026" w:leader="dot"/>
            </w:tabs>
            <w:rPr/>
          </w:pPr>
          <w:hyperlink w:anchor="__RefHeading___Toc3808257_1067777946">
            <w:r>
              <w:rPr>
                <w:webHidden/>
                <w:rStyle w:val="IndexLink"/>
                <w:rtl w:val="true"/>
              </w:rPr>
              <w:t>اگر مظاهر از اداى كفّاره عاجز بود</w:t>
            </w:r>
            <w:r>
              <w:rPr>
                <w:rStyle w:val="IndexLink"/>
                <w:rtl w:val="true"/>
              </w:rPr>
              <w:tab/>
            </w:r>
            <w:r>
              <w:rPr>
                <w:rStyle w:val="IndexLink"/>
              </w:rPr>
              <w:t>258</w:t>
            </w:r>
          </w:hyperlink>
        </w:p>
        <w:p>
          <w:pPr>
            <w:pStyle w:val="Contents4"/>
            <w:tabs>
              <w:tab w:val="clear" w:pos="8176"/>
              <w:tab w:val="right" w:pos="9026" w:leader="dot"/>
            </w:tabs>
            <w:rPr/>
          </w:pPr>
          <w:hyperlink w:anchor="__RefHeading___Toc3808259_1067777946">
            <w:r>
              <w:rPr>
                <w:webHidden/>
                <w:rStyle w:val="IndexLink"/>
                <w:rtl w:val="true"/>
              </w:rPr>
              <w:t>اگر مظاهر به وظيفۀ خود عمل نكرد</w:t>
            </w:r>
            <w:r>
              <w:rPr>
                <w:rStyle w:val="IndexLink"/>
                <w:rtl w:val="true"/>
              </w:rPr>
              <w:tab/>
            </w:r>
            <w:r>
              <w:rPr>
                <w:rStyle w:val="IndexLink"/>
              </w:rPr>
              <w:t>258</w:t>
            </w:r>
          </w:hyperlink>
        </w:p>
        <w:p>
          <w:pPr>
            <w:pStyle w:val="Contents3"/>
            <w:tabs>
              <w:tab w:val="clear" w:pos="8459"/>
              <w:tab w:val="right" w:pos="9026" w:leader="dot"/>
            </w:tabs>
            <w:rPr/>
          </w:pPr>
          <w:hyperlink w:anchor="__RefHeading___Toc3808261_1067777946">
            <w:r>
              <w:rPr>
                <w:webHidden/>
                <w:rStyle w:val="IndexLink"/>
                <w:rtl w:val="true"/>
              </w:rPr>
              <w:t>فصل چهارم كفّارات ظهار</w:t>
            </w:r>
            <w:r>
              <w:rPr>
                <w:rStyle w:val="IndexLink"/>
                <w:rtl w:val="true"/>
              </w:rPr>
              <w:tab/>
            </w:r>
            <w:r>
              <w:rPr>
                <w:rStyle w:val="IndexLink"/>
              </w:rPr>
              <w:t>259</w:t>
            </w:r>
          </w:hyperlink>
        </w:p>
        <w:p>
          <w:pPr>
            <w:pStyle w:val="Contents4"/>
            <w:tabs>
              <w:tab w:val="clear" w:pos="8176"/>
              <w:tab w:val="right" w:pos="9026" w:leader="dot"/>
            </w:tabs>
            <w:rPr/>
          </w:pPr>
          <w:hyperlink w:anchor="__RefHeading___Toc3808263_1067777946">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3808265_1067777946">
            <w:r>
              <w:rPr>
                <w:webHidden/>
                <w:rStyle w:val="IndexLink"/>
              </w:rPr>
              <w:t>1</w:t>
            </w:r>
            <w:r>
              <w:rPr>
                <w:rStyle w:val="IndexLink"/>
                <w:rtl w:val="true"/>
              </w:rPr>
              <w:t xml:space="preserve">. </w:t>
            </w:r>
            <w:r>
              <w:rPr>
                <w:rStyle w:val="IndexLink"/>
                <w:rtl w:val="true"/>
              </w:rPr>
              <w:t>اقسام كفّاره</w:t>
            </w:r>
            <w:r>
              <w:rPr>
                <w:rStyle w:val="IndexLink"/>
                <w:rtl w:val="true"/>
              </w:rPr>
              <w:tab/>
            </w:r>
            <w:r>
              <w:rPr>
                <w:rStyle w:val="IndexLink"/>
              </w:rPr>
              <w:t>259</w:t>
            </w:r>
          </w:hyperlink>
        </w:p>
        <w:p>
          <w:pPr>
            <w:pStyle w:val="Contents5"/>
            <w:tabs>
              <w:tab w:val="clear" w:pos="7892"/>
              <w:tab w:val="right" w:pos="9026" w:leader="dot"/>
            </w:tabs>
            <w:rPr/>
          </w:pPr>
          <w:hyperlink w:anchor="__RefHeading___Toc3808267_1067777946">
            <w:r>
              <w:rPr>
                <w:webHidden/>
                <w:rStyle w:val="IndexLink"/>
                <w:rtl w:val="true"/>
              </w:rPr>
              <w:t>اشاره</w:t>
            </w:r>
            <w:r>
              <w:rPr>
                <w:rStyle w:val="IndexLink"/>
                <w:rtl w:val="true"/>
              </w:rPr>
              <w:tab/>
            </w:r>
            <w:r>
              <w:rPr>
                <w:rStyle w:val="IndexLink"/>
              </w:rPr>
              <w:t>259</w:t>
            </w:r>
          </w:hyperlink>
        </w:p>
        <w:p>
          <w:pPr>
            <w:pStyle w:val="Contents5"/>
            <w:tabs>
              <w:tab w:val="clear" w:pos="7892"/>
              <w:tab w:val="right" w:pos="9026" w:leader="dot"/>
            </w:tabs>
            <w:rPr/>
          </w:pPr>
          <w:hyperlink w:anchor="__RefHeading___Toc3808269_1067777946">
            <w:r>
              <w:rPr>
                <w:webHidden/>
                <w:rStyle w:val="IndexLink"/>
                <w:rtl w:val="true"/>
              </w:rPr>
              <w:t>موارد كفّاره مرتّبه</w:t>
            </w:r>
            <w:r>
              <w:rPr>
                <w:rStyle w:val="IndexLink"/>
                <w:rtl w:val="true"/>
              </w:rPr>
              <w:tab/>
            </w:r>
            <w:r>
              <w:rPr>
                <w:rStyle w:val="IndexLink"/>
              </w:rPr>
              <w:t>259</w:t>
            </w:r>
          </w:hyperlink>
        </w:p>
        <w:p>
          <w:pPr>
            <w:pStyle w:val="Contents5"/>
            <w:tabs>
              <w:tab w:val="clear" w:pos="7892"/>
              <w:tab w:val="right" w:pos="9026" w:leader="dot"/>
            </w:tabs>
            <w:rPr/>
          </w:pPr>
          <w:hyperlink w:anchor="__RefHeading___Toc3808271_1067777946">
            <w:r>
              <w:rPr>
                <w:webHidden/>
                <w:rStyle w:val="IndexLink"/>
                <w:rtl w:val="true"/>
              </w:rPr>
              <w:t>موارد كفّاره مخيّره</w:t>
            </w:r>
            <w:r>
              <w:rPr>
                <w:rStyle w:val="IndexLink"/>
                <w:rtl w:val="true"/>
              </w:rPr>
              <w:tab/>
            </w:r>
            <w:r>
              <w:rPr>
                <w:rStyle w:val="IndexLink"/>
              </w:rPr>
              <w:t>260</w:t>
            </w:r>
          </w:hyperlink>
        </w:p>
        <w:p>
          <w:pPr>
            <w:pStyle w:val="Contents5"/>
            <w:tabs>
              <w:tab w:val="clear" w:pos="7892"/>
              <w:tab w:val="right" w:pos="9026" w:leader="dot"/>
            </w:tabs>
            <w:rPr/>
          </w:pPr>
          <w:hyperlink w:anchor="__RefHeading___Toc3808273_1067777946">
            <w:r>
              <w:rPr>
                <w:webHidden/>
                <w:rStyle w:val="IndexLink"/>
                <w:rtl w:val="true"/>
              </w:rPr>
              <w:t>كفّاره مطلق نذر</w:t>
            </w:r>
            <w:r>
              <w:rPr>
                <w:rStyle w:val="IndexLink"/>
                <w:rtl w:val="true"/>
              </w:rPr>
              <w:tab/>
            </w:r>
            <w:r>
              <w:rPr>
                <w:rStyle w:val="IndexLink"/>
              </w:rPr>
              <w:t>260</w:t>
            </w:r>
          </w:hyperlink>
        </w:p>
        <w:p>
          <w:pPr>
            <w:pStyle w:val="Contents5"/>
            <w:tabs>
              <w:tab w:val="clear" w:pos="7892"/>
              <w:tab w:val="right" w:pos="9026" w:leader="dot"/>
            </w:tabs>
            <w:rPr/>
          </w:pPr>
          <w:hyperlink w:anchor="__RefHeading___Toc3808275_1067777946">
            <w:r>
              <w:rPr>
                <w:webHidden/>
                <w:rStyle w:val="IndexLink"/>
                <w:rtl w:val="true"/>
              </w:rPr>
              <w:t>كفّاره يمين</w:t>
            </w:r>
            <w:r>
              <w:rPr>
                <w:rStyle w:val="IndexLink"/>
                <w:rtl w:val="true"/>
              </w:rPr>
              <w:tab/>
            </w:r>
            <w:r>
              <w:rPr>
                <w:rStyle w:val="IndexLink"/>
              </w:rPr>
              <w:t>260</w:t>
            </w:r>
          </w:hyperlink>
        </w:p>
        <w:p>
          <w:pPr>
            <w:pStyle w:val="Contents5"/>
            <w:tabs>
              <w:tab w:val="clear" w:pos="7892"/>
              <w:tab w:val="right" w:pos="9026" w:leader="dot"/>
            </w:tabs>
            <w:rPr/>
          </w:pPr>
          <w:hyperlink w:anchor="__RefHeading___Toc3808277_1067777946">
            <w:r>
              <w:rPr>
                <w:webHidden/>
                <w:rStyle w:val="IndexLink"/>
                <w:rtl w:val="true"/>
              </w:rPr>
              <w:t>كفّاره جمع</w:t>
            </w:r>
            <w:r>
              <w:rPr>
                <w:rStyle w:val="IndexLink"/>
                <w:rtl w:val="true"/>
              </w:rPr>
              <w:tab/>
            </w:r>
            <w:r>
              <w:rPr>
                <w:rStyle w:val="IndexLink"/>
              </w:rPr>
              <w:t>260</w:t>
            </w:r>
          </w:hyperlink>
        </w:p>
        <w:p>
          <w:pPr>
            <w:pStyle w:val="Contents5"/>
            <w:tabs>
              <w:tab w:val="clear" w:pos="7892"/>
              <w:tab w:val="right" w:pos="9026" w:leader="dot"/>
            </w:tabs>
            <w:rPr/>
          </w:pPr>
          <w:hyperlink w:anchor="__RefHeading___Toc3808279_1067777946">
            <w:r>
              <w:rPr>
                <w:webHidden/>
                <w:rStyle w:val="IndexLink"/>
                <w:rtl w:val="true"/>
              </w:rPr>
              <w:t>چند مسأله</w:t>
            </w:r>
            <w:r>
              <w:rPr>
                <w:rStyle w:val="IndexLink"/>
                <w:rtl w:val="true"/>
              </w:rPr>
              <w:tab/>
            </w:r>
            <w:r>
              <w:rPr>
                <w:rStyle w:val="IndexLink"/>
              </w:rPr>
              <w:t>260</w:t>
            </w:r>
          </w:hyperlink>
        </w:p>
        <w:p>
          <w:pPr>
            <w:pStyle w:val="Contents6"/>
            <w:tabs>
              <w:tab w:val="clear" w:pos="7609"/>
              <w:tab w:val="right" w:pos="9026" w:leader="dot"/>
            </w:tabs>
            <w:rPr/>
          </w:pPr>
          <w:hyperlink w:anchor="__RefHeading___Toc3808281_1067777946">
            <w:r>
              <w:rPr>
                <w:webHidden/>
                <w:rStyle w:val="IndexLink"/>
                <w:rtl w:val="true"/>
              </w:rPr>
              <w:t>حلف بر برائت</w:t>
            </w:r>
            <w:r>
              <w:rPr>
                <w:rStyle w:val="IndexLink"/>
                <w:rtl w:val="true"/>
              </w:rPr>
              <w:tab/>
            </w:r>
            <w:r>
              <w:rPr>
                <w:rStyle w:val="IndexLink"/>
              </w:rPr>
              <w:t>260</w:t>
            </w:r>
          </w:hyperlink>
        </w:p>
        <w:p>
          <w:pPr>
            <w:pStyle w:val="Contents6"/>
            <w:tabs>
              <w:tab w:val="clear" w:pos="7609"/>
              <w:tab w:val="right" w:pos="9026" w:leader="dot"/>
            </w:tabs>
            <w:rPr/>
          </w:pPr>
          <w:hyperlink w:anchor="__RefHeading___Toc3808283_1067777946">
            <w:r>
              <w:rPr>
                <w:webHidden/>
                <w:rStyle w:val="IndexLink"/>
                <w:rtl w:val="true"/>
              </w:rPr>
              <w:t>كندن مو يا كشيدن آن در مصيبت</w:t>
            </w:r>
            <w:r>
              <w:rPr>
                <w:rStyle w:val="IndexLink"/>
                <w:rtl w:val="true"/>
              </w:rPr>
              <w:tab/>
            </w:r>
            <w:r>
              <w:rPr>
                <w:rStyle w:val="IndexLink"/>
              </w:rPr>
              <w:t>261</w:t>
            </w:r>
          </w:hyperlink>
        </w:p>
        <w:p>
          <w:pPr>
            <w:pStyle w:val="Contents6"/>
            <w:tabs>
              <w:tab w:val="clear" w:pos="7609"/>
              <w:tab w:val="right" w:pos="9026" w:leader="dot"/>
            </w:tabs>
            <w:rPr/>
          </w:pPr>
          <w:hyperlink w:anchor="__RefHeading___Toc3808285_1067777946">
            <w:r>
              <w:rPr>
                <w:webHidden/>
                <w:rStyle w:val="IndexLink"/>
                <w:rtl w:val="true"/>
              </w:rPr>
              <w:t>كفارۀ كندن مو يا شكافتن جامه در مصيبت</w:t>
            </w:r>
            <w:r>
              <w:rPr>
                <w:rStyle w:val="IndexLink"/>
                <w:rtl w:val="true"/>
              </w:rPr>
              <w:tab/>
            </w:r>
            <w:r>
              <w:rPr>
                <w:rStyle w:val="IndexLink"/>
              </w:rPr>
              <w:t>261</w:t>
            </w:r>
          </w:hyperlink>
        </w:p>
        <w:p>
          <w:pPr>
            <w:pStyle w:val="Contents6"/>
            <w:tabs>
              <w:tab w:val="clear" w:pos="7609"/>
              <w:tab w:val="right" w:pos="9026" w:leader="dot"/>
            </w:tabs>
            <w:rPr/>
          </w:pPr>
          <w:hyperlink w:anchor="__RefHeading___Toc3808287_1067777946">
            <w:r>
              <w:rPr>
                <w:webHidden/>
                <w:rStyle w:val="IndexLink"/>
                <w:rtl w:val="true"/>
              </w:rPr>
              <w:t>كفارۀ وطى امۀ حائض</w:t>
            </w:r>
            <w:r>
              <w:rPr>
                <w:rStyle w:val="IndexLink"/>
                <w:rtl w:val="true"/>
              </w:rPr>
              <w:tab/>
            </w:r>
            <w:r>
              <w:rPr>
                <w:rStyle w:val="IndexLink"/>
              </w:rPr>
              <w:t>262</w:t>
            </w:r>
          </w:hyperlink>
        </w:p>
        <w:p>
          <w:pPr>
            <w:pStyle w:val="Contents6"/>
            <w:tabs>
              <w:tab w:val="clear" w:pos="7609"/>
              <w:tab w:val="right" w:pos="9026" w:leader="dot"/>
            </w:tabs>
            <w:rPr/>
          </w:pPr>
          <w:hyperlink w:anchor="__RefHeading___Toc3808289_1067777946">
            <w:r>
              <w:rPr>
                <w:webHidden/>
                <w:rStyle w:val="IndexLink"/>
                <w:rtl w:val="true"/>
              </w:rPr>
              <w:t>استحباب تكفير به پنج صاع آرد</w:t>
            </w:r>
            <w:r>
              <w:rPr>
                <w:rStyle w:val="IndexLink"/>
                <w:rtl w:val="true"/>
              </w:rPr>
              <w:tab/>
            </w:r>
            <w:r>
              <w:rPr>
                <w:rStyle w:val="IndexLink"/>
              </w:rPr>
              <w:t>262</w:t>
            </w:r>
          </w:hyperlink>
        </w:p>
        <w:p>
          <w:pPr>
            <w:pStyle w:val="Contents6"/>
            <w:tabs>
              <w:tab w:val="clear" w:pos="7609"/>
              <w:tab w:val="right" w:pos="9026" w:leader="dot"/>
            </w:tabs>
            <w:rPr/>
          </w:pPr>
          <w:hyperlink w:anchor="__RefHeading___Toc3808291_1067777946">
            <w:r>
              <w:rPr>
                <w:webHidden/>
                <w:rStyle w:val="IndexLink"/>
                <w:rtl w:val="true"/>
              </w:rPr>
              <w:t>حكم خواب در وقت نماز عشا تا نصف شب</w:t>
            </w:r>
            <w:r>
              <w:rPr>
                <w:rStyle w:val="IndexLink"/>
                <w:rtl w:val="true"/>
              </w:rPr>
              <w:tab/>
            </w:r>
            <w:r>
              <w:rPr>
                <w:rStyle w:val="IndexLink"/>
              </w:rPr>
              <w:t>262</w:t>
            </w:r>
          </w:hyperlink>
        </w:p>
        <w:p>
          <w:pPr>
            <w:pStyle w:val="Contents6"/>
            <w:tabs>
              <w:tab w:val="clear" w:pos="7609"/>
              <w:tab w:val="right" w:pos="9026" w:leader="dot"/>
            </w:tabs>
            <w:rPr/>
          </w:pPr>
          <w:hyperlink w:anchor="__RefHeading___Toc3808293_1067777946">
            <w:r>
              <w:rPr>
                <w:webHidden/>
                <w:rStyle w:val="IndexLink"/>
                <w:rtl w:val="true"/>
              </w:rPr>
              <w:t>طارى شدن عجز در صوم نذرى</w:t>
            </w:r>
            <w:r>
              <w:rPr>
                <w:rStyle w:val="IndexLink"/>
                <w:rtl w:val="true"/>
              </w:rPr>
              <w:tab/>
            </w:r>
            <w:r>
              <w:rPr>
                <w:rStyle w:val="IndexLink"/>
              </w:rPr>
              <w:t>262</w:t>
            </w:r>
          </w:hyperlink>
        </w:p>
        <w:p>
          <w:pPr>
            <w:pStyle w:val="Contents4"/>
            <w:tabs>
              <w:tab w:val="clear" w:pos="8176"/>
              <w:tab w:val="right" w:pos="9026" w:leader="dot"/>
            </w:tabs>
            <w:rPr/>
          </w:pPr>
          <w:hyperlink w:anchor="__RefHeading___Toc3808295_1067777946">
            <w:r>
              <w:rPr>
                <w:webHidden/>
                <w:rStyle w:val="IndexLink"/>
              </w:rPr>
              <w:t>2</w:t>
            </w:r>
            <w:r>
              <w:rPr>
                <w:rStyle w:val="IndexLink"/>
                <w:rtl w:val="true"/>
              </w:rPr>
              <w:t xml:space="preserve">. </w:t>
            </w:r>
            <w:r>
              <w:rPr>
                <w:rStyle w:val="IndexLink"/>
                <w:rtl w:val="true"/>
              </w:rPr>
              <w:t>خصال كفّاره</w:t>
            </w:r>
            <w:r>
              <w:rPr>
                <w:rStyle w:val="IndexLink"/>
                <w:rtl w:val="true"/>
              </w:rPr>
              <w:tab/>
            </w:r>
            <w:r>
              <w:rPr>
                <w:rStyle w:val="IndexLink"/>
              </w:rPr>
              <w:t>262</w:t>
            </w:r>
          </w:hyperlink>
        </w:p>
        <w:p>
          <w:pPr>
            <w:pStyle w:val="Contents5"/>
            <w:tabs>
              <w:tab w:val="clear" w:pos="7892"/>
              <w:tab w:val="right" w:pos="9026" w:leader="dot"/>
            </w:tabs>
            <w:rPr/>
          </w:pPr>
          <w:hyperlink w:anchor="__RefHeading___Toc3808297_1067777946">
            <w:r>
              <w:rPr>
                <w:webHidden/>
                <w:rStyle w:val="IndexLink"/>
                <w:rtl w:val="true"/>
              </w:rPr>
              <w:t>اول</w:t>
            </w:r>
            <w:r>
              <w:rPr>
                <w:rStyle w:val="IndexLink"/>
                <w:rtl w:val="true"/>
              </w:rPr>
              <w:t xml:space="preserve">. </w:t>
            </w:r>
            <w:r>
              <w:rPr>
                <w:rStyle w:val="IndexLink"/>
                <w:rtl w:val="true"/>
              </w:rPr>
              <w:t>عتق</w:t>
            </w:r>
            <w:r>
              <w:rPr>
                <w:rStyle w:val="IndexLink"/>
                <w:rtl w:val="true"/>
              </w:rPr>
              <w:tab/>
            </w:r>
            <w:r>
              <w:rPr>
                <w:rStyle w:val="IndexLink"/>
              </w:rPr>
              <w:t>262</w:t>
            </w:r>
          </w:hyperlink>
        </w:p>
        <w:p>
          <w:pPr>
            <w:pStyle w:val="Contents6"/>
            <w:tabs>
              <w:tab w:val="clear" w:pos="7609"/>
              <w:tab w:val="right" w:pos="9026" w:leader="dot"/>
            </w:tabs>
            <w:rPr/>
          </w:pPr>
          <w:hyperlink w:anchor="__RefHeading___Toc3808299_1067777946">
            <w:r>
              <w:rPr>
                <w:webHidden/>
                <w:rStyle w:val="IndexLink"/>
                <w:rtl w:val="true"/>
              </w:rPr>
              <w:t>اشاره</w:t>
            </w:r>
            <w:r>
              <w:rPr>
                <w:rStyle w:val="IndexLink"/>
                <w:rtl w:val="true"/>
              </w:rPr>
              <w:tab/>
            </w:r>
            <w:r>
              <w:rPr>
                <w:rStyle w:val="IndexLink"/>
              </w:rPr>
              <w:t>262</w:t>
            </w:r>
          </w:hyperlink>
        </w:p>
        <w:p>
          <w:pPr>
            <w:pStyle w:val="Contents6"/>
            <w:tabs>
              <w:tab w:val="clear" w:pos="7609"/>
              <w:tab w:val="right" w:pos="9026" w:leader="dot"/>
            </w:tabs>
            <w:rPr/>
          </w:pPr>
          <w:hyperlink w:anchor="__RefHeading___Toc3808301_1067777946">
            <w:r>
              <w:rPr>
                <w:webHidden/>
                <w:rStyle w:val="IndexLink"/>
                <w:rtl w:val="true"/>
              </w:rPr>
              <w:t>اوصاف معتبره در رقبه</w:t>
            </w:r>
            <w:r>
              <w:rPr>
                <w:rStyle w:val="IndexLink"/>
                <w:rtl w:val="true"/>
              </w:rPr>
              <w:tab/>
            </w:r>
            <w:r>
              <w:rPr>
                <w:rStyle w:val="IndexLink"/>
              </w:rPr>
              <w:t>263</w:t>
            </w:r>
          </w:hyperlink>
        </w:p>
        <w:p>
          <w:pPr>
            <w:pStyle w:val="Contents6"/>
            <w:tabs>
              <w:tab w:val="clear" w:pos="7609"/>
              <w:tab w:val="right" w:pos="9026" w:leader="dot"/>
            </w:tabs>
            <w:rPr/>
          </w:pPr>
          <w:hyperlink w:anchor="__RefHeading___Toc3808303_1067777946">
            <w:r>
              <w:rPr>
                <w:webHidden/>
                <w:rStyle w:val="IndexLink"/>
                <w:rtl w:val="true"/>
              </w:rPr>
              <w:t>الف</w:t>
            </w:r>
            <w:r>
              <w:rPr>
                <w:rStyle w:val="IndexLink"/>
                <w:rtl w:val="true"/>
              </w:rPr>
              <w:t xml:space="preserve">. </w:t>
            </w:r>
            <w:r>
              <w:rPr>
                <w:rStyle w:val="IndexLink"/>
                <w:rtl w:val="true"/>
              </w:rPr>
              <w:t>ايمان</w:t>
            </w:r>
            <w:r>
              <w:rPr>
                <w:rStyle w:val="IndexLink"/>
                <w:rtl w:val="true"/>
              </w:rPr>
              <w:tab/>
            </w:r>
            <w:r>
              <w:rPr>
                <w:rStyle w:val="IndexLink"/>
              </w:rPr>
              <w:t>263</w:t>
            </w:r>
          </w:hyperlink>
        </w:p>
        <w:p>
          <w:pPr>
            <w:pStyle w:val="Contents6"/>
            <w:tabs>
              <w:tab w:val="clear" w:pos="7609"/>
              <w:tab w:val="right" w:pos="9026" w:leader="dot"/>
            </w:tabs>
            <w:rPr/>
          </w:pPr>
          <w:hyperlink w:anchor="__RefHeading___Toc3808305_1067777946">
            <w:r>
              <w:rPr>
                <w:webHidden/>
                <w:rStyle w:val="IndexLink"/>
                <w:rtl w:val="true"/>
              </w:rPr>
              <w:t>ب</w:t>
            </w:r>
            <w:r>
              <w:rPr>
                <w:rStyle w:val="IndexLink"/>
                <w:rtl w:val="true"/>
              </w:rPr>
              <w:t xml:space="preserve">. </w:t>
            </w:r>
            <w:r>
              <w:rPr>
                <w:rStyle w:val="IndexLink"/>
                <w:rtl w:val="true"/>
              </w:rPr>
              <w:t>سلامتى از عيوب</w:t>
            </w:r>
            <w:r>
              <w:rPr>
                <w:rStyle w:val="IndexLink"/>
                <w:rtl w:val="true"/>
              </w:rPr>
              <w:tab/>
            </w:r>
            <w:r>
              <w:rPr>
                <w:rStyle w:val="IndexLink"/>
              </w:rPr>
              <w:t>264</w:t>
            </w:r>
          </w:hyperlink>
        </w:p>
        <w:p>
          <w:pPr>
            <w:pStyle w:val="Contents6"/>
            <w:tabs>
              <w:tab w:val="clear" w:pos="7609"/>
              <w:tab w:val="right" w:pos="9026" w:leader="dot"/>
            </w:tabs>
            <w:rPr/>
          </w:pPr>
          <w:hyperlink w:anchor="__RefHeading___Toc3808307_1067777946">
            <w:r>
              <w:rPr>
                <w:webHidden/>
                <w:rStyle w:val="IndexLink"/>
                <w:rtl w:val="true"/>
              </w:rPr>
              <w:t>ج</w:t>
            </w:r>
            <w:r>
              <w:rPr>
                <w:rStyle w:val="IndexLink"/>
                <w:rtl w:val="true"/>
              </w:rPr>
              <w:t xml:space="preserve">. </w:t>
            </w:r>
            <w:r>
              <w:rPr>
                <w:rStyle w:val="IndexLink"/>
                <w:rtl w:val="true"/>
              </w:rPr>
              <w:t>تماميّت مِلك</w:t>
            </w:r>
            <w:r>
              <w:rPr>
                <w:rStyle w:val="IndexLink"/>
                <w:rtl w:val="true"/>
              </w:rPr>
              <w:tab/>
            </w:r>
            <w:r>
              <w:rPr>
                <w:rStyle w:val="IndexLink"/>
              </w:rPr>
              <w:t>264</w:t>
            </w:r>
          </w:hyperlink>
        </w:p>
        <w:p>
          <w:pPr>
            <w:pStyle w:val="Contents6"/>
            <w:tabs>
              <w:tab w:val="clear" w:pos="7609"/>
              <w:tab w:val="right" w:pos="9026" w:leader="dot"/>
            </w:tabs>
            <w:rPr/>
          </w:pPr>
          <w:hyperlink w:anchor="__RefHeading___Toc3808309_1067777946">
            <w:r>
              <w:rPr>
                <w:webHidden/>
                <w:rStyle w:val="IndexLink"/>
                <w:rtl w:val="true"/>
              </w:rPr>
              <w:t>امور معتبره در صحّت عتق</w:t>
            </w:r>
            <w:r>
              <w:rPr>
                <w:rStyle w:val="IndexLink"/>
                <w:rtl w:val="true"/>
              </w:rPr>
              <w:tab/>
            </w:r>
            <w:r>
              <w:rPr>
                <w:rStyle w:val="IndexLink"/>
              </w:rPr>
              <w:t>267</w:t>
            </w:r>
          </w:hyperlink>
        </w:p>
        <w:p>
          <w:pPr>
            <w:pStyle w:val="Contents6"/>
            <w:tabs>
              <w:tab w:val="clear" w:pos="7609"/>
              <w:tab w:val="right" w:pos="9026" w:leader="dot"/>
            </w:tabs>
            <w:rPr/>
          </w:pPr>
          <w:hyperlink w:anchor="__RefHeading___Toc3808311_1067777946">
            <w:r>
              <w:rPr>
                <w:webHidden/>
                <w:rStyle w:val="IndexLink"/>
                <w:rtl w:val="true"/>
              </w:rPr>
              <w:t>الف</w:t>
            </w:r>
            <w:r>
              <w:rPr>
                <w:rStyle w:val="IndexLink"/>
                <w:rtl w:val="true"/>
              </w:rPr>
              <w:t xml:space="preserve">. </w:t>
            </w:r>
            <w:r>
              <w:rPr>
                <w:rStyle w:val="IndexLink"/>
                <w:rtl w:val="true"/>
              </w:rPr>
              <w:t>نيّت</w:t>
            </w:r>
            <w:r>
              <w:rPr>
                <w:rStyle w:val="IndexLink"/>
                <w:rtl w:val="true"/>
              </w:rPr>
              <w:tab/>
            </w:r>
            <w:r>
              <w:rPr>
                <w:rStyle w:val="IndexLink"/>
              </w:rPr>
              <w:t>267</w:t>
            </w:r>
          </w:hyperlink>
        </w:p>
        <w:p>
          <w:pPr>
            <w:pStyle w:val="Contents6"/>
            <w:tabs>
              <w:tab w:val="clear" w:pos="7609"/>
              <w:tab w:val="right" w:pos="9026" w:leader="dot"/>
            </w:tabs>
            <w:rPr/>
          </w:pPr>
          <w:hyperlink w:anchor="__RefHeading___Toc3808313_1067777946">
            <w:r>
              <w:rPr>
                <w:webHidden/>
                <w:rStyle w:val="IndexLink"/>
                <w:rtl w:val="true"/>
              </w:rPr>
              <w:t>ب</w:t>
            </w:r>
            <w:r>
              <w:rPr>
                <w:rStyle w:val="IndexLink"/>
                <w:rtl w:val="true"/>
              </w:rPr>
              <w:t xml:space="preserve">. </w:t>
            </w:r>
            <w:r>
              <w:rPr>
                <w:rStyle w:val="IndexLink"/>
                <w:rtl w:val="true"/>
              </w:rPr>
              <w:t>مجرّد بودن از عوض</w:t>
            </w:r>
            <w:r>
              <w:rPr>
                <w:rStyle w:val="IndexLink"/>
                <w:rtl w:val="true"/>
              </w:rPr>
              <w:tab/>
            </w:r>
            <w:r>
              <w:rPr>
                <w:rStyle w:val="IndexLink"/>
              </w:rPr>
              <w:t>268</w:t>
            </w:r>
          </w:hyperlink>
        </w:p>
        <w:p>
          <w:pPr>
            <w:pStyle w:val="Contents6"/>
            <w:tabs>
              <w:tab w:val="clear" w:pos="7609"/>
              <w:tab w:val="right" w:pos="9026" w:leader="dot"/>
            </w:tabs>
            <w:rPr/>
          </w:pPr>
          <w:hyperlink w:anchor="__RefHeading___Toc3808315_1067777946">
            <w:r>
              <w:rPr>
                <w:webHidden/>
                <w:rStyle w:val="IndexLink"/>
                <w:rtl w:val="true"/>
              </w:rPr>
              <w:t>ج</w:t>
            </w:r>
            <w:r>
              <w:rPr>
                <w:rStyle w:val="IndexLink"/>
                <w:rtl w:val="true"/>
              </w:rPr>
              <w:t xml:space="preserve">. </w:t>
            </w:r>
            <w:r>
              <w:rPr>
                <w:rStyle w:val="IndexLink"/>
                <w:rtl w:val="true"/>
              </w:rPr>
              <w:t>حرام نبودن سبب</w:t>
            </w:r>
            <w:r>
              <w:rPr>
                <w:rStyle w:val="IndexLink"/>
                <w:rtl w:val="true"/>
              </w:rPr>
              <w:tab/>
            </w:r>
            <w:r>
              <w:rPr>
                <w:rStyle w:val="IndexLink"/>
              </w:rPr>
              <w:t>269</w:t>
            </w:r>
          </w:hyperlink>
        </w:p>
        <w:p>
          <w:pPr>
            <w:pStyle w:val="Contents5"/>
            <w:tabs>
              <w:tab w:val="clear" w:pos="7892"/>
              <w:tab w:val="right" w:pos="9026" w:leader="dot"/>
            </w:tabs>
            <w:rPr/>
          </w:pPr>
          <w:hyperlink w:anchor="__RefHeading___Toc3808317_1067777946">
            <w:r>
              <w:rPr>
                <w:webHidden/>
                <w:rStyle w:val="IndexLink"/>
              </w:rPr>
              <w:t>2</w:t>
            </w:r>
            <w:r>
              <w:rPr>
                <w:rStyle w:val="IndexLink"/>
                <w:rtl w:val="true"/>
              </w:rPr>
              <w:t xml:space="preserve">. </w:t>
            </w:r>
            <w:r>
              <w:rPr>
                <w:rStyle w:val="IndexLink"/>
                <w:rtl w:val="true"/>
              </w:rPr>
              <w:t>صوم</w:t>
            </w:r>
            <w:r>
              <w:rPr>
                <w:rStyle w:val="IndexLink"/>
                <w:rtl w:val="true"/>
              </w:rPr>
              <w:tab/>
            </w:r>
            <w:r>
              <w:rPr>
                <w:rStyle w:val="IndexLink"/>
              </w:rPr>
              <w:t>269</w:t>
            </w:r>
          </w:hyperlink>
        </w:p>
        <w:p>
          <w:pPr>
            <w:pStyle w:val="Contents6"/>
            <w:tabs>
              <w:tab w:val="clear" w:pos="7609"/>
              <w:tab w:val="right" w:pos="9026" w:leader="dot"/>
            </w:tabs>
            <w:rPr/>
          </w:pPr>
          <w:hyperlink w:anchor="__RefHeading___Toc3808319_1067777946">
            <w:r>
              <w:rPr>
                <w:webHidden/>
                <w:rStyle w:val="IndexLink"/>
                <w:rtl w:val="true"/>
              </w:rPr>
              <w:t>اشاره</w:t>
            </w:r>
            <w:r>
              <w:rPr>
                <w:rStyle w:val="IndexLink"/>
                <w:rtl w:val="true"/>
              </w:rPr>
              <w:tab/>
            </w:r>
            <w:r>
              <w:rPr>
                <w:rStyle w:val="IndexLink"/>
              </w:rPr>
              <w:t>269</w:t>
            </w:r>
          </w:hyperlink>
        </w:p>
        <w:p>
          <w:pPr>
            <w:pStyle w:val="Contents6"/>
            <w:tabs>
              <w:tab w:val="clear" w:pos="7609"/>
              <w:tab w:val="right" w:pos="9026" w:leader="dot"/>
            </w:tabs>
            <w:rPr/>
          </w:pPr>
          <w:hyperlink w:anchor="__RefHeading___Toc3808321_1067777946">
            <w:r>
              <w:rPr>
                <w:webHidden/>
                <w:rStyle w:val="IndexLink"/>
                <w:rtl w:val="true"/>
              </w:rPr>
              <w:t>مراد از وجدان و عدم آن در خصال كفاره</w:t>
            </w:r>
            <w:r>
              <w:rPr>
                <w:rStyle w:val="IndexLink"/>
                <w:rtl w:val="true"/>
              </w:rPr>
              <w:tab/>
            </w:r>
            <w:r>
              <w:rPr>
                <w:rStyle w:val="IndexLink"/>
              </w:rPr>
              <w:t>269</w:t>
            </w:r>
          </w:hyperlink>
        </w:p>
        <w:p>
          <w:pPr>
            <w:pStyle w:val="Contents6"/>
            <w:tabs>
              <w:tab w:val="clear" w:pos="7609"/>
              <w:tab w:val="right" w:pos="9026" w:leader="dot"/>
            </w:tabs>
            <w:rPr/>
          </w:pPr>
          <w:hyperlink w:anchor="__RefHeading___Toc3808323_1067777946">
            <w:r>
              <w:rPr>
                <w:webHidden/>
                <w:rStyle w:val="IndexLink"/>
                <w:rtl w:val="true"/>
              </w:rPr>
              <w:t>حكم افطار در كفارۀ پى درپى</w:t>
            </w:r>
            <w:r>
              <w:rPr>
                <w:rStyle w:val="IndexLink"/>
                <w:rtl w:val="true"/>
              </w:rPr>
              <w:tab/>
            </w:r>
            <w:r>
              <w:rPr>
                <w:rStyle w:val="IndexLink"/>
              </w:rPr>
              <w:t>270</w:t>
            </w:r>
          </w:hyperlink>
        </w:p>
        <w:p>
          <w:pPr>
            <w:pStyle w:val="Contents5"/>
            <w:tabs>
              <w:tab w:val="clear" w:pos="7892"/>
              <w:tab w:val="right" w:pos="9026" w:leader="dot"/>
            </w:tabs>
            <w:rPr/>
          </w:pPr>
          <w:hyperlink w:anchor="__RefHeading___Toc3808325_1067777946">
            <w:r>
              <w:rPr>
                <w:webHidden/>
                <w:rStyle w:val="IndexLink"/>
              </w:rPr>
              <w:t>3</w:t>
            </w:r>
            <w:r>
              <w:rPr>
                <w:rStyle w:val="IndexLink"/>
                <w:rtl w:val="true"/>
              </w:rPr>
              <w:t xml:space="preserve">. </w:t>
            </w:r>
            <w:r>
              <w:rPr>
                <w:rStyle w:val="IndexLink"/>
                <w:rtl w:val="true"/>
              </w:rPr>
              <w:t>اطعام</w:t>
            </w:r>
            <w:r>
              <w:rPr>
                <w:rStyle w:val="IndexLink"/>
                <w:rtl w:val="true"/>
              </w:rPr>
              <w:tab/>
            </w:r>
            <w:r>
              <w:rPr>
                <w:rStyle w:val="IndexLink"/>
              </w:rPr>
              <w:t>271</w:t>
            </w:r>
          </w:hyperlink>
        </w:p>
        <w:p>
          <w:pPr>
            <w:pStyle w:val="Contents6"/>
            <w:tabs>
              <w:tab w:val="clear" w:pos="7609"/>
              <w:tab w:val="right" w:pos="9026" w:leader="dot"/>
            </w:tabs>
            <w:rPr/>
          </w:pPr>
          <w:hyperlink w:anchor="__RefHeading___Toc3808327_1067777946">
            <w:r>
              <w:rPr>
                <w:webHidden/>
                <w:rStyle w:val="IndexLink"/>
                <w:rtl w:val="true"/>
              </w:rPr>
              <w:t>اشاره</w:t>
            </w:r>
            <w:r>
              <w:rPr>
                <w:rStyle w:val="IndexLink"/>
                <w:rtl w:val="true"/>
              </w:rPr>
              <w:tab/>
            </w:r>
            <w:r>
              <w:rPr>
                <w:rStyle w:val="IndexLink"/>
              </w:rPr>
              <w:t>271</w:t>
            </w:r>
          </w:hyperlink>
        </w:p>
        <w:p>
          <w:pPr>
            <w:pStyle w:val="Contents6"/>
            <w:tabs>
              <w:tab w:val="clear" w:pos="7609"/>
              <w:tab w:val="right" w:pos="9026" w:leader="dot"/>
            </w:tabs>
            <w:rPr/>
          </w:pPr>
          <w:hyperlink w:anchor="__RefHeading___Toc3808329_1067777946">
            <w:r>
              <w:rPr>
                <w:webHidden/>
                <w:rStyle w:val="IndexLink"/>
                <w:rtl w:val="true"/>
              </w:rPr>
              <w:t>كافى بودن تسليم طعام و مقدار طعام در كفاره</w:t>
            </w:r>
            <w:r>
              <w:rPr>
                <w:rStyle w:val="IndexLink"/>
                <w:rtl w:val="true"/>
              </w:rPr>
              <w:tab/>
            </w:r>
            <w:r>
              <w:rPr>
                <w:rStyle w:val="IndexLink"/>
              </w:rPr>
              <w:t>271</w:t>
            </w:r>
          </w:hyperlink>
        </w:p>
        <w:p>
          <w:pPr>
            <w:pStyle w:val="Contents6"/>
            <w:tabs>
              <w:tab w:val="clear" w:pos="7609"/>
              <w:tab w:val="right" w:pos="9026" w:leader="dot"/>
            </w:tabs>
            <w:rPr/>
          </w:pPr>
          <w:hyperlink w:anchor="__RefHeading___Toc3808331_1067777946">
            <w:r>
              <w:rPr>
                <w:webHidden/>
                <w:rStyle w:val="IndexLink"/>
                <w:rtl w:val="true"/>
              </w:rPr>
              <w:t>دادن چند كفاره به فقير واحد</w:t>
            </w:r>
            <w:r>
              <w:rPr>
                <w:rStyle w:val="IndexLink"/>
                <w:rtl w:val="true"/>
              </w:rPr>
              <w:tab/>
            </w:r>
            <w:r>
              <w:rPr>
                <w:rStyle w:val="IndexLink"/>
              </w:rPr>
              <w:t>271</w:t>
            </w:r>
          </w:hyperlink>
        </w:p>
        <w:p>
          <w:pPr>
            <w:pStyle w:val="Contents6"/>
            <w:tabs>
              <w:tab w:val="clear" w:pos="7609"/>
              <w:tab w:val="right" w:pos="9026" w:leader="dot"/>
            </w:tabs>
            <w:rPr/>
          </w:pPr>
          <w:hyperlink w:anchor="__RefHeading___Toc3808333_1067777946">
            <w:r>
              <w:rPr>
                <w:webHidden/>
                <w:rStyle w:val="IndexLink"/>
                <w:rtl w:val="true"/>
              </w:rPr>
              <w:t>چيزهايى كه براى اطعام كفايت مى كند و حدّ اطعام</w:t>
            </w:r>
            <w:r>
              <w:rPr>
                <w:rStyle w:val="IndexLink"/>
                <w:rtl w:val="true"/>
              </w:rPr>
              <w:tab/>
            </w:r>
            <w:r>
              <w:rPr>
                <w:rStyle w:val="IndexLink"/>
              </w:rPr>
              <w:t>272</w:t>
            </w:r>
          </w:hyperlink>
        </w:p>
        <w:p>
          <w:pPr>
            <w:pStyle w:val="Contents6"/>
            <w:tabs>
              <w:tab w:val="clear" w:pos="7609"/>
              <w:tab w:val="right" w:pos="9026" w:leader="dot"/>
            </w:tabs>
            <w:rPr/>
          </w:pPr>
          <w:hyperlink w:anchor="__RefHeading___Toc3808335_1067777946">
            <w:r>
              <w:rPr>
                <w:webHidden/>
                <w:rStyle w:val="IndexLink"/>
                <w:rtl w:val="true"/>
              </w:rPr>
              <w:t>اعتبار قصد قربت در خصال كفاره</w:t>
            </w:r>
            <w:r>
              <w:rPr>
                <w:rStyle w:val="IndexLink"/>
                <w:rtl w:val="true"/>
              </w:rPr>
              <w:tab/>
            </w:r>
            <w:r>
              <w:rPr>
                <w:rStyle w:val="IndexLink"/>
              </w:rPr>
              <w:t>272</w:t>
            </w:r>
          </w:hyperlink>
        </w:p>
        <w:p>
          <w:pPr>
            <w:pStyle w:val="Contents6"/>
            <w:tabs>
              <w:tab w:val="clear" w:pos="7609"/>
              <w:tab w:val="right" w:pos="9026" w:leader="dot"/>
            </w:tabs>
            <w:rPr/>
          </w:pPr>
          <w:hyperlink w:anchor="__RefHeading___Toc3808337_1067777946">
            <w:r>
              <w:rPr>
                <w:webHidden/>
                <w:rStyle w:val="IndexLink"/>
                <w:rtl w:val="true"/>
              </w:rPr>
              <w:t>موارد مختلفۀ جواز اطعام</w:t>
            </w:r>
            <w:r>
              <w:rPr>
                <w:rStyle w:val="IndexLink"/>
                <w:rtl w:val="true"/>
              </w:rPr>
              <w:tab/>
            </w:r>
            <w:r>
              <w:rPr>
                <w:rStyle w:val="IndexLink"/>
              </w:rPr>
              <w:t>272</w:t>
            </w:r>
          </w:hyperlink>
        </w:p>
        <w:p>
          <w:pPr>
            <w:pStyle w:val="Contents6"/>
            <w:tabs>
              <w:tab w:val="clear" w:pos="7609"/>
              <w:tab w:val="right" w:pos="9026" w:leader="dot"/>
            </w:tabs>
            <w:rPr/>
          </w:pPr>
          <w:hyperlink w:anchor="__RefHeading___Toc3808339_1067777946">
            <w:r>
              <w:rPr>
                <w:webHidden/>
                <w:rStyle w:val="IndexLink"/>
                <w:rtl w:val="true"/>
              </w:rPr>
              <w:t>دادن كفارۀ طعام به صغير</w:t>
            </w:r>
            <w:r>
              <w:rPr>
                <w:rStyle w:val="IndexLink"/>
                <w:rtl w:val="true"/>
              </w:rPr>
              <w:tab/>
            </w:r>
            <w:r>
              <w:rPr>
                <w:rStyle w:val="IndexLink"/>
              </w:rPr>
              <w:t>273</w:t>
            </w:r>
          </w:hyperlink>
        </w:p>
        <w:p>
          <w:pPr>
            <w:pStyle w:val="Contents6"/>
            <w:tabs>
              <w:tab w:val="clear" w:pos="7609"/>
              <w:tab w:val="right" w:pos="9026" w:leader="dot"/>
            </w:tabs>
            <w:rPr/>
          </w:pPr>
          <w:hyperlink w:anchor="__RefHeading___Toc3808341_1067777946">
            <w:r>
              <w:rPr>
                <w:webHidden/>
                <w:rStyle w:val="IndexLink"/>
                <w:rtl w:val="true"/>
              </w:rPr>
              <w:t>فقيرى كه كفاره به او تعلّق مى گيرد</w:t>
            </w:r>
            <w:r>
              <w:rPr>
                <w:rStyle w:val="IndexLink"/>
                <w:rtl w:val="true"/>
              </w:rPr>
              <w:tab/>
            </w:r>
            <w:r>
              <w:rPr>
                <w:rStyle w:val="IndexLink"/>
              </w:rPr>
              <w:t>273</w:t>
            </w:r>
          </w:hyperlink>
        </w:p>
        <w:p>
          <w:pPr>
            <w:pStyle w:val="Contents5"/>
            <w:tabs>
              <w:tab w:val="clear" w:pos="7892"/>
              <w:tab w:val="right" w:pos="9026" w:leader="dot"/>
            </w:tabs>
            <w:rPr/>
          </w:pPr>
          <w:hyperlink w:anchor="__RefHeading___Toc3808343_1067777946">
            <w:r>
              <w:rPr>
                <w:webHidden/>
                <w:rStyle w:val="IndexLink"/>
              </w:rPr>
              <w:t>4</w:t>
            </w:r>
            <w:r>
              <w:rPr>
                <w:rStyle w:val="IndexLink"/>
                <w:rtl w:val="true"/>
              </w:rPr>
              <w:t xml:space="preserve">. </w:t>
            </w:r>
            <w:r>
              <w:rPr>
                <w:rStyle w:val="IndexLink"/>
                <w:rtl w:val="true"/>
              </w:rPr>
              <w:t>كِسوه</w:t>
            </w:r>
            <w:r>
              <w:rPr>
                <w:rStyle w:val="IndexLink"/>
                <w:rtl w:val="true"/>
              </w:rPr>
              <w:tab/>
            </w:r>
            <w:r>
              <w:rPr>
                <w:rStyle w:val="IndexLink"/>
              </w:rPr>
              <w:t>273</w:t>
            </w:r>
          </w:hyperlink>
        </w:p>
        <w:p>
          <w:pPr>
            <w:pStyle w:val="Contents6"/>
            <w:tabs>
              <w:tab w:val="clear" w:pos="7609"/>
              <w:tab w:val="right" w:pos="9026" w:leader="dot"/>
            </w:tabs>
            <w:rPr/>
          </w:pPr>
          <w:hyperlink w:anchor="__RefHeading___Toc3808345_1067777946">
            <w:r>
              <w:rPr>
                <w:webHidden/>
                <w:rStyle w:val="IndexLink"/>
                <w:rtl w:val="true"/>
              </w:rPr>
              <w:t>مراد از لباس در كسوه</w:t>
            </w:r>
            <w:r>
              <w:rPr>
                <w:rStyle w:val="IndexLink"/>
                <w:rtl w:val="true"/>
              </w:rPr>
              <w:tab/>
            </w:r>
            <w:r>
              <w:rPr>
                <w:rStyle w:val="IndexLink"/>
              </w:rPr>
              <w:t>273</w:t>
            </w:r>
          </w:hyperlink>
        </w:p>
        <w:p>
          <w:pPr>
            <w:pStyle w:val="Contents4"/>
            <w:tabs>
              <w:tab w:val="clear" w:pos="8176"/>
              <w:tab w:val="right" w:pos="9026" w:leader="dot"/>
            </w:tabs>
            <w:rPr/>
          </w:pPr>
          <w:hyperlink w:anchor="__RefHeading___Toc3808347_1067777946">
            <w:r>
              <w:rPr>
                <w:webHidden/>
                <w:rStyle w:val="IndexLink"/>
                <w:rtl w:val="true"/>
              </w:rPr>
              <w:t>چند مسأله</w:t>
            </w:r>
            <w:r>
              <w:rPr>
                <w:rStyle w:val="IndexLink"/>
                <w:rtl w:val="true"/>
              </w:rPr>
              <w:tab/>
            </w:r>
            <w:r>
              <w:rPr>
                <w:rStyle w:val="IndexLink"/>
              </w:rPr>
              <w:t>274</w:t>
            </w:r>
          </w:hyperlink>
        </w:p>
        <w:p>
          <w:pPr>
            <w:pStyle w:val="Contents5"/>
            <w:tabs>
              <w:tab w:val="clear" w:pos="7892"/>
              <w:tab w:val="right" w:pos="9026" w:leader="dot"/>
            </w:tabs>
            <w:rPr/>
          </w:pPr>
          <w:hyperlink w:anchor="__RefHeading___Toc3808349_1067777946">
            <w:r>
              <w:rPr>
                <w:webHidden/>
                <w:rStyle w:val="IndexLink"/>
                <w:rtl w:val="true"/>
              </w:rPr>
              <w:t>كفارۀ ايلاء از افراد كفارۀ يمين</w:t>
            </w:r>
            <w:r>
              <w:rPr>
                <w:rStyle w:val="IndexLink"/>
                <w:rtl w:val="true"/>
              </w:rPr>
              <w:tab/>
            </w:r>
            <w:r>
              <w:rPr>
                <w:rStyle w:val="IndexLink"/>
              </w:rPr>
              <w:t>274</w:t>
            </w:r>
          </w:hyperlink>
        </w:p>
        <w:p>
          <w:pPr>
            <w:pStyle w:val="Contents5"/>
            <w:tabs>
              <w:tab w:val="clear" w:pos="7892"/>
              <w:tab w:val="right" w:pos="9026" w:leader="dot"/>
            </w:tabs>
            <w:rPr/>
          </w:pPr>
          <w:hyperlink w:anchor="__RefHeading___Toc3808351_1067777946">
            <w:r>
              <w:rPr>
                <w:webHidden/>
                <w:rStyle w:val="IndexLink"/>
                <w:rtl w:val="true"/>
              </w:rPr>
              <w:t>استحباب عتق مملوك در صورت زدن او</w:t>
            </w:r>
            <w:r>
              <w:rPr>
                <w:rStyle w:val="IndexLink"/>
                <w:rtl w:val="true"/>
              </w:rPr>
              <w:tab/>
            </w:r>
            <w:r>
              <w:rPr>
                <w:rStyle w:val="IndexLink"/>
              </w:rPr>
              <w:t>274</w:t>
            </w:r>
          </w:hyperlink>
        </w:p>
        <w:p>
          <w:pPr>
            <w:pStyle w:val="Contents5"/>
            <w:tabs>
              <w:tab w:val="clear" w:pos="7892"/>
              <w:tab w:val="right" w:pos="9026" w:leader="dot"/>
            </w:tabs>
            <w:rPr/>
          </w:pPr>
          <w:hyperlink w:anchor="__RefHeading___Toc3808353_1067777946">
            <w:r>
              <w:rPr>
                <w:webHidden/>
                <w:rStyle w:val="IndexLink"/>
                <w:rtl w:val="true"/>
              </w:rPr>
              <w:t>كفايت دو ماه قمرى در كفاره</w:t>
            </w:r>
            <w:r>
              <w:rPr>
                <w:rStyle w:val="IndexLink"/>
                <w:rtl w:val="true"/>
              </w:rPr>
              <w:tab/>
            </w:r>
            <w:r>
              <w:rPr>
                <w:rStyle w:val="IndexLink"/>
              </w:rPr>
              <w:t>274</w:t>
            </w:r>
          </w:hyperlink>
        </w:p>
        <w:p>
          <w:pPr>
            <w:pStyle w:val="Contents5"/>
            <w:tabs>
              <w:tab w:val="clear" w:pos="7892"/>
              <w:tab w:val="right" w:pos="9026" w:leader="dot"/>
            </w:tabs>
            <w:rPr/>
          </w:pPr>
          <w:hyperlink w:anchor="__RefHeading___Toc3808355_1067777946">
            <w:r>
              <w:rPr>
                <w:webHidden/>
                <w:rStyle w:val="IndexLink"/>
                <w:rtl w:val="true"/>
              </w:rPr>
              <w:t>مراد از عجز و قدرت در خصال كفاره</w:t>
            </w:r>
            <w:r>
              <w:rPr>
                <w:rStyle w:val="IndexLink"/>
                <w:rtl w:val="true"/>
              </w:rPr>
              <w:tab/>
            </w:r>
            <w:r>
              <w:rPr>
                <w:rStyle w:val="IndexLink"/>
              </w:rPr>
              <w:t>275</w:t>
            </w:r>
          </w:hyperlink>
        </w:p>
        <w:p>
          <w:pPr>
            <w:pStyle w:val="Contents5"/>
            <w:tabs>
              <w:tab w:val="clear" w:pos="7892"/>
              <w:tab w:val="right" w:pos="9026" w:leader="dot"/>
            </w:tabs>
            <w:rPr/>
          </w:pPr>
          <w:hyperlink w:anchor="__RefHeading___Toc3808357_1067777946">
            <w:r>
              <w:rPr>
                <w:webHidden/>
                <w:rStyle w:val="IndexLink"/>
                <w:rtl w:val="true"/>
              </w:rPr>
              <w:t>وجوب عتق بر عبد بعد از تمكّن</w:t>
            </w:r>
            <w:r>
              <w:rPr>
                <w:rStyle w:val="IndexLink"/>
                <w:rtl w:val="true"/>
              </w:rPr>
              <w:tab/>
            </w:r>
            <w:r>
              <w:rPr>
                <w:rStyle w:val="IndexLink"/>
              </w:rPr>
              <w:t>275</w:t>
            </w:r>
          </w:hyperlink>
        </w:p>
        <w:p>
          <w:pPr>
            <w:pStyle w:val="Contents5"/>
            <w:tabs>
              <w:tab w:val="clear" w:pos="7892"/>
              <w:tab w:val="right" w:pos="9026" w:leader="dot"/>
            </w:tabs>
            <w:rPr/>
          </w:pPr>
          <w:hyperlink w:anchor="__RefHeading___Toc3808359_1067777946">
            <w:r>
              <w:rPr>
                <w:webHidden/>
                <w:rStyle w:val="IndexLink"/>
                <w:rtl w:val="true"/>
              </w:rPr>
              <w:t>لزوم صبر براى وصول مال غائب، در كفاره</w:t>
            </w:r>
            <w:r>
              <w:rPr>
                <w:rStyle w:val="IndexLink"/>
                <w:rtl w:val="true"/>
              </w:rPr>
              <w:tab/>
            </w:r>
            <w:r>
              <w:rPr>
                <w:rStyle w:val="IndexLink"/>
              </w:rPr>
              <w:t>275</w:t>
            </w:r>
          </w:hyperlink>
        </w:p>
        <w:p>
          <w:pPr>
            <w:pStyle w:val="Contents5"/>
            <w:tabs>
              <w:tab w:val="clear" w:pos="7892"/>
              <w:tab w:val="right" w:pos="9026" w:leader="dot"/>
            </w:tabs>
            <w:rPr/>
          </w:pPr>
          <w:hyperlink w:anchor="__RefHeading___Toc3808361_1067777946">
            <w:r>
              <w:rPr>
                <w:webHidden/>
                <w:rStyle w:val="IndexLink"/>
                <w:rtl w:val="true"/>
              </w:rPr>
              <w:t>اگر در وسط صوم قادر بر عتق شود و مانند آن</w:t>
            </w:r>
            <w:r>
              <w:rPr>
                <w:rStyle w:val="IndexLink"/>
                <w:rtl w:val="true"/>
              </w:rPr>
              <w:tab/>
            </w:r>
            <w:r>
              <w:rPr>
                <w:rStyle w:val="IndexLink"/>
              </w:rPr>
              <w:t>276</w:t>
            </w:r>
          </w:hyperlink>
        </w:p>
        <w:p>
          <w:pPr>
            <w:pStyle w:val="Contents5"/>
            <w:tabs>
              <w:tab w:val="clear" w:pos="7892"/>
              <w:tab w:val="right" w:pos="9026" w:leader="dot"/>
            </w:tabs>
            <w:rPr/>
          </w:pPr>
          <w:hyperlink w:anchor="__RefHeading___Toc3808363_1067777946">
            <w:r>
              <w:rPr>
                <w:webHidden/>
                <w:rStyle w:val="IndexLink"/>
                <w:rtl w:val="true"/>
              </w:rPr>
              <w:t>عدم اجزاى عتق قبل از عود</w:t>
            </w:r>
            <w:r>
              <w:rPr>
                <w:rStyle w:val="IndexLink"/>
                <w:rtl w:val="true"/>
              </w:rPr>
              <w:tab/>
            </w:r>
            <w:r>
              <w:rPr>
                <w:rStyle w:val="IndexLink"/>
              </w:rPr>
              <w:t>276</w:t>
            </w:r>
          </w:hyperlink>
        </w:p>
        <w:p>
          <w:pPr>
            <w:pStyle w:val="Contents5"/>
            <w:tabs>
              <w:tab w:val="clear" w:pos="7892"/>
              <w:tab w:val="right" w:pos="9026" w:leader="dot"/>
            </w:tabs>
            <w:rPr/>
          </w:pPr>
          <w:hyperlink w:anchor="__RefHeading___Toc3808365_1067777946">
            <w:r>
              <w:rPr>
                <w:webHidden/>
                <w:rStyle w:val="IndexLink"/>
                <w:rtl w:val="true"/>
              </w:rPr>
              <w:t>كيفيّت دفع كفّاره به طفل و مجنون</w:t>
            </w:r>
            <w:r>
              <w:rPr>
                <w:rStyle w:val="IndexLink"/>
                <w:rtl w:val="true"/>
              </w:rPr>
              <w:tab/>
            </w:r>
            <w:r>
              <w:rPr>
                <w:rStyle w:val="IndexLink"/>
              </w:rPr>
              <w:t>276</w:t>
            </w:r>
          </w:hyperlink>
        </w:p>
        <w:p>
          <w:pPr>
            <w:pStyle w:val="Contents5"/>
            <w:tabs>
              <w:tab w:val="clear" w:pos="7892"/>
              <w:tab w:val="right" w:pos="9026" w:leader="dot"/>
            </w:tabs>
            <w:rPr/>
          </w:pPr>
          <w:hyperlink w:anchor="__RefHeading___Toc3808367_1067777946">
            <w:r>
              <w:rPr>
                <w:webHidden/>
                <w:rStyle w:val="IndexLink"/>
                <w:rtl w:val="true"/>
              </w:rPr>
              <w:t>عدم جواز پرداخت نفقه به واجب النفقه</w:t>
            </w:r>
            <w:r>
              <w:rPr>
                <w:rStyle w:val="IndexLink"/>
                <w:rtl w:val="true"/>
              </w:rPr>
              <w:tab/>
            </w:r>
            <w:r>
              <w:rPr>
                <w:rStyle w:val="IndexLink"/>
              </w:rPr>
              <w:t>276</w:t>
            </w:r>
          </w:hyperlink>
        </w:p>
        <w:p>
          <w:pPr>
            <w:pStyle w:val="Contents5"/>
            <w:tabs>
              <w:tab w:val="clear" w:pos="7892"/>
              <w:tab w:val="right" w:pos="9026" w:leader="dot"/>
            </w:tabs>
            <w:rPr/>
          </w:pPr>
          <w:hyperlink w:anchor="__RefHeading___Toc3808369_1067777946">
            <w:r>
              <w:rPr>
                <w:webHidden/>
                <w:rStyle w:val="IndexLink"/>
                <w:rtl w:val="true"/>
              </w:rPr>
              <w:t>وجوب تقديم تكفير از ظهار بر مقاربت</w:t>
            </w:r>
            <w:r>
              <w:rPr>
                <w:rStyle w:val="IndexLink"/>
                <w:rtl w:val="true"/>
              </w:rPr>
              <w:tab/>
            </w:r>
            <w:r>
              <w:rPr>
                <w:rStyle w:val="IndexLink"/>
              </w:rPr>
              <w:t>277</w:t>
            </w:r>
          </w:hyperlink>
        </w:p>
        <w:p>
          <w:pPr>
            <w:pStyle w:val="Contents5"/>
            <w:tabs>
              <w:tab w:val="clear" w:pos="7892"/>
              <w:tab w:val="right" w:pos="9026" w:leader="dot"/>
            </w:tabs>
            <w:rPr/>
          </w:pPr>
          <w:hyperlink w:anchor="__RefHeading___Toc3808371_1067777946">
            <w:r>
              <w:rPr>
                <w:webHidden/>
                <w:rStyle w:val="IndexLink"/>
                <w:rtl w:val="true"/>
              </w:rPr>
              <w:t>تكميل يا تفريق هر خصلت كفّاره</w:t>
            </w:r>
            <w:r>
              <w:rPr>
                <w:rStyle w:val="IndexLink"/>
                <w:rtl w:val="true"/>
              </w:rPr>
              <w:tab/>
            </w:r>
            <w:r>
              <w:rPr>
                <w:rStyle w:val="IndexLink"/>
              </w:rPr>
              <w:t>277</w:t>
            </w:r>
          </w:hyperlink>
        </w:p>
        <w:p>
          <w:pPr>
            <w:pStyle w:val="Contents5"/>
            <w:tabs>
              <w:tab w:val="clear" w:pos="7892"/>
              <w:tab w:val="right" w:pos="9026" w:leader="dot"/>
            </w:tabs>
            <w:rPr/>
          </w:pPr>
          <w:hyperlink w:anchor="__RefHeading___Toc3808373_1067777946">
            <w:r>
              <w:rPr>
                <w:webHidden/>
                <w:rStyle w:val="IndexLink"/>
                <w:rtl w:val="true"/>
              </w:rPr>
              <w:t>عدم كفايت پرداخت قيمت</w:t>
            </w:r>
            <w:r>
              <w:rPr>
                <w:rStyle w:val="IndexLink"/>
                <w:rtl w:val="true"/>
              </w:rPr>
              <w:tab/>
            </w:r>
            <w:r>
              <w:rPr>
                <w:rStyle w:val="IndexLink"/>
              </w:rPr>
              <w:t>277</w:t>
            </w:r>
          </w:hyperlink>
        </w:p>
        <w:p>
          <w:pPr>
            <w:pStyle w:val="Contents5"/>
            <w:tabs>
              <w:tab w:val="clear" w:pos="7892"/>
              <w:tab w:val="right" w:pos="9026" w:leader="dot"/>
            </w:tabs>
            <w:rPr/>
          </w:pPr>
          <w:hyperlink w:anchor="__RefHeading___Toc3808375_1067777946">
            <w:r>
              <w:rPr>
                <w:webHidden/>
                <w:rStyle w:val="IndexLink"/>
                <w:rtl w:val="true"/>
              </w:rPr>
              <w:t>كسى كه كفارۀ دو ماه بر او واجب شده و قادر نيست</w:t>
            </w:r>
            <w:r>
              <w:rPr>
                <w:rStyle w:val="IndexLink"/>
                <w:rtl w:val="true"/>
              </w:rPr>
              <w:tab/>
            </w:r>
            <w:r>
              <w:rPr>
                <w:rStyle w:val="IndexLink"/>
              </w:rPr>
              <w:t>277</w:t>
            </w:r>
          </w:hyperlink>
        </w:p>
        <w:p>
          <w:pPr>
            <w:pStyle w:val="Contents2"/>
            <w:tabs>
              <w:tab w:val="clear" w:pos="8743"/>
              <w:tab w:val="right" w:pos="9026" w:leader="dot"/>
            </w:tabs>
            <w:rPr/>
          </w:pPr>
          <w:hyperlink w:anchor="__RefHeading___Toc3808377_1067777946">
            <w:r>
              <w:rPr>
                <w:webHidden/>
                <w:rStyle w:val="IndexLink"/>
                <w:rtl w:val="true"/>
              </w:rPr>
              <w:t>كتاب ايلاء</w:t>
            </w:r>
            <w:r>
              <w:rPr>
                <w:rStyle w:val="IndexLink"/>
                <w:rtl w:val="true"/>
              </w:rPr>
              <w:tab/>
            </w:r>
            <w:r>
              <w:rPr>
                <w:rStyle w:val="IndexLink"/>
              </w:rPr>
              <w:t>280</w:t>
            </w:r>
          </w:hyperlink>
        </w:p>
        <w:p>
          <w:pPr>
            <w:pStyle w:val="Contents3"/>
            <w:tabs>
              <w:tab w:val="clear" w:pos="8459"/>
              <w:tab w:val="right" w:pos="9026" w:leader="dot"/>
            </w:tabs>
            <w:rPr/>
          </w:pPr>
          <w:hyperlink w:anchor="__RefHeading___Toc3808379_1067777946">
            <w:r>
              <w:rPr>
                <w:webHidden/>
                <w:rStyle w:val="IndexLink"/>
                <w:rtl w:val="true"/>
              </w:rPr>
              <w:t>اشاره</w:t>
            </w:r>
            <w:r>
              <w:rPr>
                <w:rStyle w:val="IndexLink"/>
                <w:rtl w:val="true"/>
              </w:rPr>
              <w:tab/>
            </w:r>
            <w:r>
              <w:rPr>
                <w:rStyle w:val="IndexLink"/>
              </w:rPr>
              <w:t>280</w:t>
            </w:r>
          </w:hyperlink>
        </w:p>
        <w:p>
          <w:pPr>
            <w:pStyle w:val="Contents3"/>
            <w:tabs>
              <w:tab w:val="clear" w:pos="8459"/>
              <w:tab w:val="right" w:pos="9026" w:leader="dot"/>
            </w:tabs>
            <w:rPr/>
          </w:pPr>
          <w:hyperlink w:anchor="__RefHeading___Toc3808381_1067777946">
            <w:r>
              <w:rPr>
                <w:webHidden/>
                <w:rStyle w:val="IndexLink"/>
                <w:rtl w:val="true"/>
              </w:rPr>
              <w:t>فصل اوّل صيغۀ ايلاء و شرايط مُولىٖ و مُولىٰ‌</w:t>
            </w:r>
            <w:r>
              <w:rPr>
                <w:rStyle w:val="IndexLink"/>
                <w:rtl w:val="true"/>
              </w:rPr>
              <w:tab/>
            </w:r>
            <w:r>
              <w:rPr>
                <w:rStyle w:val="IndexLink"/>
              </w:rPr>
              <w:t>282</w:t>
            </w:r>
          </w:hyperlink>
        </w:p>
        <w:p>
          <w:pPr>
            <w:pStyle w:val="Contents4"/>
            <w:tabs>
              <w:tab w:val="clear" w:pos="8176"/>
              <w:tab w:val="right" w:pos="9026" w:leader="dot"/>
            </w:tabs>
            <w:rPr/>
          </w:pPr>
          <w:hyperlink w:anchor="__RefHeading___Toc3808383_1067777946">
            <w:r>
              <w:rPr>
                <w:webHidden/>
                <w:rStyle w:val="IndexLink"/>
                <w:rtl w:val="true"/>
              </w:rPr>
              <w:t>تعريف ايلاء</w:t>
            </w:r>
            <w:r>
              <w:rPr>
                <w:rStyle w:val="IndexLink"/>
                <w:rtl w:val="true"/>
              </w:rPr>
              <w:tab/>
            </w:r>
            <w:r>
              <w:rPr>
                <w:rStyle w:val="IndexLink"/>
              </w:rPr>
              <w:t>282</w:t>
            </w:r>
          </w:hyperlink>
        </w:p>
        <w:p>
          <w:pPr>
            <w:pStyle w:val="Contents4"/>
            <w:tabs>
              <w:tab w:val="clear" w:pos="8176"/>
              <w:tab w:val="right" w:pos="9026" w:leader="dot"/>
            </w:tabs>
            <w:rPr/>
          </w:pPr>
          <w:hyperlink w:anchor="__RefHeading___Toc3808385_1067777946">
            <w:r>
              <w:rPr>
                <w:webHidden/>
                <w:rStyle w:val="IndexLink"/>
              </w:rPr>
              <w:t>1</w:t>
            </w:r>
            <w:r>
              <w:rPr>
                <w:rStyle w:val="IndexLink"/>
                <w:rtl w:val="true"/>
              </w:rPr>
              <w:t xml:space="preserve">. </w:t>
            </w:r>
            <w:r>
              <w:rPr>
                <w:rStyle w:val="IndexLink"/>
                <w:rtl w:val="true"/>
              </w:rPr>
              <w:t>صيغۀ ايلاء و شروط آن</w:t>
            </w:r>
            <w:r>
              <w:rPr>
                <w:rStyle w:val="IndexLink"/>
                <w:rtl w:val="true"/>
              </w:rPr>
              <w:tab/>
            </w:r>
            <w:r>
              <w:rPr>
                <w:rStyle w:val="IndexLink"/>
              </w:rPr>
              <w:t>282</w:t>
            </w:r>
          </w:hyperlink>
        </w:p>
        <w:p>
          <w:pPr>
            <w:pStyle w:val="Contents4"/>
            <w:tabs>
              <w:tab w:val="clear" w:pos="8176"/>
              <w:tab w:val="right" w:pos="9026" w:leader="dot"/>
            </w:tabs>
            <w:rPr/>
          </w:pPr>
          <w:hyperlink w:anchor="__RefHeading___Toc3808387_1067777946">
            <w:r>
              <w:rPr>
                <w:webHidden/>
                <w:rStyle w:val="IndexLink"/>
              </w:rPr>
              <w:t>2</w:t>
            </w:r>
            <w:r>
              <w:rPr>
                <w:rStyle w:val="IndexLink"/>
                <w:rtl w:val="true"/>
              </w:rPr>
              <w:t xml:space="preserve">. </w:t>
            </w:r>
            <w:r>
              <w:rPr>
                <w:rStyle w:val="IndexLink"/>
                <w:rtl w:val="true"/>
              </w:rPr>
              <w:t>شرائط ايلاءكننده</w:t>
            </w:r>
            <w:r>
              <w:rPr>
                <w:rStyle w:val="IndexLink"/>
                <w:rtl w:val="true"/>
              </w:rPr>
              <w:tab/>
            </w:r>
            <w:r>
              <w:rPr>
                <w:rStyle w:val="IndexLink"/>
              </w:rPr>
              <w:t>283</w:t>
            </w:r>
          </w:hyperlink>
        </w:p>
        <w:p>
          <w:pPr>
            <w:pStyle w:val="Contents4"/>
            <w:tabs>
              <w:tab w:val="clear" w:pos="8176"/>
              <w:tab w:val="right" w:pos="9026" w:leader="dot"/>
            </w:tabs>
            <w:rPr/>
          </w:pPr>
          <w:hyperlink w:anchor="__RefHeading___Toc3808389_1067777946">
            <w:r>
              <w:rPr>
                <w:webHidden/>
                <w:rStyle w:val="IndexLink"/>
              </w:rPr>
              <w:t>3</w:t>
            </w:r>
            <w:r>
              <w:rPr>
                <w:rStyle w:val="IndexLink"/>
                <w:rtl w:val="true"/>
              </w:rPr>
              <w:t xml:space="preserve">. </w:t>
            </w:r>
            <w:r>
              <w:rPr>
                <w:rStyle w:val="IndexLink"/>
                <w:rtl w:val="true"/>
              </w:rPr>
              <w:t>شرائط ايلاء شونده</w:t>
            </w:r>
            <w:r>
              <w:rPr>
                <w:rStyle w:val="IndexLink"/>
                <w:rtl w:val="true"/>
              </w:rPr>
              <w:tab/>
            </w:r>
            <w:r>
              <w:rPr>
                <w:rStyle w:val="IndexLink"/>
              </w:rPr>
              <w:t>284</w:t>
            </w:r>
          </w:hyperlink>
        </w:p>
        <w:p>
          <w:pPr>
            <w:pStyle w:val="Contents3"/>
            <w:tabs>
              <w:tab w:val="clear" w:pos="8459"/>
              <w:tab w:val="right" w:pos="9026" w:leader="dot"/>
            </w:tabs>
            <w:rPr/>
          </w:pPr>
          <w:hyperlink w:anchor="__RefHeading___Toc3808391_1067777946">
            <w:r>
              <w:rPr>
                <w:webHidden/>
                <w:rStyle w:val="IndexLink"/>
                <w:rtl w:val="true"/>
              </w:rPr>
              <w:t>فصل دوّم احكام ايلاء</w:t>
            </w:r>
            <w:r>
              <w:rPr>
                <w:rStyle w:val="IndexLink"/>
                <w:rtl w:val="true"/>
              </w:rPr>
              <w:tab/>
            </w:r>
            <w:r>
              <w:rPr>
                <w:rStyle w:val="IndexLink"/>
              </w:rPr>
              <w:t>285</w:t>
            </w:r>
          </w:hyperlink>
        </w:p>
        <w:p>
          <w:pPr>
            <w:pStyle w:val="Contents4"/>
            <w:tabs>
              <w:tab w:val="clear" w:pos="8176"/>
              <w:tab w:val="right" w:pos="9026" w:leader="dot"/>
            </w:tabs>
            <w:rPr/>
          </w:pPr>
          <w:hyperlink w:anchor="__RefHeading___Toc3808393_1067777946">
            <w:r>
              <w:rPr>
                <w:webHidden/>
                <w:rStyle w:val="IndexLink"/>
                <w:rtl w:val="true"/>
              </w:rPr>
              <w:t>حدّ اقل زمانى كه با آن ايلاء محقق مى شود</w:t>
            </w:r>
            <w:r>
              <w:rPr>
                <w:rStyle w:val="IndexLink"/>
                <w:rtl w:val="true"/>
              </w:rPr>
              <w:tab/>
            </w:r>
            <w:r>
              <w:rPr>
                <w:rStyle w:val="IndexLink"/>
              </w:rPr>
              <w:t>285</w:t>
            </w:r>
          </w:hyperlink>
        </w:p>
        <w:p>
          <w:pPr>
            <w:pStyle w:val="Contents4"/>
            <w:tabs>
              <w:tab w:val="clear" w:pos="8176"/>
              <w:tab w:val="right" w:pos="9026" w:leader="dot"/>
            </w:tabs>
            <w:rPr/>
          </w:pPr>
          <w:hyperlink w:anchor="__RefHeading___Toc3808395_1067777946">
            <w:r>
              <w:rPr>
                <w:webHidden/>
                <w:rStyle w:val="IndexLink"/>
                <w:rtl w:val="true"/>
              </w:rPr>
              <w:t>مدت انتظار در ايلاء</w:t>
            </w:r>
            <w:r>
              <w:rPr>
                <w:rStyle w:val="IndexLink"/>
                <w:rtl w:val="true"/>
              </w:rPr>
              <w:tab/>
            </w:r>
            <w:r>
              <w:rPr>
                <w:rStyle w:val="IndexLink"/>
              </w:rPr>
              <w:t>286</w:t>
            </w:r>
          </w:hyperlink>
        </w:p>
        <w:p>
          <w:pPr>
            <w:pStyle w:val="Contents4"/>
            <w:tabs>
              <w:tab w:val="clear" w:pos="8176"/>
              <w:tab w:val="right" w:pos="9026" w:leader="dot"/>
            </w:tabs>
            <w:rPr/>
          </w:pPr>
          <w:hyperlink w:anchor="__RefHeading___Toc3808397_1067777946">
            <w:r>
              <w:rPr>
                <w:webHidden/>
                <w:rStyle w:val="IndexLink"/>
                <w:rtl w:val="true"/>
              </w:rPr>
              <w:t>حكم اختلاف در انقضاى مدت و زمان وقوع ايلاء</w:t>
            </w:r>
            <w:r>
              <w:rPr>
                <w:rStyle w:val="IndexLink"/>
                <w:rtl w:val="true"/>
              </w:rPr>
              <w:tab/>
            </w:r>
            <w:r>
              <w:rPr>
                <w:rStyle w:val="IndexLink"/>
              </w:rPr>
              <w:t>287</w:t>
            </w:r>
          </w:hyperlink>
        </w:p>
        <w:p>
          <w:pPr>
            <w:pStyle w:val="Contents4"/>
            <w:tabs>
              <w:tab w:val="clear" w:pos="8176"/>
              <w:tab w:val="right" w:pos="9026" w:leader="dot"/>
            </w:tabs>
            <w:rPr/>
          </w:pPr>
          <w:hyperlink w:anchor="__RefHeading___Toc3808399_1067777946">
            <w:r>
              <w:rPr>
                <w:webHidden/>
                <w:rStyle w:val="IndexLink"/>
                <w:rtl w:val="true"/>
              </w:rPr>
              <w:t>حكم وجود مانع از وطى بعد از انقضاى مدت انتظار</w:t>
            </w:r>
            <w:r>
              <w:rPr>
                <w:rStyle w:val="IndexLink"/>
                <w:rtl w:val="true"/>
              </w:rPr>
              <w:tab/>
            </w:r>
            <w:r>
              <w:rPr>
                <w:rStyle w:val="IndexLink"/>
              </w:rPr>
              <w:t>287</w:t>
            </w:r>
          </w:hyperlink>
        </w:p>
        <w:p>
          <w:pPr>
            <w:pStyle w:val="Contents4"/>
            <w:tabs>
              <w:tab w:val="clear" w:pos="8176"/>
              <w:tab w:val="right" w:pos="9026" w:leader="dot"/>
            </w:tabs>
            <w:rPr/>
          </w:pPr>
          <w:hyperlink w:anchor="__RefHeading___Toc3808401_1067777946">
            <w:r>
              <w:rPr>
                <w:webHidden/>
                <w:rStyle w:val="IndexLink"/>
                <w:rtl w:val="true"/>
              </w:rPr>
              <w:t>حدوث جنون بعد از گذشت مدت</w:t>
            </w:r>
            <w:r>
              <w:rPr>
                <w:rStyle w:val="IndexLink"/>
                <w:rtl w:val="true"/>
              </w:rPr>
              <w:tab/>
            </w:r>
            <w:r>
              <w:rPr>
                <w:rStyle w:val="IndexLink"/>
              </w:rPr>
              <w:t>287</w:t>
            </w:r>
          </w:hyperlink>
        </w:p>
        <w:p>
          <w:pPr>
            <w:pStyle w:val="Contents4"/>
            <w:tabs>
              <w:tab w:val="clear" w:pos="8176"/>
              <w:tab w:val="right" w:pos="9026" w:leader="dot"/>
            </w:tabs>
            <w:rPr/>
          </w:pPr>
          <w:hyperlink w:anchor="__RefHeading___Toc3808403_1067777946">
            <w:r>
              <w:rPr>
                <w:webHidden/>
                <w:rStyle w:val="IndexLink"/>
                <w:rtl w:val="true"/>
              </w:rPr>
              <w:t>حكم انقضاى مدت در حال احرام</w:t>
            </w:r>
            <w:r>
              <w:rPr>
                <w:rStyle w:val="IndexLink"/>
                <w:rtl w:val="true"/>
              </w:rPr>
              <w:tab/>
            </w:r>
            <w:r>
              <w:rPr>
                <w:rStyle w:val="IndexLink"/>
              </w:rPr>
              <w:t>288</w:t>
            </w:r>
          </w:hyperlink>
        </w:p>
        <w:p>
          <w:pPr>
            <w:pStyle w:val="Contents4"/>
            <w:tabs>
              <w:tab w:val="clear" w:pos="8176"/>
              <w:tab w:val="right" w:pos="9026" w:leader="dot"/>
            </w:tabs>
            <w:rPr/>
          </w:pPr>
          <w:hyperlink w:anchor="__RefHeading___Toc3808405_1067777946">
            <w:r>
              <w:rPr>
                <w:webHidden/>
                <w:rStyle w:val="IndexLink"/>
                <w:rtl w:val="true"/>
              </w:rPr>
              <w:t>حكم ايلاء بعد از ظهار</w:t>
            </w:r>
            <w:r>
              <w:rPr>
                <w:rStyle w:val="IndexLink"/>
                <w:rtl w:val="true"/>
              </w:rPr>
              <w:tab/>
            </w:r>
            <w:r>
              <w:rPr>
                <w:rStyle w:val="IndexLink"/>
              </w:rPr>
              <w:t>288</w:t>
            </w:r>
          </w:hyperlink>
        </w:p>
        <w:p>
          <w:pPr>
            <w:pStyle w:val="Contents4"/>
            <w:tabs>
              <w:tab w:val="clear" w:pos="8176"/>
              <w:tab w:val="right" w:pos="9026" w:leader="dot"/>
            </w:tabs>
            <w:rPr/>
          </w:pPr>
          <w:hyperlink w:anchor="__RefHeading___Toc3808407_1067777946">
            <w:r>
              <w:rPr>
                <w:webHidden/>
                <w:rStyle w:val="IndexLink"/>
                <w:rtl w:val="true"/>
              </w:rPr>
              <w:t>حكم ارتداد بعد از ايلاء</w:t>
            </w:r>
            <w:r>
              <w:rPr>
                <w:rStyle w:val="IndexLink"/>
                <w:rtl w:val="true"/>
              </w:rPr>
              <w:tab/>
            </w:r>
            <w:r>
              <w:rPr>
                <w:rStyle w:val="IndexLink"/>
              </w:rPr>
              <w:t>289</w:t>
            </w:r>
          </w:hyperlink>
        </w:p>
        <w:p>
          <w:pPr>
            <w:pStyle w:val="Contents4"/>
            <w:tabs>
              <w:tab w:val="clear" w:pos="8176"/>
              <w:tab w:val="right" w:pos="9026" w:leader="dot"/>
            </w:tabs>
            <w:rPr/>
          </w:pPr>
          <w:hyperlink w:anchor="__RefHeading___Toc3808409_1067777946">
            <w:r>
              <w:rPr>
                <w:webHidden/>
                <w:rStyle w:val="IndexLink"/>
                <w:rtl w:val="true"/>
              </w:rPr>
              <w:t>حكم وطى بعد از ايلاء و در اثناى مدت انتظار</w:t>
            </w:r>
            <w:r>
              <w:rPr>
                <w:rStyle w:val="IndexLink"/>
                <w:rtl w:val="true"/>
              </w:rPr>
              <w:tab/>
            </w:r>
            <w:r>
              <w:rPr>
                <w:rStyle w:val="IndexLink"/>
              </w:rPr>
              <w:t>289</w:t>
            </w:r>
          </w:hyperlink>
        </w:p>
        <w:p>
          <w:pPr>
            <w:pStyle w:val="Contents4"/>
            <w:tabs>
              <w:tab w:val="clear" w:pos="8176"/>
              <w:tab w:val="right" w:pos="9026" w:leader="dot"/>
            </w:tabs>
            <w:rPr/>
          </w:pPr>
          <w:hyperlink w:anchor="__RefHeading___Toc3808411_1067777946">
            <w:r>
              <w:rPr>
                <w:webHidden/>
                <w:rStyle w:val="IndexLink"/>
                <w:rtl w:val="true"/>
              </w:rPr>
              <w:t>وطى بدون التفات</w:t>
            </w:r>
            <w:r>
              <w:rPr>
                <w:rStyle w:val="IndexLink"/>
                <w:rtl w:val="true"/>
              </w:rPr>
              <w:tab/>
            </w:r>
            <w:r>
              <w:rPr>
                <w:rStyle w:val="IndexLink"/>
              </w:rPr>
              <w:t>289</w:t>
            </w:r>
          </w:hyperlink>
        </w:p>
        <w:p>
          <w:pPr>
            <w:pStyle w:val="Contents4"/>
            <w:tabs>
              <w:tab w:val="clear" w:pos="8176"/>
              <w:tab w:val="right" w:pos="9026" w:leader="dot"/>
            </w:tabs>
            <w:rPr/>
          </w:pPr>
          <w:hyperlink w:anchor="__RefHeading___Toc3808413_1067777946">
            <w:r>
              <w:rPr>
                <w:webHidden/>
                <w:rStyle w:val="IndexLink"/>
                <w:rtl w:val="true"/>
              </w:rPr>
              <w:t>حكم اختلاف در اصابت</w:t>
            </w:r>
            <w:r>
              <w:rPr>
                <w:rStyle w:val="IndexLink"/>
                <w:rtl w:val="true"/>
              </w:rPr>
              <w:tab/>
            </w:r>
            <w:r>
              <w:rPr>
                <w:rStyle w:val="IndexLink"/>
              </w:rPr>
              <w:t>289</w:t>
            </w:r>
          </w:hyperlink>
        </w:p>
        <w:p>
          <w:pPr>
            <w:pStyle w:val="Contents4"/>
            <w:tabs>
              <w:tab w:val="clear" w:pos="8176"/>
              <w:tab w:val="right" w:pos="9026" w:leader="dot"/>
            </w:tabs>
            <w:rPr/>
          </w:pPr>
          <w:hyperlink w:anchor="__RefHeading___Toc3808415_1067777946">
            <w:r>
              <w:rPr>
                <w:webHidden/>
                <w:rStyle w:val="IndexLink"/>
                <w:rtl w:val="true"/>
              </w:rPr>
              <w:t>زمان شروع مدت</w:t>
            </w:r>
            <w:r>
              <w:rPr>
                <w:rStyle w:val="IndexLink"/>
                <w:rtl w:val="true"/>
              </w:rPr>
              <w:tab/>
            </w:r>
            <w:r>
              <w:rPr>
                <w:rStyle w:val="IndexLink"/>
              </w:rPr>
              <w:t>289</w:t>
            </w:r>
          </w:hyperlink>
        </w:p>
        <w:p>
          <w:pPr>
            <w:pStyle w:val="Contents4"/>
            <w:tabs>
              <w:tab w:val="clear" w:pos="8176"/>
              <w:tab w:val="right" w:pos="9026" w:leader="dot"/>
            </w:tabs>
            <w:rPr/>
          </w:pPr>
          <w:hyperlink w:anchor="__RefHeading___Toc3808417_1067777946">
            <w:r>
              <w:rPr>
                <w:webHidden/>
                <w:rStyle w:val="IndexLink"/>
                <w:rtl w:val="true"/>
              </w:rPr>
              <w:t>اگر زوجين ذمّى بودند</w:t>
            </w:r>
            <w:r>
              <w:rPr>
                <w:rStyle w:val="IndexLink"/>
                <w:rtl w:val="true"/>
              </w:rPr>
              <w:tab/>
            </w:r>
            <w:r>
              <w:rPr>
                <w:rStyle w:val="IndexLink"/>
              </w:rPr>
              <w:t>290</w:t>
            </w:r>
          </w:hyperlink>
        </w:p>
        <w:p>
          <w:pPr>
            <w:pStyle w:val="Contents4"/>
            <w:tabs>
              <w:tab w:val="clear" w:pos="8176"/>
              <w:tab w:val="right" w:pos="9026" w:leader="dot"/>
            </w:tabs>
            <w:rPr/>
          </w:pPr>
          <w:hyperlink w:anchor="__RefHeading___Toc3808419_1067777946">
            <w:r>
              <w:rPr>
                <w:webHidden/>
                <w:rStyle w:val="IndexLink"/>
                <w:rtl w:val="true"/>
              </w:rPr>
              <w:t>فئۀ قادر و فئۀ عاجز</w:t>
            </w:r>
            <w:r>
              <w:rPr>
                <w:rStyle w:val="IndexLink"/>
                <w:rtl w:val="true"/>
              </w:rPr>
              <w:tab/>
            </w:r>
            <w:r>
              <w:rPr>
                <w:rStyle w:val="IndexLink"/>
              </w:rPr>
              <w:t>290</w:t>
            </w:r>
          </w:hyperlink>
        </w:p>
        <w:p>
          <w:pPr>
            <w:pStyle w:val="Contents4"/>
            <w:tabs>
              <w:tab w:val="clear" w:pos="8176"/>
              <w:tab w:val="right" w:pos="9026" w:leader="dot"/>
            </w:tabs>
            <w:rPr/>
          </w:pPr>
          <w:hyperlink w:anchor="__RefHeading___Toc3808421_1067777946">
            <w:r>
              <w:rPr>
                <w:webHidden/>
                <w:rStyle w:val="IndexLink"/>
                <w:rtl w:val="true"/>
              </w:rPr>
              <w:t>حكم ايلاء حرّ با زوجۀ امه</w:t>
            </w:r>
            <w:r>
              <w:rPr>
                <w:rStyle w:val="IndexLink"/>
                <w:rtl w:val="true"/>
              </w:rPr>
              <w:tab/>
            </w:r>
            <w:r>
              <w:rPr>
                <w:rStyle w:val="IndexLink"/>
              </w:rPr>
              <w:t>290</w:t>
            </w:r>
          </w:hyperlink>
        </w:p>
        <w:p>
          <w:pPr>
            <w:pStyle w:val="Contents4"/>
            <w:tabs>
              <w:tab w:val="clear" w:pos="8176"/>
              <w:tab w:val="right" w:pos="9026" w:leader="dot"/>
            </w:tabs>
            <w:rPr/>
          </w:pPr>
          <w:hyperlink w:anchor="__RefHeading___Toc3808423_1067777946">
            <w:r>
              <w:rPr>
                <w:webHidden/>
                <w:rStyle w:val="IndexLink"/>
                <w:rtl w:val="true"/>
              </w:rPr>
              <w:t xml:space="preserve">حكم گفتن </w:t>
            </w:r>
            <w:r>
              <w:rPr>
                <w:rStyle w:val="IndexLink"/>
                <w:rtl w:val="true"/>
              </w:rPr>
              <w:t>«</w:t>
            </w:r>
            <w:r>
              <w:rPr>
                <w:rStyle w:val="IndexLink"/>
                <w:rtl w:val="true"/>
              </w:rPr>
              <w:t>و اللّٰه لأوطأتكنّ‌</w:t>
            </w:r>
            <w:r>
              <w:rPr>
                <w:rStyle w:val="IndexLink"/>
                <w:rtl w:val="true"/>
              </w:rPr>
              <w:t xml:space="preserve">» </w:t>
            </w:r>
            <w:r>
              <w:rPr>
                <w:rStyle w:val="IndexLink"/>
                <w:rtl w:val="true"/>
              </w:rPr>
              <w:t>و صور مختلف قصد گويند و حكم هر يك</w:t>
            </w:r>
            <w:r>
              <w:rPr>
                <w:rStyle w:val="IndexLink"/>
                <w:rtl w:val="true"/>
              </w:rPr>
              <w:tab/>
            </w:r>
            <w:r>
              <w:rPr>
                <w:rStyle w:val="IndexLink"/>
              </w:rPr>
              <w:t>290</w:t>
            </w:r>
          </w:hyperlink>
        </w:p>
        <w:p>
          <w:pPr>
            <w:pStyle w:val="Contents4"/>
            <w:tabs>
              <w:tab w:val="clear" w:pos="8176"/>
              <w:tab w:val="right" w:pos="9026" w:leader="dot"/>
            </w:tabs>
            <w:rPr/>
          </w:pPr>
          <w:hyperlink w:anchor="__RefHeading___Toc3808425_1067777946">
            <w:r>
              <w:rPr>
                <w:webHidden/>
                <w:rStyle w:val="IndexLink"/>
                <w:rtl w:val="true"/>
              </w:rPr>
              <w:t>صحّت ايلاء مطلّقۀ رجعيّه</w:t>
            </w:r>
            <w:r>
              <w:rPr>
                <w:rStyle w:val="IndexLink"/>
                <w:rtl w:val="true"/>
              </w:rPr>
              <w:tab/>
            </w:r>
            <w:r>
              <w:rPr>
                <w:rStyle w:val="IndexLink"/>
              </w:rPr>
              <w:t>294</w:t>
            </w:r>
          </w:hyperlink>
        </w:p>
        <w:p>
          <w:pPr>
            <w:pStyle w:val="Contents4"/>
            <w:tabs>
              <w:tab w:val="clear" w:pos="8176"/>
              <w:tab w:val="right" w:pos="9026" w:leader="dot"/>
            </w:tabs>
            <w:rPr/>
          </w:pPr>
          <w:hyperlink w:anchor="__RefHeading___Toc3808427_1067777946">
            <w:r>
              <w:rPr>
                <w:webHidden/>
                <w:rStyle w:val="IndexLink"/>
                <w:rtl w:val="true"/>
              </w:rPr>
              <w:t>عدم سببيّت تكرار يمين براى تكرار كفّاره</w:t>
            </w:r>
            <w:r>
              <w:rPr>
                <w:rStyle w:val="IndexLink"/>
                <w:rtl w:val="true"/>
              </w:rPr>
              <w:tab/>
            </w:r>
            <w:r>
              <w:rPr>
                <w:rStyle w:val="IndexLink"/>
              </w:rPr>
              <w:t>294</w:t>
            </w:r>
          </w:hyperlink>
        </w:p>
        <w:p>
          <w:pPr>
            <w:pStyle w:val="Contents4"/>
            <w:tabs>
              <w:tab w:val="clear" w:pos="8176"/>
              <w:tab w:val="right" w:pos="9026" w:leader="dot"/>
            </w:tabs>
            <w:rPr/>
          </w:pPr>
          <w:hyperlink w:anchor="__RefHeading___Toc3808429_1067777946">
            <w:r>
              <w:rPr>
                <w:webHidden/>
                <w:rStyle w:val="IndexLink"/>
                <w:rtl w:val="true"/>
              </w:rPr>
              <w:t xml:space="preserve">حكم گفتن </w:t>
            </w:r>
            <w:r>
              <w:rPr>
                <w:rStyle w:val="IndexLink"/>
                <w:rtl w:val="true"/>
              </w:rPr>
              <w:t>«</w:t>
            </w:r>
            <w:r>
              <w:rPr>
                <w:rStyle w:val="IndexLink"/>
                <w:rtl w:val="true"/>
              </w:rPr>
              <w:t>و اللّٰه لأوطأتك فى السنة الّا مرّة</w:t>
            </w:r>
            <w:r>
              <w:rPr>
                <w:rStyle w:val="IndexLink"/>
                <w:rtl w:val="true"/>
              </w:rPr>
              <w:t>»</w:t>
              <w:tab/>
            </w:r>
            <w:r>
              <w:rPr>
                <w:rStyle w:val="IndexLink"/>
              </w:rPr>
              <w:t>295</w:t>
            </w:r>
          </w:hyperlink>
        </w:p>
        <w:p>
          <w:pPr>
            <w:pStyle w:val="Contents2"/>
            <w:tabs>
              <w:tab w:val="clear" w:pos="8743"/>
              <w:tab w:val="right" w:pos="9026" w:leader="dot"/>
            </w:tabs>
            <w:rPr/>
          </w:pPr>
          <w:hyperlink w:anchor="__RefHeading___Toc3808431_1067777946">
            <w:r>
              <w:rPr>
                <w:webHidden/>
                <w:rStyle w:val="IndexLink"/>
                <w:rtl w:val="true"/>
              </w:rPr>
              <w:t>كتاب لعان</w:t>
            </w:r>
            <w:r>
              <w:rPr>
                <w:rStyle w:val="IndexLink"/>
                <w:rtl w:val="true"/>
              </w:rPr>
              <w:tab/>
            </w:r>
            <w:r>
              <w:rPr>
                <w:rStyle w:val="IndexLink"/>
              </w:rPr>
              <w:t>296</w:t>
            </w:r>
          </w:hyperlink>
        </w:p>
        <w:p>
          <w:pPr>
            <w:pStyle w:val="Contents3"/>
            <w:tabs>
              <w:tab w:val="clear" w:pos="8459"/>
              <w:tab w:val="right" w:pos="9026" w:leader="dot"/>
            </w:tabs>
            <w:rPr/>
          </w:pPr>
          <w:hyperlink w:anchor="__RefHeading___Toc3808433_1067777946">
            <w:r>
              <w:rPr>
                <w:webHidden/>
                <w:rStyle w:val="IndexLink"/>
                <w:rtl w:val="true"/>
              </w:rPr>
              <w:t>اشاره</w:t>
            </w:r>
            <w:r>
              <w:rPr>
                <w:rStyle w:val="IndexLink"/>
                <w:rtl w:val="true"/>
              </w:rPr>
              <w:tab/>
            </w:r>
            <w:r>
              <w:rPr>
                <w:rStyle w:val="IndexLink"/>
              </w:rPr>
              <w:t>296</w:t>
            </w:r>
          </w:hyperlink>
        </w:p>
        <w:p>
          <w:pPr>
            <w:pStyle w:val="Contents3"/>
            <w:tabs>
              <w:tab w:val="clear" w:pos="8459"/>
              <w:tab w:val="right" w:pos="9026" w:leader="dot"/>
            </w:tabs>
            <w:rPr/>
          </w:pPr>
          <w:hyperlink w:anchor="__RefHeading___Toc3808435_1067777946">
            <w:r>
              <w:rPr>
                <w:webHidden/>
                <w:rStyle w:val="IndexLink"/>
                <w:rtl w:val="true"/>
              </w:rPr>
              <w:t>فصل اوّل اسباب لعان</w:t>
            </w:r>
            <w:r>
              <w:rPr>
                <w:rStyle w:val="IndexLink"/>
                <w:rtl w:val="true"/>
              </w:rPr>
              <w:tab/>
            </w:r>
            <w:r>
              <w:rPr>
                <w:rStyle w:val="IndexLink"/>
              </w:rPr>
              <w:t>298</w:t>
            </w:r>
          </w:hyperlink>
        </w:p>
        <w:p>
          <w:pPr>
            <w:pStyle w:val="Contents4"/>
            <w:tabs>
              <w:tab w:val="clear" w:pos="8176"/>
              <w:tab w:val="right" w:pos="9026" w:leader="dot"/>
            </w:tabs>
            <w:rPr/>
          </w:pPr>
          <w:hyperlink w:anchor="__RefHeading___Toc3808437_1067777946">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3808439_1067777946">
            <w:r>
              <w:rPr>
                <w:webHidden/>
                <w:rStyle w:val="IndexLink"/>
              </w:rPr>
              <w:t>1</w:t>
            </w:r>
            <w:r>
              <w:rPr>
                <w:rStyle w:val="IndexLink"/>
                <w:rtl w:val="true"/>
              </w:rPr>
              <w:t xml:space="preserve">. </w:t>
            </w:r>
            <w:r>
              <w:rPr>
                <w:rStyle w:val="IndexLink"/>
                <w:rtl w:val="true"/>
              </w:rPr>
              <w:t>قذف است</w:t>
            </w:r>
            <w:r>
              <w:rPr>
                <w:rStyle w:val="IndexLink"/>
                <w:rtl w:val="true"/>
              </w:rPr>
              <w:tab/>
            </w:r>
            <w:r>
              <w:rPr>
                <w:rStyle w:val="IndexLink"/>
              </w:rPr>
              <w:t>298</w:t>
            </w:r>
          </w:hyperlink>
        </w:p>
        <w:p>
          <w:pPr>
            <w:pStyle w:val="Contents5"/>
            <w:tabs>
              <w:tab w:val="clear" w:pos="7892"/>
              <w:tab w:val="right" w:pos="9026" w:leader="dot"/>
            </w:tabs>
            <w:rPr/>
          </w:pPr>
          <w:hyperlink w:anchor="__RefHeading___Toc3808441_1067777946">
            <w:r>
              <w:rPr>
                <w:webHidden/>
                <w:rStyle w:val="IndexLink"/>
                <w:rtl w:val="true"/>
              </w:rPr>
              <w:t>شرايط تحقق لعان به قذف</w:t>
            </w:r>
            <w:r>
              <w:rPr>
                <w:rStyle w:val="IndexLink"/>
                <w:rtl w:val="true"/>
              </w:rPr>
              <w:tab/>
            </w:r>
            <w:r>
              <w:rPr>
                <w:rStyle w:val="IndexLink"/>
              </w:rPr>
              <w:t>298</w:t>
            </w:r>
          </w:hyperlink>
        </w:p>
        <w:p>
          <w:pPr>
            <w:pStyle w:val="Contents5"/>
            <w:tabs>
              <w:tab w:val="clear" w:pos="7892"/>
              <w:tab w:val="right" w:pos="9026" w:leader="dot"/>
            </w:tabs>
            <w:rPr/>
          </w:pPr>
          <w:hyperlink w:anchor="__RefHeading___Toc3808443_1067777946">
            <w:r>
              <w:rPr>
                <w:webHidden/>
                <w:rStyle w:val="IndexLink"/>
                <w:rtl w:val="true"/>
              </w:rPr>
              <w:t>برخى موارد تحقق و يا عدم تحقق قذف</w:t>
            </w:r>
            <w:r>
              <w:rPr>
                <w:rStyle w:val="IndexLink"/>
                <w:rtl w:val="true"/>
              </w:rPr>
              <w:tab/>
            </w:r>
            <w:r>
              <w:rPr>
                <w:rStyle w:val="IndexLink"/>
              </w:rPr>
              <w:t>298</w:t>
            </w:r>
          </w:hyperlink>
        </w:p>
        <w:p>
          <w:pPr>
            <w:pStyle w:val="Contents5"/>
            <w:tabs>
              <w:tab w:val="clear" w:pos="7892"/>
              <w:tab w:val="right" w:pos="9026" w:leader="dot"/>
            </w:tabs>
            <w:rPr/>
          </w:pPr>
          <w:hyperlink w:anchor="__RefHeading___Toc3808445_1067777946">
            <w:r>
              <w:rPr>
                <w:webHidden/>
                <w:rStyle w:val="IndexLink"/>
                <w:rtl w:val="true"/>
              </w:rPr>
              <w:t>تحقّق لعان در عدّۀ رجعيّه به سبب قذف</w:t>
            </w:r>
            <w:r>
              <w:rPr>
                <w:rStyle w:val="IndexLink"/>
                <w:rtl w:val="true"/>
              </w:rPr>
              <w:tab/>
            </w:r>
            <w:r>
              <w:rPr>
                <w:rStyle w:val="IndexLink"/>
              </w:rPr>
              <w:t>299</w:t>
            </w:r>
          </w:hyperlink>
        </w:p>
        <w:p>
          <w:pPr>
            <w:pStyle w:val="Contents5"/>
            <w:tabs>
              <w:tab w:val="clear" w:pos="7892"/>
              <w:tab w:val="right" w:pos="9026" w:leader="dot"/>
            </w:tabs>
            <w:rPr/>
          </w:pPr>
          <w:hyperlink w:anchor="__RefHeading___Toc3808447_1067777946">
            <w:r>
              <w:rPr>
                <w:webHidden/>
                <w:rStyle w:val="IndexLink"/>
                <w:rtl w:val="true"/>
              </w:rPr>
              <w:t>اختلاف در تقدّم و تأخّر قذف و زوجيّت</w:t>
            </w:r>
            <w:r>
              <w:rPr>
                <w:rStyle w:val="IndexLink"/>
                <w:rtl w:val="true"/>
              </w:rPr>
              <w:tab/>
            </w:r>
            <w:r>
              <w:rPr>
                <w:rStyle w:val="IndexLink"/>
              </w:rPr>
              <w:t>299</w:t>
            </w:r>
          </w:hyperlink>
        </w:p>
        <w:p>
          <w:pPr>
            <w:pStyle w:val="Contents5"/>
            <w:tabs>
              <w:tab w:val="clear" w:pos="7892"/>
              <w:tab w:val="right" w:pos="9026" w:leader="dot"/>
            </w:tabs>
            <w:rPr/>
          </w:pPr>
          <w:hyperlink w:anchor="__RefHeading___Toc3808449_1067777946">
            <w:r>
              <w:rPr>
                <w:webHidden/>
                <w:rStyle w:val="IndexLink"/>
                <w:rtl w:val="true"/>
              </w:rPr>
              <w:t>عدم ثبوت لعان در صورت قذف به مستحق</w:t>
            </w:r>
            <w:r>
              <w:rPr>
                <w:rStyle w:val="IndexLink"/>
                <w:rtl w:val="true"/>
              </w:rPr>
              <w:tab/>
            </w:r>
            <w:r>
              <w:rPr>
                <w:rStyle w:val="IndexLink"/>
              </w:rPr>
              <w:t>299</w:t>
            </w:r>
          </w:hyperlink>
        </w:p>
        <w:p>
          <w:pPr>
            <w:pStyle w:val="Contents5"/>
            <w:tabs>
              <w:tab w:val="clear" w:pos="7892"/>
              <w:tab w:val="right" w:pos="9026" w:leader="dot"/>
            </w:tabs>
            <w:rPr/>
          </w:pPr>
          <w:hyperlink w:anchor="__RefHeading___Toc3808451_1067777946">
            <w:r>
              <w:rPr>
                <w:webHidden/>
                <w:rStyle w:val="IndexLink"/>
                <w:rtl w:val="true"/>
              </w:rPr>
              <w:t>قذف مجنونه</w:t>
            </w:r>
            <w:r>
              <w:rPr>
                <w:rStyle w:val="IndexLink"/>
                <w:rtl w:val="true"/>
              </w:rPr>
              <w:tab/>
            </w:r>
            <w:r>
              <w:rPr>
                <w:rStyle w:val="IndexLink"/>
              </w:rPr>
              <w:t>300</w:t>
            </w:r>
          </w:hyperlink>
        </w:p>
        <w:p>
          <w:pPr>
            <w:pStyle w:val="Contents5"/>
            <w:tabs>
              <w:tab w:val="clear" w:pos="7892"/>
              <w:tab w:val="right" w:pos="9026" w:leader="dot"/>
            </w:tabs>
            <w:rPr/>
          </w:pPr>
          <w:hyperlink w:anchor="__RefHeading___Toc3808453_1067777946">
            <w:r>
              <w:rPr>
                <w:webHidden/>
                <w:rStyle w:val="IndexLink"/>
                <w:rtl w:val="true"/>
              </w:rPr>
              <w:t>نسبت زنا به غير اختيار</w:t>
            </w:r>
            <w:r>
              <w:rPr>
                <w:rStyle w:val="IndexLink"/>
                <w:rtl w:val="true"/>
              </w:rPr>
              <w:tab/>
            </w:r>
            <w:r>
              <w:rPr>
                <w:rStyle w:val="IndexLink"/>
              </w:rPr>
              <w:t>300</w:t>
            </w:r>
          </w:hyperlink>
        </w:p>
        <w:p>
          <w:pPr>
            <w:pStyle w:val="Contents5"/>
            <w:tabs>
              <w:tab w:val="clear" w:pos="7892"/>
              <w:tab w:val="right" w:pos="9026" w:leader="dot"/>
            </w:tabs>
            <w:rPr/>
          </w:pPr>
          <w:hyperlink w:anchor="__RefHeading___Toc3808455_1067777946">
            <w:r>
              <w:rPr>
                <w:webHidden/>
                <w:rStyle w:val="IndexLink"/>
                <w:rtl w:val="true"/>
              </w:rPr>
              <w:t>قذف چند نفر با يك لفظ</w:t>
            </w:r>
            <w:r>
              <w:rPr>
                <w:rStyle w:val="IndexLink"/>
                <w:rtl w:val="true"/>
              </w:rPr>
              <w:tab/>
            </w:r>
            <w:r>
              <w:rPr>
                <w:rStyle w:val="IndexLink"/>
              </w:rPr>
              <w:t>301</w:t>
            </w:r>
          </w:hyperlink>
        </w:p>
        <w:p>
          <w:pPr>
            <w:pStyle w:val="Contents4"/>
            <w:tabs>
              <w:tab w:val="clear" w:pos="8176"/>
              <w:tab w:val="right" w:pos="9026" w:leader="dot"/>
            </w:tabs>
            <w:rPr/>
          </w:pPr>
          <w:hyperlink w:anchor="__RefHeading___Toc3808457_1067777946">
            <w:r>
              <w:rPr>
                <w:webHidden/>
                <w:rStyle w:val="IndexLink"/>
              </w:rPr>
              <w:t>2</w:t>
            </w:r>
            <w:r>
              <w:rPr>
                <w:rStyle w:val="IndexLink"/>
                <w:rtl w:val="true"/>
              </w:rPr>
              <w:t xml:space="preserve">. </w:t>
            </w:r>
            <w:r>
              <w:rPr>
                <w:rStyle w:val="IndexLink"/>
                <w:rtl w:val="true"/>
              </w:rPr>
              <w:t>انكار ولد</w:t>
            </w:r>
            <w:r>
              <w:rPr>
                <w:rStyle w:val="IndexLink"/>
                <w:rtl w:val="true"/>
              </w:rPr>
              <w:tab/>
            </w:r>
            <w:r>
              <w:rPr>
                <w:rStyle w:val="IndexLink"/>
              </w:rPr>
              <w:t>301</w:t>
            </w:r>
          </w:hyperlink>
        </w:p>
        <w:p>
          <w:pPr>
            <w:pStyle w:val="Contents5"/>
            <w:tabs>
              <w:tab w:val="clear" w:pos="7892"/>
              <w:tab w:val="right" w:pos="9026" w:leader="dot"/>
            </w:tabs>
            <w:rPr/>
          </w:pPr>
          <w:hyperlink w:anchor="__RefHeading___Toc3808459_1067777946">
            <w:r>
              <w:rPr>
                <w:webHidden/>
                <w:rStyle w:val="IndexLink"/>
                <w:rtl w:val="true"/>
              </w:rPr>
              <w:t>شرايط تحقّق لعان به انكار ولد</w:t>
            </w:r>
            <w:r>
              <w:rPr>
                <w:rStyle w:val="IndexLink"/>
                <w:rtl w:val="true"/>
              </w:rPr>
              <w:tab/>
            </w:r>
            <w:r>
              <w:rPr>
                <w:rStyle w:val="IndexLink"/>
              </w:rPr>
              <w:t>301</w:t>
            </w:r>
          </w:hyperlink>
        </w:p>
        <w:p>
          <w:pPr>
            <w:pStyle w:val="Contents5"/>
            <w:tabs>
              <w:tab w:val="clear" w:pos="7892"/>
              <w:tab w:val="right" w:pos="9026" w:leader="dot"/>
            </w:tabs>
            <w:rPr/>
          </w:pPr>
          <w:hyperlink w:anchor="__RefHeading___Toc3808461_1067777946">
            <w:r>
              <w:rPr>
                <w:webHidden/>
                <w:rStyle w:val="IndexLink"/>
                <w:rtl w:val="true"/>
              </w:rPr>
              <w:t>اعتبار تماميّت حمل و دوام عقد</w:t>
            </w:r>
            <w:r>
              <w:rPr>
                <w:rStyle w:val="IndexLink"/>
                <w:rtl w:val="true"/>
              </w:rPr>
              <w:tab/>
            </w:r>
            <w:r>
              <w:rPr>
                <w:rStyle w:val="IndexLink"/>
              </w:rPr>
              <w:t>301</w:t>
            </w:r>
          </w:hyperlink>
        </w:p>
        <w:p>
          <w:pPr>
            <w:pStyle w:val="Contents5"/>
            <w:tabs>
              <w:tab w:val="clear" w:pos="7892"/>
              <w:tab w:val="right" w:pos="9026" w:leader="dot"/>
            </w:tabs>
            <w:rPr/>
          </w:pPr>
          <w:hyperlink w:anchor="__RefHeading___Toc3808463_1067777946">
            <w:r>
              <w:rPr>
                <w:webHidden/>
                <w:rStyle w:val="IndexLink"/>
                <w:rtl w:val="true"/>
              </w:rPr>
              <w:t>اعتبار امكان و احتمال لحوق</w:t>
            </w:r>
            <w:r>
              <w:rPr>
                <w:rStyle w:val="IndexLink"/>
                <w:rtl w:val="true"/>
              </w:rPr>
              <w:tab/>
            </w:r>
            <w:r>
              <w:rPr>
                <w:rStyle w:val="IndexLink"/>
              </w:rPr>
              <w:t>302</w:t>
            </w:r>
          </w:hyperlink>
        </w:p>
        <w:p>
          <w:pPr>
            <w:pStyle w:val="Contents5"/>
            <w:tabs>
              <w:tab w:val="clear" w:pos="7892"/>
              <w:tab w:val="right" w:pos="9026" w:leader="dot"/>
            </w:tabs>
            <w:rPr/>
          </w:pPr>
          <w:hyperlink w:anchor="__RefHeading___Toc3808465_1067777946">
            <w:r>
              <w:rPr>
                <w:webHidden/>
                <w:rStyle w:val="IndexLink"/>
                <w:rtl w:val="true"/>
              </w:rPr>
              <w:t>رابطۀ بلوغ با لحوق و لعان</w:t>
            </w:r>
            <w:r>
              <w:rPr>
                <w:rStyle w:val="IndexLink"/>
                <w:rtl w:val="true"/>
              </w:rPr>
              <w:tab/>
            </w:r>
            <w:r>
              <w:rPr>
                <w:rStyle w:val="IndexLink"/>
              </w:rPr>
              <w:t>302</w:t>
            </w:r>
          </w:hyperlink>
        </w:p>
        <w:p>
          <w:pPr>
            <w:pStyle w:val="Contents5"/>
            <w:tabs>
              <w:tab w:val="clear" w:pos="7892"/>
              <w:tab w:val="right" w:pos="9026" w:leader="dot"/>
            </w:tabs>
            <w:rPr/>
          </w:pPr>
          <w:hyperlink w:anchor="__RefHeading___Toc3808467_1067777946">
            <w:r>
              <w:rPr>
                <w:webHidden/>
                <w:rStyle w:val="IndexLink"/>
                <w:rtl w:val="true"/>
              </w:rPr>
              <w:t>معيوب بودن زوج</w:t>
            </w:r>
            <w:r>
              <w:rPr>
                <w:rStyle w:val="IndexLink"/>
                <w:rtl w:val="true"/>
              </w:rPr>
              <w:tab/>
            </w:r>
            <w:r>
              <w:rPr>
                <w:rStyle w:val="IndexLink"/>
              </w:rPr>
              <w:t>303</w:t>
            </w:r>
          </w:hyperlink>
        </w:p>
        <w:p>
          <w:pPr>
            <w:pStyle w:val="Contents5"/>
            <w:tabs>
              <w:tab w:val="clear" w:pos="7892"/>
              <w:tab w:val="right" w:pos="9026" w:leader="dot"/>
            </w:tabs>
            <w:rPr/>
          </w:pPr>
          <w:hyperlink w:anchor="__RefHeading___Toc3808469_1067777946">
            <w:r>
              <w:rPr>
                <w:webHidden/>
                <w:rStyle w:val="IndexLink"/>
                <w:rtl w:val="true"/>
              </w:rPr>
              <w:t>اقرار و عدم اقرار زوج حاضر در وقت ولادت</w:t>
            </w:r>
            <w:r>
              <w:rPr>
                <w:rStyle w:val="IndexLink"/>
                <w:rtl w:val="true"/>
              </w:rPr>
              <w:tab/>
            </w:r>
            <w:r>
              <w:rPr>
                <w:rStyle w:val="IndexLink"/>
              </w:rPr>
              <w:t>303</w:t>
            </w:r>
          </w:hyperlink>
        </w:p>
        <w:p>
          <w:pPr>
            <w:pStyle w:val="Contents5"/>
            <w:tabs>
              <w:tab w:val="clear" w:pos="7892"/>
              <w:tab w:val="right" w:pos="9026" w:leader="dot"/>
            </w:tabs>
            <w:rPr/>
          </w:pPr>
          <w:hyperlink w:anchor="__RefHeading___Toc3808471_1067777946">
            <w:r>
              <w:rPr>
                <w:webHidden/>
                <w:rStyle w:val="IndexLink"/>
                <w:rtl w:val="true"/>
              </w:rPr>
              <w:t>انكار و ادّعاى بعد از طلاق</w:t>
            </w:r>
            <w:r>
              <w:rPr>
                <w:rStyle w:val="IndexLink"/>
                <w:rtl w:val="true"/>
              </w:rPr>
              <w:tab/>
            </w:r>
            <w:r>
              <w:rPr>
                <w:rStyle w:val="IndexLink"/>
              </w:rPr>
              <w:t>304</w:t>
            </w:r>
          </w:hyperlink>
        </w:p>
        <w:p>
          <w:pPr>
            <w:pStyle w:val="Contents5"/>
            <w:tabs>
              <w:tab w:val="clear" w:pos="7892"/>
              <w:tab w:val="right" w:pos="9026" w:leader="dot"/>
            </w:tabs>
            <w:rPr/>
          </w:pPr>
          <w:hyperlink w:anchor="__RefHeading___Toc3808473_1067777946">
            <w:r>
              <w:rPr>
                <w:webHidden/>
                <w:rStyle w:val="IndexLink"/>
                <w:rtl w:val="true"/>
              </w:rPr>
              <w:t>ولادت بعد از طلاق</w:t>
            </w:r>
            <w:r>
              <w:rPr>
                <w:rStyle w:val="IndexLink"/>
                <w:rtl w:val="true"/>
              </w:rPr>
              <w:tab/>
            </w:r>
            <w:r>
              <w:rPr>
                <w:rStyle w:val="IndexLink"/>
              </w:rPr>
              <w:t>304</w:t>
            </w:r>
          </w:hyperlink>
        </w:p>
        <w:p>
          <w:pPr>
            <w:pStyle w:val="Contents3"/>
            <w:tabs>
              <w:tab w:val="clear" w:pos="8459"/>
              <w:tab w:val="right" w:pos="9026" w:leader="dot"/>
            </w:tabs>
            <w:rPr/>
          </w:pPr>
          <w:hyperlink w:anchor="__RefHeading___Toc3808475_1067777946">
            <w:r>
              <w:rPr>
                <w:webHidden/>
                <w:rStyle w:val="IndexLink"/>
                <w:rtl w:val="true"/>
              </w:rPr>
              <w:t>فصل دوّم اوصاف ملاعن و ملاعنه</w:t>
            </w:r>
            <w:r>
              <w:rPr>
                <w:rStyle w:val="IndexLink"/>
                <w:rtl w:val="true"/>
              </w:rPr>
              <w:tab/>
            </w:r>
            <w:r>
              <w:rPr>
                <w:rStyle w:val="IndexLink"/>
              </w:rPr>
              <w:t>305</w:t>
            </w:r>
          </w:hyperlink>
        </w:p>
        <w:p>
          <w:pPr>
            <w:pStyle w:val="Contents4"/>
            <w:tabs>
              <w:tab w:val="clear" w:pos="8176"/>
              <w:tab w:val="right" w:pos="9026" w:leader="dot"/>
            </w:tabs>
            <w:rPr/>
          </w:pPr>
          <w:hyperlink w:anchor="__RefHeading___Toc3808477_1067777946">
            <w:r>
              <w:rPr>
                <w:webHidden/>
                <w:rStyle w:val="IndexLink"/>
              </w:rPr>
              <w:t>1</w:t>
            </w:r>
            <w:r>
              <w:rPr>
                <w:rStyle w:val="IndexLink"/>
                <w:rtl w:val="true"/>
              </w:rPr>
              <w:t xml:space="preserve">. </w:t>
            </w:r>
            <w:r>
              <w:rPr>
                <w:rStyle w:val="IndexLink"/>
                <w:rtl w:val="true"/>
              </w:rPr>
              <w:t>اوصاف مُلاعِن</w:t>
            </w:r>
            <w:r>
              <w:rPr>
                <w:rStyle w:val="IndexLink"/>
                <w:rtl w:val="true"/>
              </w:rPr>
              <w:tab/>
            </w:r>
            <w:r>
              <w:rPr>
                <w:rStyle w:val="IndexLink"/>
              </w:rPr>
              <w:t>305</w:t>
            </w:r>
          </w:hyperlink>
        </w:p>
        <w:p>
          <w:pPr>
            <w:pStyle w:val="Contents5"/>
            <w:tabs>
              <w:tab w:val="clear" w:pos="7892"/>
              <w:tab w:val="right" w:pos="9026" w:leader="dot"/>
            </w:tabs>
            <w:rPr/>
          </w:pPr>
          <w:hyperlink w:anchor="__RefHeading___Toc3808479_1067777946">
            <w:r>
              <w:rPr>
                <w:webHidden/>
                <w:rStyle w:val="IndexLink"/>
                <w:rtl w:val="true"/>
              </w:rPr>
              <w:t>بلوغ و عقل</w:t>
            </w:r>
            <w:r>
              <w:rPr>
                <w:rStyle w:val="IndexLink"/>
                <w:rtl w:val="true"/>
              </w:rPr>
              <w:tab/>
            </w:r>
            <w:r>
              <w:rPr>
                <w:rStyle w:val="IndexLink"/>
              </w:rPr>
              <w:t>305</w:t>
            </w:r>
          </w:hyperlink>
        </w:p>
        <w:p>
          <w:pPr>
            <w:pStyle w:val="Contents5"/>
            <w:tabs>
              <w:tab w:val="clear" w:pos="7892"/>
              <w:tab w:val="right" w:pos="9026" w:leader="dot"/>
            </w:tabs>
            <w:rPr/>
          </w:pPr>
          <w:hyperlink w:anchor="__RefHeading___Toc3808481_1067777946">
            <w:r>
              <w:rPr>
                <w:webHidden/>
                <w:rStyle w:val="IndexLink"/>
                <w:rtl w:val="true"/>
              </w:rPr>
              <w:t>لعان بين ذمّيّين</w:t>
            </w:r>
            <w:r>
              <w:rPr>
                <w:rStyle w:val="IndexLink"/>
                <w:rtl w:val="true"/>
              </w:rPr>
              <w:tab/>
            </w:r>
            <w:r>
              <w:rPr>
                <w:rStyle w:val="IndexLink"/>
              </w:rPr>
              <w:t>305</w:t>
            </w:r>
          </w:hyperlink>
        </w:p>
        <w:p>
          <w:pPr>
            <w:pStyle w:val="Contents5"/>
            <w:tabs>
              <w:tab w:val="clear" w:pos="7892"/>
              <w:tab w:val="right" w:pos="9026" w:leader="dot"/>
            </w:tabs>
            <w:rPr/>
          </w:pPr>
          <w:hyperlink w:anchor="__RefHeading___Toc3808483_1067777946">
            <w:r>
              <w:rPr>
                <w:webHidden/>
                <w:rStyle w:val="IndexLink"/>
                <w:rtl w:val="true"/>
              </w:rPr>
              <w:t>لعان اخرس</w:t>
            </w:r>
            <w:r>
              <w:rPr>
                <w:rStyle w:val="IndexLink"/>
                <w:rtl w:val="true"/>
              </w:rPr>
              <w:tab/>
            </w:r>
            <w:r>
              <w:rPr>
                <w:rStyle w:val="IndexLink"/>
              </w:rPr>
              <w:t>305</w:t>
            </w:r>
          </w:hyperlink>
        </w:p>
        <w:p>
          <w:pPr>
            <w:pStyle w:val="Contents5"/>
            <w:tabs>
              <w:tab w:val="clear" w:pos="7892"/>
              <w:tab w:val="right" w:pos="9026" w:leader="dot"/>
            </w:tabs>
            <w:rPr/>
          </w:pPr>
          <w:hyperlink w:anchor="__RefHeading___Toc3808485_1067777946">
            <w:r>
              <w:rPr>
                <w:webHidden/>
                <w:rStyle w:val="IndexLink"/>
                <w:rtl w:val="true"/>
              </w:rPr>
              <w:t>زوال مرض بعد از لعانِ با اشاره</w:t>
            </w:r>
            <w:r>
              <w:rPr>
                <w:rStyle w:val="IndexLink"/>
                <w:rtl w:val="true"/>
              </w:rPr>
              <w:tab/>
            </w:r>
            <w:r>
              <w:rPr>
                <w:rStyle w:val="IndexLink"/>
              </w:rPr>
              <w:t>306</w:t>
            </w:r>
          </w:hyperlink>
        </w:p>
        <w:p>
          <w:pPr>
            <w:pStyle w:val="Contents5"/>
            <w:tabs>
              <w:tab w:val="clear" w:pos="7892"/>
              <w:tab w:val="right" w:pos="9026" w:leader="dot"/>
            </w:tabs>
            <w:rPr/>
          </w:pPr>
          <w:hyperlink w:anchor="__RefHeading___Toc3808487_1067777946">
            <w:r>
              <w:rPr>
                <w:webHidden/>
                <w:rStyle w:val="IndexLink"/>
                <w:rtl w:val="true"/>
              </w:rPr>
              <w:t>نفى ولد مجنونه</w:t>
            </w:r>
            <w:r>
              <w:rPr>
                <w:rStyle w:val="IndexLink"/>
                <w:rtl w:val="true"/>
              </w:rPr>
              <w:tab/>
            </w:r>
            <w:r>
              <w:rPr>
                <w:rStyle w:val="IndexLink"/>
              </w:rPr>
              <w:t>306</w:t>
            </w:r>
          </w:hyperlink>
        </w:p>
        <w:p>
          <w:pPr>
            <w:pStyle w:val="Contents5"/>
            <w:tabs>
              <w:tab w:val="clear" w:pos="7892"/>
              <w:tab w:val="right" w:pos="9026" w:leader="dot"/>
            </w:tabs>
            <w:rPr/>
          </w:pPr>
          <w:hyperlink w:anchor="__RefHeading___Toc3808489_1067777946">
            <w:r>
              <w:rPr>
                <w:webHidden/>
                <w:rStyle w:val="IndexLink"/>
                <w:rtl w:val="true"/>
              </w:rPr>
              <w:t>تحقق نفى در ولد شبهه</w:t>
            </w:r>
            <w:r>
              <w:rPr>
                <w:rStyle w:val="IndexLink"/>
                <w:rtl w:val="true"/>
              </w:rPr>
              <w:tab/>
            </w:r>
            <w:r>
              <w:rPr>
                <w:rStyle w:val="IndexLink"/>
              </w:rPr>
              <w:t>306</w:t>
            </w:r>
          </w:hyperlink>
        </w:p>
        <w:p>
          <w:pPr>
            <w:pStyle w:val="Contents5"/>
            <w:tabs>
              <w:tab w:val="clear" w:pos="7892"/>
              <w:tab w:val="right" w:pos="9026" w:leader="dot"/>
            </w:tabs>
            <w:rPr/>
          </w:pPr>
          <w:hyperlink w:anchor="__RefHeading___Toc3808491_1067777946">
            <w:r>
              <w:rPr>
                <w:webHidden/>
                <w:rStyle w:val="IndexLink"/>
                <w:rtl w:val="true"/>
              </w:rPr>
              <w:t>وجوب نفى ولد بر زوج با اختلال شروط</w:t>
            </w:r>
            <w:r>
              <w:rPr>
                <w:rStyle w:val="IndexLink"/>
                <w:rtl w:val="true"/>
              </w:rPr>
              <w:tab/>
            </w:r>
            <w:r>
              <w:rPr>
                <w:rStyle w:val="IndexLink"/>
              </w:rPr>
              <w:t>307</w:t>
            </w:r>
          </w:hyperlink>
        </w:p>
        <w:p>
          <w:pPr>
            <w:pStyle w:val="Contents5"/>
            <w:tabs>
              <w:tab w:val="clear" w:pos="7892"/>
              <w:tab w:val="right" w:pos="9026" w:leader="dot"/>
            </w:tabs>
            <w:rPr/>
          </w:pPr>
          <w:hyperlink w:anchor="__RefHeading___Toc3808493_1067777946">
            <w:r>
              <w:rPr>
                <w:webHidden/>
                <w:rStyle w:val="IndexLink"/>
                <w:rtl w:val="true"/>
              </w:rPr>
              <w:t>حرمت انكار ولد با علم يا تحقّق شروط</w:t>
            </w:r>
            <w:r>
              <w:rPr>
                <w:rStyle w:val="IndexLink"/>
                <w:rtl w:val="true"/>
              </w:rPr>
              <w:tab/>
            </w:r>
            <w:r>
              <w:rPr>
                <w:rStyle w:val="IndexLink"/>
              </w:rPr>
              <w:t>307</w:t>
            </w:r>
          </w:hyperlink>
        </w:p>
        <w:p>
          <w:pPr>
            <w:pStyle w:val="Contents5"/>
            <w:tabs>
              <w:tab w:val="clear" w:pos="7892"/>
              <w:tab w:val="right" w:pos="9026" w:leader="dot"/>
            </w:tabs>
            <w:rPr/>
          </w:pPr>
          <w:hyperlink w:anchor="__RefHeading___Toc3808495_1067777946">
            <w:r>
              <w:rPr>
                <w:webHidden/>
                <w:rStyle w:val="IndexLink"/>
                <w:rtl w:val="true"/>
              </w:rPr>
              <w:t>عدم جواز انكار به مجرّد شبهه يا ظن</w:t>
            </w:r>
            <w:r>
              <w:rPr>
                <w:rStyle w:val="IndexLink"/>
                <w:rtl w:val="true"/>
              </w:rPr>
              <w:tab/>
            </w:r>
            <w:r>
              <w:rPr>
                <w:rStyle w:val="IndexLink"/>
              </w:rPr>
              <w:t>307</w:t>
            </w:r>
          </w:hyperlink>
        </w:p>
        <w:p>
          <w:pPr>
            <w:pStyle w:val="Contents4"/>
            <w:tabs>
              <w:tab w:val="clear" w:pos="8176"/>
              <w:tab w:val="right" w:pos="9026" w:leader="dot"/>
            </w:tabs>
            <w:rPr/>
          </w:pPr>
          <w:hyperlink w:anchor="__RefHeading___Toc3808497_1067777946">
            <w:r>
              <w:rPr>
                <w:webHidden/>
                <w:rStyle w:val="IndexLink"/>
              </w:rPr>
              <w:t>2</w:t>
            </w:r>
            <w:r>
              <w:rPr>
                <w:rStyle w:val="IndexLink"/>
                <w:rtl w:val="true"/>
              </w:rPr>
              <w:t xml:space="preserve">. </w:t>
            </w:r>
            <w:r>
              <w:rPr>
                <w:rStyle w:val="IndexLink"/>
                <w:rtl w:val="true"/>
              </w:rPr>
              <w:t>اوصاف مُلاعِنه</w:t>
            </w:r>
            <w:r>
              <w:rPr>
                <w:rStyle w:val="IndexLink"/>
                <w:rtl w:val="true"/>
              </w:rPr>
              <w:tab/>
            </w:r>
            <w:r>
              <w:rPr>
                <w:rStyle w:val="IndexLink"/>
              </w:rPr>
              <w:t>308</w:t>
            </w:r>
          </w:hyperlink>
        </w:p>
        <w:p>
          <w:pPr>
            <w:pStyle w:val="Contents5"/>
            <w:tabs>
              <w:tab w:val="clear" w:pos="7892"/>
              <w:tab w:val="right" w:pos="9026" w:leader="dot"/>
            </w:tabs>
            <w:rPr/>
          </w:pPr>
          <w:hyperlink w:anchor="__RefHeading___Toc3808499_1067777946">
            <w:r>
              <w:rPr>
                <w:webHidden/>
                <w:rStyle w:val="IndexLink"/>
                <w:rtl w:val="true"/>
              </w:rPr>
              <w:t>اشاره</w:t>
            </w:r>
            <w:r>
              <w:rPr>
                <w:rStyle w:val="IndexLink"/>
                <w:rtl w:val="true"/>
              </w:rPr>
              <w:tab/>
            </w:r>
            <w:r>
              <w:rPr>
                <w:rStyle w:val="IndexLink"/>
              </w:rPr>
              <w:t>308</w:t>
            </w:r>
          </w:hyperlink>
        </w:p>
        <w:p>
          <w:pPr>
            <w:pStyle w:val="Contents5"/>
            <w:tabs>
              <w:tab w:val="clear" w:pos="7892"/>
              <w:tab w:val="right" w:pos="9026" w:leader="dot"/>
            </w:tabs>
            <w:rPr/>
          </w:pPr>
          <w:hyperlink w:anchor="__RefHeading___Toc3808501_1067777946">
            <w:r>
              <w:rPr>
                <w:webHidden/>
                <w:rStyle w:val="IndexLink"/>
                <w:rtl w:val="true"/>
              </w:rPr>
              <w:t>قذف شخص لال يا ناشنوا</w:t>
            </w:r>
            <w:r>
              <w:rPr>
                <w:rStyle w:val="IndexLink"/>
                <w:rtl w:val="true"/>
              </w:rPr>
              <w:tab/>
            </w:r>
            <w:r>
              <w:rPr>
                <w:rStyle w:val="IndexLink"/>
              </w:rPr>
              <w:t>308</w:t>
            </w:r>
          </w:hyperlink>
        </w:p>
        <w:p>
          <w:pPr>
            <w:pStyle w:val="Contents5"/>
            <w:tabs>
              <w:tab w:val="clear" w:pos="7892"/>
              <w:tab w:val="right" w:pos="9026" w:leader="dot"/>
            </w:tabs>
            <w:rPr/>
          </w:pPr>
          <w:hyperlink w:anchor="__RefHeading___Toc3808503_1067777946">
            <w:r>
              <w:rPr>
                <w:webHidden/>
                <w:rStyle w:val="IndexLink"/>
                <w:rtl w:val="true"/>
              </w:rPr>
              <w:t>اعتبار دوام عقد و حكم ولد متعه</w:t>
            </w:r>
            <w:r>
              <w:rPr>
                <w:rStyle w:val="IndexLink"/>
                <w:rtl w:val="true"/>
              </w:rPr>
              <w:tab/>
            </w:r>
            <w:r>
              <w:rPr>
                <w:rStyle w:val="IndexLink"/>
              </w:rPr>
              <w:t>308</w:t>
            </w:r>
          </w:hyperlink>
        </w:p>
        <w:p>
          <w:pPr>
            <w:pStyle w:val="Contents5"/>
            <w:tabs>
              <w:tab w:val="clear" w:pos="7892"/>
              <w:tab w:val="right" w:pos="9026" w:leader="dot"/>
            </w:tabs>
            <w:rPr/>
          </w:pPr>
          <w:hyperlink w:anchor="__RefHeading___Toc3808505_1067777946">
            <w:r>
              <w:rPr>
                <w:webHidden/>
                <w:rStyle w:val="IndexLink"/>
                <w:rtl w:val="true"/>
              </w:rPr>
              <w:t>عدم اعتبار حرّيت</w:t>
            </w:r>
            <w:r>
              <w:rPr>
                <w:rStyle w:val="IndexLink"/>
                <w:rtl w:val="true"/>
              </w:rPr>
              <w:tab/>
            </w:r>
            <w:r>
              <w:rPr>
                <w:rStyle w:val="IndexLink"/>
              </w:rPr>
              <w:t>309</w:t>
            </w:r>
          </w:hyperlink>
        </w:p>
        <w:p>
          <w:pPr>
            <w:pStyle w:val="Contents5"/>
            <w:tabs>
              <w:tab w:val="clear" w:pos="7892"/>
              <w:tab w:val="right" w:pos="9026" w:leader="dot"/>
            </w:tabs>
            <w:rPr/>
          </w:pPr>
          <w:hyperlink w:anchor="__RefHeading___Toc3808507_1067777946">
            <w:r>
              <w:rPr>
                <w:webHidden/>
                <w:rStyle w:val="IndexLink"/>
                <w:rtl w:val="true"/>
              </w:rPr>
              <w:t>صحّت لعان حامل</w:t>
            </w:r>
            <w:r>
              <w:rPr>
                <w:rStyle w:val="IndexLink"/>
                <w:rtl w:val="true"/>
              </w:rPr>
              <w:tab/>
            </w:r>
            <w:r>
              <w:rPr>
                <w:rStyle w:val="IndexLink"/>
              </w:rPr>
              <w:t>309</w:t>
            </w:r>
          </w:hyperlink>
        </w:p>
        <w:p>
          <w:pPr>
            <w:pStyle w:val="Contents5"/>
            <w:tabs>
              <w:tab w:val="clear" w:pos="7892"/>
              <w:tab w:val="right" w:pos="9026" w:leader="dot"/>
            </w:tabs>
            <w:rPr/>
          </w:pPr>
          <w:hyperlink w:anchor="__RefHeading___Toc3808509_1067777946">
            <w:r>
              <w:rPr>
                <w:webHidden/>
                <w:rStyle w:val="IndexLink"/>
                <w:rtl w:val="true"/>
              </w:rPr>
              <w:t>عدم كفايت مجرّد ملك براى تحقّق فراش</w:t>
            </w:r>
            <w:r>
              <w:rPr>
                <w:rStyle w:val="IndexLink"/>
                <w:rtl w:val="true"/>
              </w:rPr>
              <w:tab/>
            </w:r>
            <w:r>
              <w:rPr>
                <w:rStyle w:val="IndexLink"/>
              </w:rPr>
              <w:t>309</w:t>
            </w:r>
          </w:hyperlink>
        </w:p>
        <w:p>
          <w:pPr>
            <w:pStyle w:val="Contents5"/>
            <w:tabs>
              <w:tab w:val="clear" w:pos="7892"/>
              <w:tab w:val="right" w:pos="9026" w:leader="dot"/>
            </w:tabs>
            <w:rPr/>
          </w:pPr>
          <w:hyperlink w:anchor="__RefHeading___Toc3808511_1067777946">
            <w:r>
              <w:rPr>
                <w:webHidden/>
                <w:rStyle w:val="IndexLink"/>
                <w:rtl w:val="true"/>
              </w:rPr>
              <w:t>اناطۀ جواز نفى ولد به علم به مخالفت قاعدۀ فراش</w:t>
            </w:r>
            <w:r>
              <w:rPr>
                <w:rStyle w:val="IndexLink"/>
                <w:rtl w:val="true"/>
              </w:rPr>
              <w:tab/>
            </w:r>
            <w:r>
              <w:rPr>
                <w:rStyle w:val="IndexLink"/>
              </w:rPr>
              <w:t>310</w:t>
            </w:r>
          </w:hyperlink>
        </w:p>
        <w:p>
          <w:pPr>
            <w:pStyle w:val="Contents5"/>
            <w:tabs>
              <w:tab w:val="clear" w:pos="7892"/>
              <w:tab w:val="right" w:pos="9026" w:leader="dot"/>
            </w:tabs>
            <w:rPr/>
          </w:pPr>
          <w:hyperlink w:anchor="__RefHeading___Toc3808513_1067777946">
            <w:r>
              <w:rPr>
                <w:webHidden/>
                <w:rStyle w:val="IndexLink"/>
                <w:rtl w:val="true"/>
              </w:rPr>
              <w:t>الحاق متمتّع بها به امه</w:t>
            </w:r>
            <w:r>
              <w:rPr>
                <w:rStyle w:val="IndexLink"/>
                <w:rtl w:val="true"/>
              </w:rPr>
              <w:tab/>
            </w:r>
            <w:r>
              <w:rPr>
                <w:rStyle w:val="IndexLink"/>
              </w:rPr>
              <w:t>310</w:t>
            </w:r>
          </w:hyperlink>
        </w:p>
        <w:p>
          <w:pPr>
            <w:pStyle w:val="Contents3"/>
            <w:tabs>
              <w:tab w:val="clear" w:pos="8459"/>
              <w:tab w:val="right" w:pos="9026" w:leader="dot"/>
            </w:tabs>
            <w:rPr/>
          </w:pPr>
          <w:hyperlink w:anchor="__RefHeading___Toc3808515_1067777946">
            <w:r>
              <w:rPr>
                <w:webHidden/>
                <w:rStyle w:val="IndexLink"/>
                <w:rtl w:val="true"/>
              </w:rPr>
              <w:t>فصل سوّم كيفيّت لعان</w:t>
            </w:r>
            <w:r>
              <w:rPr>
                <w:rStyle w:val="IndexLink"/>
                <w:rtl w:val="true"/>
              </w:rPr>
              <w:tab/>
            </w:r>
            <w:r>
              <w:rPr>
                <w:rStyle w:val="IndexLink"/>
              </w:rPr>
              <w:t>311</w:t>
            </w:r>
          </w:hyperlink>
        </w:p>
        <w:p>
          <w:pPr>
            <w:pStyle w:val="Contents4"/>
            <w:tabs>
              <w:tab w:val="clear" w:pos="8176"/>
              <w:tab w:val="right" w:pos="9026" w:leader="dot"/>
            </w:tabs>
            <w:rPr/>
          </w:pPr>
          <w:hyperlink w:anchor="__RefHeading___Toc3808517_1067777946">
            <w:r>
              <w:rPr>
                <w:webHidden/>
                <w:rStyle w:val="IndexLink"/>
                <w:rtl w:val="true"/>
              </w:rPr>
              <w:t>صحّت لعان نزد نائب عام</w:t>
            </w:r>
            <w:r>
              <w:rPr>
                <w:rStyle w:val="IndexLink"/>
                <w:rtl w:val="true"/>
              </w:rPr>
              <w:tab/>
            </w:r>
            <w:r>
              <w:rPr>
                <w:rStyle w:val="IndexLink"/>
              </w:rPr>
              <w:t>311</w:t>
            </w:r>
          </w:hyperlink>
        </w:p>
        <w:p>
          <w:pPr>
            <w:pStyle w:val="Contents4"/>
            <w:tabs>
              <w:tab w:val="clear" w:pos="8176"/>
              <w:tab w:val="right" w:pos="9026" w:leader="dot"/>
            </w:tabs>
            <w:rPr/>
          </w:pPr>
          <w:hyperlink w:anchor="__RefHeading___Toc3808519_1067777946">
            <w:r>
              <w:rPr>
                <w:webHidden/>
                <w:rStyle w:val="IndexLink"/>
                <w:rtl w:val="true"/>
              </w:rPr>
              <w:t>كيفيّت لعان</w:t>
            </w:r>
            <w:r>
              <w:rPr>
                <w:rStyle w:val="IndexLink"/>
                <w:rtl w:val="true"/>
              </w:rPr>
              <w:tab/>
            </w:r>
            <w:r>
              <w:rPr>
                <w:rStyle w:val="IndexLink"/>
              </w:rPr>
              <w:t>311</w:t>
            </w:r>
          </w:hyperlink>
        </w:p>
        <w:p>
          <w:pPr>
            <w:pStyle w:val="Contents4"/>
            <w:tabs>
              <w:tab w:val="clear" w:pos="8176"/>
              <w:tab w:val="right" w:pos="9026" w:leader="dot"/>
            </w:tabs>
            <w:rPr/>
          </w:pPr>
          <w:hyperlink w:anchor="__RefHeading___Toc3808521_1067777946">
            <w:r>
              <w:rPr>
                <w:webHidden/>
                <w:rStyle w:val="IndexLink"/>
                <w:rtl w:val="true"/>
              </w:rPr>
              <w:t>شرايط شهادت و الفاظ لعان</w:t>
            </w:r>
            <w:r>
              <w:rPr>
                <w:rStyle w:val="IndexLink"/>
                <w:rtl w:val="true"/>
              </w:rPr>
              <w:tab/>
            </w:r>
            <w:r>
              <w:rPr>
                <w:rStyle w:val="IndexLink"/>
              </w:rPr>
              <w:t>312</w:t>
            </w:r>
          </w:hyperlink>
        </w:p>
        <w:p>
          <w:pPr>
            <w:pStyle w:val="Contents4"/>
            <w:tabs>
              <w:tab w:val="clear" w:pos="8176"/>
              <w:tab w:val="right" w:pos="9026" w:leader="dot"/>
            </w:tabs>
            <w:rPr/>
          </w:pPr>
          <w:hyperlink w:anchor="__RefHeading___Toc3808523_1067777946">
            <w:r>
              <w:rPr>
                <w:webHidden/>
                <w:rStyle w:val="IndexLink"/>
                <w:rtl w:val="true"/>
              </w:rPr>
              <w:t>مستحبّات لعان</w:t>
            </w:r>
            <w:r>
              <w:rPr>
                <w:rStyle w:val="IndexLink"/>
                <w:rtl w:val="true"/>
              </w:rPr>
              <w:tab/>
            </w:r>
            <w:r>
              <w:rPr>
                <w:rStyle w:val="IndexLink"/>
              </w:rPr>
              <w:t>312</w:t>
            </w:r>
          </w:hyperlink>
        </w:p>
        <w:p>
          <w:pPr>
            <w:pStyle w:val="Contents4"/>
            <w:tabs>
              <w:tab w:val="clear" w:pos="8176"/>
              <w:tab w:val="right" w:pos="9026" w:leader="dot"/>
            </w:tabs>
            <w:rPr/>
          </w:pPr>
          <w:hyperlink w:anchor="__RefHeading___Toc3808525_1067777946">
            <w:r>
              <w:rPr>
                <w:webHidden/>
                <w:rStyle w:val="IndexLink"/>
                <w:rtl w:val="true"/>
              </w:rPr>
              <w:t>استحباب تغليظ در ايقاع لعان</w:t>
            </w:r>
            <w:r>
              <w:rPr>
                <w:rStyle w:val="IndexLink"/>
                <w:rtl w:val="true"/>
              </w:rPr>
              <w:tab/>
            </w:r>
            <w:r>
              <w:rPr>
                <w:rStyle w:val="IndexLink"/>
              </w:rPr>
              <w:t>312</w:t>
            </w:r>
          </w:hyperlink>
        </w:p>
        <w:p>
          <w:pPr>
            <w:pStyle w:val="Contents4"/>
            <w:tabs>
              <w:tab w:val="clear" w:pos="8176"/>
              <w:tab w:val="right" w:pos="9026" w:leader="dot"/>
            </w:tabs>
            <w:rPr/>
          </w:pPr>
          <w:hyperlink w:anchor="__RefHeading___Toc3808527_1067777946">
            <w:r>
              <w:rPr>
                <w:webHidden/>
                <w:rStyle w:val="IndexLink"/>
                <w:rtl w:val="true"/>
              </w:rPr>
              <w:t>ايقاع لعان در مساجد</w:t>
            </w:r>
            <w:r>
              <w:rPr>
                <w:rStyle w:val="IndexLink"/>
                <w:rtl w:val="true"/>
              </w:rPr>
              <w:tab/>
            </w:r>
            <w:r>
              <w:rPr>
                <w:rStyle w:val="IndexLink"/>
              </w:rPr>
              <w:t>313</w:t>
            </w:r>
          </w:hyperlink>
        </w:p>
        <w:p>
          <w:pPr>
            <w:pStyle w:val="Contents4"/>
            <w:tabs>
              <w:tab w:val="clear" w:pos="8176"/>
              <w:tab w:val="right" w:pos="9026" w:leader="dot"/>
            </w:tabs>
            <w:rPr/>
          </w:pPr>
          <w:hyperlink w:anchor="__RefHeading___Toc3808529_1067777946">
            <w:r>
              <w:rPr>
                <w:webHidden/>
                <w:rStyle w:val="IndexLink"/>
                <w:rtl w:val="true"/>
              </w:rPr>
              <w:t>عدم ترتب ثمره بر اينكه لعان يمين است يا شهادت</w:t>
            </w:r>
            <w:r>
              <w:rPr>
                <w:rStyle w:val="IndexLink"/>
                <w:rtl w:val="true"/>
              </w:rPr>
              <w:tab/>
            </w:r>
            <w:r>
              <w:rPr>
                <w:rStyle w:val="IndexLink"/>
              </w:rPr>
              <w:t>313</w:t>
            </w:r>
          </w:hyperlink>
        </w:p>
        <w:p>
          <w:pPr>
            <w:pStyle w:val="Contents3"/>
            <w:tabs>
              <w:tab w:val="clear" w:pos="8459"/>
              <w:tab w:val="right" w:pos="9026" w:leader="dot"/>
            </w:tabs>
            <w:rPr/>
          </w:pPr>
          <w:hyperlink w:anchor="__RefHeading___Toc3808531_1067777946">
            <w:r>
              <w:rPr>
                <w:webHidden/>
                <w:rStyle w:val="IndexLink"/>
                <w:rtl w:val="true"/>
              </w:rPr>
              <w:t>فصل چهارم احكام لعان</w:t>
            </w:r>
            <w:r>
              <w:rPr>
                <w:rStyle w:val="IndexLink"/>
                <w:rtl w:val="true"/>
              </w:rPr>
              <w:tab/>
            </w:r>
            <w:r>
              <w:rPr>
                <w:rStyle w:val="IndexLink"/>
              </w:rPr>
              <w:t>314</w:t>
            </w:r>
          </w:hyperlink>
        </w:p>
        <w:p>
          <w:pPr>
            <w:pStyle w:val="Contents4"/>
            <w:tabs>
              <w:tab w:val="clear" w:pos="8176"/>
              <w:tab w:val="right" w:pos="9026" w:leader="dot"/>
            </w:tabs>
            <w:rPr/>
          </w:pPr>
          <w:hyperlink w:anchor="__RefHeading___Toc3808533_1067777946">
            <w:r>
              <w:rPr>
                <w:webHidden/>
                <w:rStyle w:val="IndexLink"/>
                <w:rtl w:val="true"/>
              </w:rPr>
              <w:t>ثبوت حد بر مرد به وسيلۀ قذف و سقوط با لعان</w:t>
            </w:r>
            <w:r>
              <w:rPr>
                <w:rStyle w:val="IndexLink"/>
                <w:rtl w:val="true"/>
              </w:rPr>
              <w:tab/>
            </w:r>
            <w:r>
              <w:rPr>
                <w:rStyle w:val="IndexLink"/>
              </w:rPr>
              <w:t>314</w:t>
            </w:r>
          </w:hyperlink>
        </w:p>
        <w:p>
          <w:pPr>
            <w:pStyle w:val="Contents4"/>
            <w:tabs>
              <w:tab w:val="clear" w:pos="8176"/>
              <w:tab w:val="right" w:pos="9026" w:leader="dot"/>
            </w:tabs>
            <w:rPr/>
          </w:pPr>
          <w:hyperlink w:anchor="__RefHeading___Toc3808535_1067777946">
            <w:r>
              <w:rPr>
                <w:webHidden/>
                <w:rStyle w:val="IndexLink"/>
                <w:rtl w:val="true"/>
              </w:rPr>
              <w:t>نكول زوج از لعان يا اعتراف به كذب</w:t>
            </w:r>
            <w:r>
              <w:rPr>
                <w:rStyle w:val="IndexLink"/>
                <w:rtl w:val="true"/>
              </w:rPr>
              <w:tab/>
            </w:r>
            <w:r>
              <w:rPr>
                <w:rStyle w:val="IndexLink"/>
              </w:rPr>
              <w:t>314</w:t>
            </w:r>
          </w:hyperlink>
        </w:p>
        <w:p>
          <w:pPr>
            <w:pStyle w:val="Contents4"/>
            <w:tabs>
              <w:tab w:val="clear" w:pos="8176"/>
              <w:tab w:val="right" w:pos="9026" w:leader="dot"/>
            </w:tabs>
            <w:rPr/>
          </w:pPr>
          <w:hyperlink w:anchor="__RefHeading___Toc3808537_1067777946">
            <w:r>
              <w:rPr>
                <w:webHidden/>
                <w:rStyle w:val="IndexLink"/>
                <w:rtl w:val="true"/>
              </w:rPr>
              <w:t>سقوط حد از زوجين با لعان هر دو</w:t>
            </w:r>
            <w:r>
              <w:rPr>
                <w:rStyle w:val="IndexLink"/>
                <w:rtl w:val="true"/>
              </w:rPr>
              <w:tab/>
            </w:r>
            <w:r>
              <w:rPr>
                <w:rStyle w:val="IndexLink"/>
              </w:rPr>
              <w:t>314</w:t>
            </w:r>
          </w:hyperlink>
        </w:p>
        <w:p>
          <w:pPr>
            <w:pStyle w:val="Contents4"/>
            <w:tabs>
              <w:tab w:val="clear" w:pos="8176"/>
              <w:tab w:val="right" w:pos="9026" w:leader="dot"/>
            </w:tabs>
            <w:rPr/>
          </w:pPr>
          <w:hyperlink w:anchor="__RefHeading___Toc3808539_1067777946">
            <w:r>
              <w:rPr>
                <w:webHidden/>
                <w:rStyle w:val="IndexLink"/>
                <w:rtl w:val="true"/>
              </w:rPr>
              <w:t>اقرار يا نكول زن</w:t>
            </w:r>
            <w:r>
              <w:rPr>
                <w:rStyle w:val="IndexLink"/>
                <w:rtl w:val="true"/>
              </w:rPr>
              <w:tab/>
            </w:r>
            <w:r>
              <w:rPr>
                <w:rStyle w:val="IndexLink"/>
              </w:rPr>
              <w:t>315</w:t>
            </w:r>
          </w:hyperlink>
        </w:p>
        <w:p>
          <w:pPr>
            <w:pStyle w:val="Contents4"/>
            <w:tabs>
              <w:tab w:val="clear" w:pos="8176"/>
              <w:tab w:val="right" w:pos="9026" w:leader="dot"/>
            </w:tabs>
            <w:rPr/>
          </w:pPr>
          <w:hyperlink w:anchor="__RefHeading___Toc3808541_1067777946">
            <w:r>
              <w:rPr>
                <w:webHidden/>
                <w:rStyle w:val="IndexLink"/>
                <w:rtl w:val="true"/>
              </w:rPr>
              <w:t>اعتراف زوج به كذب بعد از لعان</w:t>
            </w:r>
            <w:r>
              <w:rPr>
                <w:rStyle w:val="IndexLink"/>
                <w:rtl w:val="true"/>
              </w:rPr>
              <w:tab/>
            </w:r>
            <w:r>
              <w:rPr>
                <w:rStyle w:val="IndexLink"/>
              </w:rPr>
              <w:t>315</w:t>
            </w:r>
          </w:hyperlink>
        </w:p>
        <w:p>
          <w:pPr>
            <w:pStyle w:val="Contents4"/>
            <w:tabs>
              <w:tab w:val="clear" w:pos="8176"/>
              <w:tab w:val="right" w:pos="9026" w:leader="dot"/>
            </w:tabs>
            <w:rPr/>
          </w:pPr>
          <w:hyperlink w:anchor="__RefHeading___Toc3808543_1067777946">
            <w:r>
              <w:rPr>
                <w:webHidden/>
                <w:rStyle w:val="IndexLink"/>
                <w:rtl w:val="true"/>
              </w:rPr>
              <w:t>اعتراف زوجه به كذب بعد از لعان خودش</w:t>
            </w:r>
            <w:r>
              <w:rPr>
                <w:rStyle w:val="IndexLink"/>
                <w:rtl w:val="true"/>
              </w:rPr>
              <w:tab/>
            </w:r>
            <w:r>
              <w:rPr>
                <w:rStyle w:val="IndexLink"/>
              </w:rPr>
              <w:t>315</w:t>
            </w:r>
          </w:hyperlink>
        </w:p>
        <w:p>
          <w:pPr>
            <w:pStyle w:val="Contents4"/>
            <w:tabs>
              <w:tab w:val="clear" w:pos="8176"/>
              <w:tab w:val="right" w:pos="9026" w:leader="dot"/>
            </w:tabs>
            <w:rPr/>
          </w:pPr>
          <w:hyperlink w:anchor="__RefHeading___Toc3808545_1067777946">
            <w:r>
              <w:rPr>
                <w:webHidden/>
                <w:rStyle w:val="IndexLink"/>
                <w:rtl w:val="true"/>
              </w:rPr>
              <w:t>اقامۀ بيّنه و تكذيب آن</w:t>
            </w:r>
            <w:r>
              <w:rPr>
                <w:rStyle w:val="IndexLink"/>
                <w:rtl w:val="true"/>
              </w:rPr>
              <w:tab/>
            </w:r>
            <w:r>
              <w:rPr>
                <w:rStyle w:val="IndexLink"/>
              </w:rPr>
              <w:t>316</w:t>
            </w:r>
          </w:hyperlink>
        </w:p>
        <w:p>
          <w:pPr>
            <w:pStyle w:val="Contents4"/>
            <w:tabs>
              <w:tab w:val="clear" w:pos="8176"/>
              <w:tab w:val="right" w:pos="9026" w:leader="dot"/>
            </w:tabs>
            <w:rPr/>
          </w:pPr>
          <w:hyperlink w:anchor="__RefHeading___Toc3808547_1067777946">
            <w:r>
              <w:rPr>
                <w:webHidden/>
                <w:rStyle w:val="IndexLink"/>
                <w:rtl w:val="true"/>
              </w:rPr>
              <w:t>حكم عدم قدرت لسانى بر لعان بعد از قذف</w:t>
            </w:r>
            <w:r>
              <w:rPr>
                <w:rStyle w:val="IndexLink"/>
                <w:rtl w:val="true"/>
              </w:rPr>
              <w:tab/>
            </w:r>
            <w:r>
              <w:rPr>
                <w:rStyle w:val="IndexLink"/>
              </w:rPr>
              <w:t>316</w:t>
            </w:r>
          </w:hyperlink>
        </w:p>
        <w:p>
          <w:pPr>
            <w:pStyle w:val="Contents4"/>
            <w:tabs>
              <w:tab w:val="clear" w:pos="8176"/>
              <w:tab w:val="right" w:pos="9026" w:leader="dot"/>
            </w:tabs>
            <w:rPr/>
          </w:pPr>
          <w:hyperlink w:anchor="__RefHeading___Toc3808549_1067777946">
            <w:r>
              <w:rPr>
                <w:webHidden/>
                <w:rStyle w:val="IndexLink"/>
                <w:rtl w:val="true"/>
              </w:rPr>
              <w:t>ادّعاى قذف توسط زن و سكوت زوج</w:t>
            </w:r>
            <w:r>
              <w:rPr>
                <w:rStyle w:val="IndexLink"/>
                <w:rtl w:val="true"/>
              </w:rPr>
              <w:tab/>
            </w:r>
            <w:r>
              <w:rPr>
                <w:rStyle w:val="IndexLink"/>
              </w:rPr>
              <w:t>316</w:t>
            </w:r>
          </w:hyperlink>
        </w:p>
        <w:p>
          <w:pPr>
            <w:pStyle w:val="Contents4"/>
            <w:tabs>
              <w:tab w:val="clear" w:pos="8176"/>
              <w:tab w:val="right" w:pos="9026" w:leader="dot"/>
            </w:tabs>
            <w:rPr/>
          </w:pPr>
          <w:hyperlink w:anchor="__RefHeading___Toc3808551_1067777946">
            <w:r>
              <w:rPr>
                <w:webHidden/>
                <w:rStyle w:val="IndexLink"/>
                <w:rtl w:val="true"/>
              </w:rPr>
              <w:t>صورت سقوط حدّ در فرض لعان</w:t>
            </w:r>
            <w:r>
              <w:rPr>
                <w:rStyle w:val="IndexLink"/>
                <w:rtl w:val="true"/>
              </w:rPr>
              <w:tab/>
            </w:r>
            <w:r>
              <w:rPr>
                <w:rStyle w:val="IndexLink"/>
              </w:rPr>
              <w:t>317</w:t>
            </w:r>
          </w:hyperlink>
        </w:p>
        <w:p>
          <w:pPr>
            <w:pStyle w:val="Contents4"/>
            <w:tabs>
              <w:tab w:val="clear" w:pos="8176"/>
              <w:tab w:val="right" w:pos="9026" w:leader="dot"/>
            </w:tabs>
            <w:rPr/>
          </w:pPr>
          <w:hyperlink w:anchor="__RefHeading___Toc3808553_1067777946">
            <w:r>
              <w:rPr>
                <w:webHidden/>
                <w:rStyle w:val="IndexLink"/>
                <w:rtl w:val="true"/>
              </w:rPr>
              <w:t>تعدّد حدّ قذف با فرض تعدّد متعلّق آن</w:t>
            </w:r>
            <w:r>
              <w:rPr>
                <w:rStyle w:val="IndexLink"/>
                <w:rtl w:val="true"/>
              </w:rPr>
              <w:tab/>
            </w:r>
            <w:r>
              <w:rPr>
                <w:rStyle w:val="IndexLink"/>
              </w:rPr>
              <w:t>317</w:t>
            </w:r>
          </w:hyperlink>
        </w:p>
        <w:p>
          <w:pPr>
            <w:pStyle w:val="Contents4"/>
            <w:tabs>
              <w:tab w:val="clear" w:pos="8176"/>
              <w:tab w:val="right" w:pos="9026" w:leader="dot"/>
            </w:tabs>
            <w:rPr/>
          </w:pPr>
          <w:hyperlink w:anchor="__RefHeading___Toc3808555_1067777946">
            <w:r>
              <w:rPr>
                <w:webHidden/>
                <w:rStyle w:val="IndexLink"/>
                <w:rtl w:val="true"/>
              </w:rPr>
              <w:t>قذف و اقرار بعد از آن</w:t>
            </w:r>
            <w:r>
              <w:rPr>
                <w:rStyle w:val="IndexLink"/>
                <w:rtl w:val="true"/>
              </w:rPr>
              <w:tab/>
            </w:r>
            <w:r>
              <w:rPr>
                <w:rStyle w:val="IndexLink"/>
              </w:rPr>
              <w:t>318</w:t>
            </w:r>
          </w:hyperlink>
        </w:p>
        <w:p>
          <w:pPr>
            <w:pStyle w:val="Contents4"/>
            <w:tabs>
              <w:tab w:val="clear" w:pos="8176"/>
              <w:tab w:val="right" w:pos="9026" w:leader="dot"/>
            </w:tabs>
            <w:rPr/>
          </w:pPr>
          <w:hyperlink w:anchor="__RefHeading___Toc3808557_1067777946">
            <w:r>
              <w:rPr>
                <w:webHidden/>
                <w:rStyle w:val="IndexLink"/>
                <w:rtl w:val="true"/>
              </w:rPr>
              <w:t>قذف زوجه و ادّعاى اقرار او</w:t>
            </w:r>
            <w:r>
              <w:rPr>
                <w:rStyle w:val="IndexLink"/>
                <w:rtl w:val="true"/>
              </w:rPr>
              <w:tab/>
            </w:r>
            <w:r>
              <w:rPr>
                <w:rStyle w:val="IndexLink"/>
              </w:rPr>
              <w:t>318</w:t>
            </w:r>
          </w:hyperlink>
        </w:p>
        <w:p>
          <w:pPr>
            <w:pStyle w:val="Contents4"/>
            <w:tabs>
              <w:tab w:val="clear" w:pos="8176"/>
              <w:tab w:val="right" w:pos="9026" w:leader="dot"/>
            </w:tabs>
            <w:rPr/>
          </w:pPr>
          <w:hyperlink w:anchor="__RefHeading___Toc3808559_1067777946">
            <w:r>
              <w:rPr>
                <w:webHidden/>
                <w:rStyle w:val="IndexLink"/>
                <w:rtl w:val="true"/>
              </w:rPr>
              <w:t>فوت زوجه قبل از لعان و مسألۀ ارث</w:t>
            </w:r>
            <w:r>
              <w:rPr>
                <w:rStyle w:val="IndexLink"/>
                <w:rtl w:val="true"/>
              </w:rPr>
              <w:tab/>
            </w:r>
            <w:r>
              <w:rPr>
                <w:rStyle w:val="IndexLink"/>
              </w:rPr>
              <w:t>318</w:t>
            </w:r>
          </w:hyperlink>
        </w:p>
        <w:p>
          <w:pPr>
            <w:pStyle w:val="Contents4"/>
            <w:tabs>
              <w:tab w:val="clear" w:pos="8176"/>
              <w:tab w:val="right" w:pos="9026" w:leader="dot"/>
            </w:tabs>
            <w:rPr/>
          </w:pPr>
          <w:hyperlink w:anchor="__RefHeading___Toc3808561_1067777946">
            <w:r>
              <w:rPr>
                <w:webHidden/>
                <w:rStyle w:val="IndexLink"/>
                <w:rtl w:val="true"/>
              </w:rPr>
              <w:t>فروض تعدّد و عدم تعدّد در حدّ قذف</w:t>
            </w:r>
            <w:r>
              <w:rPr>
                <w:rStyle w:val="IndexLink"/>
                <w:rtl w:val="true"/>
              </w:rPr>
              <w:tab/>
            </w:r>
            <w:r>
              <w:rPr>
                <w:rStyle w:val="IndexLink"/>
              </w:rPr>
              <w:t>318</w:t>
            </w:r>
          </w:hyperlink>
        </w:p>
        <w:p>
          <w:pPr>
            <w:pStyle w:val="Contents4"/>
            <w:tabs>
              <w:tab w:val="clear" w:pos="8176"/>
              <w:tab w:val="right" w:pos="9026" w:leader="dot"/>
            </w:tabs>
            <w:rPr/>
          </w:pPr>
          <w:hyperlink w:anchor="__RefHeading___Toc3808563_1067777946">
            <w:r>
              <w:rPr>
                <w:webHidden/>
                <w:rStyle w:val="IndexLink"/>
                <w:rtl w:val="true"/>
              </w:rPr>
              <w:t>ترتّب حدّ يا قبول شهادت در فرض شهادت زوج با سه شاهد</w:t>
            </w:r>
            <w:r>
              <w:rPr>
                <w:rStyle w:val="IndexLink"/>
                <w:rtl w:val="true"/>
              </w:rPr>
              <w:tab/>
            </w:r>
            <w:r>
              <w:rPr>
                <w:rStyle w:val="IndexLink"/>
              </w:rPr>
              <w:t>319</w:t>
            </w:r>
          </w:hyperlink>
        </w:p>
        <w:p>
          <w:pPr>
            <w:pStyle w:val="Contents4"/>
            <w:tabs>
              <w:tab w:val="clear" w:pos="8176"/>
              <w:tab w:val="right" w:pos="9026" w:leader="dot"/>
            </w:tabs>
            <w:rPr/>
          </w:pPr>
          <w:hyperlink w:anchor="__RefHeading___Toc3808565_1067777946">
            <w:r>
              <w:rPr>
                <w:webHidden/>
                <w:rStyle w:val="IndexLink"/>
                <w:rtl w:val="true"/>
              </w:rPr>
              <w:t>عدم ترتّب آثار لعان با اخلال به الفاظ</w:t>
            </w:r>
            <w:r>
              <w:rPr>
                <w:rStyle w:val="IndexLink"/>
                <w:rtl w:val="true"/>
              </w:rPr>
              <w:tab/>
            </w:r>
            <w:r>
              <w:rPr>
                <w:rStyle w:val="IndexLink"/>
              </w:rPr>
              <w:t>319</w:t>
            </w:r>
          </w:hyperlink>
        </w:p>
        <w:p>
          <w:pPr>
            <w:pStyle w:val="Contents4"/>
            <w:tabs>
              <w:tab w:val="clear" w:pos="8176"/>
              <w:tab w:val="right" w:pos="9026" w:leader="dot"/>
            </w:tabs>
            <w:rPr/>
          </w:pPr>
          <w:hyperlink w:anchor="__RefHeading___Toc3808567_1067777946">
            <w:r>
              <w:rPr>
                <w:webHidden/>
                <w:rStyle w:val="IndexLink"/>
                <w:rtl w:val="true"/>
              </w:rPr>
              <w:t>فسخ بودن لعان</w:t>
            </w:r>
            <w:r>
              <w:rPr>
                <w:rStyle w:val="IndexLink"/>
                <w:rtl w:val="true"/>
              </w:rPr>
              <w:tab/>
            </w:r>
            <w:r>
              <w:rPr>
                <w:rStyle w:val="IndexLink"/>
              </w:rPr>
              <w:t>319</w:t>
            </w:r>
          </w:hyperlink>
        </w:p>
        <w:p>
          <w:pPr>
            <w:pStyle w:val="Contents4"/>
            <w:tabs>
              <w:tab w:val="clear" w:pos="8176"/>
              <w:tab w:val="right" w:pos="9026" w:leader="dot"/>
            </w:tabs>
            <w:rPr/>
          </w:pPr>
          <w:hyperlink w:anchor="__RefHeading___Toc3808569_1067777946">
            <w:r>
              <w:rPr>
                <w:webHidden/>
                <w:rStyle w:val="IndexLink"/>
                <w:rtl w:val="true"/>
              </w:rPr>
              <w:t>تولّد توأم دو طفل</w:t>
            </w:r>
            <w:r>
              <w:rPr>
                <w:rStyle w:val="IndexLink"/>
                <w:rtl w:val="true"/>
              </w:rPr>
              <w:tab/>
            </w:r>
            <w:r>
              <w:rPr>
                <w:rStyle w:val="IndexLink"/>
              </w:rPr>
              <w:t>319</w:t>
            </w:r>
          </w:hyperlink>
        </w:p>
        <w:p>
          <w:pPr>
            <w:pStyle w:val="Contents2"/>
            <w:tabs>
              <w:tab w:val="clear" w:pos="8743"/>
              <w:tab w:val="right" w:pos="9026" w:leader="dot"/>
            </w:tabs>
            <w:rPr/>
          </w:pPr>
          <w:hyperlink w:anchor="__RefHeading___Toc3808571_1067777946">
            <w:r>
              <w:rPr>
                <w:webHidden/>
                <w:rStyle w:val="IndexLink"/>
                <w:rtl w:val="true"/>
              </w:rPr>
              <w:t>كتاب عتق</w:t>
            </w:r>
            <w:r>
              <w:rPr>
                <w:rStyle w:val="IndexLink"/>
                <w:rtl w:val="true"/>
              </w:rPr>
              <w:tab/>
            </w:r>
            <w:r>
              <w:rPr>
                <w:rStyle w:val="IndexLink"/>
              </w:rPr>
              <w:t>322</w:t>
            </w:r>
          </w:hyperlink>
        </w:p>
        <w:p>
          <w:pPr>
            <w:pStyle w:val="Contents3"/>
            <w:tabs>
              <w:tab w:val="clear" w:pos="8459"/>
              <w:tab w:val="right" w:pos="9026" w:leader="dot"/>
            </w:tabs>
            <w:rPr/>
          </w:pPr>
          <w:hyperlink w:anchor="__RefHeading___Toc3808573_1067777946">
            <w:r>
              <w:rPr>
                <w:webHidden/>
                <w:rStyle w:val="IndexLink"/>
                <w:rtl w:val="true"/>
              </w:rPr>
              <w:t>اشاره</w:t>
            </w:r>
            <w:r>
              <w:rPr>
                <w:rStyle w:val="IndexLink"/>
                <w:rtl w:val="true"/>
              </w:rPr>
              <w:tab/>
            </w:r>
            <w:r>
              <w:rPr>
                <w:rStyle w:val="IndexLink"/>
              </w:rPr>
              <w:t>322</w:t>
            </w:r>
          </w:hyperlink>
        </w:p>
        <w:p>
          <w:pPr>
            <w:pStyle w:val="Contents3"/>
            <w:tabs>
              <w:tab w:val="clear" w:pos="8459"/>
              <w:tab w:val="right" w:pos="9026" w:leader="dot"/>
            </w:tabs>
            <w:rPr/>
          </w:pPr>
          <w:hyperlink w:anchor="__RefHeading___Toc3808575_1067777946">
            <w:r>
              <w:rPr>
                <w:webHidden/>
                <w:rStyle w:val="IndexLink"/>
                <w:rtl w:val="true"/>
              </w:rPr>
              <w:t>فصل اوّل فضل عتق و بيان متعلّق آن</w:t>
            </w:r>
            <w:r>
              <w:rPr>
                <w:rStyle w:val="IndexLink"/>
                <w:rtl w:val="true"/>
              </w:rPr>
              <w:tab/>
            </w:r>
            <w:r>
              <w:rPr>
                <w:rStyle w:val="IndexLink"/>
              </w:rPr>
              <w:t>324</w:t>
            </w:r>
          </w:hyperlink>
        </w:p>
        <w:p>
          <w:pPr>
            <w:pStyle w:val="Contents4"/>
            <w:tabs>
              <w:tab w:val="clear" w:pos="8176"/>
              <w:tab w:val="right" w:pos="9026" w:leader="dot"/>
            </w:tabs>
            <w:rPr/>
          </w:pPr>
          <w:hyperlink w:anchor="__RefHeading___Toc3808577_1067777946">
            <w:r>
              <w:rPr>
                <w:webHidden/>
                <w:rStyle w:val="IndexLink"/>
                <w:rtl w:val="true"/>
              </w:rPr>
              <w:t>اشاره</w:t>
            </w:r>
            <w:r>
              <w:rPr>
                <w:rStyle w:val="IndexLink"/>
                <w:rtl w:val="true"/>
              </w:rPr>
              <w:tab/>
            </w:r>
            <w:r>
              <w:rPr>
                <w:rStyle w:val="IndexLink"/>
              </w:rPr>
              <w:t>324</w:t>
            </w:r>
          </w:hyperlink>
        </w:p>
        <w:p>
          <w:pPr>
            <w:pStyle w:val="Contents4"/>
            <w:tabs>
              <w:tab w:val="clear" w:pos="8176"/>
              <w:tab w:val="right" w:pos="9026" w:leader="dot"/>
            </w:tabs>
            <w:rPr/>
          </w:pPr>
          <w:hyperlink w:anchor="__RefHeading___Toc3808579_1067777946">
            <w:r>
              <w:rPr>
                <w:webHidden/>
                <w:rStyle w:val="IndexLink"/>
                <w:rtl w:val="true"/>
              </w:rPr>
              <w:t>فضيلت عتق</w:t>
            </w:r>
            <w:r>
              <w:rPr>
                <w:rStyle w:val="IndexLink"/>
                <w:rtl w:val="true"/>
              </w:rPr>
              <w:tab/>
            </w:r>
            <w:r>
              <w:rPr>
                <w:rStyle w:val="IndexLink"/>
              </w:rPr>
              <w:t>324</w:t>
            </w:r>
          </w:hyperlink>
        </w:p>
        <w:p>
          <w:pPr>
            <w:pStyle w:val="Contents4"/>
            <w:tabs>
              <w:tab w:val="clear" w:pos="8176"/>
              <w:tab w:val="right" w:pos="9026" w:leader="dot"/>
            </w:tabs>
            <w:rPr/>
          </w:pPr>
          <w:hyperlink w:anchor="__RefHeading___Toc3808581_1067777946">
            <w:r>
              <w:rPr>
                <w:webHidden/>
                <w:rStyle w:val="IndexLink"/>
                <w:rtl w:val="true"/>
              </w:rPr>
              <w:t>اختصاص استرقاق به اهل حرب</w:t>
            </w:r>
            <w:r>
              <w:rPr>
                <w:rStyle w:val="IndexLink"/>
                <w:rtl w:val="true"/>
              </w:rPr>
              <w:tab/>
            </w:r>
            <w:r>
              <w:rPr>
                <w:rStyle w:val="IndexLink"/>
              </w:rPr>
              <w:t>324</w:t>
            </w:r>
          </w:hyperlink>
        </w:p>
        <w:p>
          <w:pPr>
            <w:pStyle w:val="Contents4"/>
            <w:tabs>
              <w:tab w:val="clear" w:pos="8176"/>
              <w:tab w:val="right" w:pos="9026" w:leader="dot"/>
            </w:tabs>
            <w:rPr/>
          </w:pPr>
          <w:hyperlink w:anchor="__RefHeading___Toc3808583_1067777946">
            <w:r>
              <w:rPr>
                <w:webHidden/>
                <w:rStyle w:val="IndexLink"/>
                <w:rtl w:val="true"/>
              </w:rPr>
              <w:t>اعقاب رقّ‌</w:t>
            </w:r>
            <w:r>
              <w:rPr>
                <w:rStyle w:val="IndexLink"/>
                <w:rtl w:val="true"/>
              </w:rPr>
              <w:tab/>
            </w:r>
            <w:r>
              <w:rPr>
                <w:rStyle w:val="IndexLink"/>
              </w:rPr>
              <w:t>324</w:t>
            </w:r>
          </w:hyperlink>
        </w:p>
        <w:p>
          <w:pPr>
            <w:pStyle w:val="Contents4"/>
            <w:tabs>
              <w:tab w:val="clear" w:pos="8176"/>
              <w:tab w:val="right" w:pos="9026" w:leader="dot"/>
            </w:tabs>
            <w:rPr/>
          </w:pPr>
          <w:hyperlink w:anchor="__RefHeading___Toc3808585_1067777946">
            <w:r>
              <w:rPr>
                <w:webHidden/>
                <w:rStyle w:val="IndexLink"/>
                <w:rtl w:val="true"/>
              </w:rPr>
              <w:t>استرقاق حربى</w:t>
            </w:r>
            <w:r>
              <w:rPr>
                <w:rStyle w:val="IndexLink"/>
                <w:rtl w:val="true"/>
              </w:rPr>
              <w:tab/>
            </w:r>
            <w:r>
              <w:rPr>
                <w:rStyle w:val="IndexLink"/>
              </w:rPr>
              <w:t>325</w:t>
            </w:r>
          </w:hyperlink>
        </w:p>
        <w:p>
          <w:pPr>
            <w:pStyle w:val="Contents4"/>
            <w:tabs>
              <w:tab w:val="clear" w:pos="8176"/>
              <w:tab w:val="right" w:pos="9026" w:leader="dot"/>
            </w:tabs>
            <w:rPr/>
          </w:pPr>
          <w:hyperlink w:anchor="__RefHeading___Toc3808587_1067777946">
            <w:r>
              <w:rPr>
                <w:webHidden/>
                <w:rStyle w:val="IndexLink"/>
                <w:rtl w:val="true"/>
              </w:rPr>
              <w:t>اقرار و انكار رقّيّت</w:t>
            </w:r>
            <w:r>
              <w:rPr>
                <w:rStyle w:val="IndexLink"/>
                <w:rtl w:val="true"/>
              </w:rPr>
              <w:tab/>
            </w:r>
            <w:r>
              <w:rPr>
                <w:rStyle w:val="IndexLink"/>
              </w:rPr>
              <w:t>325</w:t>
            </w:r>
          </w:hyperlink>
        </w:p>
        <w:p>
          <w:pPr>
            <w:pStyle w:val="Contents4"/>
            <w:tabs>
              <w:tab w:val="clear" w:pos="8176"/>
              <w:tab w:val="right" w:pos="9026" w:leader="dot"/>
            </w:tabs>
            <w:rPr/>
          </w:pPr>
          <w:hyperlink w:anchor="__RefHeading___Toc3808589_1067777946">
            <w:r>
              <w:rPr>
                <w:webHidden/>
                <w:rStyle w:val="IndexLink"/>
                <w:rtl w:val="true"/>
              </w:rPr>
              <w:t>عدم قبول ادّعاى عبد به حرّيّت در سوق</w:t>
            </w:r>
            <w:r>
              <w:rPr>
                <w:rStyle w:val="IndexLink"/>
                <w:rtl w:val="true"/>
              </w:rPr>
              <w:tab/>
            </w:r>
            <w:r>
              <w:rPr>
                <w:rStyle w:val="IndexLink"/>
              </w:rPr>
              <w:t>325</w:t>
            </w:r>
          </w:hyperlink>
        </w:p>
        <w:p>
          <w:pPr>
            <w:pStyle w:val="Contents4"/>
            <w:tabs>
              <w:tab w:val="clear" w:pos="8176"/>
              <w:tab w:val="right" w:pos="9026" w:leader="dot"/>
            </w:tabs>
            <w:rPr/>
          </w:pPr>
          <w:hyperlink w:anchor="__RefHeading___Toc3808591_1067777946">
            <w:r>
              <w:rPr>
                <w:webHidden/>
                <w:rStyle w:val="IndexLink"/>
                <w:rtl w:val="true"/>
              </w:rPr>
              <w:t>ملتقَط در دار الحرب</w:t>
            </w:r>
            <w:r>
              <w:rPr>
                <w:rStyle w:val="IndexLink"/>
                <w:rtl w:val="true"/>
              </w:rPr>
              <w:tab/>
            </w:r>
            <w:r>
              <w:rPr>
                <w:rStyle w:val="IndexLink"/>
              </w:rPr>
              <w:t>326</w:t>
            </w:r>
          </w:hyperlink>
        </w:p>
        <w:p>
          <w:pPr>
            <w:pStyle w:val="Contents4"/>
            <w:tabs>
              <w:tab w:val="clear" w:pos="8176"/>
              <w:tab w:val="right" w:pos="9026" w:leader="dot"/>
            </w:tabs>
            <w:rPr/>
          </w:pPr>
          <w:hyperlink w:anchor="__RefHeading___Toc3808593_1067777946">
            <w:r>
              <w:rPr>
                <w:webHidden/>
                <w:rStyle w:val="IndexLink"/>
                <w:rtl w:val="true"/>
              </w:rPr>
              <w:t>ترتب احكام مالك بر ولد يا زوجه يا ارحام خريدارى شده</w:t>
            </w:r>
            <w:r>
              <w:rPr>
                <w:rStyle w:val="IndexLink"/>
                <w:rtl w:val="true"/>
              </w:rPr>
              <w:tab/>
            </w:r>
            <w:r>
              <w:rPr>
                <w:rStyle w:val="IndexLink"/>
              </w:rPr>
              <w:t>326</w:t>
            </w:r>
          </w:hyperlink>
        </w:p>
        <w:p>
          <w:pPr>
            <w:pStyle w:val="Contents4"/>
            <w:tabs>
              <w:tab w:val="clear" w:pos="8176"/>
              <w:tab w:val="right" w:pos="9026" w:leader="dot"/>
            </w:tabs>
            <w:rPr/>
          </w:pPr>
          <w:hyperlink w:anchor="__RefHeading___Toc3808595_1067777946">
            <w:r>
              <w:rPr>
                <w:webHidden/>
                <w:rStyle w:val="IndexLink"/>
                <w:rtl w:val="true"/>
              </w:rPr>
              <w:t>جواز استرقاق براى مؤمن مطلقا</w:t>
            </w:r>
            <w:r>
              <w:rPr>
                <w:rStyle w:val="IndexLink"/>
                <w:rtl w:val="true"/>
              </w:rPr>
              <w:tab/>
            </w:r>
            <w:r>
              <w:rPr>
                <w:rStyle w:val="IndexLink"/>
              </w:rPr>
              <w:t>326</w:t>
            </w:r>
          </w:hyperlink>
        </w:p>
        <w:p>
          <w:pPr>
            <w:pStyle w:val="Contents3"/>
            <w:tabs>
              <w:tab w:val="clear" w:pos="8459"/>
              <w:tab w:val="right" w:pos="9026" w:leader="dot"/>
            </w:tabs>
            <w:rPr/>
          </w:pPr>
          <w:hyperlink w:anchor="__RefHeading___Toc3808597_1067777946">
            <w:r>
              <w:rPr>
                <w:webHidden/>
                <w:rStyle w:val="IndexLink"/>
                <w:rtl w:val="true"/>
              </w:rPr>
              <w:t>فصل دوّم اسباب ازالۀ رقّيّت</w:t>
            </w:r>
            <w:r>
              <w:rPr>
                <w:rStyle w:val="IndexLink"/>
                <w:rtl w:val="true"/>
              </w:rPr>
              <w:tab/>
            </w:r>
            <w:r>
              <w:rPr>
                <w:rStyle w:val="IndexLink"/>
              </w:rPr>
              <w:t>327</w:t>
            </w:r>
          </w:hyperlink>
        </w:p>
        <w:p>
          <w:pPr>
            <w:pStyle w:val="Contents4"/>
            <w:tabs>
              <w:tab w:val="clear" w:pos="8176"/>
              <w:tab w:val="right" w:pos="9026" w:leader="dot"/>
            </w:tabs>
            <w:rPr/>
          </w:pPr>
          <w:hyperlink w:anchor="__RefHeading___Toc3808599_1067777946">
            <w:r>
              <w:rPr>
                <w:webHidden/>
                <w:rStyle w:val="IndexLink"/>
                <w:rtl w:val="true"/>
              </w:rPr>
              <w:t>اشاره</w:t>
            </w:r>
            <w:r>
              <w:rPr>
                <w:rStyle w:val="IndexLink"/>
                <w:rtl w:val="true"/>
              </w:rPr>
              <w:tab/>
            </w:r>
            <w:r>
              <w:rPr>
                <w:rStyle w:val="IndexLink"/>
              </w:rPr>
              <w:t>327</w:t>
            </w:r>
          </w:hyperlink>
        </w:p>
        <w:p>
          <w:pPr>
            <w:pStyle w:val="Contents4"/>
            <w:tabs>
              <w:tab w:val="clear" w:pos="8176"/>
              <w:tab w:val="right" w:pos="9026" w:leader="dot"/>
            </w:tabs>
            <w:rPr/>
          </w:pPr>
          <w:hyperlink w:anchor="__RefHeading___Toc3808601_1067777946">
            <w:r>
              <w:rPr>
                <w:webHidden/>
                <w:rStyle w:val="IndexLink"/>
              </w:rPr>
              <w:t>1</w:t>
            </w:r>
            <w:r>
              <w:rPr>
                <w:rStyle w:val="IndexLink"/>
                <w:rtl w:val="true"/>
              </w:rPr>
              <w:t xml:space="preserve">. </w:t>
            </w:r>
            <w:r>
              <w:rPr>
                <w:rStyle w:val="IndexLink"/>
                <w:rtl w:val="true"/>
              </w:rPr>
              <w:t>عتق به مباشرت</w:t>
            </w:r>
            <w:r>
              <w:rPr>
                <w:rStyle w:val="IndexLink"/>
                <w:rtl w:val="true"/>
              </w:rPr>
              <w:tab/>
            </w:r>
            <w:r>
              <w:rPr>
                <w:rStyle w:val="IndexLink"/>
              </w:rPr>
              <w:t>327</w:t>
            </w:r>
          </w:hyperlink>
        </w:p>
        <w:p>
          <w:pPr>
            <w:pStyle w:val="Contents5"/>
            <w:tabs>
              <w:tab w:val="clear" w:pos="7892"/>
              <w:tab w:val="right" w:pos="9026" w:leader="dot"/>
            </w:tabs>
            <w:rPr/>
          </w:pPr>
          <w:hyperlink w:anchor="__RefHeading___Toc3808603_1067777946">
            <w:r>
              <w:rPr>
                <w:webHidden/>
                <w:rStyle w:val="IndexLink"/>
                <w:rtl w:val="true"/>
              </w:rPr>
              <w:t>اشاره</w:t>
            </w:r>
            <w:r>
              <w:rPr>
                <w:rStyle w:val="IndexLink"/>
                <w:rtl w:val="true"/>
              </w:rPr>
              <w:tab/>
            </w:r>
            <w:r>
              <w:rPr>
                <w:rStyle w:val="IndexLink"/>
              </w:rPr>
              <w:t>327</w:t>
            </w:r>
          </w:hyperlink>
        </w:p>
        <w:p>
          <w:pPr>
            <w:pStyle w:val="Contents5"/>
            <w:tabs>
              <w:tab w:val="clear" w:pos="7892"/>
              <w:tab w:val="right" w:pos="9026" w:leader="dot"/>
            </w:tabs>
            <w:rPr/>
          </w:pPr>
          <w:hyperlink w:anchor="__RefHeading___Toc3808605_1067777946">
            <w:r>
              <w:rPr>
                <w:webHidden/>
                <w:rStyle w:val="IndexLink"/>
                <w:rtl w:val="true"/>
              </w:rPr>
              <w:t>فرض اتّحاد اسم امه با صيغۀ عتق</w:t>
            </w:r>
            <w:r>
              <w:rPr>
                <w:rStyle w:val="IndexLink"/>
                <w:rtl w:val="true"/>
              </w:rPr>
              <w:tab/>
            </w:r>
            <w:r>
              <w:rPr>
                <w:rStyle w:val="IndexLink"/>
              </w:rPr>
              <w:t>327</w:t>
            </w:r>
          </w:hyperlink>
        </w:p>
        <w:p>
          <w:pPr>
            <w:pStyle w:val="Contents5"/>
            <w:tabs>
              <w:tab w:val="clear" w:pos="7892"/>
              <w:tab w:val="right" w:pos="9026" w:leader="dot"/>
            </w:tabs>
            <w:rPr/>
          </w:pPr>
          <w:hyperlink w:anchor="__RefHeading___Toc3808607_1067777946">
            <w:r>
              <w:rPr>
                <w:webHidden/>
                <w:rStyle w:val="IndexLink"/>
                <w:rtl w:val="true"/>
              </w:rPr>
              <w:t>لزوم اطلاق عتق</w:t>
            </w:r>
            <w:r>
              <w:rPr>
                <w:rStyle w:val="IndexLink"/>
                <w:rtl w:val="true"/>
              </w:rPr>
              <w:tab/>
            </w:r>
            <w:r>
              <w:rPr>
                <w:rStyle w:val="IndexLink"/>
              </w:rPr>
              <w:t>328</w:t>
            </w:r>
          </w:hyperlink>
        </w:p>
        <w:p>
          <w:pPr>
            <w:pStyle w:val="Contents5"/>
            <w:tabs>
              <w:tab w:val="clear" w:pos="7892"/>
              <w:tab w:val="right" w:pos="9026" w:leader="dot"/>
            </w:tabs>
            <w:rPr/>
          </w:pPr>
          <w:hyperlink w:anchor="__RefHeading___Toc3808609_1067777946">
            <w:r>
              <w:rPr>
                <w:webHidden/>
                <w:rStyle w:val="IndexLink"/>
                <w:rtl w:val="true"/>
              </w:rPr>
              <w:t>تعليق عتق</w:t>
            </w:r>
            <w:r>
              <w:rPr>
                <w:rStyle w:val="IndexLink"/>
                <w:rtl w:val="true"/>
              </w:rPr>
              <w:tab/>
            </w:r>
            <w:r>
              <w:rPr>
                <w:rStyle w:val="IndexLink"/>
              </w:rPr>
              <w:t>328</w:t>
            </w:r>
          </w:hyperlink>
        </w:p>
        <w:p>
          <w:pPr>
            <w:pStyle w:val="Contents5"/>
            <w:tabs>
              <w:tab w:val="clear" w:pos="7892"/>
              <w:tab w:val="right" w:pos="9026" w:leader="dot"/>
            </w:tabs>
            <w:rPr/>
          </w:pPr>
          <w:hyperlink w:anchor="__RefHeading___Toc3808611_1067777946">
            <w:r>
              <w:rPr>
                <w:webHidden/>
                <w:rStyle w:val="IndexLink"/>
                <w:rtl w:val="true"/>
              </w:rPr>
              <w:t>استناد تحرير اعضا</w:t>
            </w:r>
            <w:r>
              <w:rPr>
                <w:rStyle w:val="IndexLink"/>
                <w:rtl w:val="true"/>
              </w:rPr>
              <w:tab/>
            </w:r>
            <w:r>
              <w:rPr>
                <w:rStyle w:val="IndexLink"/>
              </w:rPr>
              <w:t>329</w:t>
            </w:r>
          </w:hyperlink>
        </w:p>
        <w:p>
          <w:pPr>
            <w:pStyle w:val="Contents5"/>
            <w:tabs>
              <w:tab w:val="clear" w:pos="7892"/>
              <w:tab w:val="right" w:pos="9026" w:leader="dot"/>
            </w:tabs>
            <w:rPr/>
          </w:pPr>
          <w:hyperlink w:anchor="__RefHeading___Toc3808613_1067777946">
            <w:r>
              <w:rPr>
                <w:webHidden/>
                <w:rStyle w:val="IndexLink"/>
                <w:rtl w:val="true"/>
              </w:rPr>
              <w:t>عدم لزوم تعيين در عتق</w:t>
            </w:r>
            <w:r>
              <w:rPr>
                <w:rStyle w:val="IndexLink"/>
                <w:rtl w:val="true"/>
              </w:rPr>
              <w:tab/>
            </w:r>
            <w:r>
              <w:rPr>
                <w:rStyle w:val="IndexLink"/>
              </w:rPr>
              <w:t>329</w:t>
            </w:r>
          </w:hyperlink>
        </w:p>
        <w:p>
          <w:pPr>
            <w:pStyle w:val="Contents5"/>
            <w:tabs>
              <w:tab w:val="clear" w:pos="7892"/>
              <w:tab w:val="right" w:pos="9026" w:leader="dot"/>
            </w:tabs>
            <w:rPr/>
          </w:pPr>
          <w:hyperlink w:anchor="__RefHeading___Toc3808615_1067777946">
            <w:r>
              <w:rPr>
                <w:webHidden/>
                <w:rStyle w:val="IndexLink"/>
                <w:rtl w:val="true"/>
              </w:rPr>
              <w:t>اختلاف عبد و مولىٰ در مقصود به عتق</w:t>
            </w:r>
            <w:r>
              <w:rPr>
                <w:rStyle w:val="IndexLink"/>
                <w:rtl w:val="true"/>
              </w:rPr>
              <w:tab/>
            </w:r>
            <w:r>
              <w:rPr>
                <w:rStyle w:val="IndexLink"/>
              </w:rPr>
              <w:t>330</w:t>
            </w:r>
          </w:hyperlink>
        </w:p>
        <w:p>
          <w:pPr>
            <w:pStyle w:val="Contents5"/>
            <w:tabs>
              <w:tab w:val="clear" w:pos="7892"/>
              <w:tab w:val="right" w:pos="9026" w:leader="dot"/>
            </w:tabs>
            <w:rPr/>
          </w:pPr>
          <w:hyperlink w:anchor="__RefHeading___Toc3808617_1067777946">
            <w:r>
              <w:rPr>
                <w:webHidden/>
                <w:rStyle w:val="IndexLink"/>
                <w:rtl w:val="true"/>
              </w:rPr>
              <w:t>شرايط معتِق</w:t>
            </w:r>
            <w:r>
              <w:rPr>
                <w:rStyle w:val="IndexLink"/>
                <w:rtl w:val="true"/>
              </w:rPr>
              <w:tab/>
            </w:r>
            <w:r>
              <w:rPr>
                <w:rStyle w:val="IndexLink"/>
              </w:rPr>
              <w:t>330</w:t>
            </w:r>
          </w:hyperlink>
        </w:p>
        <w:p>
          <w:pPr>
            <w:pStyle w:val="Contents5"/>
            <w:tabs>
              <w:tab w:val="clear" w:pos="7892"/>
              <w:tab w:val="right" w:pos="9026" w:leader="dot"/>
            </w:tabs>
            <w:rPr/>
          </w:pPr>
          <w:hyperlink w:anchor="__RefHeading___Toc3808619_1067777946">
            <w:r>
              <w:rPr>
                <w:webHidden/>
                <w:rStyle w:val="IndexLink"/>
                <w:rtl w:val="true"/>
              </w:rPr>
              <w:t>حكم بالغ به ده سالگى</w:t>
            </w:r>
            <w:r>
              <w:rPr>
                <w:rStyle w:val="IndexLink"/>
                <w:rtl w:val="true"/>
              </w:rPr>
              <w:tab/>
            </w:r>
            <w:r>
              <w:rPr>
                <w:rStyle w:val="IndexLink"/>
              </w:rPr>
              <w:t>330</w:t>
            </w:r>
          </w:hyperlink>
        </w:p>
        <w:p>
          <w:pPr>
            <w:pStyle w:val="Contents5"/>
            <w:tabs>
              <w:tab w:val="clear" w:pos="7892"/>
              <w:tab w:val="right" w:pos="9026" w:leader="dot"/>
            </w:tabs>
            <w:rPr/>
          </w:pPr>
          <w:hyperlink w:anchor="__RefHeading___Toc3808621_1067777946">
            <w:r>
              <w:rPr>
                <w:webHidden/>
                <w:rStyle w:val="IndexLink"/>
                <w:rtl w:val="true"/>
              </w:rPr>
              <w:t>عتق مسلم توسط كافر</w:t>
            </w:r>
            <w:r>
              <w:rPr>
                <w:rStyle w:val="IndexLink"/>
                <w:rtl w:val="true"/>
              </w:rPr>
              <w:tab/>
            </w:r>
            <w:r>
              <w:rPr>
                <w:rStyle w:val="IndexLink"/>
              </w:rPr>
              <w:t>331</w:t>
            </w:r>
          </w:hyperlink>
        </w:p>
        <w:p>
          <w:pPr>
            <w:pStyle w:val="Contents5"/>
            <w:tabs>
              <w:tab w:val="clear" w:pos="7892"/>
              <w:tab w:val="right" w:pos="9026" w:leader="dot"/>
            </w:tabs>
            <w:rPr/>
          </w:pPr>
          <w:hyperlink w:anchor="__RefHeading___Toc3808623_1067777946">
            <w:r>
              <w:rPr>
                <w:webHidden/>
                <w:rStyle w:val="IndexLink"/>
                <w:rtl w:val="true"/>
              </w:rPr>
              <w:t>عدم اعتبار اسلام در معتَق</w:t>
            </w:r>
            <w:r>
              <w:rPr>
                <w:rStyle w:val="IndexLink"/>
                <w:rtl w:val="true"/>
              </w:rPr>
              <w:tab/>
            </w:r>
            <w:r>
              <w:rPr>
                <w:rStyle w:val="IndexLink"/>
              </w:rPr>
              <w:t>331</w:t>
            </w:r>
          </w:hyperlink>
        </w:p>
        <w:p>
          <w:pPr>
            <w:pStyle w:val="Contents5"/>
            <w:tabs>
              <w:tab w:val="clear" w:pos="7892"/>
              <w:tab w:val="right" w:pos="9026" w:leader="dot"/>
            </w:tabs>
            <w:rPr/>
          </w:pPr>
          <w:hyperlink w:anchor="__RefHeading___Toc3808625_1067777946">
            <w:r>
              <w:rPr>
                <w:webHidden/>
                <w:rStyle w:val="IndexLink"/>
                <w:rtl w:val="true"/>
              </w:rPr>
              <w:t>صحّت عتق فضولى</w:t>
            </w:r>
            <w:r>
              <w:rPr>
                <w:rStyle w:val="IndexLink"/>
                <w:rtl w:val="true"/>
              </w:rPr>
              <w:tab/>
            </w:r>
            <w:r>
              <w:rPr>
                <w:rStyle w:val="IndexLink"/>
              </w:rPr>
              <w:t>332</w:t>
            </w:r>
          </w:hyperlink>
        </w:p>
        <w:p>
          <w:pPr>
            <w:pStyle w:val="Contents5"/>
            <w:tabs>
              <w:tab w:val="clear" w:pos="7892"/>
              <w:tab w:val="right" w:pos="9026" w:leader="dot"/>
            </w:tabs>
            <w:rPr/>
          </w:pPr>
          <w:hyperlink w:anchor="__RefHeading___Toc3808627_1067777946">
            <w:r>
              <w:rPr>
                <w:webHidden/>
                <w:rStyle w:val="IndexLink"/>
                <w:rtl w:val="true"/>
              </w:rPr>
              <w:t>عتق ولد صغير</w:t>
            </w:r>
            <w:r>
              <w:rPr>
                <w:rStyle w:val="IndexLink"/>
                <w:rtl w:val="true"/>
              </w:rPr>
              <w:tab/>
            </w:r>
            <w:r>
              <w:rPr>
                <w:rStyle w:val="IndexLink"/>
              </w:rPr>
              <w:t>332</w:t>
            </w:r>
          </w:hyperlink>
        </w:p>
        <w:p>
          <w:pPr>
            <w:pStyle w:val="Contents5"/>
            <w:tabs>
              <w:tab w:val="clear" w:pos="7892"/>
              <w:tab w:val="right" w:pos="9026" w:leader="dot"/>
            </w:tabs>
            <w:rPr/>
          </w:pPr>
          <w:hyperlink w:anchor="__RefHeading___Toc3808629_1067777946">
            <w:r>
              <w:rPr>
                <w:webHidden/>
                <w:rStyle w:val="IndexLink"/>
                <w:rtl w:val="true"/>
              </w:rPr>
              <w:t>شرط ضمن عتق</w:t>
            </w:r>
            <w:r>
              <w:rPr>
                <w:rStyle w:val="IndexLink"/>
                <w:rtl w:val="true"/>
              </w:rPr>
              <w:tab/>
            </w:r>
            <w:r>
              <w:rPr>
                <w:rStyle w:val="IndexLink"/>
              </w:rPr>
              <w:t>332</w:t>
            </w:r>
          </w:hyperlink>
        </w:p>
        <w:p>
          <w:pPr>
            <w:pStyle w:val="Contents5"/>
            <w:tabs>
              <w:tab w:val="clear" w:pos="7892"/>
              <w:tab w:val="right" w:pos="9026" w:leader="dot"/>
            </w:tabs>
            <w:rPr/>
          </w:pPr>
          <w:hyperlink w:anchor="__RefHeading___Toc3808631_1067777946">
            <w:r>
              <w:rPr>
                <w:webHidden/>
                <w:rStyle w:val="IndexLink"/>
                <w:rtl w:val="true"/>
              </w:rPr>
              <w:t>احوطيّت اعتبار رضاى معتَق به شرط</w:t>
            </w:r>
            <w:r>
              <w:rPr>
                <w:rStyle w:val="IndexLink"/>
                <w:rtl w:val="true"/>
              </w:rPr>
              <w:tab/>
            </w:r>
            <w:r>
              <w:rPr>
                <w:rStyle w:val="IndexLink"/>
              </w:rPr>
              <w:t>333</w:t>
            </w:r>
          </w:hyperlink>
        </w:p>
        <w:p>
          <w:pPr>
            <w:pStyle w:val="Contents5"/>
            <w:tabs>
              <w:tab w:val="clear" w:pos="7892"/>
              <w:tab w:val="right" w:pos="9026" w:leader="dot"/>
            </w:tabs>
            <w:rPr/>
          </w:pPr>
          <w:hyperlink w:anchor="__RefHeading___Toc3808633_1067777946">
            <w:r>
              <w:rPr>
                <w:webHidden/>
                <w:rStyle w:val="IndexLink"/>
                <w:rtl w:val="true"/>
              </w:rPr>
              <w:t>شرط خدمت</w:t>
            </w:r>
            <w:r>
              <w:rPr>
                <w:rStyle w:val="IndexLink"/>
                <w:rtl w:val="true"/>
              </w:rPr>
              <w:tab/>
            </w:r>
            <w:r>
              <w:rPr>
                <w:rStyle w:val="IndexLink"/>
              </w:rPr>
              <w:t>334</w:t>
            </w:r>
          </w:hyperlink>
        </w:p>
        <w:p>
          <w:pPr>
            <w:pStyle w:val="Contents5"/>
            <w:tabs>
              <w:tab w:val="clear" w:pos="7892"/>
              <w:tab w:val="right" w:pos="9026" w:leader="dot"/>
            </w:tabs>
            <w:rPr/>
          </w:pPr>
          <w:hyperlink w:anchor="__RefHeading___Toc3808635_1067777946">
            <w:r>
              <w:rPr>
                <w:webHidden/>
                <w:rStyle w:val="IndexLink"/>
                <w:rtl w:val="true"/>
              </w:rPr>
              <w:t>استحباب و كراهت در مقام</w:t>
            </w:r>
            <w:r>
              <w:rPr>
                <w:rStyle w:val="IndexLink"/>
                <w:rtl w:val="true"/>
              </w:rPr>
              <w:tab/>
            </w:r>
            <w:r>
              <w:rPr>
                <w:rStyle w:val="IndexLink"/>
              </w:rPr>
              <w:t>334</w:t>
            </w:r>
          </w:hyperlink>
        </w:p>
        <w:p>
          <w:pPr>
            <w:pStyle w:val="Contents5"/>
            <w:tabs>
              <w:tab w:val="clear" w:pos="7892"/>
              <w:tab w:val="right" w:pos="9026" w:leader="dot"/>
            </w:tabs>
            <w:rPr/>
          </w:pPr>
          <w:hyperlink w:anchor="__RefHeading___Toc3808637_1067777946">
            <w:r>
              <w:rPr>
                <w:webHidden/>
                <w:rStyle w:val="IndexLink"/>
                <w:rtl w:val="true"/>
              </w:rPr>
              <w:t>مسائل عتق به مباشرت</w:t>
            </w:r>
            <w:r>
              <w:rPr>
                <w:rStyle w:val="IndexLink"/>
                <w:rtl w:val="true"/>
              </w:rPr>
              <w:tab/>
            </w:r>
            <w:r>
              <w:rPr>
                <w:rStyle w:val="IndexLink"/>
              </w:rPr>
              <w:t>335</w:t>
            </w:r>
          </w:hyperlink>
        </w:p>
        <w:p>
          <w:pPr>
            <w:pStyle w:val="Contents6"/>
            <w:tabs>
              <w:tab w:val="clear" w:pos="7609"/>
              <w:tab w:val="right" w:pos="9026" w:leader="dot"/>
            </w:tabs>
            <w:rPr/>
          </w:pPr>
          <w:hyperlink w:anchor="__RefHeading___Toc3808639_1067777946">
            <w:r>
              <w:rPr>
                <w:webHidden/>
                <w:rStyle w:val="IndexLink"/>
                <w:rtl w:val="true"/>
              </w:rPr>
              <w:t>نذر عتق اوّلين مملوك</w:t>
            </w:r>
            <w:r>
              <w:rPr>
                <w:rStyle w:val="IndexLink"/>
                <w:rtl w:val="true"/>
              </w:rPr>
              <w:tab/>
            </w:r>
            <w:r>
              <w:rPr>
                <w:rStyle w:val="IndexLink"/>
              </w:rPr>
              <w:t>335</w:t>
            </w:r>
          </w:hyperlink>
        </w:p>
        <w:p>
          <w:pPr>
            <w:pStyle w:val="Contents6"/>
            <w:tabs>
              <w:tab w:val="clear" w:pos="7609"/>
              <w:tab w:val="right" w:pos="9026" w:leader="dot"/>
            </w:tabs>
            <w:rPr/>
          </w:pPr>
          <w:hyperlink w:anchor="__RefHeading___Toc3808641_1067777946">
            <w:r>
              <w:rPr>
                <w:webHidden/>
                <w:rStyle w:val="IndexLink"/>
                <w:rtl w:val="true"/>
              </w:rPr>
              <w:t>نذر عتق اوّلين مولود</w:t>
            </w:r>
            <w:r>
              <w:rPr>
                <w:rStyle w:val="IndexLink"/>
                <w:rtl w:val="true"/>
              </w:rPr>
              <w:tab/>
            </w:r>
            <w:r>
              <w:rPr>
                <w:rStyle w:val="IndexLink"/>
              </w:rPr>
              <w:t>335</w:t>
            </w:r>
          </w:hyperlink>
        </w:p>
        <w:p>
          <w:pPr>
            <w:pStyle w:val="Contents6"/>
            <w:tabs>
              <w:tab w:val="clear" w:pos="7609"/>
              <w:tab w:val="right" w:pos="9026" w:leader="dot"/>
            </w:tabs>
            <w:rPr/>
          </w:pPr>
          <w:hyperlink w:anchor="__RefHeading___Toc3808643_1067777946">
            <w:r>
              <w:rPr>
                <w:webHidden/>
                <w:rStyle w:val="IndexLink"/>
                <w:rtl w:val="true"/>
              </w:rPr>
              <w:t>عتق جماعت</w:t>
            </w:r>
            <w:r>
              <w:rPr>
                <w:rStyle w:val="IndexLink"/>
                <w:rtl w:val="true"/>
              </w:rPr>
              <w:tab/>
            </w:r>
            <w:r>
              <w:rPr>
                <w:rStyle w:val="IndexLink"/>
              </w:rPr>
              <w:t>335</w:t>
            </w:r>
          </w:hyperlink>
        </w:p>
        <w:p>
          <w:pPr>
            <w:pStyle w:val="Contents6"/>
            <w:tabs>
              <w:tab w:val="clear" w:pos="7609"/>
              <w:tab w:val="right" w:pos="9026" w:leader="dot"/>
            </w:tabs>
            <w:rPr/>
          </w:pPr>
          <w:hyperlink w:anchor="__RefHeading___Toc3808645_1067777946">
            <w:r>
              <w:rPr>
                <w:webHidden/>
                <w:rStyle w:val="IndexLink"/>
                <w:rtl w:val="true"/>
              </w:rPr>
              <w:t>نذر عتق امه</w:t>
            </w:r>
            <w:r>
              <w:rPr>
                <w:rStyle w:val="IndexLink"/>
                <w:rtl w:val="true"/>
              </w:rPr>
              <w:tab/>
            </w:r>
            <w:r>
              <w:rPr>
                <w:rStyle w:val="IndexLink"/>
              </w:rPr>
              <w:t>335</w:t>
            </w:r>
          </w:hyperlink>
        </w:p>
        <w:p>
          <w:pPr>
            <w:pStyle w:val="Contents6"/>
            <w:tabs>
              <w:tab w:val="clear" w:pos="7609"/>
              <w:tab w:val="right" w:pos="9026" w:leader="dot"/>
            </w:tabs>
            <w:rPr/>
          </w:pPr>
          <w:hyperlink w:anchor="__RefHeading___Toc3808647_1067777946">
            <w:r>
              <w:rPr>
                <w:webHidden/>
                <w:rStyle w:val="IndexLink"/>
                <w:rtl w:val="true"/>
              </w:rPr>
              <w:t>نذر عتق مملوك قديم</w:t>
            </w:r>
            <w:r>
              <w:rPr>
                <w:rStyle w:val="IndexLink"/>
                <w:rtl w:val="true"/>
              </w:rPr>
              <w:tab/>
            </w:r>
            <w:r>
              <w:rPr>
                <w:rStyle w:val="IndexLink"/>
              </w:rPr>
              <w:t>336</w:t>
            </w:r>
          </w:hyperlink>
        </w:p>
        <w:p>
          <w:pPr>
            <w:pStyle w:val="Contents6"/>
            <w:tabs>
              <w:tab w:val="clear" w:pos="7609"/>
              <w:tab w:val="right" w:pos="9026" w:leader="dot"/>
            </w:tabs>
            <w:rPr/>
          </w:pPr>
          <w:hyperlink w:anchor="__RefHeading___Toc3808649_1067777946">
            <w:r>
              <w:rPr>
                <w:webHidden/>
                <w:rStyle w:val="IndexLink"/>
                <w:rtl w:val="true"/>
              </w:rPr>
              <w:t>عتق مملوك ذو المال</w:t>
            </w:r>
            <w:r>
              <w:rPr>
                <w:rStyle w:val="IndexLink"/>
                <w:rtl w:val="true"/>
              </w:rPr>
              <w:tab/>
            </w:r>
            <w:r>
              <w:rPr>
                <w:rStyle w:val="IndexLink"/>
              </w:rPr>
              <w:t>337</w:t>
            </w:r>
          </w:hyperlink>
        </w:p>
        <w:p>
          <w:pPr>
            <w:pStyle w:val="Contents6"/>
            <w:tabs>
              <w:tab w:val="clear" w:pos="7609"/>
              <w:tab w:val="right" w:pos="9026" w:leader="dot"/>
            </w:tabs>
            <w:rPr/>
          </w:pPr>
          <w:hyperlink w:anchor="__RefHeading___Toc3808651_1067777946">
            <w:r>
              <w:rPr>
                <w:webHidden/>
                <w:rStyle w:val="IndexLink"/>
                <w:rtl w:val="true"/>
              </w:rPr>
              <w:t>عتق ثلث مماليك و تعيين با قرعه</w:t>
            </w:r>
            <w:r>
              <w:rPr>
                <w:rStyle w:val="IndexLink"/>
                <w:rtl w:val="true"/>
              </w:rPr>
              <w:tab/>
            </w:r>
            <w:r>
              <w:rPr>
                <w:rStyle w:val="IndexLink"/>
              </w:rPr>
              <w:t>337</w:t>
            </w:r>
          </w:hyperlink>
        </w:p>
        <w:p>
          <w:pPr>
            <w:pStyle w:val="Contents6"/>
            <w:tabs>
              <w:tab w:val="clear" w:pos="7609"/>
              <w:tab w:val="right" w:pos="9026" w:leader="dot"/>
            </w:tabs>
            <w:rPr/>
          </w:pPr>
          <w:hyperlink w:anchor="__RefHeading___Toc3808653_1067777946">
            <w:r>
              <w:rPr>
                <w:webHidden/>
                <w:rStyle w:val="IndexLink"/>
                <w:rtl w:val="true"/>
              </w:rPr>
              <w:t>اشاره</w:t>
            </w:r>
            <w:r>
              <w:rPr>
                <w:rStyle w:val="IndexLink"/>
                <w:rtl w:val="true"/>
              </w:rPr>
              <w:tab/>
            </w:r>
            <w:r>
              <w:rPr>
                <w:rStyle w:val="IndexLink"/>
              </w:rPr>
              <w:t>337</w:t>
            </w:r>
          </w:hyperlink>
        </w:p>
        <w:p>
          <w:pPr>
            <w:pStyle w:val="Contents6"/>
            <w:tabs>
              <w:tab w:val="clear" w:pos="7609"/>
              <w:tab w:val="right" w:pos="9026" w:leader="dot"/>
            </w:tabs>
            <w:rPr/>
          </w:pPr>
          <w:hyperlink w:anchor="__RefHeading___Toc3808655_1067777946">
            <w:r>
              <w:rPr>
                <w:webHidden/>
                <w:rStyle w:val="IndexLink"/>
                <w:rtl w:val="true"/>
              </w:rPr>
              <w:t>گونۀ اوّل</w:t>
            </w:r>
            <w:r>
              <w:rPr>
                <w:rStyle w:val="IndexLink"/>
                <w:rtl w:val="true"/>
              </w:rPr>
              <w:tab/>
            </w:r>
            <w:r>
              <w:rPr>
                <w:rStyle w:val="IndexLink"/>
              </w:rPr>
              <w:t>337</w:t>
            </w:r>
          </w:hyperlink>
        </w:p>
        <w:p>
          <w:pPr>
            <w:pStyle w:val="Contents6"/>
            <w:tabs>
              <w:tab w:val="clear" w:pos="7609"/>
              <w:tab w:val="right" w:pos="9026" w:leader="dot"/>
            </w:tabs>
            <w:rPr/>
          </w:pPr>
          <w:hyperlink w:anchor="__RefHeading___Toc3808657_1067777946">
            <w:r>
              <w:rPr>
                <w:webHidden/>
                <w:rStyle w:val="IndexLink"/>
                <w:rtl w:val="true"/>
              </w:rPr>
              <w:t>گونۀ دوم</w:t>
            </w:r>
            <w:r>
              <w:rPr>
                <w:rStyle w:val="IndexLink"/>
                <w:rtl w:val="true"/>
              </w:rPr>
              <w:tab/>
            </w:r>
            <w:r>
              <w:rPr>
                <w:rStyle w:val="IndexLink"/>
              </w:rPr>
              <w:t>338</w:t>
            </w:r>
          </w:hyperlink>
        </w:p>
        <w:p>
          <w:pPr>
            <w:pStyle w:val="Contents6"/>
            <w:tabs>
              <w:tab w:val="clear" w:pos="7609"/>
              <w:tab w:val="right" w:pos="9026" w:leader="dot"/>
            </w:tabs>
            <w:rPr/>
          </w:pPr>
          <w:hyperlink w:anchor="__RefHeading___Toc3808659_1067777946">
            <w:r>
              <w:rPr>
                <w:webHidden/>
                <w:rStyle w:val="IndexLink"/>
                <w:rtl w:val="true"/>
              </w:rPr>
              <w:t>گونۀ سوم</w:t>
            </w:r>
            <w:r>
              <w:rPr>
                <w:rStyle w:val="IndexLink"/>
                <w:rtl w:val="true"/>
              </w:rPr>
              <w:tab/>
            </w:r>
            <w:r>
              <w:rPr>
                <w:rStyle w:val="IndexLink"/>
              </w:rPr>
              <w:t>338</w:t>
            </w:r>
          </w:hyperlink>
        </w:p>
        <w:p>
          <w:pPr>
            <w:pStyle w:val="Contents6"/>
            <w:tabs>
              <w:tab w:val="clear" w:pos="7609"/>
              <w:tab w:val="right" w:pos="9026" w:leader="dot"/>
            </w:tabs>
            <w:rPr/>
          </w:pPr>
          <w:hyperlink w:anchor="__RefHeading___Toc3808661_1067777946">
            <w:r>
              <w:rPr>
                <w:webHidden/>
                <w:rStyle w:val="IndexLink"/>
                <w:rtl w:val="true"/>
              </w:rPr>
              <w:t>تعيين با قرعه در فرض اختلاف عدد و قيمت</w:t>
            </w:r>
            <w:r>
              <w:rPr>
                <w:rStyle w:val="IndexLink"/>
                <w:rtl w:val="true"/>
              </w:rPr>
              <w:tab/>
            </w:r>
            <w:r>
              <w:rPr>
                <w:rStyle w:val="IndexLink"/>
              </w:rPr>
              <w:t>339</w:t>
            </w:r>
          </w:hyperlink>
        </w:p>
        <w:p>
          <w:pPr>
            <w:pStyle w:val="Contents6"/>
            <w:tabs>
              <w:tab w:val="clear" w:pos="7609"/>
              <w:tab w:val="right" w:pos="9026" w:leader="dot"/>
            </w:tabs>
            <w:rPr/>
          </w:pPr>
          <w:hyperlink w:anchor="__RefHeading___Toc3808663_1067777946">
            <w:r>
              <w:rPr>
                <w:webHidden/>
                <w:rStyle w:val="IndexLink"/>
                <w:rtl w:val="true"/>
              </w:rPr>
              <w:t>فرض امكان تعديل</w:t>
            </w:r>
            <w:r>
              <w:rPr>
                <w:rStyle w:val="IndexLink"/>
                <w:rtl w:val="true"/>
              </w:rPr>
              <w:tab/>
            </w:r>
            <w:r>
              <w:rPr>
                <w:rStyle w:val="IndexLink"/>
              </w:rPr>
              <w:t>339</w:t>
            </w:r>
          </w:hyperlink>
        </w:p>
        <w:p>
          <w:pPr>
            <w:pStyle w:val="Contents6"/>
            <w:tabs>
              <w:tab w:val="clear" w:pos="7609"/>
              <w:tab w:val="right" w:pos="9026" w:leader="dot"/>
            </w:tabs>
            <w:rPr/>
          </w:pPr>
          <w:hyperlink w:anchor="__RefHeading___Toc3808665_1067777946">
            <w:r>
              <w:rPr>
                <w:webHidden/>
                <w:rStyle w:val="IndexLink"/>
                <w:rtl w:val="true"/>
              </w:rPr>
              <w:t>فرض صحّت تبعيض در عتق</w:t>
            </w:r>
            <w:r>
              <w:rPr>
                <w:rStyle w:val="IndexLink"/>
                <w:rtl w:val="true"/>
              </w:rPr>
              <w:tab/>
            </w:r>
            <w:r>
              <w:rPr>
                <w:rStyle w:val="IndexLink"/>
              </w:rPr>
              <w:t>339</w:t>
            </w:r>
          </w:hyperlink>
        </w:p>
        <w:p>
          <w:pPr>
            <w:pStyle w:val="Contents6"/>
            <w:tabs>
              <w:tab w:val="clear" w:pos="7609"/>
              <w:tab w:val="right" w:pos="9026" w:leader="dot"/>
            </w:tabs>
            <w:rPr/>
          </w:pPr>
          <w:hyperlink w:anchor="__RefHeading___Toc3808667_1067777946">
            <w:r>
              <w:rPr>
                <w:webHidden/>
                <w:rStyle w:val="IndexLink"/>
                <w:rtl w:val="true"/>
              </w:rPr>
              <w:t>فرض عدم امكان تعديل در عدد و قيمت</w:t>
            </w:r>
            <w:r>
              <w:rPr>
                <w:rStyle w:val="IndexLink"/>
                <w:rtl w:val="true"/>
              </w:rPr>
              <w:tab/>
            </w:r>
            <w:r>
              <w:rPr>
                <w:rStyle w:val="IndexLink"/>
              </w:rPr>
              <w:t>340</w:t>
            </w:r>
          </w:hyperlink>
        </w:p>
        <w:p>
          <w:pPr>
            <w:pStyle w:val="Contents6"/>
            <w:tabs>
              <w:tab w:val="clear" w:pos="7609"/>
              <w:tab w:val="right" w:pos="9026" w:leader="dot"/>
            </w:tabs>
            <w:rPr/>
          </w:pPr>
          <w:hyperlink w:anchor="__RefHeading___Toc3808669_1067777946">
            <w:r>
              <w:rPr>
                <w:webHidden/>
                <w:rStyle w:val="IndexLink"/>
                <w:rtl w:val="true"/>
              </w:rPr>
              <w:t>اشتراى كنيز به صورت نسيه</w:t>
            </w:r>
            <w:r>
              <w:rPr>
                <w:rStyle w:val="IndexLink"/>
                <w:rtl w:val="true"/>
              </w:rPr>
              <w:tab/>
            </w:r>
            <w:r>
              <w:rPr>
                <w:rStyle w:val="IndexLink"/>
              </w:rPr>
              <w:t>341</w:t>
            </w:r>
          </w:hyperlink>
        </w:p>
        <w:p>
          <w:pPr>
            <w:pStyle w:val="Contents6"/>
            <w:tabs>
              <w:tab w:val="clear" w:pos="7609"/>
              <w:tab w:val="right" w:pos="9026" w:leader="dot"/>
            </w:tabs>
            <w:rPr/>
          </w:pPr>
          <w:hyperlink w:anchor="__RefHeading___Toc3808671_1067777946">
            <w:r>
              <w:rPr>
                <w:webHidden/>
                <w:rStyle w:val="IndexLink"/>
                <w:rtl w:val="true"/>
              </w:rPr>
              <w:t>وصيّت به عتق مملوك معيّن</w:t>
            </w:r>
            <w:r>
              <w:rPr>
                <w:rStyle w:val="IndexLink"/>
                <w:rtl w:val="true"/>
              </w:rPr>
              <w:tab/>
            </w:r>
            <w:r>
              <w:rPr>
                <w:rStyle w:val="IndexLink"/>
              </w:rPr>
              <w:t>341</w:t>
            </w:r>
          </w:hyperlink>
        </w:p>
        <w:p>
          <w:pPr>
            <w:pStyle w:val="Contents6"/>
            <w:tabs>
              <w:tab w:val="clear" w:pos="7609"/>
              <w:tab w:val="right" w:pos="9026" w:leader="dot"/>
            </w:tabs>
            <w:rPr/>
          </w:pPr>
          <w:hyperlink w:anchor="__RefHeading___Toc3808673_1067777946">
            <w:r>
              <w:rPr>
                <w:webHidden/>
                <w:rStyle w:val="IndexLink"/>
                <w:rtl w:val="true"/>
              </w:rPr>
              <w:t>عتق مملوك از طرف غير با إذن</w:t>
            </w:r>
            <w:r>
              <w:rPr>
                <w:rStyle w:val="IndexLink"/>
                <w:rtl w:val="true"/>
              </w:rPr>
              <w:tab/>
            </w:r>
            <w:r>
              <w:rPr>
                <w:rStyle w:val="IndexLink"/>
              </w:rPr>
              <w:t>341</w:t>
            </w:r>
          </w:hyperlink>
        </w:p>
        <w:p>
          <w:pPr>
            <w:pStyle w:val="Contents6"/>
            <w:tabs>
              <w:tab w:val="clear" w:pos="7609"/>
              <w:tab w:val="right" w:pos="9026" w:leader="dot"/>
            </w:tabs>
            <w:rPr/>
          </w:pPr>
          <w:hyperlink w:anchor="__RefHeading___Toc3808675_1067777946">
            <w:r>
              <w:rPr>
                <w:webHidden/>
                <w:rStyle w:val="IndexLink"/>
                <w:rtl w:val="true"/>
              </w:rPr>
              <w:t>عتق در مرض موت</w:t>
            </w:r>
            <w:r>
              <w:rPr>
                <w:rStyle w:val="IndexLink"/>
                <w:rtl w:val="true"/>
              </w:rPr>
              <w:tab/>
            </w:r>
            <w:r>
              <w:rPr>
                <w:rStyle w:val="IndexLink"/>
              </w:rPr>
              <w:t>342</w:t>
            </w:r>
          </w:hyperlink>
        </w:p>
        <w:p>
          <w:pPr>
            <w:pStyle w:val="Contents5"/>
            <w:tabs>
              <w:tab w:val="clear" w:pos="7892"/>
              <w:tab w:val="right" w:pos="9026" w:leader="dot"/>
            </w:tabs>
            <w:rPr/>
          </w:pPr>
          <w:hyperlink w:anchor="__RefHeading___Toc3808677_1067777946">
            <w:r>
              <w:rPr>
                <w:webHidden/>
                <w:rStyle w:val="IndexLink"/>
                <w:rtl w:val="true"/>
              </w:rPr>
              <w:t>چند فرع</w:t>
            </w:r>
            <w:r>
              <w:rPr>
                <w:rStyle w:val="IndexLink"/>
                <w:rtl w:val="true"/>
              </w:rPr>
              <w:tab/>
            </w:r>
            <w:r>
              <w:rPr>
                <w:rStyle w:val="IndexLink"/>
              </w:rPr>
              <w:t>342</w:t>
            </w:r>
          </w:hyperlink>
        </w:p>
        <w:p>
          <w:pPr>
            <w:pStyle w:val="Contents6"/>
            <w:tabs>
              <w:tab w:val="clear" w:pos="7609"/>
              <w:tab w:val="right" w:pos="9026" w:leader="dot"/>
            </w:tabs>
            <w:rPr/>
          </w:pPr>
          <w:hyperlink w:anchor="__RefHeading___Toc3808679_1067777946">
            <w:r>
              <w:rPr>
                <w:webHidden/>
                <w:rStyle w:val="IndexLink"/>
                <w:rtl w:val="true"/>
              </w:rPr>
              <w:t>اگر سه مملوك خود را در مرض موت، عتق كرد و غير آن مالى نداشت</w:t>
            </w:r>
            <w:r>
              <w:rPr>
                <w:rStyle w:val="IndexLink"/>
                <w:rtl w:val="true"/>
              </w:rPr>
              <w:tab/>
            </w:r>
            <w:r>
              <w:rPr>
                <w:rStyle w:val="IndexLink"/>
              </w:rPr>
              <w:t>342</w:t>
            </w:r>
          </w:hyperlink>
        </w:p>
        <w:p>
          <w:pPr>
            <w:pStyle w:val="Contents6"/>
            <w:tabs>
              <w:tab w:val="clear" w:pos="7609"/>
              <w:tab w:val="right" w:pos="9026" w:leader="dot"/>
            </w:tabs>
            <w:rPr/>
          </w:pPr>
          <w:hyperlink w:anchor="__RefHeading___Toc3808681_1067777946">
            <w:r>
              <w:rPr>
                <w:webHidden/>
                <w:rStyle w:val="IndexLink"/>
                <w:rtl w:val="true"/>
              </w:rPr>
              <w:t>عتق سه مملوك در مرض موت و وفات يكى</w:t>
            </w:r>
            <w:r>
              <w:rPr>
                <w:rStyle w:val="IndexLink"/>
                <w:rtl w:val="true"/>
              </w:rPr>
              <w:tab/>
            </w:r>
            <w:r>
              <w:rPr>
                <w:rStyle w:val="IndexLink"/>
              </w:rPr>
              <w:t>342</w:t>
            </w:r>
          </w:hyperlink>
        </w:p>
        <w:p>
          <w:pPr>
            <w:pStyle w:val="Contents5"/>
            <w:tabs>
              <w:tab w:val="clear" w:pos="7892"/>
              <w:tab w:val="right" w:pos="9026" w:leader="dot"/>
            </w:tabs>
            <w:rPr/>
          </w:pPr>
          <w:hyperlink w:anchor="__RefHeading___Toc3808683_1067777946">
            <w:r>
              <w:rPr>
                <w:webHidden/>
                <w:rStyle w:val="IndexLink"/>
                <w:rtl w:val="true"/>
              </w:rPr>
              <w:t>فرض وفات دو مملوك</w:t>
            </w:r>
            <w:r>
              <w:rPr>
                <w:rStyle w:val="IndexLink"/>
                <w:rtl w:val="true"/>
              </w:rPr>
              <w:tab/>
            </w:r>
            <w:r>
              <w:rPr>
                <w:rStyle w:val="IndexLink"/>
              </w:rPr>
              <w:t>343</w:t>
            </w:r>
          </w:hyperlink>
        </w:p>
        <w:p>
          <w:pPr>
            <w:pStyle w:val="Contents5"/>
            <w:tabs>
              <w:tab w:val="clear" w:pos="7892"/>
              <w:tab w:val="right" w:pos="9026" w:leader="dot"/>
            </w:tabs>
            <w:rPr/>
          </w:pPr>
          <w:hyperlink w:anchor="__RefHeading___Toc3808685_1067777946">
            <w:r>
              <w:rPr>
                <w:webHidden/>
                <w:rStyle w:val="IndexLink"/>
                <w:rtl w:val="true"/>
              </w:rPr>
              <w:t>موت به قتلِ موجب ديه</w:t>
            </w:r>
            <w:r>
              <w:rPr>
                <w:rStyle w:val="IndexLink"/>
                <w:rtl w:val="true"/>
              </w:rPr>
              <w:tab/>
            </w:r>
            <w:r>
              <w:rPr>
                <w:rStyle w:val="IndexLink"/>
              </w:rPr>
              <w:t>343</w:t>
            </w:r>
          </w:hyperlink>
        </w:p>
        <w:p>
          <w:pPr>
            <w:pStyle w:val="Contents4"/>
            <w:tabs>
              <w:tab w:val="clear" w:pos="8176"/>
              <w:tab w:val="right" w:pos="9026" w:leader="dot"/>
            </w:tabs>
            <w:rPr/>
          </w:pPr>
          <w:hyperlink w:anchor="__RefHeading___Toc3808687_1067777946">
            <w:r>
              <w:rPr>
                <w:webHidden/>
                <w:rStyle w:val="IndexLink"/>
              </w:rPr>
              <w:t>2</w:t>
            </w:r>
            <w:r>
              <w:rPr>
                <w:rStyle w:val="IndexLink"/>
                <w:rtl w:val="true"/>
              </w:rPr>
              <w:t xml:space="preserve">. </w:t>
            </w:r>
            <w:r>
              <w:rPr>
                <w:rStyle w:val="IndexLink"/>
                <w:rtl w:val="true"/>
              </w:rPr>
              <w:t>عتق به سرايت</w:t>
            </w:r>
            <w:r>
              <w:rPr>
                <w:rStyle w:val="IndexLink"/>
                <w:rtl w:val="true"/>
              </w:rPr>
              <w:tab/>
            </w:r>
            <w:r>
              <w:rPr>
                <w:rStyle w:val="IndexLink"/>
              </w:rPr>
              <w:t>344</w:t>
            </w:r>
          </w:hyperlink>
        </w:p>
        <w:p>
          <w:pPr>
            <w:pStyle w:val="Contents5"/>
            <w:tabs>
              <w:tab w:val="clear" w:pos="7892"/>
              <w:tab w:val="right" w:pos="9026" w:leader="dot"/>
            </w:tabs>
            <w:rPr/>
          </w:pPr>
          <w:hyperlink w:anchor="__RefHeading___Toc3808689_1067777946">
            <w:r>
              <w:rPr>
                <w:webHidden/>
                <w:rStyle w:val="IndexLink"/>
                <w:rtl w:val="true"/>
              </w:rPr>
              <w:t>اشاره</w:t>
            </w:r>
            <w:r>
              <w:rPr>
                <w:rStyle w:val="IndexLink"/>
                <w:rtl w:val="true"/>
              </w:rPr>
              <w:tab/>
            </w:r>
            <w:r>
              <w:rPr>
                <w:rStyle w:val="IndexLink"/>
              </w:rPr>
              <w:t>344</w:t>
            </w:r>
          </w:hyperlink>
        </w:p>
        <w:p>
          <w:pPr>
            <w:pStyle w:val="Contents5"/>
            <w:tabs>
              <w:tab w:val="clear" w:pos="7892"/>
              <w:tab w:val="right" w:pos="9026" w:leader="dot"/>
            </w:tabs>
            <w:rPr/>
          </w:pPr>
          <w:hyperlink w:anchor="__RefHeading___Toc3808691_1067777946">
            <w:r>
              <w:rPr>
                <w:webHidden/>
                <w:rStyle w:val="IndexLink"/>
                <w:rtl w:val="true"/>
              </w:rPr>
              <w:t>بحثى در ترجيح روايات سرايت بر روايات عدم سرايت</w:t>
            </w:r>
            <w:r>
              <w:rPr>
                <w:rStyle w:val="IndexLink"/>
                <w:rtl w:val="true"/>
              </w:rPr>
              <w:tab/>
            </w:r>
            <w:r>
              <w:rPr>
                <w:rStyle w:val="IndexLink"/>
              </w:rPr>
              <w:t>344</w:t>
            </w:r>
          </w:hyperlink>
        </w:p>
        <w:p>
          <w:pPr>
            <w:pStyle w:val="Contents5"/>
            <w:tabs>
              <w:tab w:val="clear" w:pos="7892"/>
              <w:tab w:val="right" w:pos="9026" w:leader="dot"/>
            </w:tabs>
            <w:rPr/>
          </w:pPr>
          <w:hyperlink w:anchor="__RefHeading___Toc3808693_1067777946">
            <w:r>
              <w:rPr>
                <w:webHidden/>
                <w:rStyle w:val="IndexLink"/>
                <w:rtl w:val="true"/>
              </w:rPr>
              <w:t>ترجيح روايات سرايت بنابر تكافؤ</w:t>
            </w:r>
            <w:r>
              <w:rPr>
                <w:rStyle w:val="IndexLink"/>
                <w:rtl w:val="true"/>
              </w:rPr>
              <w:tab/>
            </w:r>
            <w:r>
              <w:rPr>
                <w:rStyle w:val="IndexLink"/>
              </w:rPr>
              <w:t>345</w:t>
            </w:r>
          </w:hyperlink>
        </w:p>
        <w:p>
          <w:pPr>
            <w:pStyle w:val="Contents5"/>
            <w:tabs>
              <w:tab w:val="clear" w:pos="7892"/>
              <w:tab w:val="right" w:pos="9026" w:leader="dot"/>
            </w:tabs>
            <w:rPr/>
          </w:pPr>
          <w:hyperlink w:anchor="__RefHeading___Toc3808695_1067777946">
            <w:r>
              <w:rPr>
                <w:webHidden/>
                <w:rStyle w:val="IndexLink"/>
                <w:rtl w:val="true"/>
              </w:rPr>
              <w:t>مقتضاى اجماع در مقام</w:t>
            </w:r>
            <w:r>
              <w:rPr>
                <w:rStyle w:val="IndexLink"/>
                <w:rtl w:val="true"/>
              </w:rPr>
              <w:tab/>
            </w:r>
            <w:r>
              <w:rPr>
                <w:rStyle w:val="IndexLink"/>
              </w:rPr>
              <w:t>345</w:t>
            </w:r>
          </w:hyperlink>
        </w:p>
        <w:p>
          <w:pPr>
            <w:pStyle w:val="Contents5"/>
            <w:tabs>
              <w:tab w:val="clear" w:pos="7892"/>
              <w:tab w:val="right" w:pos="9026" w:leader="dot"/>
            </w:tabs>
            <w:rPr/>
          </w:pPr>
          <w:hyperlink w:anchor="__RefHeading___Toc3808697_1067777946">
            <w:r>
              <w:rPr>
                <w:webHidden/>
                <w:rStyle w:val="IndexLink"/>
                <w:rtl w:val="true"/>
              </w:rPr>
              <w:t>عتق يكى از شريكين نصيب خودش را</w:t>
            </w:r>
            <w:r>
              <w:rPr>
                <w:rStyle w:val="IndexLink"/>
                <w:rtl w:val="true"/>
              </w:rPr>
              <w:tab/>
            </w:r>
            <w:r>
              <w:rPr>
                <w:rStyle w:val="IndexLink"/>
              </w:rPr>
              <w:t>346</w:t>
            </w:r>
          </w:hyperlink>
        </w:p>
        <w:p>
          <w:pPr>
            <w:pStyle w:val="Contents5"/>
            <w:tabs>
              <w:tab w:val="clear" w:pos="7892"/>
              <w:tab w:val="right" w:pos="9026" w:leader="dot"/>
            </w:tabs>
            <w:rPr/>
          </w:pPr>
          <w:hyperlink w:anchor="__RefHeading___Toc3808699_1067777946">
            <w:r>
              <w:rPr>
                <w:webHidden/>
                <w:rStyle w:val="IndexLink"/>
                <w:rtl w:val="true"/>
              </w:rPr>
              <w:t>عدم وجوب سعى در مقام</w:t>
            </w:r>
            <w:r>
              <w:rPr>
                <w:rStyle w:val="IndexLink"/>
                <w:rtl w:val="true"/>
              </w:rPr>
              <w:tab/>
            </w:r>
            <w:r>
              <w:rPr>
                <w:rStyle w:val="IndexLink"/>
              </w:rPr>
              <w:t>346</w:t>
            </w:r>
          </w:hyperlink>
        </w:p>
        <w:p>
          <w:pPr>
            <w:pStyle w:val="Contents5"/>
            <w:tabs>
              <w:tab w:val="clear" w:pos="7892"/>
              <w:tab w:val="right" w:pos="9026" w:leader="dot"/>
            </w:tabs>
            <w:rPr/>
          </w:pPr>
          <w:hyperlink w:anchor="__RefHeading___Toc3808701_1067777946">
            <w:r>
              <w:rPr>
                <w:webHidden/>
                <w:rStyle w:val="IndexLink"/>
                <w:rtl w:val="true"/>
              </w:rPr>
              <w:t>مهايات و تقسيم منفعت</w:t>
            </w:r>
            <w:r>
              <w:rPr>
                <w:rStyle w:val="IndexLink"/>
                <w:rtl w:val="true"/>
              </w:rPr>
              <w:tab/>
            </w:r>
            <w:r>
              <w:rPr>
                <w:rStyle w:val="IndexLink"/>
              </w:rPr>
              <w:t>347</w:t>
            </w:r>
          </w:hyperlink>
        </w:p>
        <w:p>
          <w:pPr>
            <w:pStyle w:val="Contents5"/>
            <w:tabs>
              <w:tab w:val="clear" w:pos="7892"/>
              <w:tab w:val="right" w:pos="9026" w:leader="dot"/>
            </w:tabs>
            <w:rPr/>
          </w:pPr>
          <w:hyperlink w:anchor="__RefHeading___Toc3808703_1067777946">
            <w:r>
              <w:rPr>
                <w:webHidden/>
                <w:rStyle w:val="IndexLink"/>
                <w:rtl w:val="true"/>
              </w:rPr>
              <w:t>فرض سه مالك و عتق دو نفر</w:t>
            </w:r>
            <w:r>
              <w:rPr>
                <w:rStyle w:val="IndexLink"/>
                <w:rtl w:val="true"/>
              </w:rPr>
              <w:tab/>
            </w:r>
            <w:r>
              <w:rPr>
                <w:rStyle w:val="IndexLink"/>
              </w:rPr>
              <w:t>348</w:t>
            </w:r>
          </w:hyperlink>
        </w:p>
        <w:p>
          <w:pPr>
            <w:pStyle w:val="Contents5"/>
            <w:tabs>
              <w:tab w:val="clear" w:pos="7892"/>
              <w:tab w:val="right" w:pos="9026" w:leader="dot"/>
            </w:tabs>
            <w:rPr/>
          </w:pPr>
          <w:hyperlink w:anchor="__RefHeading___Toc3808705_1067777946">
            <w:r>
              <w:rPr>
                <w:webHidden/>
                <w:rStyle w:val="IndexLink"/>
                <w:rtl w:val="true"/>
              </w:rPr>
              <w:t>توكيل يكى از دو شريك ديگرى را در عتق</w:t>
            </w:r>
            <w:r>
              <w:rPr>
                <w:rStyle w:val="IndexLink"/>
                <w:rtl w:val="true"/>
              </w:rPr>
              <w:tab/>
            </w:r>
            <w:r>
              <w:rPr>
                <w:rStyle w:val="IndexLink"/>
              </w:rPr>
              <w:t>349</w:t>
            </w:r>
          </w:hyperlink>
        </w:p>
        <w:p>
          <w:pPr>
            <w:pStyle w:val="Contents5"/>
            <w:tabs>
              <w:tab w:val="clear" w:pos="7892"/>
              <w:tab w:val="right" w:pos="9026" w:leader="dot"/>
            </w:tabs>
            <w:rPr/>
          </w:pPr>
          <w:hyperlink w:anchor="__RefHeading___Toc3808707_1067777946">
            <w:r>
              <w:rPr>
                <w:webHidden/>
                <w:rStyle w:val="IndexLink"/>
                <w:rtl w:val="true"/>
              </w:rPr>
              <w:t>فرض إعسار معتق يا فوت او</w:t>
            </w:r>
            <w:r>
              <w:rPr>
                <w:rStyle w:val="IndexLink"/>
                <w:rtl w:val="true"/>
              </w:rPr>
              <w:tab/>
            </w:r>
            <w:r>
              <w:rPr>
                <w:rStyle w:val="IndexLink"/>
              </w:rPr>
              <w:t>350</w:t>
            </w:r>
          </w:hyperlink>
        </w:p>
        <w:p>
          <w:pPr>
            <w:pStyle w:val="Contents5"/>
            <w:tabs>
              <w:tab w:val="clear" w:pos="7892"/>
              <w:tab w:val="right" w:pos="9026" w:leader="dot"/>
            </w:tabs>
            <w:rPr/>
          </w:pPr>
          <w:hyperlink w:anchor="__RefHeading___Toc3808709_1067777946">
            <w:r>
              <w:rPr>
                <w:webHidden/>
                <w:rStyle w:val="IndexLink"/>
                <w:rtl w:val="true"/>
              </w:rPr>
              <w:t>فرض موت مملوك قبل از تأديۀ قيمت</w:t>
            </w:r>
            <w:r>
              <w:rPr>
                <w:rStyle w:val="IndexLink"/>
                <w:rtl w:val="true"/>
              </w:rPr>
              <w:tab/>
            </w:r>
            <w:r>
              <w:rPr>
                <w:rStyle w:val="IndexLink"/>
              </w:rPr>
              <w:t>350</w:t>
            </w:r>
          </w:hyperlink>
        </w:p>
        <w:p>
          <w:pPr>
            <w:pStyle w:val="Contents5"/>
            <w:tabs>
              <w:tab w:val="clear" w:pos="7892"/>
              <w:tab w:val="right" w:pos="9026" w:leader="dot"/>
            </w:tabs>
            <w:rPr/>
          </w:pPr>
          <w:hyperlink w:anchor="__RefHeading___Toc3808711_1067777946">
            <w:r>
              <w:rPr>
                <w:webHidden/>
                <w:rStyle w:val="IndexLink"/>
                <w:rtl w:val="true"/>
              </w:rPr>
              <w:t>عتق حصۀ خود قبل از أخذ قيمت</w:t>
            </w:r>
            <w:r>
              <w:rPr>
                <w:rStyle w:val="IndexLink"/>
                <w:rtl w:val="true"/>
              </w:rPr>
              <w:tab/>
            </w:r>
            <w:r>
              <w:rPr>
                <w:rStyle w:val="IndexLink"/>
              </w:rPr>
              <w:t>351</w:t>
            </w:r>
          </w:hyperlink>
        </w:p>
        <w:p>
          <w:pPr>
            <w:pStyle w:val="Contents5"/>
            <w:tabs>
              <w:tab w:val="clear" w:pos="7892"/>
              <w:tab w:val="right" w:pos="9026" w:leader="dot"/>
            </w:tabs>
            <w:rPr/>
          </w:pPr>
          <w:hyperlink w:anchor="__RefHeading___Toc3808713_1067777946">
            <w:r>
              <w:rPr>
                <w:webHidden/>
                <w:rStyle w:val="IndexLink"/>
                <w:rtl w:val="true"/>
              </w:rPr>
              <w:t>تصرف در جاريه قبل از أخذ قيمت</w:t>
            </w:r>
            <w:r>
              <w:rPr>
                <w:rStyle w:val="IndexLink"/>
                <w:rtl w:val="true"/>
              </w:rPr>
              <w:tab/>
            </w:r>
            <w:r>
              <w:rPr>
                <w:rStyle w:val="IndexLink"/>
              </w:rPr>
              <w:t>351</w:t>
            </w:r>
          </w:hyperlink>
        </w:p>
        <w:p>
          <w:pPr>
            <w:pStyle w:val="Contents5"/>
            <w:tabs>
              <w:tab w:val="clear" w:pos="7892"/>
              <w:tab w:val="right" w:pos="9026" w:leader="dot"/>
            </w:tabs>
            <w:rPr/>
          </w:pPr>
          <w:hyperlink w:anchor="__RefHeading___Toc3808715_1067777946">
            <w:r>
              <w:rPr>
                <w:webHidden/>
                <w:rStyle w:val="IndexLink"/>
                <w:rtl w:val="true"/>
              </w:rPr>
              <w:t>فرار يا إعسار معتِق</w:t>
            </w:r>
            <w:r>
              <w:rPr>
                <w:rStyle w:val="IndexLink"/>
                <w:rtl w:val="true"/>
              </w:rPr>
              <w:tab/>
            </w:r>
            <w:r>
              <w:rPr>
                <w:rStyle w:val="IndexLink"/>
              </w:rPr>
              <w:t>351</w:t>
            </w:r>
          </w:hyperlink>
        </w:p>
        <w:p>
          <w:pPr>
            <w:pStyle w:val="Contents5"/>
            <w:tabs>
              <w:tab w:val="clear" w:pos="7892"/>
              <w:tab w:val="right" w:pos="9026" w:leader="dot"/>
            </w:tabs>
            <w:rPr/>
          </w:pPr>
          <w:hyperlink w:anchor="__RefHeading___Toc3808717_1067777946">
            <w:r>
              <w:rPr>
                <w:webHidden/>
                <w:rStyle w:val="IndexLink"/>
                <w:rtl w:val="true"/>
              </w:rPr>
              <w:t>درخواست فكّ رقّيّت</w:t>
            </w:r>
            <w:r>
              <w:rPr>
                <w:rStyle w:val="IndexLink"/>
                <w:rtl w:val="true"/>
              </w:rPr>
              <w:tab/>
            </w:r>
            <w:r>
              <w:rPr>
                <w:rStyle w:val="IndexLink"/>
              </w:rPr>
              <w:t>352</w:t>
            </w:r>
          </w:hyperlink>
        </w:p>
        <w:p>
          <w:pPr>
            <w:pStyle w:val="Contents5"/>
            <w:tabs>
              <w:tab w:val="clear" w:pos="7892"/>
              <w:tab w:val="right" w:pos="9026" w:leader="dot"/>
            </w:tabs>
            <w:rPr/>
          </w:pPr>
          <w:hyperlink w:anchor="__RefHeading___Toc3808719_1067777946">
            <w:r>
              <w:rPr>
                <w:webHidden/>
                <w:rStyle w:val="IndexLink"/>
                <w:rtl w:val="true"/>
              </w:rPr>
              <w:t>موسر شدن معسر</w:t>
            </w:r>
            <w:r>
              <w:rPr>
                <w:rStyle w:val="IndexLink"/>
                <w:rtl w:val="true"/>
              </w:rPr>
              <w:tab/>
            </w:r>
            <w:r>
              <w:rPr>
                <w:rStyle w:val="IndexLink"/>
              </w:rPr>
              <w:t>352</w:t>
            </w:r>
          </w:hyperlink>
        </w:p>
        <w:p>
          <w:pPr>
            <w:pStyle w:val="Contents5"/>
            <w:tabs>
              <w:tab w:val="clear" w:pos="7892"/>
              <w:tab w:val="right" w:pos="9026" w:leader="dot"/>
            </w:tabs>
            <w:rPr/>
          </w:pPr>
          <w:hyperlink w:anchor="__RefHeading___Toc3808721_1067777946">
            <w:r>
              <w:rPr>
                <w:webHidden/>
                <w:rStyle w:val="IndexLink"/>
                <w:rtl w:val="true"/>
              </w:rPr>
              <w:t>ادّعا و انكار عتق در فرض شراكت</w:t>
            </w:r>
            <w:r>
              <w:rPr>
                <w:rStyle w:val="IndexLink"/>
                <w:rtl w:val="true"/>
              </w:rPr>
              <w:tab/>
            </w:r>
            <w:r>
              <w:rPr>
                <w:rStyle w:val="IndexLink"/>
              </w:rPr>
              <w:t>352</w:t>
            </w:r>
          </w:hyperlink>
        </w:p>
        <w:p>
          <w:pPr>
            <w:pStyle w:val="Contents5"/>
            <w:tabs>
              <w:tab w:val="clear" w:pos="7892"/>
              <w:tab w:val="right" w:pos="9026" w:leader="dot"/>
            </w:tabs>
            <w:rPr/>
          </w:pPr>
          <w:hyperlink w:anchor="__RefHeading___Toc3808723_1067777946">
            <w:r>
              <w:rPr>
                <w:webHidden/>
                <w:rStyle w:val="IndexLink"/>
                <w:rtl w:val="true"/>
              </w:rPr>
              <w:t>تفرقه بين اقرار به سريان عتق و عتق موجب سريان</w:t>
            </w:r>
            <w:r>
              <w:rPr>
                <w:rStyle w:val="IndexLink"/>
                <w:rtl w:val="true"/>
              </w:rPr>
              <w:tab/>
            </w:r>
            <w:r>
              <w:rPr>
                <w:rStyle w:val="IndexLink"/>
              </w:rPr>
              <w:t>353</w:t>
            </w:r>
          </w:hyperlink>
        </w:p>
        <w:p>
          <w:pPr>
            <w:pStyle w:val="Contents5"/>
            <w:tabs>
              <w:tab w:val="clear" w:pos="7892"/>
              <w:tab w:val="right" w:pos="9026" w:leader="dot"/>
            </w:tabs>
            <w:rPr/>
          </w:pPr>
          <w:hyperlink w:anchor="__RefHeading___Toc3808725_1067777946">
            <w:r>
              <w:rPr>
                <w:webHidden/>
                <w:rStyle w:val="IndexLink"/>
                <w:rtl w:val="true"/>
              </w:rPr>
              <w:t>اختلاف معتِق و شريك در قيمت مملوك</w:t>
            </w:r>
            <w:r>
              <w:rPr>
                <w:rStyle w:val="IndexLink"/>
                <w:rtl w:val="true"/>
              </w:rPr>
              <w:tab/>
            </w:r>
            <w:r>
              <w:rPr>
                <w:rStyle w:val="IndexLink"/>
              </w:rPr>
              <w:t>353</w:t>
            </w:r>
          </w:hyperlink>
        </w:p>
        <w:p>
          <w:pPr>
            <w:pStyle w:val="Contents5"/>
            <w:tabs>
              <w:tab w:val="clear" w:pos="7892"/>
              <w:tab w:val="right" w:pos="9026" w:leader="dot"/>
            </w:tabs>
            <w:rPr/>
          </w:pPr>
          <w:hyperlink w:anchor="__RefHeading___Toc3808727_1067777946">
            <w:r>
              <w:rPr>
                <w:webHidden/>
                <w:rStyle w:val="IndexLink"/>
                <w:rtl w:val="true"/>
              </w:rPr>
              <w:t>ادّعاى عيب در مملوك توسّط معتِق</w:t>
            </w:r>
            <w:r>
              <w:rPr>
                <w:rStyle w:val="IndexLink"/>
                <w:rtl w:val="true"/>
              </w:rPr>
              <w:tab/>
            </w:r>
            <w:r>
              <w:rPr>
                <w:rStyle w:val="IndexLink"/>
              </w:rPr>
              <w:t>353</w:t>
            </w:r>
          </w:hyperlink>
        </w:p>
        <w:p>
          <w:pPr>
            <w:pStyle w:val="Contents5"/>
            <w:tabs>
              <w:tab w:val="clear" w:pos="7892"/>
              <w:tab w:val="right" w:pos="9026" w:leader="dot"/>
            </w:tabs>
            <w:rPr/>
          </w:pPr>
          <w:hyperlink w:anchor="__RefHeading___Toc3808729_1067777946">
            <w:r>
              <w:rPr>
                <w:webHidden/>
                <w:rStyle w:val="IndexLink"/>
                <w:rtl w:val="true"/>
              </w:rPr>
              <w:t>ادّعاى صنعت در مملوك</w:t>
            </w:r>
            <w:r>
              <w:rPr>
                <w:rStyle w:val="IndexLink"/>
                <w:rtl w:val="true"/>
              </w:rPr>
              <w:tab/>
            </w:r>
            <w:r>
              <w:rPr>
                <w:rStyle w:val="IndexLink"/>
              </w:rPr>
              <w:t>353</w:t>
            </w:r>
          </w:hyperlink>
        </w:p>
        <w:p>
          <w:pPr>
            <w:pStyle w:val="Contents5"/>
            <w:tabs>
              <w:tab w:val="clear" w:pos="7892"/>
              <w:tab w:val="right" w:pos="9026" w:leader="dot"/>
            </w:tabs>
            <w:rPr/>
          </w:pPr>
          <w:hyperlink w:anchor="__RefHeading___Toc3808731_1067777946">
            <w:r>
              <w:rPr>
                <w:webHidden/>
                <w:rStyle w:val="IndexLink"/>
                <w:rtl w:val="true"/>
              </w:rPr>
              <w:t>تحديد يسار در مقام</w:t>
            </w:r>
            <w:r>
              <w:rPr>
                <w:rStyle w:val="IndexLink"/>
                <w:rtl w:val="true"/>
              </w:rPr>
              <w:tab/>
            </w:r>
            <w:r>
              <w:rPr>
                <w:rStyle w:val="IndexLink"/>
              </w:rPr>
              <w:t>354</w:t>
            </w:r>
          </w:hyperlink>
        </w:p>
        <w:p>
          <w:pPr>
            <w:pStyle w:val="Contents5"/>
            <w:tabs>
              <w:tab w:val="clear" w:pos="7892"/>
              <w:tab w:val="right" w:pos="9026" w:leader="dot"/>
            </w:tabs>
            <w:rPr/>
          </w:pPr>
          <w:hyperlink w:anchor="__RefHeading___Toc3808733_1067777946">
            <w:r>
              <w:rPr>
                <w:webHidden/>
                <w:rStyle w:val="IndexLink"/>
                <w:rtl w:val="true"/>
              </w:rPr>
              <w:t>وصيت به عتق در مرض موت</w:t>
            </w:r>
            <w:r>
              <w:rPr>
                <w:rStyle w:val="IndexLink"/>
                <w:rtl w:val="true"/>
              </w:rPr>
              <w:tab/>
            </w:r>
            <w:r>
              <w:rPr>
                <w:rStyle w:val="IndexLink"/>
              </w:rPr>
              <w:t>354</w:t>
            </w:r>
          </w:hyperlink>
        </w:p>
        <w:p>
          <w:pPr>
            <w:pStyle w:val="Contents5"/>
            <w:tabs>
              <w:tab w:val="clear" w:pos="7892"/>
              <w:tab w:val="right" w:pos="9026" w:leader="dot"/>
            </w:tabs>
            <w:rPr/>
          </w:pPr>
          <w:hyperlink w:anchor="__RefHeading___Toc3808735_1067777946">
            <w:r>
              <w:rPr>
                <w:webHidden/>
                <w:rStyle w:val="IndexLink"/>
                <w:rtl w:val="true"/>
              </w:rPr>
              <w:t>انتقال حصّه اى از مملوك منعتق عليه به وراثت</w:t>
            </w:r>
            <w:r>
              <w:rPr>
                <w:rStyle w:val="IndexLink"/>
                <w:rtl w:val="true"/>
              </w:rPr>
              <w:tab/>
            </w:r>
            <w:r>
              <w:rPr>
                <w:rStyle w:val="IndexLink"/>
              </w:rPr>
              <w:t>355</w:t>
            </w:r>
          </w:hyperlink>
        </w:p>
        <w:p>
          <w:pPr>
            <w:pStyle w:val="Contents5"/>
            <w:tabs>
              <w:tab w:val="clear" w:pos="7892"/>
              <w:tab w:val="right" w:pos="9026" w:leader="dot"/>
            </w:tabs>
            <w:rPr/>
          </w:pPr>
          <w:hyperlink w:anchor="__RefHeading___Toc3808737_1067777946">
            <w:r>
              <w:rPr>
                <w:webHidden/>
                <w:rStyle w:val="IndexLink"/>
                <w:rtl w:val="true"/>
              </w:rPr>
              <w:t>وصيّت به ثلث و عتق</w:t>
            </w:r>
            <w:r>
              <w:rPr>
                <w:rStyle w:val="IndexLink"/>
                <w:rtl w:val="true"/>
              </w:rPr>
              <w:tab/>
            </w:r>
            <w:r>
              <w:rPr>
                <w:rStyle w:val="IndexLink"/>
              </w:rPr>
              <w:t>355</w:t>
            </w:r>
          </w:hyperlink>
        </w:p>
        <w:p>
          <w:pPr>
            <w:pStyle w:val="Contents5"/>
            <w:tabs>
              <w:tab w:val="clear" w:pos="7892"/>
              <w:tab w:val="right" w:pos="9026" w:leader="dot"/>
            </w:tabs>
            <w:rPr/>
          </w:pPr>
          <w:hyperlink w:anchor="__RefHeading___Toc3808739_1067777946">
            <w:r>
              <w:rPr>
                <w:webHidden/>
                <w:rStyle w:val="IndexLink"/>
                <w:rtl w:val="true"/>
              </w:rPr>
              <w:t>اعتبار در قيمت غير معتق</w:t>
            </w:r>
            <w:r>
              <w:rPr>
                <w:rStyle w:val="IndexLink"/>
                <w:rtl w:val="true"/>
              </w:rPr>
              <w:tab/>
            </w:r>
            <w:r>
              <w:rPr>
                <w:rStyle w:val="IndexLink"/>
              </w:rPr>
              <w:t>355</w:t>
            </w:r>
          </w:hyperlink>
        </w:p>
        <w:p>
          <w:pPr>
            <w:pStyle w:val="Contents5"/>
            <w:tabs>
              <w:tab w:val="clear" w:pos="7892"/>
              <w:tab w:val="right" w:pos="9026" w:leader="dot"/>
            </w:tabs>
            <w:rPr/>
          </w:pPr>
          <w:hyperlink w:anchor="__RefHeading___Toc3808741_1067777946">
            <w:r>
              <w:rPr>
                <w:webHidden/>
                <w:rStyle w:val="IndexLink"/>
                <w:rtl w:val="true"/>
              </w:rPr>
              <w:t>اعتبار در قيمت منجز</w:t>
            </w:r>
            <w:r>
              <w:rPr>
                <w:rStyle w:val="IndexLink"/>
                <w:rtl w:val="true"/>
              </w:rPr>
              <w:tab/>
            </w:r>
            <w:r>
              <w:rPr>
                <w:rStyle w:val="IndexLink"/>
              </w:rPr>
              <w:t>355</w:t>
            </w:r>
          </w:hyperlink>
        </w:p>
        <w:p>
          <w:pPr>
            <w:pStyle w:val="Contents5"/>
            <w:tabs>
              <w:tab w:val="clear" w:pos="7892"/>
              <w:tab w:val="right" w:pos="9026" w:leader="dot"/>
            </w:tabs>
            <w:rPr/>
          </w:pPr>
          <w:hyperlink w:anchor="__RefHeading___Toc3808743_1067777946">
            <w:r>
              <w:rPr>
                <w:webHidden/>
                <w:rStyle w:val="IndexLink"/>
                <w:rtl w:val="true"/>
              </w:rPr>
              <w:t xml:space="preserve">عبارت </w:t>
            </w:r>
            <w:r>
              <w:rPr>
                <w:rStyle w:val="IndexLink"/>
                <w:rtl w:val="true"/>
              </w:rPr>
              <w:t>«</w:t>
            </w:r>
            <w:r>
              <w:rPr>
                <w:rStyle w:val="IndexLink"/>
                <w:rtl w:val="true"/>
              </w:rPr>
              <w:t>مختلف</w:t>
            </w:r>
            <w:r>
              <w:rPr>
                <w:rStyle w:val="IndexLink"/>
                <w:rtl w:val="true"/>
              </w:rPr>
              <w:t xml:space="preserve">» </w:t>
            </w:r>
            <w:r>
              <w:rPr>
                <w:rStyle w:val="IndexLink"/>
                <w:rtl w:val="true"/>
              </w:rPr>
              <w:t>در مقام</w:t>
            </w:r>
            <w:r>
              <w:rPr>
                <w:rStyle w:val="IndexLink"/>
                <w:rtl w:val="true"/>
              </w:rPr>
              <w:tab/>
            </w:r>
            <w:r>
              <w:rPr>
                <w:rStyle w:val="IndexLink"/>
              </w:rPr>
              <w:t>356</w:t>
            </w:r>
          </w:hyperlink>
        </w:p>
        <w:p>
          <w:pPr>
            <w:pStyle w:val="Contents5"/>
            <w:tabs>
              <w:tab w:val="clear" w:pos="7892"/>
              <w:tab w:val="right" w:pos="9026" w:leader="dot"/>
            </w:tabs>
            <w:rPr/>
          </w:pPr>
          <w:hyperlink w:anchor="__RefHeading___Toc3808745_1067777946">
            <w:r>
              <w:rPr>
                <w:webHidden/>
                <w:rStyle w:val="IndexLink"/>
                <w:rtl w:val="true"/>
              </w:rPr>
              <w:t>اعتبار در قيمت تركه</w:t>
            </w:r>
            <w:r>
              <w:rPr>
                <w:rStyle w:val="IndexLink"/>
                <w:rtl w:val="true"/>
              </w:rPr>
              <w:tab/>
            </w:r>
            <w:r>
              <w:rPr>
                <w:rStyle w:val="IndexLink"/>
              </w:rPr>
              <w:t>357</w:t>
            </w:r>
          </w:hyperlink>
        </w:p>
        <w:p>
          <w:pPr>
            <w:pStyle w:val="Contents5"/>
            <w:tabs>
              <w:tab w:val="clear" w:pos="7892"/>
              <w:tab w:val="right" w:pos="9026" w:leader="dot"/>
            </w:tabs>
            <w:rPr/>
          </w:pPr>
          <w:hyperlink w:anchor="__RefHeading___Toc3808747_1067777946">
            <w:r>
              <w:rPr>
                <w:webHidden/>
                <w:rStyle w:val="IndexLink"/>
                <w:rtl w:val="true"/>
              </w:rPr>
              <w:t>زيادتى قيمت قبل از موت</w:t>
            </w:r>
            <w:r>
              <w:rPr>
                <w:rStyle w:val="IndexLink"/>
                <w:rtl w:val="true"/>
              </w:rPr>
              <w:tab/>
            </w:r>
            <w:r>
              <w:rPr>
                <w:rStyle w:val="IndexLink"/>
              </w:rPr>
              <w:t>357</w:t>
            </w:r>
          </w:hyperlink>
        </w:p>
        <w:p>
          <w:pPr>
            <w:pStyle w:val="Contents5"/>
            <w:tabs>
              <w:tab w:val="clear" w:pos="7892"/>
              <w:tab w:val="right" w:pos="9026" w:leader="dot"/>
            </w:tabs>
            <w:rPr/>
          </w:pPr>
          <w:hyperlink w:anchor="__RefHeading___Toc3808749_1067777946">
            <w:r>
              <w:rPr>
                <w:webHidden/>
                <w:rStyle w:val="IndexLink"/>
                <w:rtl w:val="true"/>
              </w:rPr>
              <w:t>تعلّق عتق منجّز يا تدبير به حامل</w:t>
            </w:r>
            <w:r>
              <w:rPr>
                <w:rStyle w:val="IndexLink"/>
                <w:rtl w:val="true"/>
              </w:rPr>
              <w:tab/>
            </w:r>
            <w:r>
              <w:rPr>
                <w:rStyle w:val="IndexLink"/>
              </w:rPr>
              <w:t>358</w:t>
            </w:r>
          </w:hyperlink>
        </w:p>
        <w:p>
          <w:pPr>
            <w:pStyle w:val="Contents5"/>
            <w:tabs>
              <w:tab w:val="clear" w:pos="7892"/>
              <w:tab w:val="right" w:pos="9026" w:leader="dot"/>
            </w:tabs>
            <w:rPr/>
          </w:pPr>
          <w:hyperlink w:anchor="__RefHeading___Toc3808751_1067777946">
            <w:r>
              <w:rPr>
                <w:webHidden/>
                <w:rStyle w:val="IndexLink"/>
                <w:rtl w:val="true"/>
              </w:rPr>
              <w:t>عتق بعض حامل</w:t>
            </w:r>
            <w:r>
              <w:rPr>
                <w:rStyle w:val="IndexLink"/>
                <w:rtl w:val="true"/>
              </w:rPr>
              <w:tab/>
            </w:r>
            <w:r>
              <w:rPr>
                <w:rStyle w:val="IndexLink"/>
              </w:rPr>
              <w:t>359</w:t>
            </w:r>
          </w:hyperlink>
        </w:p>
        <w:p>
          <w:pPr>
            <w:pStyle w:val="Contents5"/>
            <w:tabs>
              <w:tab w:val="clear" w:pos="7892"/>
              <w:tab w:val="right" w:pos="9026" w:leader="dot"/>
            </w:tabs>
            <w:rPr/>
          </w:pPr>
          <w:hyperlink w:anchor="__RefHeading___Toc3808753_1067777946">
            <w:r>
              <w:rPr>
                <w:webHidden/>
                <w:rStyle w:val="IndexLink"/>
                <w:rtl w:val="true"/>
              </w:rPr>
              <w:t>ادّعاى عتق نصيب توسّط شريكين</w:t>
            </w:r>
            <w:r>
              <w:rPr>
                <w:rStyle w:val="IndexLink"/>
                <w:rtl w:val="true"/>
              </w:rPr>
              <w:tab/>
            </w:r>
            <w:r>
              <w:rPr>
                <w:rStyle w:val="IndexLink"/>
              </w:rPr>
              <w:t>359</w:t>
            </w:r>
          </w:hyperlink>
        </w:p>
        <w:p>
          <w:pPr>
            <w:pStyle w:val="Contents5"/>
            <w:tabs>
              <w:tab w:val="clear" w:pos="7892"/>
              <w:tab w:val="right" w:pos="9026" w:leader="dot"/>
            </w:tabs>
            <w:rPr/>
          </w:pPr>
          <w:hyperlink w:anchor="__RefHeading___Toc3808755_1067777946">
            <w:r>
              <w:rPr>
                <w:webHidden/>
                <w:rStyle w:val="IndexLink"/>
                <w:rtl w:val="true"/>
              </w:rPr>
              <w:t>ادّعا توسّط يك شريك</w:t>
            </w:r>
            <w:r>
              <w:rPr>
                <w:rStyle w:val="IndexLink"/>
                <w:rtl w:val="true"/>
              </w:rPr>
              <w:tab/>
            </w:r>
            <w:r>
              <w:rPr>
                <w:rStyle w:val="IndexLink"/>
              </w:rPr>
              <w:t>359</w:t>
            </w:r>
          </w:hyperlink>
        </w:p>
        <w:p>
          <w:pPr>
            <w:pStyle w:val="Contents5"/>
            <w:tabs>
              <w:tab w:val="clear" w:pos="7892"/>
              <w:tab w:val="right" w:pos="9026" w:leader="dot"/>
            </w:tabs>
            <w:rPr/>
          </w:pPr>
          <w:hyperlink w:anchor="__RefHeading___Toc3808757_1067777946">
            <w:r>
              <w:rPr>
                <w:webHidden/>
                <w:rStyle w:val="IndexLink"/>
                <w:rtl w:val="true"/>
              </w:rPr>
              <w:t>فرض إعسار و عدالت شريكين</w:t>
            </w:r>
            <w:r>
              <w:rPr>
                <w:rStyle w:val="IndexLink"/>
                <w:rtl w:val="true"/>
              </w:rPr>
              <w:tab/>
            </w:r>
            <w:r>
              <w:rPr>
                <w:rStyle w:val="IndexLink"/>
              </w:rPr>
              <w:t>360</w:t>
            </w:r>
          </w:hyperlink>
        </w:p>
        <w:p>
          <w:pPr>
            <w:pStyle w:val="Contents5"/>
            <w:tabs>
              <w:tab w:val="clear" w:pos="7892"/>
              <w:tab w:val="right" w:pos="9026" w:leader="dot"/>
            </w:tabs>
            <w:rPr/>
          </w:pPr>
          <w:hyperlink w:anchor="__RefHeading___Toc3808759_1067777946">
            <w:r>
              <w:rPr>
                <w:webHidden/>
                <w:rStyle w:val="IndexLink"/>
                <w:rtl w:val="true"/>
              </w:rPr>
              <w:t xml:space="preserve">عبارت </w:t>
            </w:r>
            <w:r>
              <w:rPr>
                <w:rStyle w:val="IndexLink"/>
                <w:rtl w:val="true"/>
              </w:rPr>
              <w:t>«</w:t>
            </w:r>
            <w:r>
              <w:rPr>
                <w:rStyle w:val="IndexLink"/>
                <w:rtl w:val="true"/>
              </w:rPr>
              <w:t>شرح قواعد</w:t>
            </w:r>
            <w:r>
              <w:rPr>
                <w:rStyle w:val="IndexLink"/>
                <w:rtl w:val="true"/>
              </w:rPr>
              <w:t xml:space="preserve">» </w:t>
            </w:r>
            <w:r>
              <w:rPr>
                <w:rStyle w:val="IndexLink"/>
                <w:rtl w:val="true"/>
              </w:rPr>
              <w:t xml:space="preserve">از </w:t>
            </w:r>
            <w:r>
              <w:rPr>
                <w:rStyle w:val="IndexLink"/>
                <w:rtl w:val="true"/>
              </w:rPr>
              <w:t>«</w:t>
            </w:r>
            <w:r>
              <w:rPr>
                <w:rStyle w:val="IndexLink"/>
                <w:rtl w:val="true"/>
              </w:rPr>
              <w:t>كشف اللثام</w:t>
            </w:r>
            <w:r>
              <w:rPr>
                <w:rStyle w:val="IndexLink"/>
                <w:rtl w:val="true"/>
              </w:rPr>
              <w:t>»</w:t>
              <w:tab/>
            </w:r>
            <w:r>
              <w:rPr>
                <w:rStyle w:val="IndexLink"/>
              </w:rPr>
              <w:t>361</w:t>
            </w:r>
          </w:hyperlink>
        </w:p>
        <w:p>
          <w:pPr>
            <w:pStyle w:val="Contents5"/>
            <w:tabs>
              <w:tab w:val="clear" w:pos="7892"/>
              <w:tab w:val="right" w:pos="9026" w:leader="dot"/>
            </w:tabs>
            <w:rPr/>
          </w:pPr>
          <w:hyperlink w:anchor="__RefHeading___Toc3808761_1067777946">
            <w:r>
              <w:rPr>
                <w:webHidden/>
                <w:rStyle w:val="IndexLink"/>
                <w:rtl w:val="true"/>
              </w:rPr>
              <w:t>تفصيل مصبّ دعوى در مقام</w:t>
            </w:r>
            <w:r>
              <w:rPr>
                <w:rStyle w:val="IndexLink"/>
                <w:rtl w:val="true"/>
              </w:rPr>
              <w:tab/>
            </w:r>
            <w:r>
              <w:rPr>
                <w:rStyle w:val="IndexLink"/>
              </w:rPr>
              <w:t>362</w:t>
            </w:r>
          </w:hyperlink>
        </w:p>
        <w:p>
          <w:pPr>
            <w:pStyle w:val="Contents5"/>
            <w:tabs>
              <w:tab w:val="clear" w:pos="7892"/>
              <w:tab w:val="right" w:pos="9026" w:leader="dot"/>
            </w:tabs>
            <w:rPr/>
          </w:pPr>
          <w:hyperlink w:anchor="__RefHeading___Toc3808763_1067777946">
            <w:r>
              <w:rPr>
                <w:webHidden/>
                <w:rStyle w:val="IndexLink"/>
                <w:rtl w:val="true"/>
              </w:rPr>
              <w:t>تأثير عدالت يك شريك يا هر دو در حكم</w:t>
            </w:r>
            <w:r>
              <w:rPr>
                <w:rStyle w:val="IndexLink"/>
                <w:rtl w:val="true"/>
              </w:rPr>
              <w:tab/>
            </w:r>
            <w:r>
              <w:rPr>
                <w:rStyle w:val="IndexLink"/>
              </w:rPr>
              <w:t>363</w:t>
            </w:r>
          </w:hyperlink>
        </w:p>
        <w:p>
          <w:pPr>
            <w:pStyle w:val="Contents5"/>
            <w:tabs>
              <w:tab w:val="clear" w:pos="7892"/>
              <w:tab w:val="right" w:pos="9026" w:leader="dot"/>
            </w:tabs>
            <w:rPr/>
          </w:pPr>
          <w:hyperlink w:anchor="__RefHeading___Toc3808765_1067777946">
            <w:r>
              <w:rPr>
                <w:webHidden/>
                <w:rStyle w:val="IndexLink"/>
                <w:rtl w:val="true"/>
              </w:rPr>
              <w:t>تأثير تهمت در قبول شهادت و كلام صاحب جواهر قدس سرّه</w:t>
            </w:r>
            <w:r>
              <w:rPr>
                <w:rStyle w:val="IndexLink"/>
                <w:rtl w:val="true"/>
              </w:rPr>
              <w:tab/>
            </w:r>
            <w:r>
              <w:rPr>
                <w:rStyle w:val="IndexLink"/>
              </w:rPr>
              <w:t>363</w:t>
            </w:r>
          </w:hyperlink>
        </w:p>
        <w:p>
          <w:pPr>
            <w:pStyle w:val="Contents5"/>
            <w:tabs>
              <w:tab w:val="clear" w:pos="7892"/>
              <w:tab w:val="right" w:pos="9026" w:leader="dot"/>
            </w:tabs>
            <w:rPr/>
          </w:pPr>
          <w:hyperlink w:anchor="__RefHeading___Toc3808767_1067777946">
            <w:r>
              <w:rPr>
                <w:webHidden/>
                <w:rStyle w:val="IndexLink"/>
                <w:rtl w:val="true"/>
              </w:rPr>
              <w:t>فرض ايسار شريكين</w:t>
            </w:r>
            <w:r>
              <w:rPr>
                <w:rStyle w:val="IndexLink"/>
                <w:rtl w:val="true"/>
              </w:rPr>
              <w:tab/>
            </w:r>
            <w:r>
              <w:rPr>
                <w:rStyle w:val="IndexLink"/>
              </w:rPr>
              <w:t>364</w:t>
            </w:r>
          </w:hyperlink>
        </w:p>
        <w:p>
          <w:pPr>
            <w:pStyle w:val="Contents5"/>
            <w:tabs>
              <w:tab w:val="clear" w:pos="7892"/>
              <w:tab w:val="right" w:pos="9026" w:leader="dot"/>
            </w:tabs>
            <w:rPr/>
          </w:pPr>
          <w:hyperlink w:anchor="__RefHeading___Toc3808769_1067777946">
            <w:r>
              <w:rPr>
                <w:webHidden/>
                <w:rStyle w:val="IndexLink"/>
                <w:rtl w:val="true"/>
              </w:rPr>
              <w:t>خريد نصيب شريك بعد از ادّعاى عتق و عدم اثبات</w:t>
            </w:r>
            <w:r>
              <w:rPr>
                <w:rStyle w:val="IndexLink"/>
                <w:rtl w:val="true"/>
              </w:rPr>
              <w:tab/>
            </w:r>
            <w:r>
              <w:rPr>
                <w:rStyle w:val="IndexLink"/>
              </w:rPr>
              <w:t>365</w:t>
            </w:r>
          </w:hyperlink>
        </w:p>
        <w:p>
          <w:pPr>
            <w:pStyle w:val="Contents5"/>
            <w:tabs>
              <w:tab w:val="clear" w:pos="7892"/>
              <w:tab w:val="right" w:pos="9026" w:leader="dot"/>
            </w:tabs>
            <w:rPr/>
          </w:pPr>
          <w:hyperlink w:anchor="__RefHeading___Toc3808771_1067777946">
            <w:r>
              <w:rPr>
                <w:webHidden/>
                <w:rStyle w:val="IndexLink"/>
                <w:rtl w:val="true"/>
              </w:rPr>
              <w:t>فرض موت عبد بدون وارث</w:t>
            </w:r>
            <w:r>
              <w:rPr>
                <w:rStyle w:val="IndexLink"/>
                <w:rtl w:val="true"/>
              </w:rPr>
              <w:tab/>
            </w:r>
            <w:r>
              <w:rPr>
                <w:rStyle w:val="IndexLink"/>
              </w:rPr>
              <w:t>365</w:t>
            </w:r>
          </w:hyperlink>
        </w:p>
        <w:p>
          <w:pPr>
            <w:pStyle w:val="Contents5"/>
            <w:tabs>
              <w:tab w:val="clear" w:pos="7892"/>
              <w:tab w:val="right" w:pos="9026" w:leader="dot"/>
            </w:tabs>
            <w:rPr/>
          </w:pPr>
          <w:hyperlink w:anchor="__RefHeading___Toc3808773_1067777946">
            <w:r>
              <w:rPr>
                <w:webHidden/>
                <w:rStyle w:val="IndexLink"/>
                <w:rtl w:val="true"/>
              </w:rPr>
              <w:t>اگر عبد خود را در شهادت بر عتق تكذيب كرد</w:t>
            </w:r>
            <w:r>
              <w:rPr>
                <w:rStyle w:val="IndexLink"/>
                <w:rtl w:val="true"/>
              </w:rPr>
              <w:tab/>
            </w:r>
            <w:r>
              <w:rPr>
                <w:rStyle w:val="IndexLink"/>
              </w:rPr>
              <w:t>365</w:t>
            </w:r>
          </w:hyperlink>
        </w:p>
        <w:p>
          <w:pPr>
            <w:pStyle w:val="Contents5"/>
            <w:tabs>
              <w:tab w:val="clear" w:pos="7892"/>
              <w:tab w:val="right" w:pos="9026" w:leader="dot"/>
            </w:tabs>
            <w:rPr/>
          </w:pPr>
          <w:hyperlink w:anchor="__RefHeading___Toc3808775_1067777946">
            <w:r>
              <w:rPr>
                <w:webHidden/>
                <w:rStyle w:val="IndexLink"/>
                <w:rtl w:val="true"/>
              </w:rPr>
              <w:t>موت مشترى قبل از مملوك</w:t>
            </w:r>
            <w:r>
              <w:rPr>
                <w:rStyle w:val="IndexLink"/>
                <w:rtl w:val="true"/>
              </w:rPr>
              <w:tab/>
            </w:r>
            <w:r>
              <w:rPr>
                <w:rStyle w:val="IndexLink"/>
              </w:rPr>
              <w:t>366</w:t>
            </w:r>
          </w:hyperlink>
        </w:p>
        <w:p>
          <w:pPr>
            <w:pStyle w:val="Contents5"/>
            <w:tabs>
              <w:tab w:val="clear" w:pos="7892"/>
              <w:tab w:val="right" w:pos="9026" w:leader="dot"/>
            </w:tabs>
            <w:rPr/>
          </w:pPr>
          <w:hyperlink w:anchor="__RefHeading___Toc3808777_1067777946">
            <w:r>
              <w:rPr>
                <w:webHidden/>
                <w:rStyle w:val="IndexLink"/>
                <w:rtl w:val="true"/>
              </w:rPr>
              <w:t>تكذيب بايع خودش را</w:t>
            </w:r>
            <w:r>
              <w:rPr>
                <w:rStyle w:val="IndexLink"/>
                <w:rtl w:val="true"/>
              </w:rPr>
              <w:tab/>
            </w:r>
            <w:r>
              <w:rPr>
                <w:rStyle w:val="IndexLink"/>
              </w:rPr>
              <w:t>366</w:t>
            </w:r>
          </w:hyperlink>
        </w:p>
        <w:p>
          <w:pPr>
            <w:pStyle w:val="Contents5"/>
            <w:tabs>
              <w:tab w:val="clear" w:pos="7892"/>
              <w:tab w:val="right" w:pos="9026" w:leader="dot"/>
            </w:tabs>
            <w:rPr/>
          </w:pPr>
          <w:hyperlink w:anchor="__RefHeading___Toc3808779_1067777946">
            <w:r>
              <w:rPr>
                <w:webHidden/>
                <w:rStyle w:val="IndexLink"/>
                <w:rtl w:val="true"/>
              </w:rPr>
              <w:t>خريد هر كدام نصيب ديگرى را بعد از تداعى عتق</w:t>
            </w:r>
            <w:r>
              <w:rPr>
                <w:rStyle w:val="IndexLink"/>
                <w:rtl w:val="true"/>
              </w:rPr>
              <w:tab/>
            </w:r>
            <w:r>
              <w:rPr>
                <w:rStyle w:val="IndexLink"/>
              </w:rPr>
              <w:t>366</w:t>
            </w:r>
          </w:hyperlink>
        </w:p>
        <w:p>
          <w:pPr>
            <w:pStyle w:val="Contents5"/>
            <w:tabs>
              <w:tab w:val="clear" w:pos="7892"/>
              <w:tab w:val="right" w:pos="9026" w:leader="dot"/>
            </w:tabs>
            <w:rPr/>
          </w:pPr>
          <w:hyperlink w:anchor="__RefHeading___Toc3808781_1067777946">
            <w:r>
              <w:rPr>
                <w:webHidden/>
                <w:rStyle w:val="IndexLink"/>
                <w:rtl w:val="true"/>
              </w:rPr>
              <w:t>ادّعاى كذب بعد از خريد و عتق</w:t>
            </w:r>
            <w:r>
              <w:rPr>
                <w:rStyle w:val="IndexLink"/>
                <w:rtl w:val="true"/>
              </w:rPr>
              <w:tab/>
            </w:r>
            <w:r>
              <w:rPr>
                <w:rStyle w:val="IndexLink"/>
              </w:rPr>
              <w:t>366</w:t>
            </w:r>
          </w:hyperlink>
        </w:p>
        <w:p>
          <w:pPr>
            <w:pStyle w:val="Contents5"/>
            <w:tabs>
              <w:tab w:val="clear" w:pos="7892"/>
              <w:tab w:val="right" w:pos="9026" w:leader="dot"/>
            </w:tabs>
            <w:rPr/>
          </w:pPr>
          <w:hyperlink w:anchor="__RefHeading___Toc3808783_1067777946">
            <w:r>
              <w:rPr>
                <w:webHidden/>
                <w:rStyle w:val="IndexLink"/>
                <w:rtl w:val="true"/>
              </w:rPr>
              <w:t>اقرار به عتق نصيب خود بعد از بيع</w:t>
            </w:r>
            <w:r>
              <w:rPr>
                <w:rStyle w:val="IndexLink"/>
                <w:rtl w:val="true"/>
              </w:rPr>
              <w:tab/>
            </w:r>
            <w:r>
              <w:rPr>
                <w:rStyle w:val="IndexLink"/>
              </w:rPr>
              <w:t>367</w:t>
            </w:r>
          </w:hyperlink>
        </w:p>
        <w:p>
          <w:pPr>
            <w:pStyle w:val="Contents5"/>
            <w:tabs>
              <w:tab w:val="clear" w:pos="7892"/>
              <w:tab w:val="right" w:pos="9026" w:leader="dot"/>
            </w:tabs>
            <w:rPr/>
          </w:pPr>
          <w:hyperlink w:anchor="__RefHeading___Toc3808785_1067777946">
            <w:r>
              <w:rPr>
                <w:webHidden/>
                <w:rStyle w:val="IndexLink"/>
                <w:rtl w:val="true"/>
              </w:rPr>
              <w:t>فرض ايسار يكى فقط در تداعى عتق</w:t>
            </w:r>
            <w:r>
              <w:rPr>
                <w:rStyle w:val="IndexLink"/>
                <w:rtl w:val="true"/>
              </w:rPr>
              <w:tab/>
            </w:r>
            <w:r>
              <w:rPr>
                <w:rStyle w:val="IndexLink"/>
              </w:rPr>
              <w:t>367</w:t>
            </w:r>
          </w:hyperlink>
        </w:p>
        <w:p>
          <w:pPr>
            <w:pStyle w:val="Contents5"/>
            <w:tabs>
              <w:tab w:val="clear" w:pos="7892"/>
              <w:tab w:val="right" w:pos="9026" w:leader="dot"/>
            </w:tabs>
            <w:rPr/>
          </w:pPr>
          <w:hyperlink w:anchor="__RefHeading___Toc3808787_1067777946">
            <w:r>
              <w:rPr>
                <w:webHidden/>
                <w:rStyle w:val="IndexLink"/>
                <w:rtl w:val="true"/>
              </w:rPr>
              <w:t>اقامۀ شاهد توسط مملوك بر عتق نصيب موسر</w:t>
            </w:r>
            <w:r>
              <w:rPr>
                <w:rStyle w:val="IndexLink"/>
                <w:rtl w:val="true"/>
              </w:rPr>
              <w:tab/>
            </w:r>
            <w:r>
              <w:rPr>
                <w:rStyle w:val="IndexLink"/>
              </w:rPr>
              <w:t>368</w:t>
            </w:r>
          </w:hyperlink>
        </w:p>
        <w:p>
          <w:pPr>
            <w:pStyle w:val="Contents5"/>
            <w:tabs>
              <w:tab w:val="clear" w:pos="7892"/>
              <w:tab w:val="right" w:pos="9026" w:leader="dot"/>
            </w:tabs>
            <w:rPr/>
          </w:pPr>
          <w:hyperlink w:anchor="__RefHeading___Toc3808789_1067777946">
            <w:r>
              <w:rPr>
                <w:webHidden/>
                <w:rStyle w:val="IndexLink"/>
                <w:rtl w:val="true"/>
              </w:rPr>
              <w:t>عتق معسرِ از سه شريك</w:t>
            </w:r>
            <w:r>
              <w:rPr>
                <w:rStyle w:val="IndexLink"/>
                <w:rtl w:val="true"/>
              </w:rPr>
              <w:tab/>
            </w:r>
            <w:r>
              <w:rPr>
                <w:rStyle w:val="IndexLink"/>
              </w:rPr>
              <w:t>368</w:t>
            </w:r>
          </w:hyperlink>
        </w:p>
        <w:p>
          <w:pPr>
            <w:pStyle w:val="Contents5"/>
            <w:tabs>
              <w:tab w:val="clear" w:pos="7892"/>
              <w:tab w:val="right" w:pos="9026" w:leader="dot"/>
            </w:tabs>
            <w:rPr/>
          </w:pPr>
          <w:hyperlink w:anchor="__RefHeading___Toc3808791_1067777946">
            <w:r>
              <w:rPr>
                <w:webHidden/>
                <w:rStyle w:val="IndexLink"/>
                <w:rtl w:val="true"/>
              </w:rPr>
              <w:t>شرايط ديگر سرايت عتق</w:t>
            </w:r>
            <w:r>
              <w:rPr>
                <w:rStyle w:val="IndexLink"/>
                <w:rtl w:val="true"/>
              </w:rPr>
              <w:tab/>
            </w:r>
            <w:r>
              <w:rPr>
                <w:rStyle w:val="IndexLink"/>
              </w:rPr>
              <w:t>368</w:t>
            </w:r>
          </w:hyperlink>
        </w:p>
        <w:p>
          <w:pPr>
            <w:pStyle w:val="Contents5"/>
            <w:tabs>
              <w:tab w:val="clear" w:pos="7892"/>
              <w:tab w:val="right" w:pos="9026" w:leader="dot"/>
            </w:tabs>
            <w:rPr/>
          </w:pPr>
          <w:hyperlink w:anchor="__RefHeading___Toc3808793_1067777946">
            <w:r>
              <w:rPr>
                <w:webHidden/>
                <w:rStyle w:val="IndexLink"/>
                <w:rtl w:val="true"/>
              </w:rPr>
              <w:t>اشتراط ايسار براى عتق مطلق</w:t>
            </w:r>
            <w:r>
              <w:rPr>
                <w:rStyle w:val="IndexLink"/>
                <w:rtl w:val="true"/>
              </w:rPr>
              <w:tab/>
            </w:r>
            <w:r>
              <w:rPr>
                <w:rStyle w:val="IndexLink"/>
              </w:rPr>
              <w:t>368</w:t>
            </w:r>
          </w:hyperlink>
        </w:p>
        <w:p>
          <w:pPr>
            <w:pStyle w:val="Contents5"/>
            <w:tabs>
              <w:tab w:val="clear" w:pos="7892"/>
              <w:tab w:val="right" w:pos="9026" w:leader="dot"/>
            </w:tabs>
            <w:rPr/>
          </w:pPr>
          <w:hyperlink w:anchor="__RefHeading___Toc3808795_1067777946">
            <w:r>
              <w:rPr>
                <w:webHidden/>
                <w:rStyle w:val="IndexLink"/>
                <w:rtl w:val="true"/>
              </w:rPr>
              <w:t>عدم نفوذ عتق حصّۀ ديگرى</w:t>
            </w:r>
            <w:r>
              <w:rPr>
                <w:rStyle w:val="IndexLink"/>
                <w:rtl w:val="true"/>
              </w:rPr>
              <w:tab/>
            </w:r>
            <w:r>
              <w:rPr>
                <w:rStyle w:val="IndexLink"/>
              </w:rPr>
              <w:t>368</w:t>
            </w:r>
          </w:hyperlink>
        </w:p>
        <w:p>
          <w:pPr>
            <w:pStyle w:val="Contents5"/>
            <w:tabs>
              <w:tab w:val="clear" w:pos="7892"/>
              <w:tab w:val="right" w:pos="9026" w:leader="dot"/>
            </w:tabs>
            <w:rPr/>
          </w:pPr>
          <w:hyperlink w:anchor="__RefHeading___Toc3808797_1067777946">
            <w:r>
              <w:rPr>
                <w:webHidden/>
                <w:rStyle w:val="IndexLink"/>
                <w:rtl w:val="true"/>
              </w:rPr>
              <w:t>ارتباط عدم تعلّق حق به عتق و سرايت</w:t>
            </w:r>
            <w:r>
              <w:rPr>
                <w:rStyle w:val="IndexLink"/>
                <w:rtl w:val="true"/>
              </w:rPr>
              <w:tab/>
            </w:r>
            <w:r>
              <w:rPr>
                <w:rStyle w:val="IndexLink"/>
              </w:rPr>
              <w:t>369</w:t>
            </w:r>
          </w:hyperlink>
        </w:p>
        <w:p>
          <w:pPr>
            <w:pStyle w:val="Contents5"/>
            <w:tabs>
              <w:tab w:val="clear" w:pos="7892"/>
              <w:tab w:val="right" w:pos="9026" w:leader="dot"/>
            </w:tabs>
            <w:rPr/>
          </w:pPr>
          <w:hyperlink w:anchor="__RefHeading___Toc3808799_1067777946">
            <w:r>
              <w:rPr>
                <w:webHidden/>
                <w:rStyle w:val="IndexLink"/>
                <w:rtl w:val="true"/>
              </w:rPr>
              <w:t>تبعّض حريّت</w:t>
            </w:r>
            <w:r>
              <w:rPr>
                <w:rStyle w:val="IndexLink"/>
                <w:rtl w:val="true"/>
              </w:rPr>
              <w:tab/>
            </w:r>
            <w:r>
              <w:rPr>
                <w:rStyle w:val="IndexLink"/>
              </w:rPr>
              <w:t>369</w:t>
            </w:r>
          </w:hyperlink>
        </w:p>
        <w:p>
          <w:pPr>
            <w:pStyle w:val="Contents5"/>
            <w:tabs>
              <w:tab w:val="clear" w:pos="7892"/>
              <w:tab w:val="right" w:pos="9026" w:leader="dot"/>
            </w:tabs>
            <w:rPr/>
          </w:pPr>
          <w:hyperlink w:anchor="__RefHeading___Toc3808801_1067777946">
            <w:r>
              <w:rPr>
                <w:webHidden/>
                <w:rStyle w:val="IndexLink"/>
                <w:rtl w:val="true"/>
              </w:rPr>
              <w:t>شهادت بعض ورثه بر حصول عتق از مورّث</w:t>
            </w:r>
            <w:r>
              <w:rPr>
                <w:rStyle w:val="IndexLink"/>
                <w:rtl w:val="true"/>
              </w:rPr>
              <w:tab/>
            </w:r>
            <w:r>
              <w:rPr>
                <w:rStyle w:val="IndexLink"/>
              </w:rPr>
              <w:t>369</w:t>
            </w:r>
          </w:hyperlink>
        </w:p>
        <w:p>
          <w:pPr>
            <w:pStyle w:val="Contents4"/>
            <w:tabs>
              <w:tab w:val="clear" w:pos="8176"/>
              <w:tab w:val="right" w:pos="9026" w:leader="dot"/>
            </w:tabs>
            <w:rPr/>
          </w:pPr>
          <w:hyperlink w:anchor="__RefHeading___Toc3808803_1067777946">
            <w:r>
              <w:rPr>
                <w:webHidden/>
                <w:rStyle w:val="IndexLink"/>
              </w:rPr>
              <w:t>3</w:t>
            </w:r>
            <w:r>
              <w:rPr>
                <w:rStyle w:val="IndexLink"/>
                <w:rtl w:val="true"/>
              </w:rPr>
              <w:t xml:space="preserve">. </w:t>
            </w:r>
            <w:r>
              <w:rPr>
                <w:rStyle w:val="IndexLink"/>
                <w:rtl w:val="true"/>
              </w:rPr>
              <w:t>ازالۀ رقّيت به سبب مالك بودن</w:t>
            </w:r>
            <w:r>
              <w:rPr>
                <w:rStyle w:val="IndexLink"/>
                <w:rtl w:val="true"/>
              </w:rPr>
              <w:tab/>
            </w:r>
            <w:r>
              <w:rPr>
                <w:rStyle w:val="IndexLink"/>
              </w:rPr>
              <w:t>370</w:t>
            </w:r>
          </w:hyperlink>
        </w:p>
        <w:p>
          <w:pPr>
            <w:pStyle w:val="Contents5"/>
            <w:tabs>
              <w:tab w:val="clear" w:pos="7892"/>
              <w:tab w:val="right" w:pos="9026" w:leader="dot"/>
            </w:tabs>
            <w:rPr/>
          </w:pPr>
          <w:hyperlink w:anchor="__RefHeading___Toc3808805_1067777946">
            <w:r>
              <w:rPr>
                <w:webHidden/>
                <w:rStyle w:val="IndexLink"/>
                <w:rtl w:val="true"/>
              </w:rPr>
              <w:t>اشاره</w:t>
            </w:r>
            <w:r>
              <w:rPr>
                <w:rStyle w:val="IndexLink"/>
                <w:rtl w:val="true"/>
              </w:rPr>
              <w:tab/>
            </w:r>
            <w:r>
              <w:rPr>
                <w:rStyle w:val="IndexLink"/>
              </w:rPr>
              <w:t>370</w:t>
            </w:r>
          </w:hyperlink>
        </w:p>
        <w:p>
          <w:pPr>
            <w:pStyle w:val="Contents5"/>
            <w:tabs>
              <w:tab w:val="clear" w:pos="7892"/>
              <w:tab w:val="right" w:pos="9026" w:leader="dot"/>
            </w:tabs>
            <w:rPr/>
          </w:pPr>
          <w:hyperlink w:anchor="__RefHeading___Toc3808807_1067777946">
            <w:r>
              <w:rPr>
                <w:webHidden/>
                <w:rStyle w:val="IndexLink"/>
                <w:rtl w:val="true"/>
              </w:rPr>
              <w:t>محرّمات رضائيه</w:t>
            </w:r>
            <w:r>
              <w:rPr>
                <w:rStyle w:val="IndexLink"/>
                <w:rtl w:val="true"/>
              </w:rPr>
              <w:tab/>
            </w:r>
            <w:r>
              <w:rPr>
                <w:rStyle w:val="IndexLink"/>
              </w:rPr>
              <w:t>370</w:t>
            </w:r>
          </w:hyperlink>
        </w:p>
        <w:p>
          <w:pPr>
            <w:pStyle w:val="Contents5"/>
            <w:tabs>
              <w:tab w:val="clear" w:pos="7892"/>
              <w:tab w:val="right" w:pos="9026" w:leader="dot"/>
            </w:tabs>
            <w:rPr/>
          </w:pPr>
          <w:hyperlink w:anchor="__RefHeading___Toc3808809_1067777946">
            <w:r>
              <w:rPr>
                <w:webHidden/>
                <w:rStyle w:val="IndexLink"/>
                <w:rtl w:val="true"/>
              </w:rPr>
              <w:t>اقتران زمانى ملك و عتق با ترتّب</w:t>
            </w:r>
            <w:r>
              <w:rPr>
                <w:rStyle w:val="IndexLink"/>
                <w:rtl w:val="true"/>
              </w:rPr>
              <w:tab/>
            </w:r>
            <w:r>
              <w:rPr>
                <w:rStyle w:val="IndexLink"/>
              </w:rPr>
              <w:t>371</w:t>
            </w:r>
          </w:hyperlink>
        </w:p>
        <w:p>
          <w:pPr>
            <w:pStyle w:val="Contents5"/>
            <w:tabs>
              <w:tab w:val="clear" w:pos="7892"/>
              <w:tab w:val="right" w:pos="9026" w:leader="dot"/>
            </w:tabs>
            <w:rPr/>
          </w:pPr>
          <w:hyperlink w:anchor="__RefHeading___Toc3808811_1067777946">
            <w:r>
              <w:rPr>
                <w:webHidden/>
                <w:rStyle w:val="IndexLink"/>
                <w:rtl w:val="true"/>
              </w:rPr>
              <w:t>حكم خنثىٰ‌</w:t>
            </w:r>
            <w:r>
              <w:rPr>
                <w:rStyle w:val="IndexLink"/>
                <w:rtl w:val="true"/>
              </w:rPr>
              <w:tab/>
            </w:r>
            <w:r>
              <w:rPr>
                <w:rStyle w:val="IndexLink"/>
              </w:rPr>
              <w:t>371</w:t>
            </w:r>
          </w:hyperlink>
        </w:p>
        <w:p>
          <w:pPr>
            <w:pStyle w:val="Contents5"/>
            <w:tabs>
              <w:tab w:val="clear" w:pos="7892"/>
              <w:tab w:val="right" w:pos="9026" w:leader="dot"/>
            </w:tabs>
            <w:rPr/>
          </w:pPr>
          <w:hyperlink w:anchor="__RefHeading___Toc3808813_1067777946">
            <w:r>
              <w:rPr>
                <w:webHidden/>
                <w:rStyle w:val="IndexLink"/>
                <w:rtl w:val="true"/>
              </w:rPr>
              <w:t>تبعّض ملكيّت و عتق</w:t>
            </w:r>
            <w:r>
              <w:rPr>
                <w:rStyle w:val="IndexLink"/>
                <w:rtl w:val="true"/>
              </w:rPr>
              <w:tab/>
            </w:r>
            <w:r>
              <w:rPr>
                <w:rStyle w:val="IndexLink"/>
              </w:rPr>
              <w:t>371</w:t>
            </w:r>
          </w:hyperlink>
        </w:p>
        <w:p>
          <w:pPr>
            <w:pStyle w:val="Contents5"/>
            <w:tabs>
              <w:tab w:val="clear" w:pos="7892"/>
              <w:tab w:val="right" w:pos="9026" w:leader="dot"/>
            </w:tabs>
            <w:rPr/>
          </w:pPr>
          <w:hyperlink w:anchor="__RefHeading___Toc3808815_1067777946">
            <w:r>
              <w:rPr>
                <w:webHidden/>
                <w:rStyle w:val="IndexLink"/>
                <w:rtl w:val="true"/>
              </w:rPr>
              <w:t>وصيّت براى شخصى به بعض ولد او</w:t>
            </w:r>
            <w:r>
              <w:rPr>
                <w:rStyle w:val="IndexLink"/>
                <w:rtl w:val="true"/>
              </w:rPr>
              <w:tab/>
            </w:r>
            <w:r>
              <w:rPr>
                <w:rStyle w:val="IndexLink"/>
              </w:rPr>
              <w:t>371</w:t>
            </w:r>
          </w:hyperlink>
        </w:p>
        <w:p>
          <w:pPr>
            <w:pStyle w:val="Contents5"/>
            <w:tabs>
              <w:tab w:val="clear" w:pos="7892"/>
              <w:tab w:val="right" w:pos="9026" w:leader="dot"/>
            </w:tabs>
            <w:rPr/>
          </w:pPr>
          <w:hyperlink w:anchor="__RefHeading___Toc3808817_1067777946">
            <w:r>
              <w:rPr>
                <w:webHidden/>
                <w:rStyle w:val="IndexLink"/>
                <w:rtl w:val="true"/>
              </w:rPr>
              <w:t>وصيّت براى شخصى بعضى از برادرزادۀ او</w:t>
            </w:r>
            <w:r>
              <w:rPr>
                <w:rStyle w:val="IndexLink"/>
                <w:rtl w:val="true"/>
              </w:rPr>
              <w:tab/>
            </w:r>
            <w:r>
              <w:rPr>
                <w:rStyle w:val="IndexLink"/>
              </w:rPr>
              <w:t>372</w:t>
            </w:r>
          </w:hyperlink>
        </w:p>
        <w:p>
          <w:pPr>
            <w:pStyle w:val="Contents5"/>
            <w:tabs>
              <w:tab w:val="clear" w:pos="7892"/>
              <w:tab w:val="right" w:pos="9026" w:leader="dot"/>
            </w:tabs>
            <w:rPr/>
          </w:pPr>
          <w:hyperlink w:anchor="__RefHeading___Toc3808819_1067777946">
            <w:r>
              <w:rPr>
                <w:webHidden/>
                <w:rStyle w:val="IndexLink"/>
                <w:rtl w:val="true"/>
              </w:rPr>
              <w:t>اشكال در كلام صاحب جواهر قدس سرّه در مقام</w:t>
            </w:r>
            <w:r>
              <w:rPr>
                <w:rStyle w:val="IndexLink"/>
                <w:rtl w:val="true"/>
              </w:rPr>
              <w:tab/>
            </w:r>
            <w:r>
              <w:rPr>
                <w:rStyle w:val="IndexLink"/>
              </w:rPr>
              <w:t>374</w:t>
            </w:r>
          </w:hyperlink>
        </w:p>
        <w:p>
          <w:pPr>
            <w:pStyle w:val="Contents5"/>
            <w:tabs>
              <w:tab w:val="clear" w:pos="7892"/>
              <w:tab w:val="right" w:pos="9026" w:leader="dot"/>
            </w:tabs>
            <w:rPr/>
          </w:pPr>
          <w:hyperlink w:anchor="__RefHeading___Toc3808821_1067777946">
            <w:r>
              <w:rPr>
                <w:webHidden/>
                <w:rStyle w:val="IndexLink"/>
                <w:rtl w:val="true"/>
              </w:rPr>
              <w:t>چند فرع</w:t>
            </w:r>
            <w:r>
              <w:rPr>
                <w:rStyle w:val="IndexLink"/>
                <w:rtl w:val="true"/>
              </w:rPr>
              <w:tab/>
            </w:r>
            <w:r>
              <w:rPr>
                <w:rStyle w:val="IndexLink"/>
              </w:rPr>
              <w:t>375</w:t>
            </w:r>
          </w:hyperlink>
        </w:p>
        <w:p>
          <w:pPr>
            <w:pStyle w:val="Contents6"/>
            <w:tabs>
              <w:tab w:val="clear" w:pos="7609"/>
              <w:tab w:val="right" w:pos="9026" w:leader="dot"/>
            </w:tabs>
            <w:rPr/>
          </w:pPr>
          <w:hyperlink w:anchor="__RefHeading___Toc3808823_1067777946">
            <w:r>
              <w:rPr>
                <w:webHidden/>
                <w:rStyle w:val="IndexLink"/>
                <w:rtl w:val="true"/>
              </w:rPr>
              <w:t>وصيّت براى ناقص به منعتق عليه</w:t>
            </w:r>
            <w:r>
              <w:rPr>
                <w:rStyle w:val="IndexLink"/>
                <w:rtl w:val="true"/>
              </w:rPr>
              <w:tab/>
            </w:r>
            <w:r>
              <w:rPr>
                <w:rStyle w:val="IndexLink"/>
              </w:rPr>
              <w:t>375</w:t>
            </w:r>
          </w:hyperlink>
        </w:p>
        <w:p>
          <w:pPr>
            <w:pStyle w:val="Contents6"/>
            <w:tabs>
              <w:tab w:val="clear" w:pos="7609"/>
              <w:tab w:val="right" w:pos="9026" w:leader="dot"/>
            </w:tabs>
            <w:rPr/>
          </w:pPr>
          <w:hyperlink w:anchor="__RefHeading___Toc3808825_1067777946">
            <w:r>
              <w:rPr>
                <w:webHidden/>
                <w:rStyle w:val="IndexLink"/>
                <w:rtl w:val="true"/>
              </w:rPr>
              <w:t>وصيّت براى ناقص به بعض منعتق عليه</w:t>
            </w:r>
            <w:r>
              <w:rPr>
                <w:rStyle w:val="IndexLink"/>
                <w:rtl w:val="true"/>
              </w:rPr>
              <w:tab/>
            </w:r>
            <w:r>
              <w:rPr>
                <w:rStyle w:val="IndexLink"/>
              </w:rPr>
              <w:t>375</w:t>
            </w:r>
          </w:hyperlink>
        </w:p>
        <w:p>
          <w:pPr>
            <w:pStyle w:val="Contents4"/>
            <w:tabs>
              <w:tab w:val="clear" w:pos="8176"/>
              <w:tab w:val="right" w:pos="9026" w:leader="dot"/>
            </w:tabs>
            <w:rPr/>
          </w:pPr>
          <w:hyperlink w:anchor="__RefHeading___Toc3808827_1067777946">
            <w:r>
              <w:rPr>
                <w:webHidden/>
                <w:rStyle w:val="IndexLink"/>
              </w:rPr>
              <w:t>4</w:t>
            </w:r>
            <w:r>
              <w:rPr>
                <w:rStyle w:val="IndexLink"/>
                <w:rtl w:val="true"/>
              </w:rPr>
              <w:t xml:space="preserve">. </w:t>
            </w:r>
            <w:r>
              <w:rPr>
                <w:rStyle w:val="IndexLink"/>
                <w:rtl w:val="true"/>
              </w:rPr>
              <w:t>زوال رقّ به عوارض</w:t>
            </w:r>
            <w:r>
              <w:rPr>
                <w:rStyle w:val="IndexLink"/>
                <w:rtl w:val="true"/>
              </w:rPr>
              <w:tab/>
            </w:r>
            <w:r>
              <w:rPr>
                <w:rStyle w:val="IndexLink"/>
              </w:rPr>
              <w:t>375</w:t>
            </w:r>
          </w:hyperlink>
        </w:p>
        <w:p>
          <w:pPr>
            <w:pStyle w:val="Contents5"/>
            <w:tabs>
              <w:tab w:val="clear" w:pos="7892"/>
              <w:tab w:val="right" w:pos="9026" w:leader="dot"/>
            </w:tabs>
            <w:rPr/>
          </w:pPr>
          <w:hyperlink w:anchor="__RefHeading___Toc3808829_1067777946">
            <w:r>
              <w:rPr>
                <w:webHidden/>
                <w:rStyle w:val="IndexLink"/>
                <w:rtl w:val="true"/>
              </w:rPr>
              <w:t>اشاره</w:t>
            </w:r>
            <w:r>
              <w:rPr>
                <w:rStyle w:val="IndexLink"/>
                <w:rtl w:val="true"/>
              </w:rPr>
              <w:tab/>
            </w:r>
            <w:r>
              <w:rPr>
                <w:rStyle w:val="IndexLink"/>
              </w:rPr>
              <w:t>375</w:t>
            </w:r>
          </w:hyperlink>
        </w:p>
        <w:p>
          <w:pPr>
            <w:pStyle w:val="Contents5"/>
            <w:tabs>
              <w:tab w:val="clear" w:pos="7892"/>
              <w:tab w:val="right" w:pos="9026" w:leader="dot"/>
            </w:tabs>
            <w:rPr/>
          </w:pPr>
          <w:hyperlink w:anchor="__RefHeading___Toc3808831_1067777946">
            <w:r>
              <w:rPr>
                <w:webHidden/>
                <w:rStyle w:val="IndexLink"/>
                <w:rtl w:val="true"/>
              </w:rPr>
              <w:t>اسلام عبد</w:t>
            </w:r>
            <w:r>
              <w:rPr>
                <w:rStyle w:val="IndexLink"/>
                <w:rtl w:val="true"/>
              </w:rPr>
              <w:tab/>
            </w:r>
            <w:r>
              <w:rPr>
                <w:rStyle w:val="IndexLink"/>
              </w:rPr>
              <w:t>376</w:t>
            </w:r>
          </w:hyperlink>
        </w:p>
        <w:p>
          <w:pPr>
            <w:pStyle w:val="Contents5"/>
            <w:tabs>
              <w:tab w:val="clear" w:pos="7892"/>
              <w:tab w:val="right" w:pos="9026" w:leader="dot"/>
            </w:tabs>
            <w:rPr/>
          </w:pPr>
          <w:hyperlink w:anchor="__RefHeading___Toc3808833_1067777946">
            <w:r>
              <w:rPr>
                <w:webHidden/>
                <w:rStyle w:val="IndexLink"/>
                <w:rtl w:val="true"/>
              </w:rPr>
              <w:t>دفع قيمت توسّط قريبِ منحصر در وراثت</w:t>
            </w:r>
            <w:r>
              <w:rPr>
                <w:rStyle w:val="IndexLink"/>
                <w:rtl w:val="true"/>
              </w:rPr>
              <w:tab/>
            </w:r>
            <w:r>
              <w:rPr>
                <w:rStyle w:val="IndexLink"/>
              </w:rPr>
              <w:t>376</w:t>
            </w:r>
          </w:hyperlink>
        </w:p>
        <w:p>
          <w:pPr>
            <w:pStyle w:val="Contents2"/>
            <w:tabs>
              <w:tab w:val="clear" w:pos="8743"/>
              <w:tab w:val="right" w:pos="9026" w:leader="dot"/>
            </w:tabs>
            <w:rPr/>
          </w:pPr>
          <w:hyperlink w:anchor="__RefHeading___Toc3808835_1067777946">
            <w:r>
              <w:rPr>
                <w:webHidden/>
                <w:rStyle w:val="IndexLink"/>
                <w:rtl w:val="true"/>
              </w:rPr>
              <w:t>كتاب اقرار</w:t>
            </w:r>
            <w:r>
              <w:rPr>
                <w:rStyle w:val="IndexLink"/>
                <w:rtl w:val="true"/>
              </w:rPr>
              <w:tab/>
            </w:r>
            <w:r>
              <w:rPr>
                <w:rStyle w:val="IndexLink"/>
              </w:rPr>
              <w:t>378</w:t>
            </w:r>
          </w:hyperlink>
        </w:p>
        <w:p>
          <w:pPr>
            <w:pStyle w:val="Contents3"/>
            <w:tabs>
              <w:tab w:val="clear" w:pos="8459"/>
              <w:tab w:val="right" w:pos="9026" w:leader="dot"/>
            </w:tabs>
            <w:rPr/>
          </w:pPr>
          <w:hyperlink w:anchor="__RefHeading___Toc3808837_1067777946">
            <w:r>
              <w:rPr>
                <w:webHidden/>
                <w:rStyle w:val="IndexLink"/>
                <w:rtl w:val="true"/>
              </w:rPr>
              <w:t>اشاره</w:t>
            </w:r>
            <w:r>
              <w:rPr>
                <w:rStyle w:val="IndexLink"/>
                <w:rtl w:val="true"/>
              </w:rPr>
              <w:tab/>
            </w:r>
            <w:r>
              <w:rPr>
                <w:rStyle w:val="IndexLink"/>
              </w:rPr>
              <w:t>378</w:t>
            </w:r>
          </w:hyperlink>
        </w:p>
        <w:p>
          <w:pPr>
            <w:pStyle w:val="Contents3"/>
            <w:tabs>
              <w:tab w:val="clear" w:pos="8459"/>
              <w:tab w:val="right" w:pos="9026" w:leader="dot"/>
            </w:tabs>
            <w:rPr/>
          </w:pPr>
          <w:hyperlink w:anchor="__RefHeading___Toc3808839_1067777946">
            <w:r>
              <w:rPr>
                <w:webHidden/>
                <w:rStyle w:val="IndexLink"/>
                <w:rtl w:val="true"/>
              </w:rPr>
              <w:t>فصل اوّل صيغۀ اقرار</w:t>
            </w:r>
            <w:r>
              <w:rPr>
                <w:rStyle w:val="IndexLink"/>
                <w:rtl w:val="true"/>
              </w:rPr>
              <w:tab/>
            </w:r>
            <w:r>
              <w:rPr>
                <w:rStyle w:val="IndexLink"/>
              </w:rPr>
              <w:t>380</w:t>
            </w:r>
          </w:hyperlink>
        </w:p>
        <w:p>
          <w:pPr>
            <w:pStyle w:val="Contents4"/>
            <w:tabs>
              <w:tab w:val="clear" w:pos="8176"/>
              <w:tab w:val="right" w:pos="9026" w:leader="dot"/>
            </w:tabs>
            <w:rPr/>
          </w:pPr>
          <w:hyperlink w:anchor="__RefHeading___Toc3808841_1067777946">
            <w:r>
              <w:rPr>
                <w:webHidden/>
                <w:rStyle w:val="IndexLink"/>
                <w:rtl w:val="true"/>
              </w:rPr>
              <w:t>اشاره</w:t>
            </w:r>
            <w:r>
              <w:rPr>
                <w:rStyle w:val="IndexLink"/>
                <w:rtl w:val="true"/>
              </w:rPr>
              <w:tab/>
            </w:r>
            <w:r>
              <w:rPr>
                <w:rStyle w:val="IndexLink"/>
              </w:rPr>
              <w:t>380</w:t>
            </w:r>
          </w:hyperlink>
        </w:p>
        <w:p>
          <w:pPr>
            <w:pStyle w:val="Contents4"/>
            <w:tabs>
              <w:tab w:val="clear" w:pos="8176"/>
              <w:tab w:val="right" w:pos="9026" w:leader="dot"/>
            </w:tabs>
            <w:rPr/>
          </w:pPr>
          <w:hyperlink w:anchor="__RefHeading___Toc3808843_1067777946">
            <w:r>
              <w:rPr>
                <w:webHidden/>
                <w:rStyle w:val="IndexLink"/>
              </w:rPr>
              <w:t>1</w:t>
            </w:r>
            <w:r>
              <w:rPr>
                <w:rStyle w:val="IndexLink"/>
                <w:rtl w:val="true"/>
              </w:rPr>
              <w:t xml:space="preserve">. </w:t>
            </w:r>
            <w:r>
              <w:rPr>
                <w:rStyle w:val="IndexLink"/>
                <w:rtl w:val="true"/>
              </w:rPr>
              <w:t>صيغۀ صريحۀ اقرار</w:t>
            </w:r>
            <w:r>
              <w:rPr>
                <w:rStyle w:val="IndexLink"/>
                <w:rtl w:val="true"/>
              </w:rPr>
              <w:tab/>
            </w:r>
            <w:r>
              <w:rPr>
                <w:rStyle w:val="IndexLink"/>
              </w:rPr>
              <w:t>380</w:t>
            </w:r>
          </w:hyperlink>
        </w:p>
        <w:p>
          <w:pPr>
            <w:pStyle w:val="Contents5"/>
            <w:tabs>
              <w:tab w:val="clear" w:pos="7892"/>
              <w:tab w:val="right" w:pos="9026" w:leader="dot"/>
            </w:tabs>
            <w:rPr/>
          </w:pPr>
          <w:hyperlink w:anchor="__RefHeading___Toc3808845_1067777946">
            <w:r>
              <w:rPr>
                <w:webHidden/>
                <w:rStyle w:val="IndexLink"/>
                <w:rtl w:val="true"/>
              </w:rPr>
              <w:t>اشاره</w:t>
            </w:r>
            <w:r>
              <w:rPr>
                <w:rStyle w:val="IndexLink"/>
                <w:rtl w:val="true"/>
              </w:rPr>
              <w:tab/>
            </w:r>
            <w:r>
              <w:rPr>
                <w:rStyle w:val="IndexLink"/>
              </w:rPr>
              <w:t>380</w:t>
            </w:r>
          </w:hyperlink>
        </w:p>
        <w:p>
          <w:pPr>
            <w:pStyle w:val="Contents5"/>
            <w:tabs>
              <w:tab w:val="clear" w:pos="7892"/>
              <w:tab w:val="right" w:pos="9026" w:leader="dot"/>
            </w:tabs>
            <w:rPr/>
          </w:pPr>
          <w:hyperlink w:anchor="__RefHeading___Toc3808847_1067777946">
            <w:r>
              <w:rPr>
                <w:webHidden/>
                <w:rStyle w:val="IndexLink"/>
                <w:rtl w:val="true"/>
              </w:rPr>
              <w:t>عدم لزوم ابتدايى بودن اقرار</w:t>
            </w:r>
            <w:r>
              <w:rPr>
                <w:rStyle w:val="IndexLink"/>
                <w:rtl w:val="true"/>
              </w:rPr>
              <w:tab/>
            </w:r>
            <w:r>
              <w:rPr>
                <w:rStyle w:val="IndexLink"/>
              </w:rPr>
              <w:t>380</w:t>
            </w:r>
          </w:hyperlink>
        </w:p>
        <w:p>
          <w:pPr>
            <w:pStyle w:val="Contents5"/>
            <w:tabs>
              <w:tab w:val="clear" w:pos="7892"/>
              <w:tab w:val="right" w:pos="9026" w:leader="dot"/>
            </w:tabs>
            <w:rPr/>
          </w:pPr>
          <w:hyperlink w:anchor="__RefHeading___Toc3808849_1067777946">
            <w:r>
              <w:rPr>
                <w:webHidden/>
                <w:rStyle w:val="IndexLink"/>
                <w:rtl w:val="true"/>
              </w:rPr>
              <w:t>جواز اجتماع ادّعا و اقرار در قول واحد</w:t>
            </w:r>
            <w:r>
              <w:rPr>
                <w:rStyle w:val="IndexLink"/>
                <w:rtl w:val="true"/>
              </w:rPr>
              <w:tab/>
            </w:r>
            <w:r>
              <w:rPr>
                <w:rStyle w:val="IndexLink"/>
              </w:rPr>
              <w:t>381</w:t>
            </w:r>
          </w:hyperlink>
        </w:p>
        <w:p>
          <w:pPr>
            <w:pStyle w:val="Contents5"/>
            <w:tabs>
              <w:tab w:val="clear" w:pos="7892"/>
              <w:tab w:val="right" w:pos="9026" w:leader="dot"/>
            </w:tabs>
            <w:rPr/>
          </w:pPr>
          <w:hyperlink w:anchor="__RefHeading___Toc3808851_1067777946">
            <w:r>
              <w:rPr>
                <w:webHidden/>
                <w:rStyle w:val="IndexLink"/>
                <w:rtl w:val="true"/>
              </w:rPr>
              <w:t>لعدم اعتبار لغت خاص</w:t>
            </w:r>
            <w:r>
              <w:rPr>
                <w:rStyle w:val="IndexLink"/>
                <w:rtl w:val="true"/>
              </w:rPr>
              <w:tab/>
            </w:r>
            <w:r>
              <w:rPr>
                <w:rStyle w:val="IndexLink"/>
              </w:rPr>
              <w:t>381</w:t>
            </w:r>
          </w:hyperlink>
        </w:p>
        <w:p>
          <w:pPr>
            <w:pStyle w:val="Contents5"/>
            <w:tabs>
              <w:tab w:val="clear" w:pos="7892"/>
              <w:tab w:val="right" w:pos="9026" w:leader="dot"/>
            </w:tabs>
            <w:rPr/>
          </w:pPr>
          <w:hyperlink w:anchor="__RefHeading___Toc3808853_1067777946">
            <w:r>
              <w:rPr>
                <w:webHidden/>
                <w:rStyle w:val="IndexLink"/>
                <w:rtl w:val="true"/>
              </w:rPr>
              <w:t>اعتبار مجاز با قرينه</w:t>
            </w:r>
            <w:r>
              <w:rPr>
                <w:rStyle w:val="IndexLink"/>
                <w:rtl w:val="true"/>
              </w:rPr>
              <w:tab/>
            </w:r>
            <w:r>
              <w:rPr>
                <w:rStyle w:val="IndexLink"/>
              </w:rPr>
              <w:t>381</w:t>
            </w:r>
          </w:hyperlink>
        </w:p>
        <w:p>
          <w:pPr>
            <w:pStyle w:val="Contents5"/>
            <w:tabs>
              <w:tab w:val="clear" w:pos="7892"/>
              <w:tab w:val="right" w:pos="9026" w:leader="dot"/>
            </w:tabs>
            <w:rPr/>
          </w:pPr>
          <w:hyperlink w:anchor="__RefHeading___Toc3808855_1067777946">
            <w:r>
              <w:rPr>
                <w:webHidden/>
                <w:rStyle w:val="IndexLink"/>
                <w:rtl w:val="true"/>
              </w:rPr>
              <w:t>تعليق در اقرار و اقرار به معلّق</w:t>
            </w:r>
            <w:r>
              <w:rPr>
                <w:rStyle w:val="IndexLink"/>
                <w:rtl w:val="true"/>
              </w:rPr>
              <w:tab/>
            </w:r>
            <w:r>
              <w:rPr>
                <w:rStyle w:val="IndexLink"/>
              </w:rPr>
              <w:t>381</w:t>
            </w:r>
          </w:hyperlink>
        </w:p>
        <w:p>
          <w:pPr>
            <w:pStyle w:val="Contents5"/>
            <w:tabs>
              <w:tab w:val="clear" w:pos="7892"/>
              <w:tab w:val="right" w:pos="9026" w:leader="dot"/>
            </w:tabs>
            <w:rPr/>
          </w:pPr>
          <w:hyperlink w:anchor="__RefHeading___Toc3808857_1067777946">
            <w:r>
              <w:rPr>
                <w:webHidden/>
                <w:rStyle w:val="IndexLink"/>
                <w:rtl w:val="true"/>
              </w:rPr>
              <w:t>انصراف اطلاق اقرار</w:t>
            </w:r>
            <w:r>
              <w:rPr>
                <w:rStyle w:val="IndexLink"/>
                <w:rtl w:val="true"/>
              </w:rPr>
              <w:tab/>
            </w:r>
            <w:r>
              <w:rPr>
                <w:rStyle w:val="IndexLink"/>
              </w:rPr>
              <w:t>383</w:t>
            </w:r>
          </w:hyperlink>
        </w:p>
        <w:p>
          <w:pPr>
            <w:pStyle w:val="Contents5"/>
            <w:tabs>
              <w:tab w:val="clear" w:pos="7892"/>
              <w:tab w:val="right" w:pos="9026" w:leader="dot"/>
            </w:tabs>
            <w:rPr/>
          </w:pPr>
          <w:hyperlink w:anchor="__RefHeading___Toc3808859_1067777946">
            <w:r>
              <w:rPr>
                <w:webHidden/>
                <w:rStyle w:val="IndexLink"/>
                <w:rtl w:val="true"/>
              </w:rPr>
              <w:t>تعدّد نقد غالب در بلد</w:t>
            </w:r>
            <w:r>
              <w:rPr>
                <w:rStyle w:val="IndexLink"/>
                <w:rtl w:val="true"/>
              </w:rPr>
              <w:tab/>
            </w:r>
            <w:r>
              <w:rPr>
                <w:rStyle w:val="IndexLink"/>
              </w:rPr>
              <w:t>383</w:t>
            </w:r>
          </w:hyperlink>
        </w:p>
        <w:p>
          <w:pPr>
            <w:pStyle w:val="Contents5"/>
            <w:tabs>
              <w:tab w:val="clear" w:pos="7892"/>
              <w:tab w:val="right" w:pos="9026" w:leader="dot"/>
            </w:tabs>
            <w:rPr/>
          </w:pPr>
          <w:hyperlink w:anchor="__RefHeading___Toc3808861_1067777946">
            <w:r>
              <w:rPr>
                <w:webHidden/>
                <w:rStyle w:val="IndexLink"/>
                <w:rtl w:val="true"/>
              </w:rPr>
              <w:t>تكرار و عطف در اقرار</w:t>
            </w:r>
            <w:r>
              <w:rPr>
                <w:rStyle w:val="IndexLink"/>
                <w:rtl w:val="true"/>
              </w:rPr>
              <w:tab/>
            </w:r>
            <w:r>
              <w:rPr>
                <w:rStyle w:val="IndexLink"/>
              </w:rPr>
              <w:t>383</w:t>
            </w:r>
          </w:hyperlink>
        </w:p>
        <w:p>
          <w:pPr>
            <w:pStyle w:val="Contents5"/>
            <w:tabs>
              <w:tab w:val="clear" w:pos="7892"/>
              <w:tab w:val="right" w:pos="9026" w:leader="dot"/>
            </w:tabs>
            <w:rPr/>
          </w:pPr>
          <w:hyperlink w:anchor="__RefHeading___Toc3808863_1067777946">
            <w:r>
              <w:rPr>
                <w:webHidden/>
                <w:rStyle w:val="IndexLink"/>
                <w:rtl w:val="true"/>
              </w:rPr>
              <w:t>معيّت و عدم معيّت در اقرار و تبعيّت و عدم</w:t>
            </w:r>
            <w:r>
              <w:rPr>
                <w:rStyle w:val="IndexLink"/>
                <w:rtl w:val="true"/>
              </w:rPr>
              <w:tab/>
            </w:r>
            <w:r>
              <w:rPr>
                <w:rStyle w:val="IndexLink"/>
              </w:rPr>
              <w:t>384</w:t>
            </w:r>
          </w:hyperlink>
        </w:p>
        <w:p>
          <w:pPr>
            <w:pStyle w:val="Contents5"/>
            <w:tabs>
              <w:tab w:val="clear" w:pos="7892"/>
              <w:tab w:val="right" w:pos="9026" w:leader="dot"/>
            </w:tabs>
            <w:rPr/>
          </w:pPr>
          <w:hyperlink w:anchor="__RefHeading___Toc3808865_1067777946">
            <w:r>
              <w:rPr>
                <w:webHidden/>
                <w:rStyle w:val="IndexLink"/>
                <w:rtl w:val="true"/>
              </w:rPr>
              <w:t>حكم اشياى داخلۀ شيئى مورد وصيّت</w:t>
            </w:r>
            <w:r>
              <w:rPr>
                <w:rStyle w:val="IndexLink"/>
                <w:rtl w:val="true"/>
              </w:rPr>
              <w:tab/>
            </w:r>
            <w:r>
              <w:rPr>
                <w:rStyle w:val="IndexLink"/>
              </w:rPr>
              <w:t>385</w:t>
            </w:r>
          </w:hyperlink>
        </w:p>
        <w:p>
          <w:pPr>
            <w:pStyle w:val="Contents5"/>
            <w:tabs>
              <w:tab w:val="clear" w:pos="7892"/>
              <w:tab w:val="right" w:pos="9026" w:leader="dot"/>
            </w:tabs>
            <w:rPr/>
          </w:pPr>
          <w:hyperlink w:anchor="__RefHeading___Toc3808867_1067777946">
            <w:r>
              <w:rPr>
                <w:webHidden/>
                <w:rStyle w:val="IndexLink"/>
                <w:rtl w:val="true"/>
              </w:rPr>
              <w:t>عطف به بل</w:t>
            </w:r>
            <w:r>
              <w:rPr>
                <w:rStyle w:val="IndexLink"/>
                <w:rtl w:val="true"/>
              </w:rPr>
              <w:tab/>
            </w:r>
            <w:r>
              <w:rPr>
                <w:rStyle w:val="IndexLink"/>
              </w:rPr>
              <w:t>385</w:t>
            </w:r>
          </w:hyperlink>
        </w:p>
        <w:p>
          <w:pPr>
            <w:pStyle w:val="Contents5"/>
            <w:tabs>
              <w:tab w:val="clear" w:pos="7892"/>
              <w:tab w:val="right" w:pos="9026" w:leader="dot"/>
            </w:tabs>
            <w:rPr/>
          </w:pPr>
          <w:hyperlink w:anchor="__RefHeading___Toc3808869_1067777946">
            <w:r>
              <w:rPr>
                <w:webHidden/>
                <w:rStyle w:val="IndexLink"/>
                <w:rtl w:val="true"/>
              </w:rPr>
              <w:t>تكرار</w:t>
            </w:r>
            <w:r>
              <w:rPr>
                <w:rStyle w:val="IndexLink"/>
                <w:rtl w:val="true"/>
              </w:rPr>
              <w:tab/>
            </w:r>
            <w:r>
              <w:rPr>
                <w:rStyle w:val="IndexLink"/>
              </w:rPr>
              <w:t>385</w:t>
            </w:r>
          </w:hyperlink>
        </w:p>
        <w:p>
          <w:pPr>
            <w:pStyle w:val="Contents5"/>
            <w:tabs>
              <w:tab w:val="clear" w:pos="7892"/>
              <w:tab w:val="right" w:pos="9026" w:leader="dot"/>
            </w:tabs>
            <w:rPr/>
          </w:pPr>
          <w:hyperlink w:anchor="__RefHeading___Toc3808871_1067777946">
            <w:r>
              <w:rPr>
                <w:webHidden/>
                <w:rStyle w:val="IndexLink"/>
                <w:rtl w:val="true"/>
              </w:rPr>
              <w:t>جمع بين مختلفين</w:t>
            </w:r>
            <w:r>
              <w:rPr>
                <w:rStyle w:val="IndexLink"/>
                <w:rtl w:val="true"/>
              </w:rPr>
              <w:tab/>
            </w:r>
            <w:r>
              <w:rPr>
                <w:rStyle w:val="IndexLink"/>
              </w:rPr>
              <w:t>386</w:t>
            </w:r>
          </w:hyperlink>
        </w:p>
        <w:p>
          <w:pPr>
            <w:pStyle w:val="Contents5"/>
            <w:tabs>
              <w:tab w:val="clear" w:pos="7892"/>
              <w:tab w:val="right" w:pos="9026" w:leader="dot"/>
            </w:tabs>
            <w:rPr/>
          </w:pPr>
          <w:hyperlink w:anchor="__RefHeading___Toc3808873_1067777946">
            <w:r>
              <w:rPr>
                <w:webHidden/>
                <w:rStyle w:val="IndexLink"/>
                <w:rtl w:val="true"/>
              </w:rPr>
              <w:t>جريان احكام سابقه در وصايا و عهود</w:t>
            </w:r>
            <w:r>
              <w:rPr>
                <w:rStyle w:val="IndexLink"/>
                <w:rtl w:val="true"/>
              </w:rPr>
              <w:tab/>
            </w:r>
            <w:r>
              <w:rPr>
                <w:rStyle w:val="IndexLink"/>
              </w:rPr>
              <w:t>386</w:t>
            </w:r>
          </w:hyperlink>
        </w:p>
        <w:p>
          <w:pPr>
            <w:pStyle w:val="Contents5"/>
            <w:tabs>
              <w:tab w:val="clear" w:pos="7892"/>
              <w:tab w:val="right" w:pos="9026" w:leader="dot"/>
            </w:tabs>
            <w:rPr/>
          </w:pPr>
          <w:hyperlink w:anchor="__RefHeading___Toc3808875_1067777946">
            <w:r>
              <w:rPr>
                <w:webHidden/>
                <w:rStyle w:val="IndexLink"/>
                <w:rtl w:val="true"/>
              </w:rPr>
              <w:t>اشتمال اقرار بر شرط</w:t>
            </w:r>
            <w:r>
              <w:rPr>
                <w:rStyle w:val="IndexLink"/>
                <w:rtl w:val="true"/>
              </w:rPr>
              <w:tab/>
            </w:r>
            <w:r>
              <w:rPr>
                <w:rStyle w:val="IndexLink"/>
              </w:rPr>
              <w:t>387</w:t>
            </w:r>
          </w:hyperlink>
        </w:p>
        <w:p>
          <w:pPr>
            <w:pStyle w:val="Contents4"/>
            <w:tabs>
              <w:tab w:val="clear" w:pos="8176"/>
              <w:tab w:val="right" w:pos="9026" w:leader="dot"/>
            </w:tabs>
            <w:rPr/>
          </w:pPr>
          <w:hyperlink w:anchor="__RefHeading___Toc3808877_1067777946">
            <w:r>
              <w:rPr>
                <w:webHidden/>
                <w:rStyle w:val="IndexLink"/>
              </w:rPr>
              <w:t>2</w:t>
            </w:r>
            <w:r>
              <w:rPr>
                <w:rStyle w:val="IndexLink"/>
                <w:rtl w:val="true"/>
              </w:rPr>
              <w:t xml:space="preserve">. </w:t>
            </w:r>
            <w:r>
              <w:rPr>
                <w:rStyle w:val="IndexLink"/>
                <w:rtl w:val="true"/>
              </w:rPr>
              <w:t>اقارير مبهمه</w:t>
            </w:r>
            <w:r>
              <w:rPr>
                <w:rStyle w:val="IndexLink"/>
                <w:rtl w:val="true"/>
              </w:rPr>
              <w:tab/>
            </w:r>
            <w:r>
              <w:rPr>
                <w:rStyle w:val="IndexLink"/>
              </w:rPr>
              <w:t>388</w:t>
            </w:r>
          </w:hyperlink>
        </w:p>
        <w:p>
          <w:pPr>
            <w:pStyle w:val="Contents5"/>
            <w:tabs>
              <w:tab w:val="clear" w:pos="7892"/>
              <w:tab w:val="right" w:pos="9026" w:leader="dot"/>
            </w:tabs>
            <w:rPr/>
          </w:pPr>
          <w:hyperlink w:anchor="__RefHeading___Toc3808879_1067777946">
            <w:r>
              <w:rPr>
                <w:webHidden/>
                <w:rStyle w:val="IndexLink"/>
                <w:rtl w:val="true"/>
              </w:rPr>
              <w:t>اقرار به مالى براى شخصى و الزام به تفسير</w:t>
            </w:r>
            <w:r>
              <w:rPr>
                <w:rStyle w:val="IndexLink"/>
                <w:rtl w:val="true"/>
              </w:rPr>
              <w:tab/>
            </w:r>
            <w:r>
              <w:rPr>
                <w:rStyle w:val="IndexLink"/>
              </w:rPr>
              <w:t>388</w:t>
            </w:r>
          </w:hyperlink>
        </w:p>
        <w:p>
          <w:pPr>
            <w:pStyle w:val="Contents5"/>
            <w:tabs>
              <w:tab w:val="clear" w:pos="7892"/>
              <w:tab w:val="right" w:pos="9026" w:leader="dot"/>
            </w:tabs>
            <w:rPr/>
          </w:pPr>
          <w:hyperlink w:anchor="__RefHeading___Toc3808881_1067777946">
            <w:r>
              <w:rPr>
                <w:webHidden/>
                <w:rStyle w:val="IndexLink"/>
                <w:rtl w:val="true"/>
              </w:rPr>
              <w:t>ادّعاى مخالفت در تفسير</w:t>
            </w:r>
            <w:r>
              <w:rPr>
                <w:rStyle w:val="IndexLink"/>
                <w:rtl w:val="true"/>
              </w:rPr>
              <w:tab/>
            </w:r>
            <w:r>
              <w:rPr>
                <w:rStyle w:val="IndexLink"/>
              </w:rPr>
              <w:t>388</w:t>
            </w:r>
          </w:hyperlink>
        </w:p>
        <w:p>
          <w:pPr>
            <w:pStyle w:val="Contents5"/>
            <w:tabs>
              <w:tab w:val="clear" w:pos="7892"/>
              <w:tab w:val="right" w:pos="9026" w:leader="dot"/>
            </w:tabs>
            <w:rPr/>
          </w:pPr>
          <w:hyperlink w:anchor="__RefHeading___Toc3808883_1067777946">
            <w:r>
              <w:rPr>
                <w:webHidden/>
                <w:rStyle w:val="IndexLink"/>
                <w:rtl w:val="true"/>
              </w:rPr>
              <w:t>تفسير به غير متموّل و غير مملوك و غير منتفع</w:t>
            </w:r>
            <w:r>
              <w:rPr>
                <w:rStyle w:val="IndexLink"/>
                <w:rtl w:val="true"/>
              </w:rPr>
              <w:tab/>
            </w:r>
            <w:r>
              <w:rPr>
                <w:rStyle w:val="IndexLink"/>
              </w:rPr>
              <w:t>388</w:t>
            </w:r>
          </w:hyperlink>
        </w:p>
        <w:p>
          <w:pPr>
            <w:pStyle w:val="Contents5"/>
            <w:tabs>
              <w:tab w:val="clear" w:pos="7892"/>
              <w:tab w:val="right" w:pos="9026" w:leader="dot"/>
            </w:tabs>
            <w:rPr/>
          </w:pPr>
          <w:hyperlink w:anchor="__RefHeading___Toc3808885_1067777946">
            <w:r>
              <w:rPr>
                <w:webHidden/>
                <w:rStyle w:val="IndexLink"/>
                <w:rtl w:val="true"/>
              </w:rPr>
              <w:t>تفسير به غير منفعت محلّله</w:t>
            </w:r>
            <w:r>
              <w:rPr>
                <w:rStyle w:val="IndexLink"/>
                <w:rtl w:val="true"/>
              </w:rPr>
              <w:tab/>
            </w:r>
            <w:r>
              <w:rPr>
                <w:rStyle w:val="IndexLink"/>
              </w:rPr>
              <w:t>389</w:t>
            </w:r>
          </w:hyperlink>
        </w:p>
        <w:p>
          <w:pPr>
            <w:pStyle w:val="Contents5"/>
            <w:tabs>
              <w:tab w:val="clear" w:pos="7892"/>
              <w:tab w:val="right" w:pos="9026" w:leader="dot"/>
            </w:tabs>
            <w:rPr/>
          </w:pPr>
          <w:hyperlink w:anchor="__RefHeading___Toc3808887_1067777946">
            <w:r>
              <w:rPr>
                <w:webHidden/>
                <w:rStyle w:val="IndexLink"/>
                <w:rtl w:val="true"/>
              </w:rPr>
              <w:t>تفسير لفظ كثير در اقرار</w:t>
            </w:r>
            <w:r>
              <w:rPr>
                <w:rStyle w:val="IndexLink"/>
                <w:rtl w:val="true"/>
              </w:rPr>
              <w:tab/>
            </w:r>
            <w:r>
              <w:rPr>
                <w:rStyle w:val="IndexLink"/>
              </w:rPr>
              <w:t>390</w:t>
            </w:r>
          </w:hyperlink>
        </w:p>
        <w:p>
          <w:pPr>
            <w:pStyle w:val="Contents5"/>
            <w:tabs>
              <w:tab w:val="clear" w:pos="7892"/>
              <w:tab w:val="right" w:pos="9026" w:leader="dot"/>
            </w:tabs>
            <w:rPr/>
          </w:pPr>
          <w:hyperlink w:anchor="__RefHeading___Toc3808889_1067777946">
            <w:r>
              <w:rPr>
                <w:webHidden/>
                <w:rStyle w:val="IndexLink"/>
                <w:rtl w:val="true"/>
              </w:rPr>
              <w:t>تفسير به معتقَد</w:t>
            </w:r>
            <w:r>
              <w:rPr>
                <w:rStyle w:val="IndexLink"/>
                <w:rtl w:val="true"/>
              </w:rPr>
              <w:tab/>
            </w:r>
            <w:r>
              <w:rPr>
                <w:rStyle w:val="IndexLink"/>
              </w:rPr>
              <w:t>391</w:t>
            </w:r>
          </w:hyperlink>
        </w:p>
        <w:p>
          <w:pPr>
            <w:pStyle w:val="Contents5"/>
            <w:tabs>
              <w:tab w:val="clear" w:pos="7892"/>
              <w:tab w:val="right" w:pos="9026" w:leader="dot"/>
            </w:tabs>
            <w:rPr/>
          </w:pPr>
          <w:hyperlink w:anchor="__RefHeading___Toc3808891_1067777946">
            <w:r>
              <w:rPr>
                <w:webHidden/>
                <w:rStyle w:val="IndexLink"/>
                <w:rtl w:val="true"/>
              </w:rPr>
              <w:t>اقرار به اكثريّت</w:t>
            </w:r>
            <w:r>
              <w:rPr>
                <w:rStyle w:val="IndexLink"/>
                <w:rtl w:val="true"/>
              </w:rPr>
              <w:tab/>
            </w:r>
            <w:r>
              <w:rPr>
                <w:rStyle w:val="IndexLink"/>
              </w:rPr>
              <w:t>391</w:t>
            </w:r>
          </w:hyperlink>
        </w:p>
        <w:p>
          <w:pPr>
            <w:pStyle w:val="Contents5"/>
            <w:tabs>
              <w:tab w:val="clear" w:pos="7892"/>
              <w:tab w:val="right" w:pos="9026" w:leader="dot"/>
            </w:tabs>
            <w:rPr/>
          </w:pPr>
          <w:hyperlink w:anchor="__RefHeading___Toc3808893_1067777946">
            <w:r>
              <w:rPr>
                <w:webHidden/>
                <w:rStyle w:val="IndexLink"/>
                <w:rtl w:val="true"/>
              </w:rPr>
              <w:t>اقرار به غصب و استناد آن به طرف</w:t>
            </w:r>
            <w:r>
              <w:rPr>
                <w:rStyle w:val="IndexLink"/>
                <w:rtl w:val="true"/>
              </w:rPr>
              <w:tab/>
            </w:r>
            <w:r>
              <w:rPr>
                <w:rStyle w:val="IndexLink"/>
              </w:rPr>
              <w:t>391</w:t>
            </w:r>
          </w:hyperlink>
        </w:p>
        <w:p>
          <w:pPr>
            <w:pStyle w:val="Contents5"/>
            <w:tabs>
              <w:tab w:val="clear" w:pos="7892"/>
              <w:tab w:val="right" w:pos="9026" w:leader="dot"/>
            </w:tabs>
            <w:rPr/>
          </w:pPr>
          <w:hyperlink w:anchor="__RefHeading___Toc3808895_1067777946">
            <w:r>
              <w:rPr>
                <w:webHidden/>
                <w:rStyle w:val="IndexLink"/>
                <w:rtl w:val="true"/>
              </w:rPr>
              <w:t>نحوۀ تعيين مقدار اقرار به جمع</w:t>
            </w:r>
            <w:r>
              <w:rPr>
                <w:rStyle w:val="IndexLink"/>
                <w:rtl w:val="true"/>
              </w:rPr>
              <w:tab/>
            </w:r>
            <w:r>
              <w:rPr>
                <w:rStyle w:val="IndexLink"/>
              </w:rPr>
              <w:t>392</w:t>
            </w:r>
          </w:hyperlink>
        </w:p>
        <w:p>
          <w:pPr>
            <w:pStyle w:val="Contents5"/>
            <w:tabs>
              <w:tab w:val="clear" w:pos="7892"/>
              <w:tab w:val="right" w:pos="9026" w:leader="dot"/>
            </w:tabs>
            <w:rPr/>
          </w:pPr>
          <w:hyperlink w:anchor="__RefHeading___Toc3808897_1067777946">
            <w:r>
              <w:rPr>
                <w:webHidden/>
                <w:rStyle w:val="IndexLink"/>
                <w:rtl w:val="true"/>
              </w:rPr>
              <w:t>مبيّن بودن معطوف و مجهوليّت معطوف عليه</w:t>
            </w:r>
            <w:r>
              <w:rPr>
                <w:rStyle w:val="IndexLink"/>
                <w:rtl w:val="true"/>
              </w:rPr>
              <w:tab/>
            </w:r>
            <w:r>
              <w:rPr>
                <w:rStyle w:val="IndexLink"/>
              </w:rPr>
              <w:t>393</w:t>
            </w:r>
          </w:hyperlink>
        </w:p>
        <w:p>
          <w:pPr>
            <w:pStyle w:val="Contents5"/>
            <w:tabs>
              <w:tab w:val="clear" w:pos="7892"/>
              <w:tab w:val="right" w:pos="9026" w:leader="dot"/>
            </w:tabs>
            <w:rPr/>
          </w:pPr>
          <w:hyperlink w:anchor="__RefHeading___Toc3808899_1067777946">
            <w:r>
              <w:rPr>
                <w:webHidden/>
                <w:rStyle w:val="IndexLink"/>
                <w:rtl w:val="true"/>
              </w:rPr>
              <w:t xml:space="preserve">اختلاف نصب و رفع و جرّ </w:t>
            </w:r>
            <w:r>
              <w:rPr>
                <w:rStyle w:val="IndexLink"/>
                <w:rtl w:val="true"/>
              </w:rPr>
              <w:t>«</w:t>
            </w:r>
            <w:r>
              <w:rPr>
                <w:rStyle w:val="IndexLink"/>
                <w:rtl w:val="true"/>
              </w:rPr>
              <w:t>درهم</w:t>
            </w:r>
            <w:r>
              <w:rPr>
                <w:rStyle w:val="IndexLink"/>
                <w:rtl w:val="true"/>
              </w:rPr>
              <w:t xml:space="preserve">» </w:t>
            </w:r>
            <w:r>
              <w:rPr>
                <w:rStyle w:val="IndexLink"/>
                <w:rtl w:val="true"/>
              </w:rPr>
              <w:t>در مفاد</w:t>
            </w:r>
            <w:r>
              <w:rPr>
                <w:rStyle w:val="IndexLink"/>
                <w:rtl w:val="true"/>
              </w:rPr>
              <w:tab/>
            </w:r>
            <w:r>
              <w:rPr>
                <w:rStyle w:val="IndexLink"/>
              </w:rPr>
              <w:t>393</w:t>
            </w:r>
          </w:hyperlink>
        </w:p>
        <w:p>
          <w:pPr>
            <w:pStyle w:val="Contents5"/>
            <w:tabs>
              <w:tab w:val="clear" w:pos="7892"/>
              <w:tab w:val="right" w:pos="9026" w:leader="dot"/>
            </w:tabs>
            <w:rPr/>
          </w:pPr>
          <w:hyperlink w:anchor="__RefHeading___Toc3808901_1067777946">
            <w:r>
              <w:rPr>
                <w:webHidden/>
                <w:rStyle w:val="IndexLink"/>
                <w:rtl w:val="true"/>
              </w:rPr>
              <w:t xml:space="preserve">وقف بر كلمۀ </w:t>
            </w:r>
            <w:r>
              <w:rPr>
                <w:rStyle w:val="IndexLink"/>
                <w:rtl w:val="true"/>
              </w:rPr>
              <w:t>«</w:t>
            </w:r>
            <w:r>
              <w:rPr>
                <w:rStyle w:val="IndexLink"/>
                <w:rtl w:val="true"/>
              </w:rPr>
              <w:t>درهم</w:t>
            </w:r>
            <w:r>
              <w:rPr>
                <w:rStyle w:val="IndexLink"/>
                <w:rtl w:val="true"/>
              </w:rPr>
              <w:t>»</w:t>
              <w:tab/>
            </w:r>
            <w:r>
              <w:rPr>
                <w:rStyle w:val="IndexLink"/>
              </w:rPr>
              <w:t>394</w:t>
            </w:r>
          </w:hyperlink>
        </w:p>
        <w:p>
          <w:pPr>
            <w:pStyle w:val="Contents5"/>
            <w:tabs>
              <w:tab w:val="clear" w:pos="7892"/>
              <w:tab w:val="right" w:pos="9026" w:leader="dot"/>
            </w:tabs>
            <w:rPr/>
          </w:pPr>
          <w:hyperlink w:anchor="__RefHeading___Toc3808903_1067777946">
            <w:r>
              <w:rPr>
                <w:webHidden/>
                <w:rStyle w:val="IndexLink"/>
                <w:rtl w:val="true"/>
              </w:rPr>
              <w:t>اقرار به خانه اى براى يكى از دو نفر</w:t>
            </w:r>
            <w:r>
              <w:rPr>
                <w:rStyle w:val="IndexLink"/>
                <w:rtl w:val="true"/>
              </w:rPr>
              <w:tab/>
            </w:r>
            <w:r>
              <w:rPr>
                <w:rStyle w:val="IndexLink"/>
              </w:rPr>
              <w:t>395</w:t>
            </w:r>
          </w:hyperlink>
        </w:p>
        <w:p>
          <w:pPr>
            <w:pStyle w:val="Contents5"/>
            <w:tabs>
              <w:tab w:val="clear" w:pos="7892"/>
              <w:tab w:val="right" w:pos="9026" w:leader="dot"/>
            </w:tabs>
            <w:rPr/>
          </w:pPr>
          <w:hyperlink w:anchor="__RefHeading___Toc3808905_1067777946">
            <w:r>
              <w:rPr>
                <w:webHidden/>
                <w:rStyle w:val="IndexLink"/>
                <w:rtl w:val="true"/>
              </w:rPr>
              <w:t>تعقب اقرار براى معيّن به اقرار براى ديگرى</w:t>
            </w:r>
            <w:r>
              <w:rPr>
                <w:rStyle w:val="IndexLink"/>
                <w:rtl w:val="true"/>
              </w:rPr>
              <w:tab/>
            </w:r>
            <w:r>
              <w:rPr>
                <w:rStyle w:val="IndexLink"/>
              </w:rPr>
              <w:t>395</w:t>
            </w:r>
          </w:hyperlink>
        </w:p>
        <w:p>
          <w:pPr>
            <w:pStyle w:val="Contents5"/>
            <w:tabs>
              <w:tab w:val="clear" w:pos="7892"/>
              <w:tab w:val="right" w:pos="9026" w:leader="dot"/>
            </w:tabs>
            <w:rPr/>
          </w:pPr>
          <w:hyperlink w:anchor="__RefHeading___Toc3808907_1067777946">
            <w:r>
              <w:rPr>
                <w:webHidden/>
                <w:rStyle w:val="IndexLink"/>
                <w:rtl w:val="true"/>
              </w:rPr>
              <w:t>ادّعاى جهل به تعيين توسط مقر</w:t>
            </w:r>
            <w:r>
              <w:rPr>
                <w:rStyle w:val="IndexLink"/>
                <w:rtl w:val="true"/>
              </w:rPr>
              <w:tab/>
            </w:r>
            <w:r>
              <w:rPr>
                <w:rStyle w:val="IndexLink"/>
              </w:rPr>
              <w:t>396</w:t>
            </w:r>
          </w:hyperlink>
        </w:p>
        <w:p>
          <w:pPr>
            <w:pStyle w:val="Contents5"/>
            <w:tabs>
              <w:tab w:val="clear" w:pos="7892"/>
              <w:tab w:val="right" w:pos="9026" w:leader="dot"/>
            </w:tabs>
            <w:rPr/>
          </w:pPr>
          <w:hyperlink w:anchor="__RefHeading___Toc3808909_1067777946">
            <w:r>
              <w:rPr>
                <w:webHidden/>
                <w:rStyle w:val="IndexLink"/>
                <w:rtl w:val="true"/>
              </w:rPr>
              <w:t>ترديد در متعلّق اقرار</w:t>
            </w:r>
            <w:r>
              <w:rPr>
                <w:rStyle w:val="IndexLink"/>
                <w:rtl w:val="true"/>
              </w:rPr>
              <w:tab/>
            </w:r>
            <w:r>
              <w:rPr>
                <w:rStyle w:val="IndexLink"/>
              </w:rPr>
              <w:t>396</w:t>
            </w:r>
          </w:hyperlink>
        </w:p>
        <w:p>
          <w:pPr>
            <w:pStyle w:val="Contents5"/>
            <w:tabs>
              <w:tab w:val="clear" w:pos="7892"/>
              <w:tab w:val="right" w:pos="9026" w:leader="dot"/>
            </w:tabs>
            <w:rPr/>
          </w:pPr>
          <w:hyperlink w:anchor="__RefHeading___Toc3808911_1067777946">
            <w:r>
              <w:rPr>
                <w:webHidden/>
                <w:rStyle w:val="IndexLink"/>
                <w:rtl w:val="true"/>
              </w:rPr>
              <w:t>تفسير به جنسى كه مقر له مخالف آن است</w:t>
            </w:r>
            <w:r>
              <w:rPr>
                <w:rStyle w:val="IndexLink"/>
                <w:rtl w:val="true"/>
              </w:rPr>
              <w:tab/>
            </w:r>
            <w:r>
              <w:rPr>
                <w:rStyle w:val="IndexLink"/>
              </w:rPr>
              <w:t>397</w:t>
            </w:r>
          </w:hyperlink>
        </w:p>
        <w:p>
          <w:pPr>
            <w:pStyle w:val="Contents5"/>
            <w:tabs>
              <w:tab w:val="clear" w:pos="7892"/>
              <w:tab w:val="right" w:pos="9026" w:leader="dot"/>
            </w:tabs>
            <w:rPr/>
          </w:pPr>
          <w:hyperlink w:anchor="__RefHeading___Toc3808913_1067777946">
            <w:r>
              <w:rPr>
                <w:webHidden/>
                <w:rStyle w:val="IndexLink"/>
                <w:rtl w:val="true"/>
              </w:rPr>
              <w:t>رجوع مقر و مُقِرّ له بعد از اقرار و انكار</w:t>
            </w:r>
            <w:r>
              <w:rPr>
                <w:rStyle w:val="IndexLink"/>
                <w:rtl w:val="true"/>
              </w:rPr>
              <w:tab/>
            </w:r>
            <w:r>
              <w:rPr>
                <w:rStyle w:val="IndexLink"/>
              </w:rPr>
              <w:t>397</w:t>
            </w:r>
          </w:hyperlink>
        </w:p>
        <w:p>
          <w:pPr>
            <w:pStyle w:val="Contents5"/>
            <w:tabs>
              <w:tab w:val="clear" w:pos="7892"/>
              <w:tab w:val="right" w:pos="9026" w:leader="dot"/>
            </w:tabs>
            <w:rPr/>
          </w:pPr>
          <w:hyperlink w:anchor="__RefHeading___Toc3808915_1067777946">
            <w:r>
              <w:rPr>
                <w:webHidden/>
                <w:rStyle w:val="IndexLink"/>
                <w:rtl w:val="true"/>
              </w:rPr>
              <w:t>اقرار به مردد بين اقل و اكثر</w:t>
            </w:r>
            <w:r>
              <w:rPr>
                <w:rStyle w:val="IndexLink"/>
                <w:rtl w:val="true"/>
              </w:rPr>
              <w:tab/>
            </w:r>
            <w:r>
              <w:rPr>
                <w:rStyle w:val="IndexLink"/>
              </w:rPr>
              <w:t>398</w:t>
            </w:r>
          </w:hyperlink>
        </w:p>
        <w:p>
          <w:pPr>
            <w:pStyle w:val="Contents5"/>
            <w:tabs>
              <w:tab w:val="clear" w:pos="7892"/>
              <w:tab w:val="right" w:pos="9026" w:leader="dot"/>
            </w:tabs>
            <w:rPr/>
          </w:pPr>
          <w:hyperlink w:anchor="__RefHeading___Toc3808917_1067777946">
            <w:r>
              <w:rPr>
                <w:webHidden/>
                <w:rStyle w:val="IndexLink"/>
                <w:rtl w:val="true"/>
              </w:rPr>
              <w:t>اختلاف ادّعا بين مقر و مقر له</w:t>
            </w:r>
            <w:r>
              <w:rPr>
                <w:rStyle w:val="IndexLink"/>
                <w:rtl w:val="true"/>
              </w:rPr>
              <w:tab/>
            </w:r>
            <w:r>
              <w:rPr>
                <w:rStyle w:val="IndexLink"/>
              </w:rPr>
              <w:t>398</w:t>
            </w:r>
          </w:hyperlink>
        </w:p>
        <w:p>
          <w:pPr>
            <w:pStyle w:val="Contents5"/>
            <w:tabs>
              <w:tab w:val="clear" w:pos="7892"/>
              <w:tab w:val="right" w:pos="9026" w:leader="dot"/>
            </w:tabs>
            <w:rPr/>
          </w:pPr>
          <w:hyperlink w:anchor="__RefHeading___Toc3808919_1067777946">
            <w:r>
              <w:rPr>
                <w:webHidden/>
                <w:rStyle w:val="IndexLink"/>
                <w:rtl w:val="true"/>
              </w:rPr>
              <w:t>دفع عين متعلَّق اقرار با تعيين، بعد از اقرار به ثبوت در ذمّه</w:t>
            </w:r>
            <w:r>
              <w:rPr>
                <w:rStyle w:val="IndexLink"/>
                <w:rtl w:val="true"/>
              </w:rPr>
              <w:tab/>
            </w:r>
            <w:r>
              <w:rPr>
                <w:rStyle w:val="IndexLink"/>
              </w:rPr>
              <w:t>398</w:t>
            </w:r>
          </w:hyperlink>
        </w:p>
        <w:p>
          <w:pPr>
            <w:pStyle w:val="Contents5"/>
            <w:tabs>
              <w:tab w:val="clear" w:pos="7892"/>
              <w:tab w:val="right" w:pos="9026" w:leader="dot"/>
            </w:tabs>
            <w:rPr/>
          </w:pPr>
          <w:hyperlink w:anchor="__RefHeading___Toc3808921_1067777946">
            <w:r>
              <w:rPr>
                <w:webHidden/>
                <w:rStyle w:val="IndexLink"/>
                <w:rtl w:val="true"/>
              </w:rPr>
              <w:t>اقرار به بدهى و تفسير آن به وديعه و ادّعاى تلف</w:t>
            </w:r>
            <w:r>
              <w:rPr>
                <w:rStyle w:val="IndexLink"/>
                <w:rtl w:val="true"/>
              </w:rPr>
              <w:tab/>
            </w:r>
            <w:r>
              <w:rPr>
                <w:rStyle w:val="IndexLink"/>
              </w:rPr>
              <w:t>399</w:t>
            </w:r>
          </w:hyperlink>
        </w:p>
        <w:p>
          <w:pPr>
            <w:pStyle w:val="Contents5"/>
            <w:tabs>
              <w:tab w:val="clear" w:pos="7892"/>
              <w:tab w:val="right" w:pos="9026" w:leader="dot"/>
            </w:tabs>
            <w:rPr/>
          </w:pPr>
          <w:hyperlink w:anchor="__RefHeading___Toc3808923_1067777946">
            <w:r>
              <w:rPr>
                <w:webHidden/>
                <w:rStyle w:val="IndexLink"/>
                <w:rtl w:val="true"/>
              </w:rPr>
              <w:t>اقرار به بدهى و تفسير به عين</w:t>
            </w:r>
            <w:r>
              <w:rPr>
                <w:rStyle w:val="IndexLink"/>
                <w:rtl w:val="true"/>
              </w:rPr>
              <w:tab/>
            </w:r>
            <w:r>
              <w:rPr>
                <w:rStyle w:val="IndexLink"/>
              </w:rPr>
              <w:t>400</w:t>
            </w:r>
          </w:hyperlink>
        </w:p>
        <w:p>
          <w:pPr>
            <w:pStyle w:val="Contents5"/>
            <w:tabs>
              <w:tab w:val="clear" w:pos="7892"/>
              <w:tab w:val="right" w:pos="9026" w:leader="dot"/>
            </w:tabs>
            <w:rPr/>
          </w:pPr>
          <w:hyperlink w:anchor="__RefHeading___Toc3808925_1067777946">
            <w:r>
              <w:rPr>
                <w:webHidden/>
                <w:rStyle w:val="IndexLink"/>
                <w:rtl w:val="true"/>
              </w:rPr>
              <w:t xml:space="preserve">اقرار به </w:t>
            </w:r>
            <w:r>
              <w:rPr>
                <w:rStyle w:val="IndexLink"/>
                <w:rtl w:val="true"/>
              </w:rPr>
              <w:t>«</w:t>
            </w:r>
            <w:r>
              <w:rPr>
                <w:rStyle w:val="IndexLink"/>
                <w:rtl w:val="true"/>
              </w:rPr>
              <w:t>فى</w:t>
            </w:r>
            <w:r>
              <w:rPr>
                <w:rStyle w:val="IndexLink"/>
                <w:rtl w:val="true"/>
              </w:rPr>
              <w:t xml:space="preserve">» </w:t>
            </w:r>
            <w:r>
              <w:rPr>
                <w:rStyle w:val="IndexLink"/>
                <w:rtl w:val="true"/>
              </w:rPr>
              <w:t xml:space="preserve">يا </w:t>
            </w:r>
            <w:r>
              <w:rPr>
                <w:rStyle w:val="IndexLink"/>
                <w:rtl w:val="true"/>
              </w:rPr>
              <w:t>«</w:t>
            </w:r>
            <w:r>
              <w:rPr>
                <w:rStyle w:val="IndexLink"/>
                <w:rtl w:val="true"/>
              </w:rPr>
              <w:t>من</w:t>
            </w:r>
            <w:r>
              <w:rPr>
                <w:rStyle w:val="IndexLink"/>
                <w:rtl w:val="true"/>
              </w:rPr>
              <w:t>»</w:t>
              <w:tab/>
            </w:r>
            <w:r>
              <w:rPr>
                <w:rStyle w:val="IndexLink"/>
              </w:rPr>
              <w:t>400</w:t>
            </w:r>
          </w:hyperlink>
        </w:p>
        <w:p>
          <w:pPr>
            <w:pStyle w:val="Contents4"/>
            <w:tabs>
              <w:tab w:val="clear" w:pos="8176"/>
              <w:tab w:val="right" w:pos="9026" w:leader="dot"/>
            </w:tabs>
            <w:rPr/>
          </w:pPr>
          <w:hyperlink w:anchor="__RefHeading___Toc3808927_1067777946">
            <w:r>
              <w:rPr>
                <w:webHidden/>
                <w:rStyle w:val="IndexLink"/>
              </w:rPr>
              <w:t>3</w:t>
            </w:r>
            <w:r>
              <w:rPr>
                <w:rStyle w:val="IndexLink"/>
                <w:rtl w:val="true"/>
              </w:rPr>
              <w:t xml:space="preserve">. </w:t>
            </w:r>
            <w:r>
              <w:rPr>
                <w:rStyle w:val="IndexLink"/>
                <w:rtl w:val="true"/>
              </w:rPr>
              <w:t>اقرار مستفاد از جواب</w:t>
            </w:r>
            <w:r>
              <w:rPr>
                <w:rStyle w:val="IndexLink"/>
                <w:rtl w:val="true"/>
              </w:rPr>
              <w:tab/>
            </w:r>
            <w:r>
              <w:rPr>
                <w:rStyle w:val="IndexLink"/>
              </w:rPr>
              <w:t>401</w:t>
            </w:r>
          </w:hyperlink>
        </w:p>
        <w:p>
          <w:pPr>
            <w:pStyle w:val="Contents4"/>
            <w:tabs>
              <w:tab w:val="clear" w:pos="8176"/>
              <w:tab w:val="right" w:pos="9026" w:leader="dot"/>
            </w:tabs>
            <w:rPr/>
          </w:pPr>
          <w:hyperlink w:anchor="__RefHeading___Toc3808929_1067777946">
            <w:r>
              <w:rPr>
                <w:webHidden/>
                <w:rStyle w:val="IndexLink"/>
              </w:rPr>
              <w:t>4</w:t>
            </w:r>
            <w:r>
              <w:rPr>
                <w:rStyle w:val="IndexLink"/>
                <w:rtl w:val="true"/>
              </w:rPr>
              <w:t xml:space="preserve">. </w:t>
            </w:r>
            <w:r>
              <w:rPr>
                <w:rStyle w:val="IndexLink"/>
                <w:rtl w:val="true"/>
              </w:rPr>
              <w:t>صيغ استثنا</w:t>
            </w:r>
            <w:r>
              <w:rPr>
                <w:rStyle w:val="IndexLink"/>
                <w:rtl w:val="true"/>
              </w:rPr>
              <w:tab/>
            </w:r>
            <w:r>
              <w:rPr>
                <w:rStyle w:val="IndexLink"/>
              </w:rPr>
              <w:t>402</w:t>
            </w:r>
          </w:hyperlink>
        </w:p>
        <w:p>
          <w:pPr>
            <w:pStyle w:val="Contents5"/>
            <w:tabs>
              <w:tab w:val="clear" w:pos="7892"/>
              <w:tab w:val="right" w:pos="9026" w:leader="dot"/>
            </w:tabs>
            <w:rPr/>
          </w:pPr>
          <w:hyperlink w:anchor="__RefHeading___Toc3808931_1067777946">
            <w:r>
              <w:rPr>
                <w:webHidden/>
                <w:rStyle w:val="IndexLink"/>
                <w:rtl w:val="true"/>
              </w:rPr>
              <w:t>استثناى از اثبات و نفى</w:t>
            </w:r>
            <w:r>
              <w:rPr>
                <w:rStyle w:val="IndexLink"/>
                <w:rtl w:val="true"/>
              </w:rPr>
              <w:tab/>
            </w:r>
            <w:r>
              <w:rPr>
                <w:rStyle w:val="IndexLink"/>
              </w:rPr>
              <w:t>402</w:t>
            </w:r>
          </w:hyperlink>
        </w:p>
        <w:p>
          <w:pPr>
            <w:pStyle w:val="Contents5"/>
            <w:tabs>
              <w:tab w:val="clear" w:pos="7892"/>
              <w:tab w:val="right" w:pos="9026" w:leader="dot"/>
            </w:tabs>
            <w:rPr/>
          </w:pPr>
          <w:hyperlink w:anchor="__RefHeading___Toc3808933_1067777946">
            <w:r>
              <w:rPr>
                <w:webHidden/>
                <w:rStyle w:val="IndexLink"/>
                <w:rtl w:val="true"/>
              </w:rPr>
              <w:t>استثناى متّصل و منقطع</w:t>
            </w:r>
            <w:r>
              <w:rPr>
                <w:rStyle w:val="IndexLink"/>
                <w:rtl w:val="true"/>
              </w:rPr>
              <w:tab/>
            </w:r>
            <w:r>
              <w:rPr>
                <w:rStyle w:val="IndexLink"/>
              </w:rPr>
              <w:t>403</w:t>
            </w:r>
          </w:hyperlink>
        </w:p>
        <w:p>
          <w:pPr>
            <w:pStyle w:val="Contents5"/>
            <w:tabs>
              <w:tab w:val="clear" w:pos="7892"/>
              <w:tab w:val="right" w:pos="9026" w:leader="dot"/>
            </w:tabs>
            <w:rPr/>
          </w:pPr>
          <w:hyperlink w:anchor="__RefHeading___Toc3808935_1067777946">
            <w:r>
              <w:rPr>
                <w:webHidden/>
                <w:rStyle w:val="IndexLink"/>
                <w:rtl w:val="true"/>
              </w:rPr>
              <w:t>كمى و زيادى باقيمانده</w:t>
            </w:r>
            <w:r>
              <w:rPr>
                <w:rStyle w:val="IndexLink"/>
                <w:rtl w:val="true"/>
              </w:rPr>
              <w:tab/>
            </w:r>
            <w:r>
              <w:rPr>
                <w:rStyle w:val="IndexLink"/>
              </w:rPr>
              <w:t>403</w:t>
            </w:r>
          </w:hyperlink>
        </w:p>
        <w:p>
          <w:pPr>
            <w:pStyle w:val="Contents5"/>
            <w:tabs>
              <w:tab w:val="clear" w:pos="7892"/>
              <w:tab w:val="right" w:pos="9026" w:leader="dot"/>
            </w:tabs>
            <w:rPr/>
          </w:pPr>
          <w:hyperlink w:anchor="__RefHeading___Toc3808937_1067777946">
            <w:r>
              <w:rPr>
                <w:webHidden/>
                <w:rStyle w:val="IndexLink"/>
              </w:rPr>
              <w:t>1</w:t>
            </w:r>
            <w:r>
              <w:rPr>
                <w:rStyle w:val="IndexLink"/>
                <w:rtl w:val="true"/>
              </w:rPr>
              <w:t xml:space="preserve">. </w:t>
            </w:r>
            <w:r>
              <w:rPr>
                <w:rStyle w:val="IndexLink"/>
                <w:rtl w:val="true"/>
              </w:rPr>
              <w:t xml:space="preserve">تفريع بر قاعده اُولىٰ </w:t>
            </w:r>
            <w:r>
              <w:rPr>
                <w:rStyle w:val="IndexLink"/>
                <w:rtl w:val="true"/>
              </w:rPr>
              <w:t>(</w:t>
            </w:r>
            <w:r>
              <w:rPr>
                <w:rStyle w:val="IndexLink"/>
                <w:rtl w:val="true"/>
              </w:rPr>
              <w:t>اثبات و نفى</w:t>
            </w:r>
            <w:r>
              <w:rPr>
                <w:rStyle w:val="IndexLink"/>
                <w:rtl w:val="true"/>
              </w:rPr>
              <w:t>)</w:t>
              <w:tab/>
            </w:r>
            <w:r>
              <w:rPr>
                <w:rStyle w:val="IndexLink"/>
              </w:rPr>
              <w:t>403</w:t>
            </w:r>
          </w:hyperlink>
        </w:p>
        <w:p>
          <w:pPr>
            <w:pStyle w:val="Contents6"/>
            <w:tabs>
              <w:tab w:val="clear" w:pos="7609"/>
              <w:tab w:val="right" w:pos="9026" w:leader="dot"/>
            </w:tabs>
            <w:rPr/>
          </w:pPr>
          <w:hyperlink w:anchor="__RefHeading___Toc3808939_1067777946">
            <w:r>
              <w:rPr>
                <w:webHidden/>
                <w:rStyle w:val="IndexLink"/>
                <w:rtl w:val="true"/>
              </w:rPr>
              <w:t>تأثير نصب و رفع تمييز در مفاد اقرار</w:t>
            </w:r>
            <w:r>
              <w:rPr>
                <w:rStyle w:val="IndexLink"/>
                <w:rtl w:val="true"/>
              </w:rPr>
              <w:tab/>
            </w:r>
            <w:r>
              <w:rPr>
                <w:rStyle w:val="IndexLink"/>
              </w:rPr>
              <w:t>403</w:t>
            </w:r>
          </w:hyperlink>
        </w:p>
        <w:p>
          <w:pPr>
            <w:pStyle w:val="Contents6"/>
            <w:tabs>
              <w:tab w:val="clear" w:pos="7609"/>
              <w:tab w:val="right" w:pos="9026" w:leader="dot"/>
            </w:tabs>
            <w:rPr/>
          </w:pPr>
          <w:hyperlink w:anchor="__RefHeading___Toc3808941_1067777946">
            <w:r>
              <w:rPr>
                <w:webHidden/>
                <w:rStyle w:val="IndexLink"/>
                <w:rtl w:val="true"/>
              </w:rPr>
              <w:t>تعقب در استثنا</w:t>
            </w:r>
            <w:r>
              <w:rPr>
                <w:rStyle w:val="IndexLink"/>
                <w:rtl w:val="true"/>
              </w:rPr>
              <w:tab/>
            </w:r>
            <w:r>
              <w:rPr>
                <w:rStyle w:val="IndexLink"/>
              </w:rPr>
              <w:t>403</w:t>
            </w:r>
          </w:hyperlink>
        </w:p>
        <w:p>
          <w:pPr>
            <w:pStyle w:val="Contents6"/>
            <w:tabs>
              <w:tab w:val="clear" w:pos="7609"/>
              <w:tab w:val="right" w:pos="9026" w:leader="dot"/>
            </w:tabs>
            <w:rPr/>
          </w:pPr>
          <w:hyperlink w:anchor="__RefHeading___Toc3808943_1067777946">
            <w:r>
              <w:rPr>
                <w:webHidden/>
                <w:rStyle w:val="IndexLink"/>
                <w:rtl w:val="true"/>
              </w:rPr>
              <w:t xml:space="preserve">محكى از </w:t>
            </w:r>
            <w:r>
              <w:rPr>
                <w:rStyle w:val="IndexLink"/>
                <w:rtl w:val="true"/>
              </w:rPr>
              <w:t>«</w:t>
            </w:r>
            <w:r>
              <w:rPr>
                <w:rStyle w:val="IndexLink"/>
                <w:rtl w:val="true"/>
              </w:rPr>
              <w:t>دروس</w:t>
            </w:r>
            <w:r>
              <w:rPr>
                <w:rStyle w:val="IndexLink"/>
                <w:rtl w:val="true"/>
              </w:rPr>
              <w:t xml:space="preserve">» </w:t>
            </w:r>
            <w:r>
              <w:rPr>
                <w:rStyle w:val="IndexLink"/>
                <w:rtl w:val="true"/>
              </w:rPr>
              <w:t>در مقام</w:t>
            </w:r>
            <w:r>
              <w:rPr>
                <w:rStyle w:val="IndexLink"/>
                <w:rtl w:val="true"/>
              </w:rPr>
              <w:tab/>
            </w:r>
            <w:r>
              <w:rPr>
                <w:rStyle w:val="IndexLink"/>
              </w:rPr>
              <w:t>405</w:t>
            </w:r>
          </w:hyperlink>
        </w:p>
        <w:p>
          <w:pPr>
            <w:pStyle w:val="Contents6"/>
            <w:tabs>
              <w:tab w:val="clear" w:pos="7609"/>
              <w:tab w:val="right" w:pos="9026" w:leader="dot"/>
            </w:tabs>
            <w:rPr/>
          </w:pPr>
          <w:hyperlink w:anchor="__RefHeading___Toc3808945_1067777946">
            <w:r>
              <w:rPr>
                <w:webHidden/>
                <w:rStyle w:val="IndexLink"/>
                <w:rtl w:val="true"/>
              </w:rPr>
              <w:t xml:space="preserve">ايراد دوم مرحوم صاحب </w:t>
            </w:r>
            <w:r>
              <w:rPr>
                <w:rStyle w:val="IndexLink"/>
                <w:rtl w:val="true"/>
              </w:rPr>
              <w:t>«</w:t>
            </w:r>
            <w:r>
              <w:rPr>
                <w:rStyle w:val="IndexLink"/>
                <w:rtl w:val="true"/>
              </w:rPr>
              <w:t>جواهر</w:t>
            </w:r>
            <w:r>
              <w:rPr>
                <w:rStyle w:val="IndexLink"/>
                <w:rtl w:val="true"/>
              </w:rPr>
              <w:t xml:space="preserve">» - </w:t>
            </w:r>
            <w:r>
              <w:rPr>
                <w:rStyle w:val="IndexLink"/>
                <w:rtl w:val="true"/>
              </w:rPr>
              <w:t xml:space="preserve">قدس سرّه </w:t>
            </w:r>
            <w:r>
              <w:rPr>
                <w:rStyle w:val="IndexLink"/>
                <w:rtl w:val="true"/>
              </w:rPr>
              <w:t xml:space="preserve">- </w:t>
            </w:r>
            <w:r>
              <w:rPr>
                <w:rStyle w:val="IndexLink"/>
                <w:rtl w:val="true"/>
              </w:rPr>
              <w:t>بر محكى از دروس</w:t>
            </w:r>
            <w:r>
              <w:rPr>
                <w:rStyle w:val="IndexLink"/>
                <w:rtl w:val="true"/>
              </w:rPr>
              <w:tab/>
            </w:r>
            <w:r>
              <w:rPr>
                <w:rStyle w:val="IndexLink"/>
              </w:rPr>
              <w:t>405</w:t>
            </w:r>
          </w:hyperlink>
        </w:p>
        <w:p>
          <w:pPr>
            <w:pStyle w:val="Contents6"/>
            <w:tabs>
              <w:tab w:val="clear" w:pos="7609"/>
              <w:tab w:val="right" w:pos="9026" w:leader="dot"/>
            </w:tabs>
            <w:rPr/>
          </w:pPr>
          <w:hyperlink w:anchor="__RefHeading___Toc3808947_1067777946">
            <w:r>
              <w:rPr>
                <w:webHidden/>
                <w:rStyle w:val="IndexLink"/>
                <w:rtl w:val="true"/>
              </w:rPr>
              <w:t>عدم فرق بين اعداد و اعيان در استثناى از ديگرى</w:t>
            </w:r>
            <w:r>
              <w:rPr>
                <w:rStyle w:val="IndexLink"/>
                <w:rtl w:val="true"/>
              </w:rPr>
              <w:tab/>
            </w:r>
            <w:r>
              <w:rPr>
                <w:rStyle w:val="IndexLink"/>
              </w:rPr>
              <w:t>406</w:t>
            </w:r>
          </w:hyperlink>
        </w:p>
        <w:p>
          <w:pPr>
            <w:pStyle w:val="Contents5"/>
            <w:tabs>
              <w:tab w:val="clear" w:pos="7892"/>
              <w:tab w:val="right" w:pos="9026" w:leader="dot"/>
            </w:tabs>
            <w:rPr/>
          </w:pPr>
          <w:hyperlink w:anchor="__RefHeading___Toc3808949_1067777946">
            <w:r>
              <w:rPr>
                <w:webHidden/>
                <w:rStyle w:val="IndexLink"/>
              </w:rPr>
              <w:t>2</w:t>
            </w:r>
            <w:r>
              <w:rPr>
                <w:rStyle w:val="IndexLink"/>
                <w:rtl w:val="true"/>
              </w:rPr>
              <w:t xml:space="preserve">. </w:t>
            </w:r>
            <w:r>
              <w:rPr>
                <w:rStyle w:val="IndexLink"/>
                <w:rtl w:val="true"/>
              </w:rPr>
              <w:t xml:space="preserve">تفريع بر قاعدۀ ثانيه </w:t>
            </w:r>
            <w:r>
              <w:rPr>
                <w:rStyle w:val="IndexLink"/>
                <w:rtl w:val="true"/>
              </w:rPr>
              <w:t>(</w:t>
            </w:r>
            <w:r>
              <w:rPr>
                <w:rStyle w:val="IndexLink"/>
                <w:rtl w:val="true"/>
              </w:rPr>
              <w:t>استثنا از جنس</w:t>
            </w:r>
            <w:r>
              <w:rPr>
                <w:rStyle w:val="IndexLink"/>
                <w:rtl w:val="true"/>
              </w:rPr>
              <w:t>)</w:t>
              <w:tab/>
            </w:r>
            <w:r>
              <w:rPr>
                <w:rStyle w:val="IndexLink"/>
              </w:rPr>
              <w:t>406</w:t>
            </w:r>
          </w:hyperlink>
        </w:p>
        <w:p>
          <w:pPr>
            <w:pStyle w:val="Contents6"/>
            <w:tabs>
              <w:tab w:val="clear" w:pos="7609"/>
              <w:tab w:val="right" w:pos="9026" w:leader="dot"/>
            </w:tabs>
            <w:rPr/>
          </w:pPr>
          <w:hyperlink w:anchor="__RefHeading___Toc3808951_1067777946">
            <w:r>
              <w:rPr>
                <w:webHidden/>
                <w:rStyle w:val="IndexLink"/>
                <w:rtl w:val="true"/>
              </w:rPr>
              <w:t>صحت استثناى منقطع</w:t>
            </w:r>
            <w:r>
              <w:rPr>
                <w:rStyle w:val="IndexLink"/>
                <w:rtl w:val="true"/>
              </w:rPr>
              <w:tab/>
            </w:r>
            <w:r>
              <w:rPr>
                <w:rStyle w:val="IndexLink"/>
              </w:rPr>
              <w:t>406</w:t>
            </w:r>
          </w:hyperlink>
        </w:p>
        <w:p>
          <w:pPr>
            <w:pStyle w:val="Contents6"/>
            <w:tabs>
              <w:tab w:val="clear" w:pos="7609"/>
              <w:tab w:val="right" w:pos="9026" w:leader="dot"/>
            </w:tabs>
            <w:rPr/>
          </w:pPr>
          <w:hyperlink w:anchor="__RefHeading___Toc3808953_1067777946">
            <w:r>
              <w:rPr>
                <w:webHidden/>
                <w:rStyle w:val="IndexLink"/>
                <w:rtl w:val="true"/>
              </w:rPr>
              <w:t>مجهوليت مستثنىٰ و مستثنىٰ منه</w:t>
            </w:r>
            <w:r>
              <w:rPr>
                <w:rStyle w:val="IndexLink"/>
                <w:rtl w:val="true"/>
              </w:rPr>
              <w:tab/>
            </w:r>
            <w:r>
              <w:rPr>
                <w:rStyle w:val="IndexLink"/>
              </w:rPr>
              <w:t>407</w:t>
            </w:r>
          </w:hyperlink>
        </w:p>
        <w:p>
          <w:pPr>
            <w:pStyle w:val="Contents5"/>
            <w:tabs>
              <w:tab w:val="clear" w:pos="7892"/>
              <w:tab w:val="right" w:pos="9026" w:leader="dot"/>
            </w:tabs>
            <w:rPr/>
          </w:pPr>
          <w:hyperlink w:anchor="__RefHeading___Toc3808955_1067777946">
            <w:r>
              <w:rPr>
                <w:webHidden/>
                <w:rStyle w:val="IndexLink"/>
              </w:rPr>
              <w:t>3</w:t>
            </w:r>
            <w:r>
              <w:rPr>
                <w:rStyle w:val="IndexLink"/>
                <w:rtl w:val="true"/>
              </w:rPr>
              <w:t xml:space="preserve">. </w:t>
            </w:r>
            <w:r>
              <w:rPr>
                <w:rStyle w:val="IndexLink"/>
                <w:rtl w:val="true"/>
              </w:rPr>
              <w:t>تفريع بر قاعده ثالثه</w:t>
            </w:r>
            <w:r>
              <w:rPr>
                <w:rStyle w:val="IndexLink"/>
                <w:rtl w:val="true"/>
              </w:rPr>
              <w:tab/>
            </w:r>
            <w:r>
              <w:rPr>
                <w:rStyle w:val="IndexLink"/>
              </w:rPr>
              <w:t>408</w:t>
            </w:r>
          </w:hyperlink>
        </w:p>
        <w:p>
          <w:pPr>
            <w:pStyle w:val="Contents6"/>
            <w:tabs>
              <w:tab w:val="clear" w:pos="7609"/>
              <w:tab w:val="right" w:pos="9026" w:leader="dot"/>
            </w:tabs>
            <w:rPr/>
          </w:pPr>
          <w:hyperlink w:anchor="__RefHeading___Toc3808957_1067777946">
            <w:r>
              <w:rPr>
                <w:webHidden/>
                <w:rStyle w:val="IndexLink"/>
                <w:rtl w:val="true"/>
              </w:rPr>
              <w:t>استهجان تخصيص</w:t>
            </w:r>
            <w:r>
              <w:rPr>
                <w:rStyle w:val="IndexLink"/>
                <w:rtl w:val="true"/>
              </w:rPr>
              <w:tab/>
            </w:r>
            <w:r>
              <w:rPr>
                <w:rStyle w:val="IndexLink"/>
              </w:rPr>
              <w:t>408</w:t>
            </w:r>
          </w:hyperlink>
        </w:p>
        <w:p>
          <w:pPr>
            <w:pStyle w:val="Contents3"/>
            <w:tabs>
              <w:tab w:val="clear" w:pos="8459"/>
              <w:tab w:val="right" w:pos="9026" w:leader="dot"/>
            </w:tabs>
            <w:rPr/>
          </w:pPr>
          <w:hyperlink w:anchor="__RefHeading___Toc3808959_1067777946">
            <w:r>
              <w:rPr>
                <w:webHidden/>
                <w:rStyle w:val="IndexLink"/>
                <w:rtl w:val="true"/>
              </w:rPr>
              <w:t>فصل دوّم مُقِرّ و شرايط او</w:t>
            </w:r>
            <w:r>
              <w:rPr>
                <w:rStyle w:val="IndexLink"/>
                <w:rtl w:val="true"/>
              </w:rPr>
              <w:tab/>
            </w:r>
            <w:r>
              <w:rPr>
                <w:rStyle w:val="IndexLink"/>
              </w:rPr>
              <w:t>410</w:t>
            </w:r>
          </w:hyperlink>
        </w:p>
        <w:p>
          <w:pPr>
            <w:pStyle w:val="Contents4"/>
            <w:tabs>
              <w:tab w:val="clear" w:pos="8176"/>
              <w:tab w:val="right" w:pos="9026" w:leader="dot"/>
            </w:tabs>
            <w:rPr/>
          </w:pPr>
          <w:hyperlink w:anchor="__RefHeading___Toc3808961_1067777946">
            <w:r>
              <w:rPr>
                <w:webHidden/>
                <w:rStyle w:val="IndexLink"/>
                <w:rtl w:val="true"/>
              </w:rPr>
              <w:t>شرايط اقراركننده</w:t>
            </w:r>
            <w:r>
              <w:rPr>
                <w:rStyle w:val="IndexLink"/>
                <w:rtl w:val="true"/>
              </w:rPr>
              <w:tab/>
            </w:r>
            <w:r>
              <w:rPr>
                <w:rStyle w:val="IndexLink"/>
              </w:rPr>
              <w:t>410</w:t>
            </w:r>
          </w:hyperlink>
        </w:p>
        <w:p>
          <w:pPr>
            <w:pStyle w:val="Contents4"/>
            <w:tabs>
              <w:tab w:val="clear" w:pos="8176"/>
              <w:tab w:val="right" w:pos="9026" w:leader="dot"/>
            </w:tabs>
            <w:rPr/>
          </w:pPr>
          <w:hyperlink w:anchor="__RefHeading___Toc3808963_1067777946">
            <w:r>
              <w:rPr>
                <w:webHidden/>
                <w:rStyle w:val="IndexLink"/>
                <w:rtl w:val="true"/>
              </w:rPr>
              <w:t>ادّعاى بلوغ</w:t>
            </w:r>
            <w:r>
              <w:rPr>
                <w:rStyle w:val="IndexLink"/>
                <w:rtl w:val="true"/>
              </w:rPr>
              <w:tab/>
            </w:r>
            <w:r>
              <w:rPr>
                <w:rStyle w:val="IndexLink"/>
              </w:rPr>
              <w:t>410</w:t>
            </w:r>
          </w:hyperlink>
        </w:p>
        <w:p>
          <w:pPr>
            <w:pStyle w:val="Contents4"/>
            <w:tabs>
              <w:tab w:val="clear" w:pos="8176"/>
              <w:tab w:val="right" w:pos="9026" w:leader="dot"/>
            </w:tabs>
            <w:rPr/>
          </w:pPr>
          <w:hyperlink w:anchor="__RefHeading___Toc3808965_1067777946">
            <w:r>
              <w:rPr>
                <w:webHidden/>
                <w:rStyle w:val="IndexLink"/>
                <w:rtl w:val="true"/>
              </w:rPr>
              <w:t>اكراه در اقرار</w:t>
            </w:r>
            <w:r>
              <w:rPr>
                <w:rStyle w:val="IndexLink"/>
                <w:rtl w:val="true"/>
              </w:rPr>
              <w:tab/>
            </w:r>
            <w:r>
              <w:rPr>
                <w:rStyle w:val="IndexLink"/>
              </w:rPr>
              <w:t>410</w:t>
            </w:r>
          </w:hyperlink>
        </w:p>
        <w:p>
          <w:pPr>
            <w:pStyle w:val="Contents4"/>
            <w:tabs>
              <w:tab w:val="clear" w:pos="8176"/>
              <w:tab w:val="right" w:pos="9026" w:leader="dot"/>
            </w:tabs>
            <w:rPr/>
          </w:pPr>
          <w:hyperlink w:anchor="__RefHeading___Toc3808967_1067777946">
            <w:r>
              <w:rPr>
                <w:webHidden/>
                <w:rStyle w:val="IndexLink"/>
                <w:rtl w:val="true"/>
              </w:rPr>
              <w:t>اقرار سفيه</w:t>
            </w:r>
            <w:r>
              <w:rPr>
                <w:rStyle w:val="IndexLink"/>
                <w:rtl w:val="true"/>
              </w:rPr>
              <w:tab/>
            </w:r>
            <w:r>
              <w:rPr>
                <w:rStyle w:val="IndexLink"/>
              </w:rPr>
              <w:t>411</w:t>
            </w:r>
          </w:hyperlink>
        </w:p>
        <w:p>
          <w:pPr>
            <w:pStyle w:val="Contents4"/>
            <w:tabs>
              <w:tab w:val="clear" w:pos="8176"/>
              <w:tab w:val="right" w:pos="9026" w:leader="dot"/>
            </w:tabs>
            <w:rPr/>
          </w:pPr>
          <w:hyperlink w:anchor="__RefHeading___Toc3808969_1067777946">
            <w:r>
              <w:rPr>
                <w:webHidden/>
                <w:rStyle w:val="IndexLink"/>
                <w:rtl w:val="true"/>
              </w:rPr>
              <w:t>اقرار مملوك</w:t>
            </w:r>
            <w:r>
              <w:rPr>
                <w:rStyle w:val="IndexLink"/>
                <w:rtl w:val="true"/>
              </w:rPr>
              <w:tab/>
            </w:r>
            <w:r>
              <w:rPr>
                <w:rStyle w:val="IndexLink"/>
              </w:rPr>
              <w:t>412</w:t>
            </w:r>
          </w:hyperlink>
        </w:p>
        <w:p>
          <w:pPr>
            <w:pStyle w:val="Contents4"/>
            <w:tabs>
              <w:tab w:val="clear" w:pos="8176"/>
              <w:tab w:val="right" w:pos="9026" w:leader="dot"/>
            </w:tabs>
            <w:rPr/>
          </w:pPr>
          <w:hyperlink w:anchor="__RefHeading___Toc3808971_1067777946">
            <w:r>
              <w:rPr>
                <w:webHidden/>
                <w:rStyle w:val="IndexLink"/>
                <w:rtl w:val="true"/>
              </w:rPr>
              <w:t>اقرار مملوك مأذون در تجارت</w:t>
            </w:r>
            <w:r>
              <w:rPr>
                <w:rStyle w:val="IndexLink"/>
                <w:rtl w:val="true"/>
              </w:rPr>
              <w:tab/>
            </w:r>
            <w:r>
              <w:rPr>
                <w:rStyle w:val="IndexLink"/>
              </w:rPr>
              <w:t>412</w:t>
            </w:r>
          </w:hyperlink>
        </w:p>
        <w:p>
          <w:pPr>
            <w:pStyle w:val="Contents4"/>
            <w:tabs>
              <w:tab w:val="clear" w:pos="8176"/>
              <w:tab w:val="right" w:pos="9026" w:leader="dot"/>
            </w:tabs>
            <w:rPr/>
          </w:pPr>
          <w:hyperlink w:anchor="__RefHeading___Toc3808973_1067777946">
            <w:r>
              <w:rPr>
                <w:webHidden/>
                <w:rStyle w:val="IndexLink"/>
                <w:rtl w:val="true"/>
              </w:rPr>
              <w:t>اقرار در غير تجارت مأذونه</w:t>
            </w:r>
            <w:r>
              <w:rPr>
                <w:rStyle w:val="IndexLink"/>
                <w:rtl w:val="true"/>
              </w:rPr>
              <w:tab/>
            </w:r>
            <w:r>
              <w:rPr>
                <w:rStyle w:val="IndexLink"/>
              </w:rPr>
              <w:t>413</w:t>
            </w:r>
          </w:hyperlink>
        </w:p>
        <w:p>
          <w:pPr>
            <w:pStyle w:val="Contents4"/>
            <w:tabs>
              <w:tab w:val="clear" w:pos="8176"/>
              <w:tab w:val="right" w:pos="9026" w:leader="dot"/>
            </w:tabs>
            <w:rPr/>
          </w:pPr>
          <w:hyperlink w:anchor="__RefHeading___Toc3808975_1067777946">
            <w:r>
              <w:rPr>
                <w:webHidden/>
                <w:rStyle w:val="IndexLink"/>
                <w:rtl w:val="true"/>
              </w:rPr>
              <w:t>اقرار مولى</w:t>
            </w:r>
            <w:r>
              <w:rPr>
                <w:rStyle w:val="IndexLink"/>
                <w:rtl w:val="true"/>
              </w:rPr>
              <w:tab/>
            </w:r>
            <w:r>
              <w:rPr>
                <w:rStyle w:val="IndexLink"/>
              </w:rPr>
              <w:t>413</w:t>
            </w:r>
          </w:hyperlink>
        </w:p>
        <w:p>
          <w:pPr>
            <w:pStyle w:val="Contents4"/>
            <w:tabs>
              <w:tab w:val="clear" w:pos="8176"/>
              <w:tab w:val="right" w:pos="9026" w:leader="dot"/>
            </w:tabs>
            <w:rPr/>
          </w:pPr>
          <w:hyperlink w:anchor="__RefHeading___Toc3808977_1067777946">
            <w:r>
              <w:rPr>
                <w:webHidden/>
                <w:rStyle w:val="IndexLink"/>
                <w:rtl w:val="true"/>
              </w:rPr>
              <w:t>اقرار مفلَّس</w:t>
            </w:r>
            <w:r>
              <w:rPr>
                <w:rStyle w:val="IndexLink"/>
                <w:rtl w:val="true"/>
              </w:rPr>
              <w:tab/>
            </w:r>
            <w:r>
              <w:rPr>
                <w:rStyle w:val="IndexLink"/>
              </w:rPr>
              <w:t>414</w:t>
            </w:r>
          </w:hyperlink>
        </w:p>
        <w:p>
          <w:pPr>
            <w:pStyle w:val="Contents4"/>
            <w:tabs>
              <w:tab w:val="clear" w:pos="8176"/>
              <w:tab w:val="right" w:pos="9026" w:leader="dot"/>
            </w:tabs>
            <w:rPr/>
          </w:pPr>
          <w:hyperlink w:anchor="__RefHeading___Toc3808979_1067777946">
            <w:r>
              <w:rPr>
                <w:webHidden/>
                <w:rStyle w:val="IndexLink"/>
                <w:rtl w:val="true"/>
              </w:rPr>
              <w:t>اقرار به مبهم</w:t>
            </w:r>
            <w:r>
              <w:rPr>
                <w:rStyle w:val="IndexLink"/>
                <w:rtl w:val="true"/>
              </w:rPr>
              <w:tab/>
            </w:r>
            <w:r>
              <w:rPr>
                <w:rStyle w:val="IndexLink"/>
              </w:rPr>
              <w:t>414</w:t>
            </w:r>
          </w:hyperlink>
        </w:p>
        <w:p>
          <w:pPr>
            <w:pStyle w:val="Contents4"/>
            <w:tabs>
              <w:tab w:val="clear" w:pos="8176"/>
              <w:tab w:val="right" w:pos="9026" w:leader="dot"/>
            </w:tabs>
            <w:rPr/>
          </w:pPr>
          <w:hyperlink w:anchor="__RefHeading___Toc3808981_1067777946">
            <w:r>
              <w:rPr>
                <w:webHidden/>
                <w:rStyle w:val="IndexLink"/>
                <w:rtl w:val="true"/>
              </w:rPr>
              <w:t>ترديد در اقرار</w:t>
            </w:r>
            <w:r>
              <w:rPr>
                <w:rStyle w:val="IndexLink"/>
                <w:rtl w:val="true"/>
              </w:rPr>
              <w:tab/>
            </w:r>
            <w:r>
              <w:rPr>
                <w:rStyle w:val="IndexLink"/>
              </w:rPr>
              <w:t>414</w:t>
            </w:r>
          </w:hyperlink>
        </w:p>
        <w:p>
          <w:pPr>
            <w:pStyle w:val="Contents4"/>
            <w:tabs>
              <w:tab w:val="clear" w:pos="8176"/>
              <w:tab w:val="right" w:pos="9026" w:leader="dot"/>
            </w:tabs>
            <w:rPr/>
          </w:pPr>
          <w:hyperlink w:anchor="__RefHeading___Toc3808983_1067777946">
            <w:r>
              <w:rPr>
                <w:webHidden/>
                <w:rStyle w:val="IndexLink"/>
                <w:rtl w:val="true"/>
              </w:rPr>
              <w:t>جهالت در مُقِرّ له</w:t>
            </w:r>
            <w:r>
              <w:rPr>
                <w:rStyle w:val="IndexLink"/>
                <w:rtl w:val="true"/>
              </w:rPr>
              <w:tab/>
            </w:r>
            <w:r>
              <w:rPr>
                <w:rStyle w:val="IndexLink"/>
              </w:rPr>
              <w:t>415</w:t>
            </w:r>
          </w:hyperlink>
        </w:p>
        <w:p>
          <w:pPr>
            <w:pStyle w:val="Contents4"/>
            <w:tabs>
              <w:tab w:val="clear" w:pos="8176"/>
              <w:tab w:val="right" w:pos="9026" w:leader="dot"/>
            </w:tabs>
            <w:rPr/>
          </w:pPr>
          <w:hyperlink w:anchor="__RefHeading___Toc3808985_1067777946">
            <w:r>
              <w:rPr>
                <w:webHidden/>
                <w:rStyle w:val="IndexLink"/>
                <w:rtl w:val="true"/>
              </w:rPr>
              <w:t>ادّعاى بلوغ</w:t>
            </w:r>
            <w:r>
              <w:rPr>
                <w:rStyle w:val="IndexLink"/>
                <w:rtl w:val="true"/>
              </w:rPr>
              <w:tab/>
            </w:r>
            <w:r>
              <w:rPr>
                <w:rStyle w:val="IndexLink"/>
              </w:rPr>
              <w:t>415</w:t>
            </w:r>
          </w:hyperlink>
        </w:p>
        <w:p>
          <w:pPr>
            <w:pStyle w:val="Contents4"/>
            <w:tabs>
              <w:tab w:val="clear" w:pos="8176"/>
              <w:tab w:val="right" w:pos="9026" w:leader="dot"/>
            </w:tabs>
            <w:rPr/>
          </w:pPr>
          <w:hyperlink w:anchor="__RefHeading___Toc3808987_1067777946">
            <w:r>
              <w:rPr>
                <w:webHidden/>
                <w:rStyle w:val="IndexLink"/>
                <w:rtl w:val="true"/>
              </w:rPr>
              <w:t>مراد از اقرار در مقام</w:t>
            </w:r>
            <w:r>
              <w:rPr>
                <w:rStyle w:val="IndexLink"/>
                <w:rtl w:val="true"/>
              </w:rPr>
              <w:tab/>
            </w:r>
            <w:r>
              <w:rPr>
                <w:rStyle w:val="IndexLink"/>
              </w:rPr>
              <w:t>415</w:t>
            </w:r>
          </w:hyperlink>
        </w:p>
        <w:p>
          <w:pPr>
            <w:pStyle w:val="Contents4"/>
            <w:tabs>
              <w:tab w:val="clear" w:pos="8176"/>
              <w:tab w:val="right" w:pos="9026" w:leader="dot"/>
            </w:tabs>
            <w:rPr/>
          </w:pPr>
          <w:hyperlink w:anchor="__RefHeading___Toc3808989_1067777946">
            <w:r>
              <w:rPr>
                <w:webHidden/>
                <w:rStyle w:val="IndexLink"/>
                <w:rtl w:val="true"/>
              </w:rPr>
              <w:t>اقرار مراهق و اختلاف در بلوغ</w:t>
            </w:r>
            <w:r>
              <w:rPr>
                <w:rStyle w:val="IndexLink"/>
                <w:rtl w:val="true"/>
              </w:rPr>
              <w:tab/>
            </w:r>
            <w:r>
              <w:rPr>
                <w:rStyle w:val="IndexLink"/>
              </w:rPr>
              <w:t>416</w:t>
            </w:r>
          </w:hyperlink>
        </w:p>
        <w:p>
          <w:pPr>
            <w:pStyle w:val="Contents3"/>
            <w:tabs>
              <w:tab w:val="clear" w:pos="8459"/>
              <w:tab w:val="right" w:pos="9026" w:leader="dot"/>
            </w:tabs>
            <w:rPr/>
          </w:pPr>
          <w:hyperlink w:anchor="__RefHeading___Toc3808991_1067777946">
            <w:r>
              <w:rPr>
                <w:webHidden/>
                <w:rStyle w:val="IndexLink"/>
                <w:rtl w:val="true"/>
              </w:rPr>
              <w:t>فصل سوّم شرايط مُقَرّ له</w:t>
            </w:r>
            <w:r>
              <w:rPr>
                <w:rStyle w:val="IndexLink"/>
                <w:rtl w:val="true"/>
              </w:rPr>
              <w:tab/>
            </w:r>
            <w:r>
              <w:rPr>
                <w:rStyle w:val="IndexLink"/>
              </w:rPr>
              <w:t>417</w:t>
            </w:r>
          </w:hyperlink>
        </w:p>
        <w:p>
          <w:pPr>
            <w:pStyle w:val="Contents4"/>
            <w:tabs>
              <w:tab w:val="clear" w:pos="8176"/>
              <w:tab w:val="right" w:pos="9026" w:leader="dot"/>
            </w:tabs>
            <w:rPr/>
          </w:pPr>
          <w:hyperlink w:anchor="__RefHeading___Toc3808993_1067777946">
            <w:r>
              <w:rPr>
                <w:webHidden/>
                <w:rStyle w:val="IndexLink"/>
                <w:rtl w:val="true"/>
              </w:rPr>
              <w:t>اعتبار امكان و احتمال وقوع</w:t>
            </w:r>
            <w:r>
              <w:rPr>
                <w:rStyle w:val="IndexLink"/>
                <w:rtl w:val="true"/>
              </w:rPr>
              <w:tab/>
            </w:r>
            <w:r>
              <w:rPr>
                <w:rStyle w:val="IndexLink"/>
              </w:rPr>
              <w:t>417</w:t>
            </w:r>
          </w:hyperlink>
        </w:p>
        <w:p>
          <w:pPr>
            <w:pStyle w:val="Contents4"/>
            <w:tabs>
              <w:tab w:val="clear" w:pos="8176"/>
              <w:tab w:val="right" w:pos="9026" w:leader="dot"/>
            </w:tabs>
            <w:rPr/>
          </w:pPr>
          <w:hyperlink w:anchor="__RefHeading___Toc3808995_1067777946">
            <w:r>
              <w:rPr>
                <w:webHidden/>
                <w:rStyle w:val="IndexLink"/>
                <w:rtl w:val="true"/>
              </w:rPr>
              <w:t>حكم اقرار به مالكيّت بهيمه</w:t>
            </w:r>
            <w:r>
              <w:rPr>
                <w:rStyle w:val="IndexLink"/>
                <w:rtl w:val="true"/>
              </w:rPr>
              <w:tab/>
            </w:r>
            <w:r>
              <w:rPr>
                <w:rStyle w:val="IndexLink"/>
              </w:rPr>
              <w:t>417</w:t>
            </w:r>
          </w:hyperlink>
        </w:p>
        <w:p>
          <w:pPr>
            <w:pStyle w:val="Contents4"/>
            <w:tabs>
              <w:tab w:val="clear" w:pos="8176"/>
              <w:tab w:val="right" w:pos="9026" w:leader="dot"/>
            </w:tabs>
            <w:rPr/>
          </w:pPr>
          <w:hyperlink w:anchor="__RefHeading___Toc3808997_1067777946">
            <w:r>
              <w:rPr>
                <w:webHidden/>
                <w:rStyle w:val="IndexLink"/>
                <w:rtl w:val="true"/>
              </w:rPr>
              <w:t>انواع اقرار به مالكيّت بهيمه و حكم هر كدام</w:t>
            </w:r>
            <w:r>
              <w:rPr>
                <w:rStyle w:val="IndexLink"/>
                <w:rtl w:val="true"/>
              </w:rPr>
              <w:tab/>
            </w:r>
            <w:r>
              <w:rPr>
                <w:rStyle w:val="IndexLink"/>
              </w:rPr>
              <w:t>418</w:t>
            </w:r>
          </w:hyperlink>
        </w:p>
        <w:p>
          <w:pPr>
            <w:pStyle w:val="Contents4"/>
            <w:tabs>
              <w:tab w:val="clear" w:pos="8176"/>
              <w:tab w:val="right" w:pos="9026" w:leader="dot"/>
            </w:tabs>
            <w:rPr/>
          </w:pPr>
          <w:hyperlink w:anchor="__RefHeading___Toc3808999_1067777946">
            <w:r>
              <w:rPr>
                <w:webHidden/>
                <w:rStyle w:val="IndexLink"/>
                <w:rtl w:val="true"/>
              </w:rPr>
              <w:t>اقرار براى مملوك</w:t>
            </w:r>
            <w:r>
              <w:rPr>
                <w:rStyle w:val="IndexLink"/>
                <w:rtl w:val="true"/>
              </w:rPr>
              <w:tab/>
            </w:r>
            <w:r>
              <w:rPr>
                <w:rStyle w:val="IndexLink"/>
              </w:rPr>
              <w:t>418</w:t>
            </w:r>
          </w:hyperlink>
        </w:p>
        <w:p>
          <w:pPr>
            <w:pStyle w:val="Contents4"/>
            <w:tabs>
              <w:tab w:val="clear" w:pos="8176"/>
              <w:tab w:val="right" w:pos="9026" w:leader="dot"/>
            </w:tabs>
            <w:rPr/>
          </w:pPr>
          <w:hyperlink w:anchor="__RefHeading___Toc3809001_1067777946">
            <w:r>
              <w:rPr>
                <w:webHidden/>
                <w:rStyle w:val="IndexLink"/>
                <w:rtl w:val="true"/>
              </w:rPr>
              <w:t>اقرار براى مساجد يا مشاهد مشرّفه و</w:t>
            </w:r>
            <w:r>
              <w:rPr>
                <w:rStyle w:val="IndexLink"/>
                <w:rtl w:val="true"/>
              </w:rPr>
              <w:t>...</w:t>
              <w:tab/>
            </w:r>
            <w:r>
              <w:rPr>
                <w:rStyle w:val="IndexLink"/>
              </w:rPr>
              <w:t>418</w:t>
            </w:r>
          </w:hyperlink>
        </w:p>
        <w:p>
          <w:pPr>
            <w:pStyle w:val="Contents4"/>
            <w:tabs>
              <w:tab w:val="clear" w:pos="8176"/>
              <w:tab w:val="right" w:pos="9026" w:leader="dot"/>
            </w:tabs>
            <w:rPr/>
          </w:pPr>
          <w:hyperlink w:anchor="__RefHeading___Toc3809003_1067777946">
            <w:r>
              <w:rPr>
                <w:webHidden/>
                <w:rStyle w:val="IndexLink"/>
                <w:rtl w:val="true"/>
              </w:rPr>
              <w:t>اقرار براى حمل</w:t>
            </w:r>
            <w:r>
              <w:rPr>
                <w:rStyle w:val="IndexLink"/>
                <w:rtl w:val="true"/>
              </w:rPr>
              <w:tab/>
            </w:r>
            <w:r>
              <w:rPr>
                <w:rStyle w:val="IndexLink"/>
              </w:rPr>
              <w:t>419</w:t>
            </w:r>
          </w:hyperlink>
        </w:p>
        <w:p>
          <w:pPr>
            <w:pStyle w:val="Contents4"/>
            <w:tabs>
              <w:tab w:val="clear" w:pos="8176"/>
              <w:tab w:val="right" w:pos="9026" w:leader="dot"/>
            </w:tabs>
            <w:rPr/>
          </w:pPr>
          <w:hyperlink w:anchor="__RefHeading___Toc3809005_1067777946">
            <w:r>
              <w:rPr>
                <w:webHidden/>
                <w:rStyle w:val="IndexLink"/>
                <w:rtl w:val="true"/>
              </w:rPr>
              <w:t>ترك تفسير در مقام</w:t>
            </w:r>
            <w:r>
              <w:rPr>
                <w:rStyle w:val="IndexLink"/>
                <w:rtl w:val="true"/>
              </w:rPr>
              <w:tab/>
            </w:r>
            <w:r>
              <w:rPr>
                <w:rStyle w:val="IndexLink"/>
              </w:rPr>
              <w:t>419</w:t>
            </w:r>
          </w:hyperlink>
        </w:p>
        <w:p>
          <w:pPr>
            <w:pStyle w:val="Contents4"/>
            <w:tabs>
              <w:tab w:val="clear" w:pos="8176"/>
              <w:tab w:val="right" w:pos="9026" w:leader="dot"/>
            </w:tabs>
            <w:rPr/>
          </w:pPr>
          <w:hyperlink w:anchor="__RefHeading___Toc3809007_1067777946">
            <w:r>
              <w:rPr>
                <w:webHidden/>
                <w:rStyle w:val="IndexLink"/>
                <w:rtl w:val="true"/>
              </w:rPr>
              <w:t>تأثير مقدار زمان در اثبات</w:t>
            </w:r>
            <w:r>
              <w:rPr>
                <w:rStyle w:val="IndexLink"/>
                <w:rtl w:val="true"/>
              </w:rPr>
              <w:tab/>
            </w:r>
            <w:r>
              <w:rPr>
                <w:rStyle w:val="IndexLink"/>
              </w:rPr>
              <w:t>420</w:t>
            </w:r>
          </w:hyperlink>
        </w:p>
        <w:p>
          <w:pPr>
            <w:pStyle w:val="Contents4"/>
            <w:tabs>
              <w:tab w:val="clear" w:pos="8176"/>
              <w:tab w:val="right" w:pos="9026" w:leader="dot"/>
            </w:tabs>
            <w:rPr/>
          </w:pPr>
          <w:hyperlink w:anchor="__RefHeading___Toc3809009_1067777946">
            <w:r>
              <w:rPr>
                <w:webHidden/>
                <w:rStyle w:val="IndexLink"/>
                <w:rtl w:val="true"/>
              </w:rPr>
              <w:t>اشتمال حمل بر دو نفر</w:t>
            </w:r>
            <w:r>
              <w:rPr>
                <w:rStyle w:val="IndexLink"/>
                <w:rtl w:val="true"/>
              </w:rPr>
              <w:tab/>
            </w:r>
            <w:r>
              <w:rPr>
                <w:rStyle w:val="IndexLink"/>
              </w:rPr>
              <w:t>420</w:t>
            </w:r>
          </w:hyperlink>
        </w:p>
        <w:p>
          <w:pPr>
            <w:pStyle w:val="Contents4"/>
            <w:tabs>
              <w:tab w:val="clear" w:pos="8176"/>
              <w:tab w:val="right" w:pos="9026" w:leader="dot"/>
            </w:tabs>
            <w:rPr/>
          </w:pPr>
          <w:hyperlink w:anchor="__RefHeading___Toc3809011_1067777946">
            <w:r>
              <w:rPr>
                <w:webHidden/>
                <w:rStyle w:val="IndexLink"/>
                <w:rtl w:val="true"/>
              </w:rPr>
              <w:t>عدم تلازم اقرار به وصيت به ولديّت با زوجيّت</w:t>
            </w:r>
            <w:r>
              <w:rPr>
                <w:rStyle w:val="IndexLink"/>
                <w:rtl w:val="true"/>
              </w:rPr>
              <w:tab/>
            </w:r>
            <w:r>
              <w:rPr>
                <w:rStyle w:val="IndexLink"/>
              </w:rPr>
              <w:t>421</w:t>
            </w:r>
          </w:hyperlink>
        </w:p>
        <w:p>
          <w:pPr>
            <w:pStyle w:val="Contents3"/>
            <w:tabs>
              <w:tab w:val="clear" w:pos="8459"/>
              <w:tab w:val="right" w:pos="9026" w:leader="dot"/>
            </w:tabs>
            <w:rPr/>
          </w:pPr>
          <w:hyperlink w:anchor="__RefHeading___Toc3809013_1067777946">
            <w:r>
              <w:rPr>
                <w:webHidden/>
                <w:rStyle w:val="IndexLink"/>
                <w:rtl w:val="true"/>
              </w:rPr>
              <w:t>فصل چهارم تعقيب اقرار به اقرار</w:t>
            </w:r>
            <w:r>
              <w:rPr>
                <w:rStyle w:val="IndexLink"/>
                <w:rtl w:val="true"/>
              </w:rPr>
              <w:tab/>
            </w:r>
            <w:r>
              <w:rPr>
                <w:rStyle w:val="IndexLink"/>
              </w:rPr>
              <w:t>422</w:t>
            </w:r>
          </w:hyperlink>
        </w:p>
        <w:p>
          <w:pPr>
            <w:pStyle w:val="Contents4"/>
            <w:tabs>
              <w:tab w:val="clear" w:pos="8176"/>
              <w:tab w:val="right" w:pos="9026" w:leader="dot"/>
            </w:tabs>
            <w:rPr/>
          </w:pPr>
          <w:hyperlink w:anchor="__RefHeading___Toc3809015_1067777946">
            <w:r>
              <w:rPr>
                <w:webHidden/>
                <w:rStyle w:val="IndexLink"/>
                <w:rtl w:val="true"/>
              </w:rPr>
              <w:t>اقرار به خانه اى براى شخصى سپس بريا شخص ديگرى</w:t>
            </w:r>
            <w:r>
              <w:rPr>
                <w:rStyle w:val="IndexLink"/>
                <w:rtl w:val="true"/>
              </w:rPr>
              <w:tab/>
            </w:r>
            <w:r>
              <w:rPr>
                <w:rStyle w:val="IndexLink"/>
              </w:rPr>
              <w:t>422</w:t>
            </w:r>
          </w:hyperlink>
        </w:p>
        <w:p>
          <w:pPr>
            <w:pStyle w:val="Contents4"/>
            <w:tabs>
              <w:tab w:val="clear" w:pos="8176"/>
              <w:tab w:val="right" w:pos="9026" w:leader="dot"/>
            </w:tabs>
            <w:rPr/>
          </w:pPr>
          <w:hyperlink w:anchor="__RefHeading___Toc3809017_1067777946">
            <w:r>
              <w:rPr>
                <w:webHidden/>
                <w:rStyle w:val="IndexLink"/>
                <w:rtl w:val="true"/>
              </w:rPr>
              <w:t>تعقيب به اقرار براى دو نفر</w:t>
            </w:r>
            <w:r>
              <w:rPr>
                <w:rStyle w:val="IndexLink"/>
                <w:rtl w:val="true"/>
              </w:rPr>
              <w:tab/>
            </w:r>
            <w:r>
              <w:rPr>
                <w:rStyle w:val="IndexLink"/>
              </w:rPr>
              <w:t>422</w:t>
            </w:r>
          </w:hyperlink>
        </w:p>
        <w:p>
          <w:pPr>
            <w:pStyle w:val="Contents4"/>
            <w:tabs>
              <w:tab w:val="clear" w:pos="8176"/>
              <w:tab w:val="right" w:pos="9026" w:leader="dot"/>
            </w:tabs>
            <w:rPr/>
          </w:pPr>
          <w:hyperlink w:anchor="__RefHeading___Toc3809019_1067777946">
            <w:r>
              <w:rPr>
                <w:webHidden/>
                <w:rStyle w:val="IndexLink"/>
                <w:rtl w:val="true"/>
              </w:rPr>
              <w:t>اقرار براى دو نفر و بعد براى يك نفر يا دو نفر</w:t>
            </w:r>
            <w:r>
              <w:rPr>
                <w:rStyle w:val="IndexLink"/>
                <w:rtl w:val="true"/>
              </w:rPr>
              <w:tab/>
            </w:r>
            <w:r>
              <w:rPr>
                <w:rStyle w:val="IndexLink"/>
              </w:rPr>
              <w:t>423</w:t>
            </w:r>
          </w:hyperlink>
        </w:p>
        <w:p>
          <w:pPr>
            <w:pStyle w:val="Contents4"/>
            <w:tabs>
              <w:tab w:val="clear" w:pos="8176"/>
              <w:tab w:val="right" w:pos="9026" w:leader="dot"/>
            </w:tabs>
            <w:rPr/>
          </w:pPr>
          <w:hyperlink w:anchor="__RefHeading___Toc3809021_1067777946">
            <w:r>
              <w:rPr>
                <w:webHidden/>
                <w:rStyle w:val="IndexLink"/>
                <w:rtl w:val="true"/>
              </w:rPr>
              <w:t>اقرار به مملوكيّت عبد براى غير</w:t>
            </w:r>
            <w:r>
              <w:rPr>
                <w:rStyle w:val="IndexLink"/>
                <w:rtl w:val="true"/>
              </w:rPr>
              <w:tab/>
            </w:r>
            <w:r>
              <w:rPr>
                <w:rStyle w:val="IndexLink"/>
              </w:rPr>
              <w:t>424</w:t>
            </w:r>
          </w:hyperlink>
        </w:p>
        <w:p>
          <w:pPr>
            <w:pStyle w:val="Contents4"/>
            <w:tabs>
              <w:tab w:val="clear" w:pos="8176"/>
              <w:tab w:val="right" w:pos="9026" w:leader="dot"/>
            </w:tabs>
            <w:rPr/>
          </w:pPr>
          <w:hyperlink w:anchor="__RefHeading___Toc3809023_1067777946">
            <w:r>
              <w:rPr>
                <w:webHidden/>
                <w:rStyle w:val="IndexLink"/>
                <w:rtl w:val="true"/>
              </w:rPr>
              <w:t>ادّعاى عتق و عبد خريد آن</w:t>
            </w:r>
            <w:r>
              <w:rPr>
                <w:rStyle w:val="IndexLink"/>
                <w:rtl w:val="true"/>
              </w:rPr>
              <w:tab/>
            </w:r>
            <w:r>
              <w:rPr>
                <w:rStyle w:val="IndexLink"/>
              </w:rPr>
              <w:t>424</w:t>
            </w:r>
          </w:hyperlink>
        </w:p>
        <w:p>
          <w:pPr>
            <w:pStyle w:val="Contents4"/>
            <w:tabs>
              <w:tab w:val="clear" w:pos="8176"/>
              <w:tab w:val="right" w:pos="9026" w:leader="dot"/>
            </w:tabs>
            <w:rPr/>
          </w:pPr>
          <w:hyperlink w:anchor="__RefHeading___Toc3809025_1067777946">
            <w:r>
              <w:rPr>
                <w:webHidden/>
                <w:rStyle w:val="IndexLink"/>
                <w:rtl w:val="true"/>
              </w:rPr>
              <w:t>وفات عبد در فرض مذكور</w:t>
            </w:r>
            <w:r>
              <w:rPr>
                <w:rStyle w:val="IndexLink"/>
                <w:rtl w:val="true"/>
              </w:rPr>
              <w:tab/>
            </w:r>
            <w:r>
              <w:rPr>
                <w:rStyle w:val="IndexLink"/>
              </w:rPr>
              <w:t>425</w:t>
            </w:r>
          </w:hyperlink>
        </w:p>
        <w:p>
          <w:pPr>
            <w:pStyle w:val="Contents4"/>
            <w:tabs>
              <w:tab w:val="clear" w:pos="8176"/>
              <w:tab w:val="right" w:pos="9026" w:leader="dot"/>
            </w:tabs>
            <w:rPr/>
          </w:pPr>
          <w:hyperlink w:anchor="__RefHeading___Toc3809027_1067777946">
            <w:r>
              <w:rPr>
                <w:webHidden/>
                <w:rStyle w:val="IndexLink"/>
                <w:rtl w:val="true"/>
              </w:rPr>
              <w:t>حكم اقرار به صورت خاصّ‌</w:t>
            </w:r>
            <w:r>
              <w:rPr>
                <w:rStyle w:val="IndexLink"/>
                <w:rtl w:val="true"/>
              </w:rPr>
              <w:tab/>
            </w:r>
            <w:r>
              <w:rPr>
                <w:rStyle w:val="IndexLink"/>
              </w:rPr>
              <w:t>425</w:t>
            </w:r>
          </w:hyperlink>
        </w:p>
        <w:p>
          <w:pPr>
            <w:pStyle w:val="Contents3"/>
            <w:tabs>
              <w:tab w:val="clear" w:pos="8459"/>
              <w:tab w:val="right" w:pos="9026" w:leader="dot"/>
            </w:tabs>
            <w:rPr/>
          </w:pPr>
          <w:hyperlink w:anchor="__RefHeading___Toc3809029_1067777946">
            <w:r>
              <w:rPr>
                <w:webHidden/>
                <w:rStyle w:val="IndexLink"/>
                <w:rtl w:val="true"/>
              </w:rPr>
              <w:t>فصل پنجم تعقيب اقرار به ظاهر در ابطال</w:t>
            </w:r>
            <w:r>
              <w:rPr>
                <w:rStyle w:val="IndexLink"/>
                <w:rtl w:val="true"/>
              </w:rPr>
              <w:tab/>
            </w:r>
            <w:r>
              <w:rPr>
                <w:rStyle w:val="IndexLink"/>
              </w:rPr>
              <w:t>426</w:t>
            </w:r>
          </w:hyperlink>
        </w:p>
        <w:p>
          <w:pPr>
            <w:pStyle w:val="Contents4"/>
            <w:tabs>
              <w:tab w:val="clear" w:pos="8176"/>
              <w:tab w:val="right" w:pos="9026" w:leader="dot"/>
            </w:tabs>
            <w:rPr/>
          </w:pPr>
          <w:hyperlink w:anchor="__RefHeading___Toc3809031_1067777946">
            <w:r>
              <w:rPr>
                <w:webHidden/>
                <w:rStyle w:val="IndexLink"/>
                <w:rtl w:val="true"/>
              </w:rPr>
              <w:t>اشاره</w:t>
            </w:r>
            <w:r>
              <w:rPr>
                <w:rStyle w:val="IndexLink"/>
                <w:rtl w:val="true"/>
              </w:rPr>
              <w:tab/>
            </w:r>
            <w:r>
              <w:rPr>
                <w:rStyle w:val="IndexLink"/>
              </w:rPr>
              <w:t>426</w:t>
            </w:r>
          </w:hyperlink>
        </w:p>
        <w:p>
          <w:pPr>
            <w:pStyle w:val="Contents4"/>
            <w:tabs>
              <w:tab w:val="clear" w:pos="8176"/>
              <w:tab w:val="right" w:pos="9026" w:leader="dot"/>
            </w:tabs>
            <w:rPr/>
          </w:pPr>
          <w:hyperlink w:anchor="__RefHeading___Toc3809033_1067777946">
            <w:r>
              <w:rPr>
                <w:webHidden/>
                <w:rStyle w:val="IndexLink"/>
                <w:rtl w:val="true"/>
              </w:rPr>
              <w:t>صلاحيّت متأخّر براى تعيين مراد در مقام</w:t>
            </w:r>
            <w:r>
              <w:rPr>
                <w:rStyle w:val="IndexLink"/>
                <w:rtl w:val="true"/>
              </w:rPr>
              <w:tab/>
            </w:r>
            <w:r>
              <w:rPr>
                <w:rStyle w:val="IndexLink"/>
              </w:rPr>
              <w:t>426</w:t>
            </w:r>
          </w:hyperlink>
        </w:p>
        <w:p>
          <w:pPr>
            <w:pStyle w:val="Contents4"/>
            <w:tabs>
              <w:tab w:val="clear" w:pos="8176"/>
              <w:tab w:val="right" w:pos="9026" w:leader="dot"/>
            </w:tabs>
            <w:rPr/>
          </w:pPr>
          <w:hyperlink w:anchor="__RefHeading___Toc3809035_1067777946">
            <w:r>
              <w:rPr>
                <w:webHidden/>
                <w:rStyle w:val="IndexLink"/>
                <w:rtl w:val="true"/>
              </w:rPr>
              <w:t>فرض تقييد بعد از قطع كلام</w:t>
            </w:r>
            <w:r>
              <w:rPr>
                <w:rStyle w:val="IndexLink"/>
                <w:rtl w:val="true"/>
              </w:rPr>
              <w:tab/>
            </w:r>
            <w:r>
              <w:rPr>
                <w:rStyle w:val="IndexLink"/>
              </w:rPr>
              <w:t>427</w:t>
            </w:r>
          </w:hyperlink>
        </w:p>
        <w:p>
          <w:pPr>
            <w:pStyle w:val="Contents4"/>
            <w:tabs>
              <w:tab w:val="clear" w:pos="8176"/>
              <w:tab w:val="right" w:pos="9026" w:leader="dot"/>
            </w:tabs>
            <w:rPr/>
          </w:pPr>
          <w:hyperlink w:anchor="__RefHeading___Toc3809037_1067777946">
            <w:r>
              <w:rPr>
                <w:webHidden/>
                <w:rStyle w:val="IndexLink"/>
                <w:rtl w:val="true"/>
              </w:rPr>
              <w:t>تبيين راجع به استثنا و فرق مثبت و منفى</w:t>
            </w:r>
            <w:r>
              <w:rPr>
                <w:rStyle w:val="IndexLink"/>
                <w:rtl w:val="true"/>
              </w:rPr>
              <w:tab/>
            </w:r>
            <w:r>
              <w:rPr>
                <w:rStyle w:val="IndexLink"/>
              </w:rPr>
              <w:t>427</w:t>
            </w:r>
          </w:hyperlink>
        </w:p>
        <w:p>
          <w:pPr>
            <w:pStyle w:val="Contents4"/>
            <w:tabs>
              <w:tab w:val="clear" w:pos="8176"/>
              <w:tab w:val="right" w:pos="9026" w:leader="dot"/>
            </w:tabs>
            <w:rPr/>
          </w:pPr>
          <w:hyperlink w:anchor="__RefHeading___Toc3809039_1067777946">
            <w:r>
              <w:rPr>
                <w:webHidden/>
                <w:rStyle w:val="IndexLink"/>
                <w:rtl w:val="true"/>
              </w:rPr>
              <w:t>فرض عدم مسموعيّت اقرار ثانى</w:t>
            </w:r>
            <w:r>
              <w:rPr>
                <w:rStyle w:val="IndexLink"/>
                <w:rtl w:val="true"/>
              </w:rPr>
              <w:tab/>
            </w:r>
            <w:r>
              <w:rPr>
                <w:rStyle w:val="IndexLink"/>
              </w:rPr>
              <w:t>427</w:t>
            </w:r>
          </w:hyperlink>
        </w:p>
        <w:p>
          <w:pPr>
            <w:pStyle w:val="Contents4"/>
            <w:tabs>
              <w:tab w:val="clear" w:pos="8176"/>
              <w:tab w:val="right" w:pos="9026" w:leader="dot"/>
            </w:tabs>
            <w:rPr/>
          </w:pPr>
          <w:hyperlink w:anchor="__RefHeading___Toc3809041_1067777946">
            <w:r>
              <w:rPr>
                <w:webHidden/>
                <w:rStyle w:val="IndexLink"/>
                <w:rtl w:val="true"/>
              </w:rPr>
              <w:t>نتيجۀ متعاكس در استثنا</w:t>
            </w:r>
            <w:r>
              <w:rPr>
                <w:rStyle w:val="IndexLink"/>
                <w:rtl w:val="true"/>
              </w:rPr>
              <w:tab/>
            </w:r>
            <w:r>
              <w:rPr>
                <w:rStyle w:val="IndexLink"/>
              </w:rPr>
              <w:t>428</w:t>
            </w:r>
          </w:hyperlink>
        </w:p>
        <w:p>
          <w:pPr>
            <w:pStyle w:val="Contents4"/>
            <w:tabs>
              <w:tab w:val="clear" w:pos="8176"/>
              <w:tab w:val="right" w:pos="9026" w:leader="dot"/>
            </w:tabs>
            <w:rPr/>
          </w:pPr>
          <w:hyperlink w:anchor="__RefHeading___Toc3809043_1067777946">
            <w:r>
              <w:rPr>
                <w:webHidden/>
                <w:rStyle w:val="IndexLink"/>
                <w:rtl w:val="true"/>
              </w:rPr>
              <w:t>اعتبار حمل بر شرط صحيح در عقد در ادّعاى خيار</w:t>
            </w:r>
            <w:r>
              <w:rPr>
                <w:rStyle w:val="IndexLink"/>
                <w:rtl w:val="true"/>
              </w:rPr>
              <w:tab/>
            </w:r>
            <w:r>
              <w:rPr>
                <w:rStyle w:val="IndexLink"/>
              </w:rPr>
              <w:t>428</w:t>
            </w:r>
          </w:hyperlink>
        </w:p>
        <w:p>
          <w:pPr>
            <w:pStyle w:val="Contents4"/>
            <w:tabs>
              <w:tab w:val="clear" w:pos="8176"/>
              <w:tab w:val="right" w:pos="9026" w:leader="dot"/>
            </w:tabs>
            <w:rPr/>
          </w:pPr>
          <w:hyperlink w:anchor="__RefHeading___Toc3809045_1067777946">
            <w:r>
              <w:rPr>
                <w:webHidden/>
                <w:rStyle w:val="IndexLink"/>
                <w:rtl w:val="true"/>
              </w:rPr>
              <w:t>نفوذ اقرار به بدهى مال ناقص</w:t>
            </w:r>
            <w:r>
              <w:rPr>
                <w:rStyle w:val="IndexLink"/>
                <w:rtl w:val="true"/>
              </w:rPr>
              <w:tab/>
            </w:r>
            <w:r>
              <w:rPr>
                <w:rStyle w:val="IndexLink"/>
              </w:rPr>
              <w:t>428</w:t>
            </w:r>
          </w:hyperlink>
        </w:p>
        <w:p>
          <w:pPr>
            <w:pStyle w:val="Contents4"/>
            <w:tabs>
              <w:tab w:val="clear" w:pos="8176"/>
              <w:tab w:val="right" w:pos="9026" w:leader="dot"/>
            </w:tabs>
            <w:rPr/>
          </w:pPr>
          <w:hyperlink w:anchor="__RefHeading___Toc3809047_1067777946">
            <w:r>
              <w:rPr>
                <w:webHidden/>
                <w:rStyle w:val="IndexLink"/>
                <w:rtl w:val="true"/>
              </w:rPr>
              <w:t>مقبوليّت استدراك در اقرار</w:t>
            </w:r>
            <w:r>
              <w:rPr>
                <w:rStyle w:val="IndexLink"/>
                <w:rtl w:val="true"/>
              </w:rPr>
              <w:tab/>
            </w:r>
            <w:r>
              <w:rPr>
                <w:rStyle w:val="IndexLink"/>
              </w:rPr>
              <w:t>429</w:t>
            </w:r>
          </w:hyperlink>
        </w:p>
        <w:p>
          <w:pPr>
            <w:pStyle w:val="Contents4"/>
            <w:tabs>
              <w:tab w:val="clear" w:pos="8176"/>
              <w:tab w:val="right" w:pos="9026" w:leader="dot"/>
            </w:tabs>
            <w:rPr/>
          </w:pPr>
          <w:hyperlink w:anchor="__RefHeading___Toc3809049_1067777946">
            <w:r>
              <w:rPr>
                <w:webHidden/>
                <w:rStyle w:val="IndexLink"/>
                <w:rtl w:val="true"/>
              </w:rPr>
              <w:t>قرينيّت لاحق در فرض اتصال</w:t>
            </w:r>
            <w:r>
              <w:rPr>
                <w:rStyle w:val="IndexLink"/>
                <w:rtl w:val="true"/>
              </w:rPr>
              <w:tab/>
            </w:r>
            <w:r>
              <w:rPr>
                <w:rStyle w:val="IndexLink"/>
              </w:rPr>
              <w:t>429</w:t>
            </w:r>
          </w:hyperlink>
        </w:p>
        <w:p>
          <w:pPr>
            <w:pStyle w:val="Contents4"/>
            <w:tabs>
              <w:tab w:val="clear" w:pos="8176"/>
              <w:tab w:val="right" w:pos="9026" w:leader="dot"/>
            </w:tabs>
            <w:rPr/>
          </w:pPr>
          <w:hyperlink w:anchor="__RefHeading___Toc3809051_1067777946">
            <w:r>
              <w:rPr>
                <w:webHidden/>
                <w:rStyle w:val="IndexLink"/>
                <w:rtl w:val="true"/>
              </w:rPr>
              <w:t>اقرار به فروش و قبض ثمن يا خريد و قبض مبيع و إن كان آن</w:t>
            </w:r>
            <w:r>
              <w:rPr>
                <w:rStyle w:val="IndexLink"/>
                <w:rtl w:val="true"/>
              </w:rPr>
              <w:tab/>
            </w:r>
            <w:r>
              <w:rPr>
                <w:rStyle w:val="IndexLink"/>
              </w:rPr>
              <w:t>430</w:t>
            </w:r>
          </w:hyperlink>
        </w:p>
        <w:p>
          <w:pPr>
            <w:pStyle w:val="Contents3"/>
            <w:tabs>
              <w:tab w:val="clear" w:pos="8459"/>
              <w:tab w:val="right" w:pos="9026" w:leader="dot"/>
            </w:tabs>
            <w:rPr/>
          </w:pPr>
          <w:hyperlink w:anchor="__RefHeading___Toc3809053_1067777946">
            <w:r>
              <w:rPr>
                <w:webHidden/>
                <w:rStyle w:val="IndexLink"/>
                <w:rtl w:val="true"/>
              </w:rPr>
              <w:t>فصل ششم اقرار به نسب</w:t>
            </w:r>
            <w:r>
              <w:rPr>
                <w:rStyle w:val="IndexLink"/>
                <w:rtl w:val="true"/>
              </w:rPr>
              <w:tab/>
            </w:r>
            <w:r>
              <w:rPr>
                <w:rStyle w:val="IndexLink"/>
              </w:rPr>
              <w:t>431</w:t>
            </w:r>
          </w:hyperlink>
        </w:p>
        <w:p>
          <w:pPr>
            <w:pStyle w:val="Contents4"/>
            <w:tabs>
              <w:tab w:val="clear" w:pos="8176"/>
              <w:tab w:val="right" w:pos="9026" w:leader="dot"/>
            </w:tabs>
            <w:rPr/>
          </w:pPr>
          <w:hyperlink w:anchor="__RefHeading___Toc3809055_1067777946">
            <w:r>
              <w:rPr>
                <w:webHidden/>
                <w:rStyle w:val="IndexLink"/>
                <w:rtl w:val="true"/>
              </w:rPr>
              <w:t>اشاره</w:t>
            </w:r>
            <w:r>
              <w:rPr>
                <w:rStyle w:val="IndexLink"/>
                <w:rtl w:val="true"/>
              </w:rPr>
              <w:tab/>
            </w:r>
            <w:r>
              <w:rPr>
                <w:rStyle w:val="IndexLink"/>
              </w:rPr>
              <w:t>431</w:t>
            </w:r>
          </w:hyperlink>
        </w:p>
        <w:p>
          <w:pPr>
            <w:pStyle w:val="Contents4"/>
            <w:tabs>
              <w:tab w:val="clear" w:pos="8176"/>
              <w:tab w:val="right" w:pos="9026" w:leader="dot"/>
            </w:tabs>
            <w:rPr/>
          </w:pPr>
          <w:hyperlink w:anchor="__RefHeading___Toc3809057_1067777946">
            <w:r>
              <w:rPr>
                <w:webHidden/>
                <w:rStyle w:val="IndexLink"/>
                <w:rtl w:val="true"/>
              </w:rPr>
              <w:t>اقرار به بنوّت ولد صغير</w:t>
            </w:r>
            <w:r>
              <w:rPr>
                <w:rStyle w:val="IndexLink"/>
                <w:rtl w:val="true"/>
              </w:rPr>
              <w:tab/>
            </w:r>
            <w:r>
              <w:rPr>
                <w:rStyle w:val="IndexLink"/>
              </w:rPr>
              <w:t>431</w:t>
            </w:r>
          </w:hyperlink>
        </w:p>
        <w:p>
          <w:pPr>
            <w:pStyle w:val="Contents4"/>
            <w:tabs>
              <w:tab w:val="clear" w:pos="8176"/>
              <w:tab w:val="right" w:pos="9026" w:leader="dot"/>
            </w:tabs>
            <w:rPr/>
          </w:pPr>
          <w:hyperlink w:anchor="__RefHeading___Toc3809059_1067777946">
            <w:r>
              <w:rPr>
                <w:webHidden/>
                <w:rStyle w:val="IndexLink"/>
                <w:rtl w:val="true"/>
              </w:rPr>
              <w:t>اعتبار تصديق در كبير</w:t>
            </w:r>
            <w:r>
              <w:rPr>
                <w:rStyle w:val="IndexLink"/>
                <w:rtl w:val="true"/>
              </w:rPr>
              <w:tab/>
            </w:r>
            <w:r>
              <w:rPr>
                <w:rStyle w:val="IndexLink"/>
              </w:rPr>
              <w:t>432</w:t>
            </w:r>
          </w:hyperlink>
        </w:p>
        <w:p>
          <w:pPr>
            <w:pStyle w:val="Contents4"/>
            <w:tabs>
              <w:tab w:val="clear" w:pos="8176"/>
              <w:tab w:val="right" w:pos="9026" w:leader="dot"/>
            </w:tabs>
            <w:rPr/>
          </w:pPr>
          <w:hyperlink w:anchor="__RefHeading___Toc3809061_1067777946">
            <w:r>
              <w:rPr>
                <w:webHidden/>
                <w:rStyle w:val="IndexLink"/>
                <w:rtl w:val="true"/>
              </w:rPr>
              <w:t>اگر حربيّه اى با ولد خود داخل دار الاسلام شد</w:t>
            </w:r>
            <w:r>
              <w:rPr>
                <w:rStyle w:val="IndexLink"/>
                <w:rtl w:val="true"/>
              </w:rPr>
              <w:t>...</w:t>
              <w:tab/>
            </w:r>
            <w:r>
              <w:rPr>
                <w:rStyle w:val="IndexLink"/>
              </w:rPr>
              <w:t>432</w:t>
            </w:r>
          </w:hyperlink>
        </w:p>
        <w:p>
          <w:pPr>
            <w:pStyle w:val="Contents4"/>
            <w:tabs>
              <w:tab w:val="clear" w:pos="8176"/>
              <w:tab w:val="right" w:pos="9026" w:leader="dot"/>
            </w:tabs>
            <w:rPr/>
          </w:pPr>
          <w:hyperlink w:anchor="__RefHeading___Toc3809063_1067777946">
            <w:r>
              <w:rPr>
                <w:webHidden/>
                <w:rStyle w:val="IndexLink"/>
                <w:rtl w:val="true"/>
              </w:rPr>
              <w:t>عدم اعتبار تصديق دو صغير</w:t>
            </w:r>
            <w:r>
              <w:rPr>
                <w:rStyle w:val="IndexLink"/>
                <w:rtl w:val="true"/>
              </w:rPr>
              <w:tab/>
            </w:r>
            <w:r>
              <w:rPr>
                <w:rStyle w:val="IndexLink"/>
              </w:rPr>
              <w:t>433</w:t>
            </w:r>
          </w:hyperlink>
        </w:p>
        <w:p>
          <w:pPr>
            <w:pStyle w:val="Contents4"/>
            <w:tabs>
              <w:tab w:val="clear" w:pos="8176"/>
              <w:tab w:val="right" w:pos="9026" w:leader="dot"/>
            </w:tabs>
            <w:rPr/>
          </w:pPr>
          <w:hyperlink w:anchor="__RefHeading___Toc3809065_1067777946">
            <w:r>
              <w:rPr>
                <w:webHidden/>
                <w:rStyle w:val="IndexLink"/>
                <w:rtl w:val="true"/>
              </w:rPr>
              <w:t>اثبات سائر انساب به وسيلۀ اقرار</w:t>
            </w:r>
            <w:r>
              <w:rPr>
                <w:rStyle w:val="IndexLink"/>
                <w:rtl w:val="true"/>
              </w:rPr>
              <w:tab/>
            </w:r>
            <w:r>
              <w:rPr>
                <w:rStyle w:val="IndexLink"/>
              </w:rPr>
              <w:t>433</w:t>
            </w:r>
          </w:hyperlink>
        </w:p>
        <w:p>
          <w:pPr>
            <w:pStyle w:val="Contents4"/>
            <w:tabs>
              <w:tab w:val="clear" w:pos="8176"/>
              <w:tab w:val="right" w:pos="9026" w:leader="dot"/>
            </w:tabs>
            <w:rPr/>
          </w:pPr>
          <w:hyperlink w:anchor="__RefHeading___Toc3809067_1067777946">
            <w:r>
              <w:rPr>
                <w:webHidden/>
                <w:rStyle w:val="IndexLink"/>
                <w:rtl w:val="true"/>
              </w:rPr>
              <w:t>لزوم تصديق كبير در اثبات غير ولد صلبى به اقرار</w:t>
            </w:r>
            <w:r>
              <w:rPr>
                <w:rStyle w:val="IndexLink"/>
                <w:rtl w:val="true"/>
              </w:rPr>
              <w:tab/>
            </w:r>
            <w:r>
              <w:rPr>
                <w:rStyle w:val="IndexLink"/>
              </w:rPr>
              <w:t>434</w:t>
            </w:r>
          </w:hyperlink>
        </w:p>
        <w:p>
          <w:pPr>
            <w:pStyle w:val="Contents4"/>
            <w:tabs>
              <w:tab w:val="clear" w:pos="8176"/>
              <w:tab w:val="right" w:pos="9026" w:leader="dot"/>
            </w:tabs>
            <w:rPr/>
          </w:pPr>
          <w:hyperlink w:anchor="__RefHeading___Toc3809069_1067777946">
            <w:r>
              <w:rPr>
                <w:webHidden/>
                <w:rStyle w:val="IndexLink"/>
                <w:rtl w:val="true"/>
              </w:rPr>
              <w:t>اقوال در ولد صلبى و غير صلبى</w:t>
            </w:r>
            <w:r>
              <w:rPr>
                <w:rStyle w:val="IndexLink"/>
                <w:rtl w:val="true"/>
              </w:rPr>
              <w:tab/>
            </w:r>
            <w:r>
              <w:rPr>
                <w:rStyle w:val="IndexLink"/>
              </w:rPr>
              <w:t>434</w:t>
            </w:r>
          </w:hyperlink>
        </w:p>
        <w:p>
          <w:pPr>
            <w:pStyle w:val="Contents4"/>
            <w:tabs>
              <w:tab w:val="clear" w:pos="8176"/>
              <w:tab w:val="right" w:pos="9026" w:leader="dot"/>
            </w:tabs>
            <w:rPr/>
          </w:pPr>
          <w:hyperlink w:anchor="__RefHeading___Toc3809071_1067777946">
            <w:r>
              <w:rPr>
                <w:webHidden/>
                <w:rStyle w:val="IndexLink"/>
                <w:rtl w:val="true"/>
              </w:rPr>
              <w:t>چند فرع</w:t>
            </w:r>
            <w:r>
              <w:rPr>
                <w:rStyle w:val="IndexLink"/>
                <w:rtl w:val="true"/>
              </w:rPr>
              <w:tab/>
            </w:r>
            <w:r>
              <w:rPr>
                <w:rStyle w:val="IndexLink"/>
              </w:rPr>
              <w:t>435</w:t>
            </w:r>
          </w:hyperlink>
        </w:p>
        <w:p>
          <w:pPr>
            <w:pStyle w:val="Contents5"/>
            <w:tabs>
              <w:tab w:val="clear" w:pos="7892"/>
              <w:tab w:val="right" w:pos="9026" w:leader="dot"/>
            </w:tabs>
            <w:rPr/>
          </w:pPr>
          <w:hyperlink w:anchor="__RefHeading___Toc3809073_1067777946">
            <w:r>
              <w:rPr>
                <w:webHidden/>
                <w:rStyle w:val="IndexLink"/>
                <w:rtl w:val="true"/>
              </w:rPr>
              <w:t>انكار اقرار به اخوت توسط يكى از سه برادر</w:t>
            </w:r>
            <w:r>
              <w:rPr>
                <w:rStyle w:val="IndexLink"/>
                <w:rtl w:val="true"/>
              </w:rPr>
              <w:tab/>
            </w:r>
            <w:r>
              <w:rPr>
                <w:rStyle w:val="IndexLink"/>
              </w:rPr>
              <w:t>435</w:t>
            </w:r>
          </w:hyperlink>
        </w:p>
        <w:p>
          <w:pPr>
            <w:pStyle w:val="Contents5"/>
            <w:tabs>
              <w:tab w:val="clear" w:pos="7892"/>
              <w:tab w:val="right" w:pos="9026" w:leader="dot"/>
            </w:tabs>
            <w:rPr/>
          </w:pPr>
          <w:hyperlink w:anchor="__RefHeading___Toc3809075_1067777946">
            <w:r>
              <w:rPr>
                <w:webHidden/>
                <w:rStyle w:val="IndexLink"/>
                <w:rtl w:val="true"/>
              </w:rPr>
              <w:t>اقرار زوجه به ولد براى ميّت</w:t>
            </w:r>
            <w:r>
              <w:rPr>
                <w:rStyle w:val="IndexLink"/>
                <w:rtl w:val="true"/>
              </w:rPr>
              <w:tab/>
            </w:r>
            <w:r>
              <w:rPr>
                <w:rStyle w:val="IndexLink"/>
              </w:rPr>
              <w:t>436</w:t>
            </w:r>
          </w:hyperlink>
        </w:p>
        <w:p>
          <w:pPr>
            <w:pStyle w:val="Contents5"/>
            <w:tabs>
              <w:tab w:val="clear" w:pos="7892"/>
              <w:tab w:val="right" w:pos="9026" w:leader="dot"/>
            </w:tabs>
            <w:rPr/>
          </w:pPr>
          <w:hyperlink w:anchor="__RefHeading___Toc3809077_1067777946">
            <w:r>
              <w:rPr>
                <w:webHidden/>
                <w:rStyle w:val="IndexLink"/>
                <w:rtl w:val="true"/>
              </w:rPr>
              <w:t>اقرار شخصى به بنوّت صبى مجهول النسب بعد از وفات وى</w:t>
            </w:r>
            <w:r>
              <w:rPr>
                <w:rStyle w:val="IndexLink"/>
                <w:rtl w:val="true"/>
              </w:rPr>
              <w:tab/>
            </w:r>
            <w:r>
              <w:rPr>
                <w:rStyle w:val="IndexLink"/>
              </w:rPr>
              <w:t>436</w:t>
            </w:r>
          </w:hyperlink>
        </w:p>
        <w:p>
          <w:pPr>
            <w:pStyle w:val="Contents5"/>
            <w:tabs>
              <w:tab w:val="clear" w:pos="7892"/>
              <w:tab w:val="right" w:pos="9026" w:leader="dot"/>
            </w:tabs>
            <w:rPr/>
          </w:pPr>
          <w:hyperlink w:anchor="__RefHeading___Toc3809079_1067777946">
            <w:r>
              <w:rPr>
                <w:webHidden/>
                <w:rStyle w:val="IndexLink"/>
                <w:rtl w:val="true"/>
              </w:rPr>
              <w:t>تصادق بالغين بر نسب و رجوع از آن</w:t>
            </w:r>
            <w:r>
              <w:rPr>
                <w:rStyle w:val="IndexLink"/>
                <w:rtl w:val="true"/>
              </w:rPr>
              <w:tab/>
            </w:r>
            <w:r>
              <w:rPr>
                <w:rStyle w:val="IndexLink"/>
              </w:rPr>
              <w:t>436</w:t>
            </w:r>
          </w:hyperlink>
        </w:p>
        <w:p>
          <w:pPr>
            <w:pStyle w:val="Contents5"/>
            <w:tabs>
              <w:tab w:val="clear" w:pos="7892"/>
              <w:tab w:val="right" w:pos="9026" w:leader="dot"/>
            </w:tabs>
            <w:rPr/>
          </w:pPr>
          <w:hyperlink w:anchor="__RefHeading___Toc3809081_1067777946">
            <w:r>
              <w:rPr>
                <w:webHidden/>
                <w:rStyle w:val="IndexLink"/>
                <w:rtl w:val="true"/>
              </w:rPr>
              <w:t>اقرار به فرزندى از زنا</w:t>
            </w:r>
            <w:r>
              <w:rPr>
                <w:rStyle w:val="IndexLink"/>
                <w:rtl w:val="true"/>
              </w:rPr>
              <w:tab/>
            </w:r>
            <w:r>
              <w:rPr>
                <w:rStyle w:val="IndexLink"/>
              </w:rPr>
              <w:t>437</w:t>
            </w:r>
          </w:hyperlink>
        </w:p>
        <w:p>
          <w:pPr>
            <w:pStyle w:val="Contents5"/>
            <w:tabs>
              <w:tab w:val="clear" w:pos="7892"/>
              <w:tab w:val="right" w:pos="9026" w:leader="dot"/>
            </w:tabs>
            <w:rPr/>
          </w:pPr>
          <w:hyperlink w:anchor="__RefHeading___Toc3809083_1067777946">
            <w:r>
              <w:rPr>
                <w:webHidden/>
                <w:rStyle w:val="IndexLink"/>
                <w:rtl w:val="true"/>
              </w:rPr>
              <w:t>اقرار به اخوت يا ابوّت شخصى و تكذيب وى</w:t>
            </w:r>
            <w:r>
              <w:rPr>
                <w:rStyle w:val="IndexLink"/>
                <w:rtl w:val="true"/>
              </w:rPr>
              <w:tab/>
            </w:r>
            <w:r>
              <w:rPr>
                <w:rStyle w:val="IndexLink"/>
              </w:rPr>
              <w:t>437</w:t>
            </w:r>
          </w:hyperlink>
        </w:p>
        <w:p>
          <w:pPr>
            <w:pStyle w:val="Contents5"/>
            <w:tabs>
              <w:tab w:val="clear" w:pos="7892"/>
              <w:tab w:val="right" w:pos="9026" w:leader="dot"/>
            </w:tabs>
            <w:rPr/>
          </w:pPr>
          <w:hyperlink w:anchor="__RefHeading___Toc3809085_1067777946">
            <w:r>
              <w:rPr>
                <w:webHidden/>
                <w:rStyle w:val="IndexLink"/>
                <w:rtl w:val="true"/>
              </w:rPr>
              <w:t>اقرار به بنوّت ولد صغير و اثبات آن و انكار بالغ آن را</w:t>
            </w:r>
            <w:r>
              <w:rPr>
                <w:rStyle w:val="IndexLink"/>
                <w:rtl w:val="true"/>
              </w:rPr>
              <w:tab/>
            </w:r>
            <w:r>
              <w:rPr>
                <w:rStyle w:val="IndexLink"/>
              </w:rPr>
              <w:t>438</w:t>
            </w:r>
          </w:hyperlink>
        </w:p>
        <w:p>
          <w:pPr>
            <w:pStyle w:val="Contents5"/>
            <w:tabs>
              <w:tab w:val="clear" w:pos="7892"/>
              <w:tab w:val="right" w:pos="9026" w:leader="dot"/>
            </w:tabs>
            <w:rPr/>
          </w:pPr>
          <w:hyperlink w:anchor="__RefHeading___Toc3809087_1067777946">
            <w:r>
              <w:rPr>
                <w:webHidden/>
                <w:rStyle w:val="IndexLink"/>
                <w:rtl w:val="true"/>
              </w:rPr>
              <w:t>اقرار ولد به ولد ديگرى و اقرار هر دو به ثالث</w:t>
            </w:r>
            <w:r>
              <w:rPr>
                <w:rStyle w:val="IndexLink"/>
                <w:rtl w:val="true"/>
              </w:rPr>
              <w:tab/>
            </w:r>
            <w:r>
              <w:rPr>
                <w:rStyle w:val="IndexLink"/>
              </w:rPr>
              <w:t>438</w:t>
            </w:r>
          </w:hyperlink>
        </w:p>
        <w:p>
          <w:pPr>
            <w:pStyle w:val="Contents5"/>
            <w:tabs>
              <w:tab w:val="clear" w:pos="7892"/>
              <w:tab w:val="right" w:pos="9026" w:leader="dot"/>
            </w:tabs>
            <w:rPr/>
          </w:pPr>
          <w:hyperlink w:anchor="__RefHeading___Toc3809089_1067777946">
            <w:r>
              <w:rPr>
                <w:webHidden/>
                <w:rStyle w:val="IndexLink"/>
                <w:rtl w:val="true"/>
              </w:rPr>
              <w:t>اقرار زوجه براى ولد ميّت و اقرار براى اقرب</w:t>
            </w:r>
            <w:r>
              <w:rPr>
                <w:rStyle w:val="IndexLink"/>
                <w:rtl w:val="true"/>
              </w:rPr>
              <w:tab/>
            </w:r>
            <w:r>
              <w:rPr>
                <w:rStyle w:val="IndexLink"/>
              </w:rPr>
              <w:t>439</w:t>
            </w:r>
          </w:hyperlink>
        </w:p>
        <w:p>
          <w:pPr>
            <w:pStyle w:val="Contents5"/>
            <w:tabs>
              <w:tab w:val="clear" w:pos="7892"/>
              <w:tab w:val="right" w:pos="9026" w:leader="dot"/>
            </w:tabs>
            <w:rPr/>
          </w:pPr>
          <w:hyperlink w:anchor="__RefHeading___Toc3809091_1067777946">
            <w:r>
              <w:rPr>
                <w:webHidden/>
                <w:rStyle w:val="IndexLink"/>
                <w:rtl w:val="true"/>
              </w:rPr>
              <w:t>اقرار به بنوّت يا مجنونيّت ميّت</w:t>
            </w:r>
            <w:r>
              <w:rPr>
                <w:rStyle w:val="IndexLink"/>
                <w:rtl w:val="true"/>
              </w:rPr>
              <w:tab/>
            </w:r>
            <w:r>
              <w:rPr>
                <w:rStyle w:val="IndexLink"/>
              </w:rPr>
              <w:t>439</w:t>
            </w:r>
          </w:hyperlink>
        </w:p>
        <w:p>
          <w:pPr>
            <w:pStyle w:val="Contents5"/>
            <w:tabs>
              <w:tab w:val="clear" w:pos="7892"/>
              <w:tab w:val="right" w:pos="9026" w:leader="dot"/>
            </w:tabs>
            <w:rPr/>
          </w:pPr>
          <w:hyperlink w:anchor="__RefHeading___Toc3809093_1067777946">
            <w:r>
              <w:rPr>
                <w:webHidden/>
                <w:rStyle w:val="IndexLink"/>
                <w:rtl w:val="true"/>
              </w:rPr>
              <w:t>اقرار مالك به بنوّت ولد واحد</w:t>
            </w:r>
            <w:r>
              <w:rPr>
                <w:rStyle w:val="IndexLink"/>
                <w:rtl w:val="true"/>
              </w:rPr>
              <w:tab/>
            </w:r>
            <w:r>
              <w:rPr>
                <w:rStyle w:val="IndexLink"/>
              </w:rPr>
              <w:t>440</w:t>
            </w:r>
          </w:hyperlink>
        </w:p>
        <w:p>
          <w:pPr>
            <w:pStyle w:val="Contents5"/>
            <w:tabs>
              <w:tab w:val="clear" w:pos="7892"/>
              <w:tab w:val="right" w:pos="9026" w:leader="dot"/>
            </w:tabs>
            <w:rPr/>
          </w:pPr>
          <w:hyperlink w:anchor="__RefHeading___Toc3809095_1067777946">
            <w:r>
              <w:rPr>
                <w:webHidden/>
                <w:rStyle w:val="IndexLink"/>
                <w:rtl w:val="true"/>
              </w:rPr>
              <w:t>اقرار به بنوّت يكى از سه ولد كنيز</w:t>
            </w:r>
            <w:r>
              <w:rPr>
                <w:rStyle w:val="IndexLink"/>
                <w:rtl w:val="true"/>
              </w:rPr>
              <w:tab/>
            </w:r>
            <w:r>
              <w:rPr>
                <w:rStyle w:val="IndexLink"/>
              </w:rPr>
              <w:t>441</w:t>
            </w:r>
          </w:hyperlink>
        </w:p>
        <w:p>
          <w:pPr>
            <w:pStyle w:val="Contents5"/>
            <w:tabs>
              <w:tab w:val="clear" w:pos="7892"/>
              <w:tab w:val="right" w:pos="9026" w:leader="dot"/>
            </w:tabs>
            <w:rPr/>
          </w:pPr>
          <w:hyperlink w:anchor="__RefHeading___Toc3809097_1067777946">
            <w:r>
              <w:rPr>
                <w:webHidden/>
                <w:rStyle w:val="IndexLink"/>
                <w:rtl w:val="true"/>
              </w:rPr>
              <w:t>نحوۀ ثابت شدن نسب</w:t>
            </w:r>
            <w:r>
              <w:rPr>
                <w:rStyle w:val="IndexLink"/>
                <w:rtl w:val="true"/>
              </w:rPr>
              <w:tab/>
            </w:r>
            <w:r>
              <w:rPr>
                <w:rStyle w:val="IndexLink"/>
              </w:rPr>
              <w:t>441</w:t>
            </w:r>
          </w:hyperlink>
        </w:p>
        <w:p>
          <w:pPr>
            <w:pStyle w:val="Contents5"/>
            <w:tabs>
              <w:tab w:val="clear" w:pos="7892"/>
              <w:tab w:val="right" w:pos="9026" w:leader="dot"/>
            </w:tabs>
            <w:rPr/>
          </w:pPr>
          <w:hyperlink w:anchor="__RefHeading___Toc3809099_1067777946">
            <w:r>
              <w:rPr>
                <w:webHidden/>
                <w:rStyle w:val="IndexLink"/>
                <w:rtl w:val="true"/>
              </w:rPr>
              <w:t>شهادت دو برادر به پسرى براى ميّت</w:t>
            </w:r>
            <w:r>
              <w:rPr>
                <w:rStyle w:val="IndexLink"/>
                <w:rtl w:val="true"/>
              </w:rPr>
              <w:tab/>
            </w:r>
            <w:r>
              <w:rPr>
                <w:rStyle w:val="IndexLink"/>
              </w:rPr>
              <w:t>442</w:t>
            </w:r>
          </w:hyperlink>
        </w:p>
        <w:p>
          <w:pPr>
            <w:pStyle w:val="Contents5"/>
            <w:tabs>
              <w:tab w:val="clear" w:pos="7892"/>
              <w:tab w:val="right" w:pos="9026" w:leader="dot"/>
            </w:tabs>
            <w:rPr/>
          </w:pPr>
          <w:hyperlink w:anchor="__RefHeading___Toc3809101_1067777946">
            <w:r>
              <w:rPr>
                <w:webHidden/>
                <w:rStyle w:val="IndexLink"/>
                <w:rtl w:val="true"/>
              </w:rPr>
              <w:t>اقرار واحد و تعدّد متعلّق</w:t>
            </w:r>
            <w:r>
              <w:rPr>
                <w:rStyle w:val="IndexLink"/>
                <w:rtl w:val="true"/>
              </w:rPr>
              <w:tab/>
            </w:r>
            <w:r>
              <w:rPr>
                <w:rStyle w:val="IndexLink"/>
              </w:rPr>
              <w:t>442</w:t>
            </w:r>
          </w:hyperlink>
        </w:p>
        <w:p>
          <w:pPr>
            <w:pStyle w:val="Contents5"/>
            <w:tabs>
              <w:tab w:val="clear" w:pos="7892"/>
              <w:tab w:val="right" w:pos="9026" w:leader="dot"/>
            </w:tabs>
            <w:rPr/>
          </w:pPr>
          <w:hyperlink w:anchor="__RefHeading___Toc3809103_1067777946">
            <w:r>
              <w:rPr>
                <w:webHidden/>
                <w:rStyle w:val="IndexLink"/>
                <w:rtl w:val="true"/>
              </w:rPr>
              <w:t>تنافى و عدم تنافى بين دو اقرار</w:t>
            </w:r>
            <w:r>
              <w:rPr>
                <w:rStyle w:val="IndexLink"/>
                <w:rtl w:val="true"/>
              </w:rPr>
              <w:tab/>
            </w:r>
            <w:r>
              <w:rPr>
                <w:rStyle w:val="IndexLink"/>
              </w:rPr>
              <w:t>442</w:t>
            </w:r>
          </w:hyperlink>
        </w:p>
        <w:p>
          <w:pPr>
            <w:pStyle w:val="Contents5"/>
            <w:tabs>
              <w:tab w:val="clear" w:pos="7892"/>
              <w:tab w:val="right" w:pos="9026" w:leader="dot"/>
            </w:tabs>
            <w:rPr/>
          </w:pPr>
          <w:hyperlink w:anchor="__RefHeading___Toc3809105_1067777946">
            <w:r>
              <w:rPr>
                <w:webHidden/>
                <w:rStyle w:val="IndexLink"/>
                <w:rtl w:val="true"/>
              </w:rPr>
              <w:t>حكم غرامت در تبدّل اقرار</w:t>
            </w:r>
            <w:r>
              <w:rPr>
                <w:rStyle w:val="IndexLink"/>
                <w:rtl w:val="true"/>
              </w:rPr>
              <w:tab/>
            </w:r>
            <w:r>
              <w:rPr>
                <w:rStyle w:val="IndexLink"/>
              </w:rPr>
              <w:t>443</w:t>
            </w:r>
          </w:hyperlink>
        </w:p>
        <w:p>
          <w:pPr>
            <w:pStyle w:val="Contents5"/>
            <w:tabs>
              <w:tab w:val="clear" w:pos="7892"/>
              <w:tab w:val="right" w:pos="9026" w:leader="dot"/>
            </w:tabs>
            <w:rPr/>
          </w:pPr>
          <w:hyperlink w:anchor="__RefHeading___Toc3809107_1067777946">
            <w:r>
              <w:rPr>
                <w:webHidden/>
                <w:rStyle w:val="IndexLink"/>
                <w:rtl w:val="true"/>
              </w:rPr>
              <w:t>اقرار يكى از دو برادر و تكذيب ديگرى</w:t>
            </w:r>
            <w:r>
              <w:rPr>
                <w:rStyle w:val="IndexLink"/>
                <w:rtl w:val="true"/>
              </w:rPr>
              <w:tab/>
            </w:r>
            <w:r>
              <w:rPr>
                <w:rStyle w:val="IndexLink"/>
              </w:rPr>
              <w:t>443</w:t>
            </w:r>
          </w:hyperlink>
        </w:p>
        <w:p>
          <w:pPr>
            <w:pStyle w:val="Contents5"/>
            <w:tabs>
              <w:tab w:val="clear" w:pos="7892"/>
              <w:tab w:val="right" w:pos="9026" w:leader="dot"/>
            </w:tabs>
            <w:rPr/>
          </w:pPr>
          <w:hyperlink w:anchor="__RefHeading___Toc3809109_1067777946">
            <w:r>
              <w:rPr>
                <w:webHidden/>
                <w:rStyle w:val="IndexLink"/>
                <w:rtl w:val="true"/>
              </w:rPr>
              <w:t>اقرار وارث به زوج براى ميّت</w:t>
            </w:r>
            <w:r>
              <w:rPr>
                <w:rStyle w:val="IndexLink"/>
                <w:rtl w:val="true"/>
              </w:rPr>
              <w:tab/>
            </w:r>
            <w:r>
              <w:rPr>
                <w:rStyle w:val="IndexLink"/>
              </w:rPr>
              <w:t>444</w:t>
            </w:r>
          </w:hyperlink>
        </w:p>
        <w:p>
          <w:pPr>
            <w:pStyle w:val="Contents5"/>
            <w:tabs>
              <w:tab w:val="clear" w:pos="7892"/>
              <w:tab w:val="right" w:pos="9026" w:leader="dot"/>
            </w:tabs>
            <w:rPr/>
          </w:pPr>
          <w:hyperlink w:anchor="__RefHeading___Toc3809111_1067777946">
            <w:r>
              <w:rPr>
                <w:webHidden/>
                <w:rStyle w:val="IndexLink"/>
                <w:rtl w:val="true"/>
              </w:rPr>
              <w:t>اقرار به زوجه و زوجۀ دوم</w:t>
            </w:r>
            <w:r>
              <w:rPr>
                <w:rStyle w:val="IndexLink"/>
                <w:rtl w:val="true"/>
              </w:rPr>
              <w:tab/>
            </w:r>
            <w:r>
              <w:rPr>
                <w:rStyle w:val="IndexLink"/>
              </w:rPr>
              <w:t>444</w:t>
            </w:r>
          </w:hyperlink>
        </w:p>
        <w:p>
          <w:pPr>
            <w:pStyle w:val="Contents5"/>
            <w:tabs>
              <w:tab w:val="clear" w:pos="7892"/>
              <w:tab w:val="right" w:pos="9026" w:leader="dot"/>
            </w:tabs>
            <w:rPr/>
          </w:pPr>
          <w:hyperlink w:anchor="__RefHeading___Toc3809113_1067777946">
            <w:r>
              <w:rPr>
                <w:webHidden/>
                <w:rStyle w:val="IndexLink"/>
                <w:rtl w:val="true"/>
              </w:rPr>
              <w:t>اقرار به زوجۀ سوم</w:t>
            </w:r>
            <w:r>
              <w:rPr>
                <w:rStyle w:val="IndexLink"/>
                <w:rtl w:val="true"/>
              </w:rPr>
              <w:tab/>
            </w:r>
            <w:r>
              <w:rPr>
                <w:rStyle w:val="IndexLink"/>
              </w:rPr>
              <w:t>445</w:t>
            </w:r>
          </w:hyperlink>
        </w:p>
        <w:p>
          <w:pPr>
            <w:pStyle w:val="Contents5"/>
            <w:tabs>
              <w:tab w:val="clear" w:pos="7892"/>
              <w:tab w:val="right" w:pos="9026" w:leader="dot"/>
            </w:tabs>
            <w:rPr/>
          </w:pPr>
          <w:hyperlink w:anchor="__RefHeading___Toc3809115_1067777946">
            <w:r>
              <w:rPr>
                <w:webHidden/>
                <w:rStyle w:val="IndexLink"/>
                <w:rtl w:val="true"/>
              </w:rPr>
              <w:t>اقرار به رابعه و خامسه</w:t>
            </w:r>
            <w:r>
              <w:rPr>
                <w:rStyle w:val="IndexLink"/>
                <w:rtl w:val="true"/>
              </w:rPr>
              <w:tab/>
            </w:r>
            <w:r>
              <w:rPr>
                <w:rStyle w:val="IndexLink"/>
              </w:rPr>
              <w:t>445</w:t>
            </w:r>
          </w:hyperlink>
        </w:p>
        <w:p>
          <w:pPr>
            <w:pStyle w:val="Contents5"/>
            <w:tabs>
              <w:tab w:val="clear" w:pos="7892"/>
              <w:tab w:val="right" w:pos="9026" w:leader="dot"/>
            </w:tabs>
            <w:rPr/>
          </w:pPr>
          <w:hyperlink w:anchor="__RefHeading___Toc3809117_1067777946">
            <w:r>
              <w:rPr>
                <w:webHidden/>
                <w:rStyle w:val="IndexLink"/>
                <w:rtl w:val="true"/>
              </w:rPr>
              <w:t>اقرار به خمس</w:t>
            </w:r>
            <w:r>
              <w:rPr>
                <w:rStyle w:val="IndexLink"/>
                <w:rtl w:val="true"/>
              </w:rPr>
              <w:tab/>
            </w:r>
            <w:r>
              <w:rPr>
                <w:rStyle w:val="IndexLink"/>
              </w:rPr>
              <w:t>446</w:t>
            </w:r>
          </w:hyperlink>
        </w:p>
        <w:p>
          <w:pPr>
            <w:pStyle w:val="Contents5"/>
            <w:tabs>
              <w:tab w:val="clear" w:pos="7892"/>
              <w:tab w:val="right" w:pos="9026" w:leader="dot"/>
            </w:tabs>
            <w:rPr/>
          </w:pPr>
          <w:hyperlink w:anchor="__RefHeading___Toc3809119_1067777946">
            <w:r>
              <w:rPr>
                <w:webHidden/>
                <w:rStyle w:val="IndexLink"/>
                <w:rtl w:val="true"/>
              </w:rPr>
              <w:t>دفع ثمن براى زوجۀ مُقِرّ لها</w:t>
            </w:r>
            <w:r>
              <w:rPr>
                <w:rStyle w:val="IndexLink"/>
                <w:rtl w:val="true"/>
              </w:rPr>
              <w:tab/>
            </w:r>
            <w:r>
              <w:rPr>
                <w:rStyle w:val="IndexLink"/>
              </w:rPr>
              <w:t>446</w:t>
            </w:r>
          </w:hyperlink>
        </w:p>
        <w:p>
          <w:pPr>
            <w:pStyle w:val="Contents5"/>
            <w:tabs>
              <w:tab w:val="clear" w:pos="7892"/>
              <w:tab w:val="right" w:pos="9026" w:leader="dot"/>
            </w:tabs>
            <w:rPr/>
          </w:pPr>
          <w:hyperlink w:anchor="__RefHeading___Toc3809121_1067777946">
            <w:r>
              <w:rPr>
                <w:webHidden/>
                <w:rStyle w:val="IndexLink"/>
                <w:rtl w:val="true"/>
              </w:rPr>
              <w:t>اقرار برادر ابى به برادر امّى</w:t>
            </w:r>
            <w:r>
              <w:rPr>
                <w:rStyle w:val="IndexLink"/>
                <w:rtl w:val="true"/>
              </w:rPr>
              <w:tab/>
            </w:r>
            <w:r>
              <w:rPr>
                <w:rStyle w:val="IndexLink"/>
              </w:rPr>
              <w:t>447</w:t>
            </w:r>
          </w:hyperlink>
        </w:p>
        <w:p>
          <w:pPr>
            <w:pStyle w:val="Contents5"/>
            <w:tabs>
              <w:tab w:val="clear" w:pos="7892"/>
              <w:tab w:val="right" w:pos="9026" w:leader="dot"/>
            </w:tabs>
            <w:rPr/>
          </w:pPr>
          <w:hyperlink w:anchor="__RefHeading___Toc3809123_1067777946">
            <w:r>
              <w:rPr>
                <w:webHidden/>
                <w:rStyle w:val="IndexLink"/>
                <w:rtl w:val="true"/>
              </w:rPr>
              <w:t>عبد بودن يا كافر بودن يكى از دو ولد</w:t>
            </w:r>
            <w:r>
              <w:rPr>
                <w:rStyle w:val="IndexLink"/>
                <w:rtl w:val="true"/>
              </w:rPr>
              <w:tab/>
            </w:r>
            <w:r>
              <w:rPr>
                <w:rStyle w:val="IndexLink"/>
              </w:rPr>
              <w:t>448</w:t>
            </w:r>
          </w:hyperlink>
        </w:p>
        <w:p>
          <w:pPr>
            <w:pStyle w:val="Contents5"/>
            <w:tabs>
              <w:tab w:val="clear" w:pos="7892"/>
              <w:tab w:val="right" w:pos="9026" w:leader="dot"/>
            </w:tabs>
            <w:rPr/>
          </w:pPr>
          <w:hyperlink w:anchor="__RefHeading___Toc3809125_1067777946">
            <w:r>
              <w:rPr>
                <w:webHidden/>
                <w:rStyle w:val="IndexLink"/>
                <w:rtl w:val="true"/>
              </w:rPr>
              <w:t>اقرار ولد به ولد و انكار ديگرى</w:t>
            </w:r>
            <w:r>
              <w:rPr>
                <w:rStyle w:val="IndexLink"/>
                <w:rtl w:val="true"/>
              </w:rPr>
              <w:tab/>
            </w:r>
            <w:r>
              <w:rPr>
                <w:rStyle w:val="IndexLink"/>
              </w:rPr>
              <w:t>449</w:t>
            </w:r>
          </w:hyperlink>
        </w:p>
        <w:p>
          <w:pPr>
            <w:pStyle w:val="Contents2"/>
            <w:tabs>
              <w:tab w:val="clear" w:pos="8743"/>
              <w:tab w:val="right" w:pos="9026" w:leader="dot"/>
            </w:tabs>
            <w:rPr/>
          </w:pPr>
          <w:hyperlink w:anchor="__RefHeading___Toc3809127_1067777946">
            <w:r>
              <w:rPr>
                <w:webHidden/>
                <w:rStyle w:val="IndexLink"/>
                <w:rtl w:val="true"/>
              </w:rPr>
              <w:t>كتاب جعاله</w:t>
            </w:r>
            <w:r>
              <w:rPr>
                <w:rStyle w:val="IndexLink"/>
                <w:rtl w:val="true"/>
              </w:rPr>
              <w:tab/>
            </w:r>
            <w:r>
              <w:rPr>
                <w:rStyle w:val="IndexLink"/>
              </w:rPr>
              <w:t>450</w:t>
            </w:r>
          </w:hyperlink>
        </w:p>
        <w:p>
          <w:pPr>
            <w:pStyle w:val="Contents3"/>
            <w:tabs>
              <w:tab w:val="clear" w:pos="8459"/>
              <w:tab w:val="right" w:pos="9026" w:leader="dot"/>
            </w:tabs>
            <w:rPr/>
          </w:pPr>
          <w:hyperlink w:anchor="__RefHeading___Toc3809129_1067777946">
            <w:r>
              <w:rPr>
                <w:webHidden/>
                <w:rStyle w:val="IndexLink"/>
                <w:rtl w:val="true"/>
              </w:rPr>
              <w:t>اشاره</w:t>
            </w:r>
            <w:r>
              <w:rPr>
                <w:rStyle w:val="IndexLink"/>
                <w:rtl w:val="true"/>
              </w:rPr>
              <w:tab/>
            </w:r>
            <w:r>
              <w:rPr>
                <w:rStyle w:val="IndexLink"/>
              </w:rPr>
              <w:t>450</w:t>
            </w:r>
          </w:hyperlink>
        </w:p>
        <w:p>
          <w:pPr>
            <w:pStyle w:val="Contents3"/>
            <w:tabs>
              <w:tab w:val="clear" w:pos="8459"/>
              <w:tab w:val="right" w:pos="9026" w:leader="dot"/>
            </w:tabs>
            <w:rPr/>
          </w:pPr>
          <w:hyperlink w:anchor="__RefHeading___Toc3809131_1067777946">
            <w:r>
              <w:rPr>
                <w:webHidden/>
                <w:rStyle w:val="IndexLink"/>
                <w:rtl w:val="true"/>
              </w:rPr>
              <w:t>فصل اوّل نحوۀ تحقّق جعاله و شرايط عامل</w:t>
            </w:r>
            <w:r>
              <w:rPr>
                <w:rStyle w:val="IndexLink"/>
                <w:rtl w:val="true"/>
              </w:rPr>
              <w:tab/>
            </w:r>
            <w:r>
              <w:rPr>
                <w:rStyle w:val="IndexLink"/>
              </w:rPr>
              <w:t>452</w:t>
            </w:r>
          </w:hyperlink>
        </w:p>
        <w:p>
          <w:pPr>
            <w:pStyle w:val="Contents4"/>
            <w:tabs>
              <w:tab w:val="clear" w:pos="8176"/>
              <w:tab w:val="right" w:pos="9026" w:leader="dot"/>
            </w:tabs>
            <w:rPr/>
          </w:pPr>
          <w:hyperlink w:anchor="__RefHeading___Toc3809133_1067777946">
            <w:r>
              <w:rPr>
                <w:webHidden/>
                <w:rStyle w:val="IndexLink"/>
                <w:rtl w:val="true"/>
              </w:rPr>
              <w:t>اشاره</w:t>
            </w:r>
            <w:r>
              <w:rPr>
                <w:rStyle w:val="IndexLink"/>
                <w:rtl w:val="true"/>
              </w:rPr>
              <w:tab/>
            </w:r>
            <w:r>
              <w:rPr>
                <w:rStyle w:val="IndexLink"/>
              </w:rPr>
              <w:t>452</w:t>
            </w:r>
          </w:hyperlink>
        </w:p>
        <w:p>
          <w:pPr>
            <w:pStyle w:val="Contents4"/>
            <w:tabs>
              <w:tab w:val="clear" w:pos="8176"/>
              <w:tab w:val="right" w:pos="9026" w:leader="dot"/>
            </w:tabs>
            <w:rPr/>
          </w:pPr>
          <w:hyperlink w:anchor="__RefHeading___Toc3809135_1067777946">
            <w:r>
              <w:rPr>
                <w:webHidden/>
                <w:rStyle w:val="IndexLink"/>
                <w:rtl w:val="true"/>
              </w:rPr>
              <w:t>نحوۀ تحقق جعاله</w:t>
            </w:r>
            <w:r>
              <w:rPr>
                <w:rStyle w:val="IndexLink"/>
                <w:rtl w:val="true"/>
              </w:rPr>
              <w:tab/>
            </w:r>
            <w:r>
              <w:rPr>
                <w:rStyle w:val="IndexLink"/>
              </w:rPr>
              <w:t>452</w:t>
            </w:r>
          </w:hyperlink>
        </w:p>
        <w:p>
          <w:pPr>
            <w:pStyle w:val="Contents4"/>
            <w:tabs>
              <w:tab w:val="clear" w:pos="8176"/>
              <w:tab w:val="right" w:pos="9026" w:leader="dot"/>
            </w:tabs>
            <w:rPr/>
          </w:pPr>
          <w:hyperlink w:anchor="__RefHeading___Toc3809137_1067777946">
            <w:r>
              <w:rPr>
                <w:webHidden/>
                <w:rStyle w:val="IndexLink"/>
                <w:rtl w:val="true"/>
              </w:rPr>
              <w:t>تحقق جعاله به دلالت لفظ يا عمل بر مؤدّاى جعاله</w:t>
            </w:r>
            <w:r>
              <w:rPr>
                <w:rStyle w:val="IndexLink"/>
                <w:rtl w:val="true"/>
              </w:rPr>
              <w:tab/>
            </w:r>
            <w:r>
              <w:rPr>
                <w:rStyle w:val="IndexLink"/>
              </w:rPr>
              <w:t>452</w:t>
            </w:r>
          </w:hyperlink>
        </w:p>
        <w:p>
          <w:pPr>
            <w:pStyle w:val="Contents4"/>
            <w:tabs>
              <w:tab w:val="clear" w:pos="8176"/>
              <w:tab w:val="right" w:pos="9026" w:leader="dot"/>
            </w:tabs>
            <w:rPr/>
          </w:pPr>
          <w:hyperlink w:anchor="__RefHeading___Toc3809139_1067777946">
            <w:r>
              <w:rPr>
                <w:webHidden/>
                <w:rStyle w:val="IndexLink"/>
                <w:rtl w:val="true"/>
              </w:rPr>
              <w:t>ايجاب و قبول در جعاله</w:t>
            </w:r>
            <w:r>
              <w:rPr>
                <w:rStyle w:val="IndexLink"/>
                <w:rtl w:val="true"/>
              </w:rPr>
              <w:tab/>
            </w:r>
            <w:r>
              <w:rPr>
                <w:rStyle w:val="IndexLink"/>
              </w:rPr>
              <w:t>452</w:t>
            </w:r>
          </w:hyperlink>
        </w:p>
        <w:p>
          <w:pPr>
            <w:pStyle w:val="Contents4"/>
            <w:tabs>
              <w:tab w:val="clear" w:pos="8176"/>
              <w:tab w:val="right" w:pos="9026" w:leader="dot"/>
            </w:tabs>
            <w:rPr/>
          </w:pPr>
          <w:hyperlink w:anchor="__RefHeading___Toc3809141_1067777946">
            <w:r>
              <w:rPr>
                <w:webHidden/>
                <w:rStyle w:val="IndexLink"/>
                <w:rtl w:val="true"/>
              </w:rPr>
              <w:t>آنچه جعاله بر آن صحيح است</w:t>
            </w:r>
            <w:r>
              <w:rPr>
                <w:rStyle w:val="IndexLink"/>
                <w:rtl w:val="true"/>
              </w:rPr>
              <w:tab/>
            </w:r>
            <w:r>
              <w:rPr>
                <w:rStyle w:val="IndexLink"/>
              </w:rPr>
              <w:t>453</w:t>
            </w:r>
          </w:hyperlink>
        </w:p>
        <w:p>
          <w:pPr>
            <w:pStyle w:val="Contents4"/>
            <w:tabs>
              <w:tab w:val="clear" w:pos="8176"/>
              <w:tab w:val="right" w:pos="9026" w:leader="dot"/>
            </w:tabs>
            <w:rPr/>
          </w:pPr>
          <w:hyperlink w:anchor="__RefHeading___Toc3809143_1067777946">
            <w:r>
              <w:rPr>
                <w:webHidden/>
                <w:rStyle w:val="IndexLink"/>
                <w:rtl w:val="true"/>
              </w:rPr>
              <w:t>خصوصيت عمل در جعاله</w:t>
            </w:r>
            <w:r>
              <w:rPr>
                <w:rStyle w:val="IndexLink"/>
                <w:rtl w:val="true"/>
              </w:rPr>
              <w:tab/>
            </w:r>
            <w:r>
              <w:rPr>
                <w:rStyle w:val="IndexLink"/>
              </w:rPr>
              <w:t>453</w:t>
            </w:r>
          </w:hyperlink>
        </w:p>
        <w:p>
          <w:pPr>
            <w:pStyle w:val="Contents4"/>
            <w:tabs>
              <w:tab w:val="clear" w:pos="8176"/>
              <w:tab w:val="right" w:pos="9026" w:leader="dot"/>
            </w:tabs>
            <w:rPr/>
          </w:pPr>
          <w:hyperlink w:anchor="__RefHeading___Toc3809145_1067777946">
            <w:r>
              <w:rPr>
                <w:webHidden/>
                <w:rStyle w:val="IndexLink"/>
                <w:rtl w:val="true"/>
              </w:rPr>
              <w:t>معلوميّت عوض</w:t>
            </w:r>
            <w:r>
              <w:rPr>
                <w:rStyle w:val="IndexLink"/>
                <w:rtl w:val="true"/>
              </w:rPr>
              <w:tab/>
            </w:r>
            <w:r>
              <w:rPr>
                <w:rStyle w:val="IndexLink"/>
              </w:rPr>
              <w:t>453</w:t>
            </w:r>
          </w:hyperlink>
        </w:p>
        <w:p>
          <w:pPr>
            <w:pStyle w:val="Contents4"/>
            <w:tabs>
              <w:tab w:val="clear" w:pos="8176"/>
              <w:tab w:val="right" w:pos="9026" w:leader="dot"/>
            </w:tabs>
            <w:rPr/>
          </w:pPr>
          <w:hyperlink w:anchor="__RefHeading___Toc3809147_1067777946">
            <w:r>
              <w:rPr>
                <w:webHidden/>
                <w:rStyle w:val="IndexLink"/>
                <w:rtl w:val="true"/>
              </w:rPr>
              <w:t>جُعل غير مملوك</w:t>
            </w:r>
            <w:r>
              <w:rPr>
                <w:rStyle w:val="IndexLink"/>
                <w:rtl w:val="true"/>
              </w:rPr>
              <w:tab/>
            </w:r>
            <w:r>
              <w:rPr>
                <w:rStyle w:val="IndexLink"/>
              </w:rPr>
              <w:t>453</w:t>
            </w:r>
          </w:hyperlink>
        </w:p>
        <w:p>
          <w:pPr>
            <w:pStyle w:val="Contents4"/>
            <w:tabs>
              <w:tab w:val="clear" w:pos="8176"/>
              <w:tab w:val="right" w:pos="9026" w:leader="dot"/>
            </w:tabs>
            <w:rPr/>
          </w:pPr>
          <w:hyperlink w:anchor="__RefHeading___Toc3809149_1067777946">
            <w:r>
              <w:rPr>
                <w:webHidden/>
                <w:rStyle w:val="IndexLink"/>
                <w:rtl w:val="true"/>
              </w:rPr>
              <w:t>اشتراط اهليّت استيجار در جاعل</w:t>
            </w:r>
            <w:r>
              <w:rPr>
                <w:rStyle w:val="IndexLink"/>
                <w:rtl w:val="true"/>
              </w:rPr>
              <w:tab/>
            </w:r>
            <w:r>
              <w:rPr>
                <w:rStyle w:val="IndexLink"/>
              </w:rPr>
              <w:t>454</w:t>
            </w:r>
          </w:hyperlink>
        </w:p>
        <w:p>
          <w:pPr>
            <w:pStyle w:val="Contents4"/>
            <w:tabs>
              <w:tab w:val="clear" w:pos="8176"/>
              <w:tab w:val="right" w:pos="9026" w:leader="dot"/>
            </w:tabs>
            <w:rPr/>
          </w:pPr>
          <w:hyperlink w:anchor="__RefHeading___Toc3809151_1067777946">
            <w:r>
              <w:rPr>
                <w:webHidden/>
                <w:rStyle w:val="IndexLink"/>
                <w:rtl w:val="true"/>
              </w:rPr>
              <w:t>اعتبار امكان صدور از عامل</w:t>
            </w:r>
            <w:r>
              <w:rPr>
                <w:rStyle w:val="IndexLink"/>
                <w:rtl w:val="true"/>
              </w:rPr>
              <w:tab/>
            </w:r>
            <w:r>
              <w:rPr>
                <w:rStyle w:val="IndexLink"/>
              </w:rPr>
              <w:t>454</w:t>
            </w:r>
          </w:hyperlink>
        </w:p>
        <w:p>
          <w:pPr>
            <w:pStyle w:val="Contents4"/>
            <w:tabs>
              <w:tab w:val="clear" w:pos="8176"/>
              <w:tab w:val="right" w:pos="9026" w:leader="dot"/>
            </w:tabs>
            <w:rPr/>
          </w:pPr>
          <w:hyperlink w:anchor="__RefHeading___Toc3809153_1067777946">
            <w:r>
              <w:rPr>
                <w:webHidden/>
                <w:rStyle w:val="IndexLink"/>
                <w:rtl w:val="true"/>
              </w:rPr>
              <w:t>عدم اعتبار تعيين عامل</w:t>
            </w:r>
            <w:r>
              <w:rPr>
                <w:rStyle w:val="IndexLink"/>
                <w:rtl w:val="true"/>
              </w:rPr>
              <w:tab/>
            </w:r>
            <w:r>
              <w:rPr>
                <w:rStyle w:val="IndexLink"/>
              </w:rPr>
              <w:t>454</w:t>
            </w:r>
          </w:hyperlink>
        </w:p>
        <w:p>
          <w:pPr>
            <w:pStyle w:val="Contents4"/>
            <w:tabs>
              <w:tab w:val="clear" w:pos="8176"/>
              <w:tab w:val="right" w:pos="9026" w:leader="dot"/>
            </w:tabs>
            <w:rPr/>
          </w:pPr>
          <w:hyperlink w:anchor="__RefHeading___Toc3809155_1067777946">
            <w:r>
              <w:rPr>
                <w:webHidden/>
                <w:rStyle w:val="IndexLink"/>
                <w:rtl w:val="true"/>
              </w:rPr>
              <w:t>اناطۀ استحقاق به تسليم به مالك</w:t>
            </w:r>
            <w:r>
              <w:rPr>
                <w:rStyle w:val="IndexLink"/>
                <w:rtl w:val="true"/>
              </w:rPr>
              <w:tab/>
            </w:r>
            <w:r>
              <w:rPr>
                <w:rStyle w:val="IndexLink"/>
              </w:rPr>
              <w:t>454</w:t>
            </w:r>
          </w:hyperlink>
        </w:p>
        <w:p>
          <w:pPr>
            <w:pStyle w:val="Contents4"/>
            <w:tabs>
              <w:tab w:val="clear" w:pos="8176"/>
              <w:tab w:val="right" w:pos="9026" w:leader="dot"/>
            </w:tabs>
            <w:rPr/>
          </w:pPr>
          <w:hyperlink w:anchor="__RefHeading___Toc3809157_1067777946">
            <w:r>
              <w:rPr>
                <w:webHidden/>
                <w:rStyle w:val="IndexLink"/>
                <w:rtl w:val="true"/>
              </w:rPr>
              <w:t>موت آبق قبل از تسليم</w:t>
            </w:r>
            <w:r>
              <w:rPr>
                <w:rStyle w:val="IndexLink"/>
                <w:rtl w:val="true"/>
              </w:rPr>
              <w:tab/>
            </w:r>
            <w:r>
              <w:rPr>
                <w:rStyle w:val="IndexLink"/>
              </w:rPr>
              <w:t>455</w:t>
            </w:r>
          </w:hyperlink>
        </w:p>
        <w:p>
          <w:pPr>
            <w:pStyle w:val="Contents4"/>
            <w:tabs>
              <w:tab w:val="clear" w:pos="8176"/>
              <w:tab w:val="right" w:pos="9026" w:leader="dot"/>
            </w:tabs>
            <w:rPr/>
          </w:pPr>
          <w:hyperlink w:anchor="__RefHeading___Toc3809159_1067777946">
            <w:r>
              <w:rPr>
                <w:webHidden/>
                <w:rStyle w:val="IndexLink"/>
                <w:rtl w:val="true"/>
              </w:rPr>
              <w:t>عدم لزومى بودن جعاله</w:t>
            </w:r>
            <w:r>
              <w:rPr>
                <w:rStyle w:val="IndexLink"/>
                <w:rtl w:val="true"/>
              </w:rPr>
              <w:tab/>
            </w:r>
            <w:r>
              <w:rPr>
                <w:rStyle w:val="IndexLink"/>
              </w:rPr>
              <w:t>455</w:t>
            </w:r>
          </w:hyperlink>
        </w:p>
        <w:p>
          <w:pPr>
            <w:pStyle w:val="Contents4"/>
            <w:tabs>
              <w:tab w:val="clear" w:pos="8176"/>
              <w:tab w:val="right" w:pos="9026" w:leader="dot"/>
            </w:tabs>
            <w:rPr/>
          </w:pPr>
          <w:hyperlink w:anchor="__RefHeading___Toc3809161_1067777946">
            <w:r>
              <w:rPr>
                <w:webHidden/>
                <w:rStyle w:val="IndexLink"/>
                <w:rtl w:val="true"/>
              </w:rPr>
              <w:t>فسخ عامل</w:t>
            </w:r>
            <w:r>
              <w:rPr>
                <w:rStyle w:val="IndexLink"/>
                <w:rtl w:val="true"/>
              </w:rPr>
              <w:tab/>
            </w:r>
            <w:r>
              <w:rPr>
                <w:rStyle w:val="IndexLink"/>
              </w:rPr>
              <w:t>456</w:t>
            </w:r>
          </w:hyperlink>
        </w:p>
        <w:p>
          <w:pPr>
            <w:pStyle w:val="Contents4"/>
            <w:tabs>
              <w:tab w:val="clear" w:pos="8176"/>
              <w:tab w:val="right" w:pos="9026" w:leader="dot"/>
            </w:tabs>
            <w:rPr/>
          </w:pPr>
          <w:hyperlink w:anchor="__RefHeading___Toc3809163_1067777946">
            <w:r>
              <w:rPr>
                <w:webHidden/>
                <w:rStyle w:val="IndexLink"/>
                <w:rtl w:val="true"/>
              </w:rPr>
              <w:t>تعقّب جعاله به جعالۀ ديگر</w:t>
            </w:r>
            <w:r>
              <w:rPr>
                <w:rStyle w:val="IndexLink"/>
                <w:rtl w:val="true"/>
              </w:rPr>
              <w:tab/>
            </w:r>
            <w:r>
              <w:rPr>
                <w:rStyle w:val="IndexLink"/>
              </w:rPr>
              <w:t>456</w:t>
            </w:r>
          </w:hyperlink>
        </w:p>
        <w:p>
          <w:pPr>
            <w:pStyle w:val="Contents3"/>
            <w:tabs>
              <w:tab w:val="clear" w:pos="8459"/>
              <w:tab w:val="right" w:pos="9026" w:leader="dot"/>
            </w:tabs>
            <w:rPr/>
          </w:pPr>
          <w:hyperlink w:anchor="__RefHeading___Toc3809165_1067777946">
            <w:r>
              <w:rPr>
                <w:webHidden/>
                <w:rStyle w:val="IndexLink"/>
                <w:rtl w:val="true"/>
              </w:rPr>
              <w:t>فصل دوّم احكام جعاله و مسائل تنازع</w:t>
            </w:r>
            <w:r>
              <w:rPr>
                <w:rStyle w:val="IndexLink"/>
                <w:rtl w:val="true"/>
              </w:rPr>
              <w:tab/>
            </w:r>
            <w:r>
              <w:rPr>
                <w:rStyle w:val="IndexLink"/>
              </w:rPr>
              <w:t>458</w:t>
            </w:r>
          </w:hyperlink>
        </w:p>
        <w:p>
          <w:pPr>
            <w:pStyle w:val="Contents4"/>
            <w:tabs>
              <w:tab w:val="clear" w:pos="8176"/>
              <w:tab w:val="right" w:pos="9026" w:leader="dot"/>
            </w:tabs>
            <w:rPr/>
          </w:pPr>
          <w:hyperlink w:anchor="__RefHeading___Toc3809167_1067777946">
            <w:r>
              <w:rPr>
                <w:webHidden/>
                <w:rStyle w:val="IndexLink"/>
              </w:rPr>
              <w:t>1</w:t>
            </w:r>
            <w:r>
              <w:rPr>
                <w:rStyle w:val="IndexLink"/>
                <w:rtl w:val="true"/>
              </w:rPr>
              <w:t xml:space="preserve">. </w:t>
            </w:r>
            <w:r>
              <w:rPr>
                <w:rStyle w:val="IndexLink"/>
                <w:rtl w:val="true"/>
              </w:rPr>
              <w:t>احكام جعاله</w:t>
            </w:r>
            <w:r>
              <w:rPr>
                <w:rStyle w:val="IndexLink"/>
                <w:rtl w:val="true"/>
              </w:rPr>
              <w:tab/>
            </w:r>
            <w:r>
              <w:rPr>
                <w:rStyle w:val="IndexLink"/>
              </w:rPr>
              <w:t>458</w:t>
            </w:r>
          </w:hyperlink>
        </w:p>
        <w:p>
          <w:pPr>
            <w:pStyle w:val="Contents5"/>
            <w:tabs>
              <w:tab w:val="clear" w:pos="7892"/>
              <w:tab w:val="right" w:pos="9026" w:leader="dot"/>
            </w:tabs>
            <w:rPr/>
          </w:pPr>
          <w:hyperlink w:anchor="__RefHeading___Toc3809169_1067777946">
            <w:r>
              <w:rPr>
                <w:webHidden/>
                <w:rStyle w:val="IndexLink"/>
                <w:rtl w:val="true"/>
              </w:rPr>
              <w:t>اشتراط تقدّم جعاله بر عمل در استحقاق</w:t>
            </w:r>
            <w:r>
              <w:rPr>
                <w:rStyle w:val="IndexLink"/>
                <w:rtl w:val="true"/>
              </w:rPr>
              <w:tab/>
            </w:r>
            <w:r>
              <w:rPr>
                <w:rStyle w:val="IndexLink"/>
              </w:rPr>
              <w:t>458</w:t>
            </w:r>
          </w:hyperlink>
        </w:p>
        <w:p>
          <w:pPr>
            <w:pStyle w:val="Contents5"/>
            <w:tabs>
              <w:tab w:val="clear" w:pos="7892"/>
              <w:tab w:val="right" w:pos="9026" w:leader="dot"/>
            </w:tabs>
            <w:rPr/>
          </w:pPr>
          <w:hyperlink w:anchor="__RefHeading___Toc3809171_1067777946">
            <w:r>
              <w:rPr>
                <w:webHidden/>
                <w:rStyle w:val="IndexLink"/>
                <w:rtl w:val="true"/>
              </w:rPr>
              <w:t>تأثير تعيين و عدم تعيين جُعل در استحقاق</w:t>
            </w:r>
            <w:r>
              <w:rPr>
                <w:rStyle w:val="IndexLink"/>
                <w:rtl w:val="true"/>
              </w:rPr>
              <w:tab/>
            </w:r>
            <w:r>
              <w:rPr>
                <w:rStyle w:val="IndexLink"/>
              </w:rPr>
              <w:t>458</w:t>
            </w:r>
          </w:hyperlink>
        </w:p>
        <w:p>
          <w:pPr>
            <w:pStyle w:val="Contents5"/>
            <w:tabs>
              <w:tab w:val="clear" w:pos="7892"/>
              <w:tab w:val="right" w:pos="9026" w:leader="dot"/>
            </w:tabs>
            <w:rPr/>
          </w:pPr>
          <w:hyperlink w:anchor="__RefHeading___Toc3809173_1067777946">
            <w:r>
              <w:rPr>
                <w:webHidden/>
                <w:rStyle w:val="IndexLink"/>
                <w:rtl w:val="true"/>
              </w:rPr>
              <w:t>فرض عدم جَعلِ جُعل با استدعا</w:t>
            </w:r>
            <w:r>
              <w:rPr>
                <w:rStyle w:val="IndexLink"/>
                <w:rtl w:val="true"/>
              </w:rPr>
              <w:tab/>
            </w:r>
            <w:r>
              <w:rPr>
                <w:rStyle w:val="IndexLink"/>
              </w:rPr>
              <w:t>459</w:t>
            </w:r>
          </w:hyperlink>
        </w:p>
        <w:p>
          <w:pPr>
            <w:pStyle w:val="Contents5"/>
            <w:tabs>
              <w:tab w:val="clear" w:pos="7892"/>
              <w:tab w:val="right" w:pos="9026" w:leader="dot"/>
            </w:tabs>
            <w:rPr/>
          </w:pPr>
          <w:hyperlink w:anchor="__RefHeading___Toc3809175_1067777946">
            <w:r>
              <w:rPr>
                <w:webHidden/>
                <w:rStyle w:val="IndexLink"/>
                <w:rtl w:val="true"/>
              </w:rPr>
              <w:t>اشتراك جماعتى در اتيان، و نحوۀ استحقاق</w:t>
            </w:r>
            <w:r>
              <w:rPr>
                <w:rStyle w:val="IndexLink"/>
                <w:rtl w:val="true"/>
              </w:rPr>
              <w:tab/>
            </w:r>
            <w:r>
              <w:rPr>
                <w:rStyle w:val="IndexLink"/>
              </w:rPr>
              <w:t>459</w:t>
            </w:r>
          </w:hyperlink>
        </w:p>
        <w:p>
          <w:pPr>
            <w:pStyle w:val="Contents5"/>
            <w:tabs>
              <w:tab w:val="clear" w:pos="7892"/>
              <w:tab w:val="right" w:pos="9026" w:leader="dot"/>
            </w:tabs>
            <w:rPr/>
          </w:pPr>
          <w:hyperlink w:anchor="__RefHeading___Toc3809177_1067777946">
            <w:r>
              <w:rPr>
                <w:webHidden/>
                <w:rStyle w:val="IndexLink"/>
                <w:rtl w:val="true"/>
              </w:rPr>
              <w:t>جعل براى سه نفر</w:t>
            </w:r>
            <w:r>
              <w:rPr>
                <w:rStyle w:val="IndexLink"/>
                <w:rtl w:val="true"/>
              </w:rPr>
              <w:tab/>
            </w:r>
            <w:r>
              <w:rPr>
                <w:rStyle w:val="IndexLink"/>
              </w:rPr>
              <w:t>460</w:t>
            </w:r>
          </w:hyperlink>
        </w:p>
        <w:p>
          <w:pPr>
            <w:pStyle w:val="Contents5"/>
            <w:tabs>
              <w:tab w:val="clear" w:pos="7892"/>
              <w:tab w:val="right" w:pos="9026" w:leader="dot"/>
            </w:tabs>
            <w:rPr/>
          </w:pPr>
          <w:hyperlink w:anchor="__RefHeading___Toc3809179_1067777946">
            <w:r>
              <w:rPr>
                <w:webHidden/>
                <w:rStyle w:val="IndexLink"/>
                <w:rtl w:val="true"/>
              </w:rPr>
              <w:t>جعل معلوم براى بعضى از سه نفر و جعل مجهول براى بعضى ديگر</w:t>
            </w:r>
            <w:r>
              <w:rPr>
                <w:rStyle w:val="IndexLink"/>
                <w:rtl w:val="true"/>
              </w:rPr>
              <w:tab/>
            </w:r>
            <w:r>
              <w:rPr>
                <w:rStyle w:val="IndexLink"/>
              </w:rPr>
              <w:t>460</w:t>
            </w:r>
          </w:hyperlink>
        </w:p>
        <w:p>
          <w:pPr>
            <w:pStyle w:val="Contents5"/>
            <w:tabs>
              <w:tab w:val="clear" w:pos="7892"/>
              <w:tab w:val="right" w:pos="9026" w:leader="dot"/>
            </w:tabs>
            <w:rPr/>
          </w:pPr>
          <w:hyperlink w:anchor="__RefHeading___Toc3809181_1067777946">
            <w:r>
              <w:rPr>
                <w:webHidden/>
                <w:rStyle w:val="IndexLink"/>
                <w:rtl w:val="true"/>
              </w:rPr>
              <w:t>اشتراك شخصى با عامل تبرعاً يا غير تبرعى</w:t>
            </w:r>
            <w:r>
              <w:rPr>
                <w:rStyle w:val="IndexLink"/>
                <w:rtl w:val="true"/>
              </w:rPr>
              <w:tab/>
            </w:r>
            <w:r>
              <w:rPr>
                <w:rStyle w:val="IndexLink"/>
              </w:rPr>
              <w:t>460</w:t>
            </w:r>
          </w:hyperlink>
        </w:p>
        <w:p>
          <w:pPr>
            <w:pStyle w:val="Contents5"/>
            <w:tabs>
              <w:tab w:val="clear" w:pos="7892"/>
              <w:tab w:val="right" w:pos="9026" w:leader="dot"/>
            </w:tabs>
            <w:rPr/>
          </w:pPr>
          <w:hyperlink w:anchor="__RefHeading___Toc3809183_1067777946">
            <w:r>
              <w:rPr>
                <w:webHidden/>
                <w:rStyle w:val="IndexLink"/>
                <w:rtl w:val="true"/>
              </w:rPr>
              <w:t>اقرار يكى از سه عامل به تبرعى بودن عمل او</w:t>
            </w:r>
            <w:r>
              <w:rPr>
                <w:rStyle w:val="IndexLink"/>
                <w:rtl w:val="true"/>
              </w:rPr>
              <w:tab/>
            </w:r>
            <w:r>
              <w:rPr>
                <w:rStyle w:val="IndexLink"/>
              </w:rPr>
              <w:t>461</w:t>
            </w:r>
          </w:hyperlink>
        </w:p>
        <w:p>
          <w:pPr>
            <w:pStyle w:val="Contents5"/>
            <w:tabs>
              <w:tab w:val="clear" w:pos="7892"/>
              <w:tab w:val="right" w:pos="9026" w:leader="dot"/>
            </w:tabs>
            <w:rPr/>
          </w:pPr>
          <w:hyperlink w:anchor="__RefHeading___Toc3809185_1067777946">
            <w:r>
              <w:rPr>
                <w:webHidden/>
                <w:rStyle w:val="IndexLink"/>
                <w:rtl w:val="true"/>
              </w:rPr>
              <w:t>تبعّض اجرت با تبعّض در شروط</w:t>
            </w:r>
            <w:r>
              <w:rPr>
                <w:rStyle w:val="IndexLink"/>
                <w:rtl w:val="true"/>
              </w:rPr>
              <w:tab/>
            </w:r>
            <w:r>
              <w:rPr>
                <w:rStyle w:val="IndexLink"/>
              </w:rPr>
              <w:t>461</w:t>
            </w:r>
          </w:hyperlink>
        </w:p>
        <w:p>
          <w:pPr>
            <w:pStyle w:val="Contents4"/>
            <w:tabs>
              <w:tab w:val="clear" w:pos="8176"/>
              <w:tab w:val="right" w:pos="9026" w:leader="dot"/>
            </w:tabs>
            <w:rPr/>
          </w:pPr>
          <w:hyperlink w:anchor="__RefHeading___Toc3809187_1067777946">
            <w:r>
              <w:rPr>
                <w:webHidden/>
                <w:rStyle w:val="IndexLink"/>
              </w:rPr>
              <w:t>2</w:t>
            </w:r>
            <w:r>
              <w:rPr>
                <w:rStyle w:val="IndexLink"/>
                <w:rtl w:val="true"/>
              </w:rPr>
              <w:t xml:space="preserve">. </w:t>
            </w:r>
            <w:r>
              <w:rPr>
                <w:rStyle w:val="IndexLink"/>
                <w:rtl w:val="true"/>
              </w:rPr>
              <w:t>مسائل تنازع</w:t>
            </w:r>
            <w:r>
              <w:rPr>
                <w:rStyle w:val="IndexLink"/>
                <w:rtl w:val="true"/>
              </w:rPr>
              <w:tab/>
            </w:r>
            <w:r>
              <w:rPr>
                <w:rStyle w:val="IndexLink"/>
              </w:rPr>
              <w:t>461</w:t>
            </w:r>
          </w:hyperlink>
        </w:p>
        <w:p>
          <w:pPr>
            <w:pStyle w:val="Contents5"/>
            <w:tabs>
              <w:tab w:val="clear" w:pos="7892"/>
              <w:tab w:val="right" w:pos="9026" w:leader="dot"/>
            </w:tabs>
            <w:rPr/>
          </w:pPr>
          <w:hyperlink w:anchor="__RefHeading___Toc3809189_1067777946">
            <w:r>
              <w:rPr>
                <w:webHidden/>
                <w:rStyle w:val="IndexLink"/>
                <w:rtl w:val="true"/>
              </w:rPr>
              <w:t>تنازع بر سه اصل جعاله يا مقدار جعل يا اجرت المثل و</w:t>
            </w:r>
            <w:r>
              <w:rPr>
                <w:rStyle w:val="IndexLink"/>
                <w:rtl w:val="true"/>
              </w:rPr>
              <w:t>...</w:t>
              <w:tab/>
            </w:r>
            <w:r>
              <w:rPr>
                <w:rStyle w:val="IndexLink"/>
              </w:rPr>
              <w:t>461</w:t>
            </w:r>
          </w:hyperlink>
        </w:p>
        <w:p>
          <w:pPr>
            <w:pStyle w:val="Contents5"/>
            <w:tabs>
              <w:tab w:val="clear" w:pos="7892"/>
              <w:tab w:val="right" w:pos="9026" w:leader="dot"/>
            </w:tabs>
            <w:rPr/>
          </w:pPr>
          <w:hyperlink w:anchor="__RefHeading___Toc3809191_1067777946">
            <w:r>
              <w:rPr>
                <w:webHidden/>
                <w:rStyle w:val="IndexLink"/>
                <w:rtl w:val="true"/>
              </w:rPr>
              <w:t>اختلاف در جنس يا قد جُعل</w:t>
            </w:r>
            <w:r>
              <w:rPr>
                <w:rStyle w:val="IndexLink"/>
                <w:rtl w:val="true"/>
              </w:rPr>
              <w:tab/>
            </w:r>
            <w:r>
              <w:rPr>
                <w:rStyle w:val="IndexLink"/>
              </w:rPr>
              <w:t>462</w:t>
            </w:r>
          </w:hyperlink>
        </w:p>
        <w:p>
          <w:pPr>
            <w:pStyle w:val="Contents5"/>
            <w:tabs>
              <w:tab w:val="clear" w:pos="7892"/>
              <w:tab w:val="right" w:pos="9026" w:leader="dot"/>
            </w:tabs>
            <w:rPr/>
          </w:pPr>
          <w:hyperlink w:anchor="__RefHeading___Toc3809193_1067777946">
            <w:r>
              <w:rPr>
                <w:webHidden/>
                <w:rStyle w:val="IndexLink"/>
                <w:rtl w:val="true"/>
              </w:rPr>
              <w:t>اختلاف در سعى و در تعدى و تفريط</w:t>
            </w:r>
            <w:r>
              <w:rPr>
                <w:rStyle w:val="IndexLink"/>
                <w:rtl w:val="true"/>
              </w:rPr>
              <w:tab/>
            </w:r>
            <w:r>
              <w:rPr>
                <w:rStyle w:val="IndexLink"/>
              </w:rPr>
              <w:t>462</w:t>
            </w:r>
          </w:hyperlink>
        </w:p>
        <w:p>
          <w:pPr>
            <w:pStyle w:val="Contents5"/>
            <w:tabs>
              <w:tab w:val="clear" w:pos="7892"/>
              <w:tab w:val="right" w:pos="9026" w:leader="dot"/>
            </w:tabs>
            <w:rPr/>
          </w:pPr>
          <w:hyperlink w:anchor="__RefHeading___Toc3809195_1067777946">
            <w:r>
              <w:rPr>
                <w:webHidden/>
                <w:rStyle w:val="IndexLink"/>
                <w:rtl w:val="true"/>
              </w:rPr>
              <w:t>جعاله در امورى كه داراى مراتب است</w:t>
            </w:r>
            <w:r>
              <w:rPr>
                <w:rStyle w:val="IndexLink"/>
                <w:rtl w:val="true"/>
              </w:rPr>
              <w:tab/>
            </w:r>
            <w:r>
              <w:rPr>
                <w:rStyle w:val="IndexLink"/>
              </w:rPr>
              <w:t>463</w:t>
            </w:r>
          </w:hyperlink>
        </w:p>
        <w:p>
          <w:pPr>
            <w:pStyle w:val="Contents2"/>
            <w:tabs>
              <w:tab w:val="clear" w:pos="8743"/>
              <w:tab w:val="right" w:pos="9026" w:leader="dot"/>
            </w:tabs>
            <w:rPr/>
          </w:pPr>
          <w:hyperlink w:anchor="__RefHeading___Toc3809197_1067777946">
            <w:r>
              <w:rPr>
                <w:webHidden/>
                <w:rStyle w:val="IndexLink"/>
                <w:rtl w:val="true"/>
              </w:rPr>
              <w:t>كتاب يمين</w:t>
            </w:r>
            <w:r>
              <w:rPr>
                <w:rStyle w:val="IndexLink"/>
                <w:rtl w:val="true"/>
              </w:rPr>
              <w:tab/>
            </w:r>
            <w:r>
              <w:rPr>
                <w:rStyle w:val="IndexLink"/>
              </w:rPr>
              <w:t>464</w:t>
            </w:r>
          </w:hyperlink>
        </w:p>
        <w:p>
          <w:pPr>
            <w:pStyle w:val="Contents3"/>
            <w:tabs>
              <w:tab w:val="clear" w:pos="8459"/>
              <w:tab w:val="right" w:pos="9026" w:leader="dot"/>
            </w:tabs>
            <w:rPr/>
          </w:pPr>
          <w:hyperlink w:anchor="__RefHeading___Toc3809199_1067777946">
            <w:r>
              <w:rPr>
                <w:webHidden/>
                <w:rStyle w:val="IndexLink"/>
                <w:rtl w:val="true"/>
              </w:rPr>
              <w:t>اشاره</w:t>
            </w:r>
            <w:r>
              <w:rPr>
                <w:rStyle w:val="IndexLink"/>
                <w:rtl w:val="true"/>
              </w:rPr>
              <w:tab/>
            </w:r>
            <w:r>
              <w:rPr>
                <w:rStyle w:val="IndexLink"/>
              </w:rPr>
              <w:t>464</w:t>
            </w:r>
          </w:hyperlink>
        </w:p>
        <w:p>
          <w:pPr>
            <w:pStyle w:val="Contents3"/>
            <w:tabs>
              <w:tab w:val="clear" w:pos="8459"/>
              <w:tab w:val="right" w:pos="9026" w:leader="dot"/>
            </w:tabs>
            <w:rPr/>
          </w:pPr>
          <w:hyperlink w:anchor="__RefHeading___Toc3809201_1067777946">
            <w:r>
              <w:rPr>
                <w:webHidden/>
                <w:rStyle w:val="IndexLink"/>
                <w:rtl w:val="true"/>
              </w:rPr>
              <w:t>فصل اوّل اقسام يمين و نحوۀ انعقاد آن</w:t>
            </w:r>
            <w:r>
              <w:rPr>
                <w:rStyle w:val="IndexLink"/>
                <w:rtl w:val="true"/>
              </w:rPr>
              <w:tab/>
            </w:r>
            <w:r>
              <w:rPr>
                <w:rStyle w:val="IndexLink"/>
              </w:rPr>
              <w:t>466</w:t>
            </w:r>
          </w:hyperlink>
        </w:p>
        <w:p>
          <w:pPr>
            <w:pStyle w:val="Contents4"/>
            <w:tabs>
              <w:tab w:val="clear" w:pos="8176"/>
              <w:tab w:val="right" w:pos="9026" w:leader="dot"/>
            </w:tabs>
            <w:rPr/>
          </w:pPr>
          <w:hyperlink w:anchor="__RefHeading___Toc3809203_1067777946">
            <w:r>
              <w:rPr>
                <w:webHidden/>
                <w:rStyle w:val="IndexLink"/>
                <w:rtl w:val="true"/>
              </w:rPr>
              <w:t>اشاره</w:t>
            </w:r>
            <w:r>
              <w:rPr>
                <w:rStyle w:val="IndexLink"/>
                <w:rtl w:val="true"/>
              </w:rPr>
              <w:tab/>
            </w:r>
            <w:r>
              <w:rPr>
                <w:rStyle w:val="IndexLink"/>
              </w:rPr>
              <w:t>466</w:t>
            </w:r>
          </w:hyperlink>
        </w:p>
        <w:p>
          <w:pPr>
            <w:pStyle w:val="Contents4"/>
            <w:tabs>
              <w:tab w:val="clear" w:pos="8176"/>
              <w:tab w:val="right" w:pos="9026" w:leader="dot"/>
            </w:tabs>
            <w:rPr/>
          </w:pPr>
          <w:hyperlink w:anchor="__RefHeading___Toc3809205_1067777946">
            <w:r>
              <w:rPr>
                <w:webHidden/>
                <w:rStyle w:val="IndexLink"/>
              </w:rPr>
              <w:t>1</w:t>
            </w:r>
            <w:r>
              <w:rPr>
                <w:rStyle w:val="IndexLink"/>
                <w:rtl w:val="true"/>
              </w:rPr>
              <w:t xml:space="preserve">. </w:t>
            </w:r>
            <w:r>
              <w:rPr>
                <w:rStyle w:val="IndexLink"/>
                <w:rtl w:val="true"/>
              </w:rPr>
              <w:t>تعريف و اقسام يمين</w:t>
            </w:r>
            <w:r>
              <w:rPr>
                <w:rStyle w:val="IndexLink"/>
                <w:rtl w:val="true"/>
              </w:rPr>
              <w:tab/>
            </w:r>
            <w:r>
              <w:rPr>
                <w:rStyle w:val="IndexLink"/>
              </w:rPr>
              <w:t>466</w:t>
            </w:r>
          </w:hyperlink>
        </w:p>
        <w:p>
          <w:pPr>
            <w:pStyle w:val="Contents5"/>
            <w:tabs>
              <w:tab w:val="clear" w:pos="7892"/>
              <w:tab w:val="right" w:pos="9026" w:leader="dot"/>
            </w:tabs>
            <w:rPr/>
          </w:pPr>
          <w:hyperlink w:anchor="__RefHeading___Toc3809207_1067777946">
            <w:r>
              <w:rPr>
                <w:webHidden/>
                <w:rStyle w:val="IndexLink"/>
                <w:rtl w:val="true"/>
              </w:rPr>
              <w:t>تعريف شرعى يمين</w:t>
            </w:r>
            <w:r>
              <w:rPr>
                <w:rStyle w:val="IndexLink"/>
                <w:rtl w:val="true"/>
              </w:rPr>
              <w:tab/>
            </w:r>
            <w:r>
              <w:rPr>
                <w:rStyle w:val="IndexLink"/>
              </w:rPr>
              <w:t>466</w:t>
            </w:r>
          </w:hyperlink>
        </w:p>
        <w:p>
          <w:pPr>
            <w:pStyle w:val="Contents5"/>
            <w:tabs>
              <w:tab w:val="clear" w:pos="7892"/>
              <w:tab w:val="right" w:pos="9026" w:leader="dot"/>
            </w:tabs>
            <w:rPr/>
          </w:pPr>
          <w:hyperlink w:anchor="__RefHeading___Toc3809209_1067777946">
            <w:r>
              <w:rPr>
                <w:webHidden/>
                <w:rStyle w:val="IndexLink"/>
                <w:rtl w:val="true"/>
              </w:rPr>
              <w:t>يمين لغو</w:t>
            </w:r>
            <w:r>
              <w:rPr>
                <w:rStyle w:val="IndexLink"/>
                <w:rtl w:val="true"/>
              </w:rPr>
              <w:tab/>
            </w:r>
            <w:r>
              <w:rPr>
                <w:rStyle w:val="IndexLink"/>
              </w:rPr>
              <w:t>466</w:t>
            </w:r>
          </w:hyperlink>
        </w:p>
        <w:p>
          <w:pPr>
            <w:pStyle w:val="Contents5"/>
            <w:tabs>
              <w:tab w:val="clear" w:pos="7892"/>
              <w:tab w:val="right" w:pos="9026" w:leader="dot"/>
            </w:tabs>
            <w:rPr/>
          </w:pPr>
          <w:hyperlink w:anchor="__RefHeading___Toc3809211_1067777946">
            <w:r>
              <w:rPr>
                <w:webHidden/>
                <w:rStyle w:val="IndexLink"/>
                <w:rtl w:val="true"/>
              </w:rPr>
              <w:t>يمين غموس</w:t>
            </w:r>
            <w:r>
              <w:rPr>
                <w:rStyle w:val="IndexLink"/>
                <w:rtl w:val="true"/>
              </w:rPr>
              <w:tab/>
            </w:r>
            <w:r>
              <w:rPr>
                <w:rStyle w:val="IndexLink"/>
              </w:rPr>
              <w:t>466</w:t>
            </w:r>
          </w:hyperlink>
        </w:p>
        <w:p>
          <w:pPr>
            <w:pStyle w:val="Contents5"/>
            <w:tabs>
              <w:tab w:val="clear" w:pos="7892"/>
              <w:tab w:val="right" w:pos="9026" w:leader="dot"/>
            </w:tabs>
            <w:rPr/>
          </w:pPr>
          <w:hyperlink w:anchor="__RefHeading___Toc3809213_1067777946">
            <w:r>
              <w:rPr>
                <w:webHidden/>
                <w:rStyle w:val="IndexLink"/>
                <w:rtl w:val="true"/>
              </w:rPr>
              <w:t>يمين عقد</w:t>
            </w:r>
            <w:r>
              <w:rPr>
                <w:rStyle w:val="IndexLink"/>
                <w:rtl w:val="true"/>
              </w:rPr>
              <w:tab/>
            </w:r>
            <w:r>
              <w:rPr>
                <w:rStyle w:val="IndexLink"/>
              </w:rPr>
              <w:t>467</w:t>
            </w:r>
          </w:hyperlink>
        </w:p>
        <w:p>
          <w:pPr>
            <w:pStyle w:val="Contents4"/>
            <w:tabs>
              <w:tab w:val="clear" w:pos="8176"/>
              <w:tab w:val="right" w:pos="9026" w:leader="dot"/>
            </w:tabs>
            <w:rPr/>
          </w:pPr>
          <w:hyperlink w:anchor="__RefHeading___Toc3809215_1067777946">
            <w:r>
              <w:rPr>
                <w:webHidden/>
                <w:rStyle w:val="IndexLink"/>
              </w:rPr>
              <w:t>2</w:t>
            </w:r>
            <w:r>
              <w:rPr>
                <w:rStyle w:val="IndexLink"/>
                <w:rtl w:val="true"/>
              </w:rPr>
              <w:t xml:space="preserve">. </w:t>
            </w:r>
            <w:r>
              <w:rPr>
                <w:rStyle w:val="IndexLink"/>
                <w:rtl w:val="true"/>
              </w:rPr>
              <w:t>آنچه با آن، يمين منعقد مى شود</w:t>
            </w:r>
            <w:r>
              <w:rPr>
                <w:rStyle w:val="IndexLink"/>
                <w:rtl w:val="true"/>
              </w:rPr>
              <w:tab/>
            </w:r>
            <w:r>
              <w:rPr>
                <w:rStyle w:val="IndexLink"/>
              </w:rPr>
              <w:t>467</w:t>
            </w:r>
          </w:hyperlink>
        </w:p>
        <w:p>
          <w:pPr>
            <w:pStyle w:val="Contents5"/>
            <w:tabs>
              <w:tab w:val="clear" w:pos="7892"/>
              <w:tab w:val="right" w:pos="9026" w:leader="dot"/>
            </w:tabs>
            <w:rPr/>
          </w:pPr>
          <w:hyperlink w:anchor="__RefHeading___Toc3809217_1067777946">
            <w:r>
              <w:rPr>
                <w:webHidden/>
                <w:rStyle w:val="IndexLink"/>
                <w:rtl w:val="true"/>
              </w:rPr>
              <w:t>اشاره</w:t>
            </w:r>
            <w:r>
              <w:rPr>
                <w:rStyle w:val="IndexLink"/>
                <w:rtl w:val="true"/>
              </w:rPr>
              <w:tab/>
            </w:r>
            <w:r>
              <w:rPr>
                <w:rStyle w:val="IndexLink"/>
              </w:rPr>
              <w:t>467</w:t>
            </w:r>
          </w:hyperlink>
        </w:p>
        <w:p>
          <w:pPr>
            <w:pStyle w:val="Contents5"/>
            <w:tabs>
              <w:tab w:val="clear" w:pos="7892"/>
              <w:tab w:val="right" w:pos="9026" w:leader="dot"/>
            </w:tabs>
            <w:rPr/>
          </w:pPr>
          <w:hyperlink w:anchor="__RefHeading___Toc3809219_1067777946">
            <w:r>
              <w:rPr>
                <w:webHidden/>
                <w:rStyle w:val="IndexLink"/>
                <w:rtl w:val="true"/>
              </w:rPr>
              <w:t>قسم به اسماى غير غالبه</w:t>
            </w:r>
            <w:r>
              <w:rPr>
                <w:rStyle w:val="IndexLink"/>
                <w:rtl w:val="true"/>
              </w:rPr>
              <w:tab/>
            </w:r>
            <w:r>
              <w:rPr>
                <w:rStyle w:val="IndexLink"/>
              </w:rPr>
              <w:t>468</w:t>
            </w:r>
          </w:hyperlink>
        </w:p>
        <w:p>
          <w:pPr>
            <w:pStyle w:val="Contents5"/>
            <w:tabs>
              <w:tab w:val="clear" w:pos="7892"/>
              <w:tab w:val="right" w:pos="9026" w:leader="dot"/>
            </w:tabs>
            <w:rPr/>
          </w:pPr>
          <w:hyperlink w:anchor="__RefHeading___Toc3809221_1067777946">
            <w:r>
              <w:rPr>
                <w:webHidden/>
                <w:rStyle w:val="IndexLink"/>
                <w:rtl w:val="true"/>
              </w:rPr>
              <w:t>ذكر لفظ قسم يا حلف</w:t>
            </w:r>
            <w:r>
              <w:rPr>
                <w:rStyle w:val="IndexLink"/>
                <w:rtl w:val="true"/>
              </w:rPr>
              <w:tab/>
            </w:r>
            <w:r>
              <w:rPr>
                <w:rStyle w:val="IndexLink"/>
              </w:rPr>
              <w:t>468</w:t>
            </w:r>
          </w:hyperlink>
        </w:p>
        <w:p>
          <w:pPr>
            <w:pStyle w:val="Contents5"/>
            <w:tabs>
              <w:tab w:val="clear" w:pos="7892"/>
              <w:tab w:val="right" w:pos="9026" w:leader="dot"/>
            </w:tabs>
            <w:rPr/>
          </w:pPr>
          <w:hyperlink w:anchor="__RefHeading___Toc3809223_1067777946">
            <w:r>
              <w:rPr>
                <w:webHidden/>
                <w:rStyle w:val="IndexLink"/>
                <w:rtl w:val="true"/>
              </w:rPr>
              <w:t>تعليق يمين بر مشيّت خداوند متعال</w:t>
            </w:r>
            <w:r>
              <w:rPr>
                <w:rStyle w:val="IndexLink"/>
                <w:rtl w:val="true"/>
              </w:rPr>
              <w:tab/>
            </w:r>
            <w:r>
              <w:rPr>
                <w:rStyle w:val="IndexLink"/>
              </w:rPr>
              <w:t>469</w:t>
            </w:r>
          </w:hyperlink>
        </w:p>
        <w:p>
          <w:pPr>
            <w:pStyle w:val="Contents5"/>
            <w:tabs>
              <w:tab w:val="clear" w:pos="7892"/>
              <w:tab w:val="right" w:pos="9026" w:leader="dot"/>
            </w:tabs>
            <w:rPr/>
          </w:pPr>
          <w:hyperlink w:anchor="__RefHeading___Toc3809225_1067777946">
            <w:r>
              <w:rPr>
                <w:webHidden/>
                <w:rStyle w:val="IndexLink"/>
                <w:rtl w:val="true"/>
              </w:rPr>
              <w:t>تعليق يمين بر مشيت غير خدا</w:t>
            </w:r>
            <w:r>
              <w:rPr>
                <w:rStyle w:val="IndexLink"/>
                <w:rtl w:val="true"/>
              </w:rPr>
              <w:tab/>
            </w:r>
            <w:r>
              <w:rPr>
                <w:rStyle w:val="IndexLink"/>
              </w:rPr>
              <w:t>470</w:t>
            </w:r>
          </w:hyperlink>
        </w:p>
        <w:p>
          <w:pPr>
            <w:pStyle w:val="Contents5"/>
            <w:tabs>
              <w:tab w:val="clear" w:pos="7892"/>
              <w:tab w:val="right" w:pos="9026" w:leader="dot"/>
            </w:tabs>
            <w:rPr/>
          </w:pPr>
          <w:hyperlink w:anchor="__RefHeading___Toc3809227_1067777946">
            <w:r>
              <w:rPr>
                <w:webHidden/>
                <w:rStyle w:val="IndexLink"/>
                <w:rtl w:val="true"/>
              </w:rPr>
              <w:t>مبطليت تعليق بر مشيت خداى متعال نسبت خدا عقود تنجيزيه</w:t>
            </w:r>
            <w:r>
              <w:rPr>
                <w:rStyle w:val="IndexLink"/>
                <w:rtl w:val="true"/>
              </w:rPr>
              <w:tab/>
            </w:r>
            <w:r>
              <w:rPr>
                <w:rStyle w:val="IndexLink"/>
              </w:rPr>
              <w:t>472</w:t>
            </w:r>
          </w:hyperlink>
        </w:p>
        <w:p>
          <w:pPr>
            <w:pStyle w:val="Contents5"/>
            <w:tabs>
              <w:tab w:val="clear" w:pos="7892"/>
              <w:tab w:val="right" w:pos="9026" w:leader="dot"/>
            </w:tabs>
            <w:rPr/>
          </w:pPr>
          <w:hyperlink w:anchor="__RefHeading___Toc3809229_1067777946">
            <w:r>
              <w:rPr>
                <w:webHidden/>
                <w:rStyle w:val="IndexLink"/>
                <w:rtl w:val="true"/>
              </w:rPr>
              <w:t>حروف قسم</w:t>
            </w:r>
            <w:r>
              <w:rPr>
                <w:rStyle w:val="IndexLink"/>
                <w:rtl w:val="true"/>
              </w:rPr>
              <w:tab/>
            </w:r>
            <w:r>
              <w:rPr>
                <w:rStyle w:val="IndexLink"/>
              </w:rPr>
              <w:t>472</w:t>
            </w:r>
          </w:hyperlink>
        </w:p>
        <w:p>
          <w:pPr>
            <w:pStyle w:val="Contents3"/>
            <w:tabs>
              <w:tab w:val="clear" w:pos="8459"/>
              <w:tab w:val="right" w:pos="9026" w:leader="dot"/>
            </w:tabs>
            <w:rPr/>
          </w:pPr>
          <w:hyperlink w:anchor="__RefHeading___Toc3809231_1067777946">
            <w:r>
              <w:rPr>
                <w:webHidden/>
                <w:rStyle w:val="IndexLink"/>
                <w:rtl w:val="true"/>
              </w:rPr>
              <w:t>فصل دوّم شرايط و احكام حالف</w:t>
            </w:r>
            <w:r>
              <w:rPr>
                <w:rStyle w:val="IndexLink"/>
                <w:rtl w:val="true"/>
              </w:rPr>
              <w:tab/>
            </w:r>
            <w:r>
              <w:rPr>
                <w:rStyle w:val="IndexLink"/>
              </w:rPr>
              <w:t>474</w:t>
            </w:r>
          </w:hyperlink>
        </w:p>
        <w:p>
          <w:pPr>
            <w:pStyle w:val="Contents4"/>
            <w:tabs>
              <w:tab w:val="clear" w:pos="8176"/>
              <w:tab w:val="right" w:pos="9026" w:leader="dot"/>
            </w:tabs>
            <w:rPr/>
          </w:pPr>
          <w:hyperlink w:anchor="__RefHeading___Toc3809233_1067777946">
            <w:r>
              <w:rPr>
                <w:webHidden/>
                <w:rStyle w:val="IndexLink"/>
                <w:rtl w:val="true"/>
              </w:rPr>
              <w:t>شرايط حالف</w:t>
            </w:r>
            <w:r>
              <w:rPr>
                <w:rStyle w:val="IndexLink"/>
                <w:rtl w:val="true"/>
              </w:rPr>
              <w:tab/>
            </w:r>
            <w:r>
              <w:rPr>
                <w:rStyle w:val="IndexLink"/>
              </w:rPr>
              <w:t>474</w:t>
            </w:r>
          </w:hyperlink>
        </w:p>
        <w:p>
          <w:pPr>
            <w:pStyle w:val="Contents4"/>
            <w:tabs>
              <w:tab w:val="clear" w:pos="8176"/>
              <w:tab w:val="right" w:pos="9026" w:leader="dot"/>
            </w:tabs>
            <w:rPr/>
          </w:pPr>
          <w:hyperlink w:anchor="__RefHeading___Toc3809235_1067777946">
            <w:r>
              <w:rPr>
                <w:webHidden/>
                <w:rStyle w:val="IndexLink"/>
                <w:rtl w:val="true"/>
              </w:rPr>
              <w:t>يمين كافر</w:t>
            </w:r>
            <w:r>
              <w:rPr>
                <w:rStyle w:val="IndexLink"/>
                <w:rtl w:val="true"/>
              </w:rPr>
              <w:tab/>
            </w:r>
            <w:r>
              <w:rPr>
                <w:rStyle w:val="IndexLink"/>
              </w:rPr>
              <w:t>474</w:t>
            </w:r>
          </w:hyperlink>
        </w:p>
        <w:p>
          <w:pPr>
            <w:pStyle w:val="Contents4"/>
            <w:tabs>
              <w:tab w:val="clear" w:pos="8176"/>
              <w:tab w:val="right" w:pos="9026" w:leader="dot"/>
            </w:tabs>
            <w:rPr/>
          </w:pPr>
          <w:hyperlink w:anchor="__RefHeading___Toc3809237_1067777946">
            <w:r>
              <w:rPr>
                <w:webHidden/>
                <w:rStyle w:val="IndexLink"/>
                <w:rtl w:val="true"/>
              </w:rPr>
              <w:t>شرطيت اذن در عين در مورد زوجه و ولد و مملوك</w:t>
            </w:r>
            <w:r>
              <w:rPr>
                <w:rStyle w:val="IndexLink"/>
                <w:rtl w:val="true"/>
              </w:rPr>
              <w:tab/>
            </w:r>
            <w:r>
              <w:rPr>
                <w:rStyle w:val="IndexLink"/>
              </w:rPr>
              <w:t>474</w:t>
            </w:r>
          </w:hyperlink>
        </w:p>
        <w:p>
          <w:pPr>
            <w:pStyle w:val="Contents4"/>
            <w:tabs>
              <w:tab w:val="clear" w:pos="8176"/>
              <w:tab w:val="right" w:pos="9026" w:leader="dot"/>
            </w:tabs>
            <w:rPr/>
          </w:pPr>
          <w:hyperlink w:anchor="__RefHeading___Toc3809239_1067777946">
            <w:r>
              <w:rPr>
                <w:webHidden/>
                <w:rStyle w:val="IndexLink"/>
                <w:rtl w:val="true"/>
              </w:rPr>
              <w:t>ادعاى غير يمين با صراحت لفظ</w:t>
            </w:r>
            <w:r>
              <w:rPr>
                <w:rStyle w:val="IndexLink"/>
                <w:rtl w:val="true"/>
              </w:rPr>
              <w:tab/>
            </w:r>
            <w:r>
              <w:rPr>
                <w:rStyle w:val="IndexLink"/>
              </w:rPr>
              <w:t>475</w:t>
            </w:r>
          </w:hyperlink>
        </w:p>
        <w:p>
          <w:pPr>
            <w:pStyle w:val="Contents3"/>
            <w:tabs>
              <w:tab w:val="clear" w:pos="8459"/>
              <w:tab w:val="right" w:pos="9026" w:leader="dot"/>
            </w:tabs>
            <w:rPr/>
          </w:pPr>
          <w:hyperlink w:anchor="__RefHeading___Toc3809241_1067777946">
            <w:r>
              <w:rPr>
                <w:webHidden/>
                <w:rStyle w:val="IndexLink"/>
                <w:rtl w:val="true"/>
              </w:rPr>
              <w:t>فصل سوّم متعلَّق يمين</w:t>
            </w:r>
            <w:r>
              <w:rPr>
                <w:rStyle w:val="IndexLink"/>
                <w:rtl w:val="true"/>
              </w:rPr>
              <w:tab/>
            </w:r>
            <w:r>
              <w:rPr>
                <w:rStyle w:val="IndexLink"/>
              </w:rPr>
              <w:t>476</w:t>
            </w:r>
          </w:hyperlink>
        </w:p>
        <w:p>
          <w:pPr>
            <w:pStyle w:val="Contents4"/>
            <w:tabs>
              <w:tab w:val="clear" w:pos="8176"/>
              <w:tab w:val="right" w:pos="9026" w:leader="dot"/>
            </w:tabs>
            <w:rPr/>
          </w:pPr>
          <w:hyperlink w:anchor="__RefHeading___Toc3809243_1067777946">
            <w:r>
              <w:rPr>
                <w:webHidden/>
                <w:rStyle w:val="IndexLink"/>
              </w:rPr>
              <w:t>1</w:t>
            </w:r>
            <w:r>
              <w:rPr>
                <w:rStyle w:val="IndexLink"/>
                <w:rtl w:val="true"/>
              </w:rPr>
              <w:t xml:space="preserve">. </w:t>
            </w:r>
            <w:r>
              <w:rPr>
                <w:rStyle w:val="IndexLink"/>
                <w:rtl w:val="true"/>
              </w:rPr>
              <w:t>شرايط متعلق يمين</w:t>
            </w:r>
            <w:r>
              <w:rPr>
                <w:rStyle w:val="IndexLink"/>
                <w:rtl w:val="true"/>
              </w:rPr>
              <w:tab/>
            </w:r>
            <w:r>
              <w:rPr>
                <w:rStyle w:val="IndexLink"/>
              </w:rPr>
              <w:t>476</w:t>
            </w:r>
          </w:hyperlink>
        </w:p>
        <w:p>
          <w:pPr>
            <w:pStyle w:val="Contents5"/>
            <w:tabs>
              <w:tab w:val="clear" w:pos="7892"/>
              <w:tab w:val="right" w:pos="9026" w:leader="dot"/>
            </w:tabs>
            <w:rPr/>
          </w:pPr>
          <w:hyperlink w:anchor="__RefHeading___Toc3809245_1067777946">
            <w:r>
              <w:rPr>
                <w:webHidden/>
                <w:rStyle w:val="IndexLink"/>
                <w:rtl w:val="true"/>
              </w:rPr>
              <w:t>عدم انعقاد يمين بر ماضى و حال</w:t>
            </w:r>
            <w:r>
              <w:rPr>
                <w:rStyle w:val="IndexLink"/>
                <w:rtl w:val="true"/>
              </w:rPr>
              <w:tab/>
            </w:r>
            <w:r>
              <w:rPr>
                <w:rStyle w:val="IndexLink"/>
              </w:rPr>
              <w:t>476</w:t>
            </w:r>
          </w:hyperlink>
        </w:p>
        <w:p>
          <w:pPr>
            <w:pStyle w:val="Contents5"/>
            <w:tabs>
              <w:tab w:val="clear" w:pos="7892"/>
              <w:tab w:val="right" w:pos="9026" w:leader="dot"/>
            </w:tabs>
            <w:rPr/>
          </w:pPr>
          <w:hyperlink w:anchor="__RefHeading___Toc3809247_1067777946">
            <w:r>
              <w:rPr>
                <w:webHidden/>
                <w:rStyle w:val="IndexLink"/>
                <w:rtl w:val="true"/>
              </w:rPr>
              <w:t>اعتبار عدم مرجوحيت در متعلق يمين</w:t>
            </w:r>
            <w:r>
              <w:rPr>
                <w:rStyle w:val="IndexLink"/>
                <w:rtl w:val="true"/>
              </w:rPr>
              <w:tab/>
            </w:r>
            <w:r>
              <w:rPr>
                <w:rStyle w:val="IndexLink"/>
              </w:rPr>
              <w:t>476</w:t>
            </w:r>
          </w:hyperlink>
        </w:p>
        <w:p>
          <w:pPr>
            <w:pStyle w:val="Contents5"/>
            <w:tabs>
              <w:tab w:val="clear" w:pos="7892"/>
              <w:tab w:val="right" w:pos="9026" w:leader="dot"/>
            </w:tabs>
            <w:rPr/>
          </w:pPr>
          <w:hyperlink w:anchor="__RefHeading___Toc3809249_1067777946">
            <w:r>
              <w:rPr>
                <w:webHidden/>
                <w:rStyle w:val="IndexLink"/>
                <w:rtl w:val="true"/>
              </w:rPr>
              <w:t>اعتبار رجحان دينى يا دنيوى يا تساوى در متعلق قسم</w:t>
            </w:r>
            <w:r>
              <w:rPr>
                <w:rStyle w:val="IndexLink"/>
                <w:rtl w:val="true"/>
              </w:rPr>
              <w:tab/>
            </w:r>
            <w:r>
              <w:rPr>
                <w:rStyle w:val="IndexLink"/>
              </w:rPr>
              <w:t>477</w:t>
            </w:r>
          </w:hyperlink>
        </w:p>
        <w:p>
          <w:pPr>
            <w:pStyle w:val="Contents5"/>
            <w:tabs>
              <w:tab w:val="clear" w:pos="7892"/>
              <w:tab w:val="right" w:pos="9026" w:leader="dot"/>
            </w:tabs>
            <w:rPr/>
          </w:pPr>
          <w:hyperlink w:anchor="__RefHeading___Toc3809251_1067777946">
            <w:r>
              <w:rPr>
                <w:webHidden/>
                <w:rStyle w:val="IndexLink"/>
                <w:rtl w:val="true"/>
              </w:rPr>
              <w:t>بى اثر بودن يمين بر فعل غير و بر فعل و بر فعل ممتنع</w:t>
            </w:r>
            <w:r>
              <w:rPr>
                <w:rStyle w:val="IndexLink"/>
                <w:rtl w:val="true"/>
              </w:rPr>
              <w:tab/>
            </w:r>
            <w:r>
              <w:rPr>
                <w:rStyle w:val="IndexLink"/>
              </w:rPr>
              <w:t>477</w:t>
            </w:r>
          </w:hyperlink>
        </w:p>
        <w:p>
          <w:pPr>
            <w:pStyle w:val="Contents4"/>
            <w:tabs>
              <w:tab w:val="clear" w:pos="8176"/>
              <w:tab w:val="right" w:pos="9026" w:leader="dot"/>
            </w:tabs>
            <w:rPr/>
          </w:pPr>
          <w:hyperlink w:anchor="__RefHeading___Toc3809253_1067777946">
            <w:r>
              <w:rPr>
                <w:webHidden/>
                <w:rStyle w:val="IndexLink"/>
              </w:rPr>
              <w:t>2</w:t>
            </w:r>
            <w:r>
              <w:rPr>
                <w:rStyle w:val="IndexLink"/>
                <w:rtl w:val="true"/>
              </w:rPr>
              <w:t xml:space="preserve">. </w:t>
            </w:r>
            <w:r>
              <w:rPr>
                <w:rStyle w:val="IndexLink"/>
                <w:rtl w:val="true"/>
              </w:rPr>
              <w:t>اَيمان متعلقۀ به مأكل و مشرب</w:t>
            </w:r>
            <w:r>
              <w:rPr>
                <w:rStyle w:val="IndexLink"/>
                <w:rtl w:val="true"/>
              </w:rPr>
              <w:tab/>
            </w:r>
            <w:r>
              <w:rPr>
                <w:rStyle w:val="IndexLink"/>
              </w:rPr>
              <w:t>477</w:t>
            </w:r>
          </w:hyperlink>
        </w:p>
        <w:p>
          <w:pPr>
            <w:pStyle w:val="Contents5"/>
            <w:tabs>
              <w:tab w:val="clear" w:pos="7892"/>
              <w:tab w:val="right" w:pos="9026" w:leader="dot"/>
            </w:tabs>
            <w:rPr/>
          </w:pPr>
          <w:hyperlink w:anchor="__RefHeading___Toc3809255_1067777946">
            <w:r>
              <w:rPr>
                <w:webHidden/>
                <w:rStyle w:val="IndexLink"/>
                <w:rtl w:val="true"/>
              </w:rPr>
              <w:t>اشاره</w:t>
            </w:r>
            <w:r>
              <w:rPr>
                <w:rStyle w:val="IndexLink"/>
                <w:rtl w:val="true"/>
              </w:rPr>
              <w:tab/>
            </w:r>
            <w:r>
              <w:rPr>
                <w:rStyle w:val="IndexLink"/>
              </w:rPr>
              <w:t>477</w:t>
            </w:r>
          </w:hyperlink>
        </w:p>
        <w:p>
          <w:pPr>
            <w:pStyle w:val="Contents5"/>
            <w:tabs>
              <w:tab w:val="clear" w:pos="7892"/>
              <w:tab w:val="right" w:pos="9026" w:leader="dot"/>
            </w:tabs>
            <w:rPr/>
          </w:pPr>
          <w:hyperlink w:anchor="__RefHeading___Toc3809257_1067777946">
            <w:r>
              <w:rPr>
                <w:webHidden/>
                <w:rStyle w:val="IndexLink"/>
                <w:rtl w:val="true"/>
              </w:rPr>
              <w:t>غلط در صيغۀ يمين</w:t>
            </w:r>
            <w:r>
              <w:rPr>
                <w:rStyle w:val="IndexLink"/>
                <w:rtl w:val="true"/>
              </w:rPr>
              <w:tab/>
            </w:r>
            <w:r>
              <w:rPr>
                <w:rStyle w:val="IndexLink"/>
              </w:rPr>
              <w:t>478</w:t>
            </w:r>
          </w:hyperlink>
        </w:p>
        <w:p>
          <w:pPr>
            <w:pStyle w:val="Contents5"/>
            <w:tabs>
              <w:tab w:val="clear" w:pos="7892"/>
              <w:tab w:val="right" w:pos="9026" w:leader="dot"/>
            </w:tabs>
            <w:rPr/>
          </w:pPr>
          <w:hyperlink w:anchor="__RefHeading___Toc3809259_1067777946">
            <w:r>
              <w:rPr>
                <w:webHidden/>
                <w:rStyle w:val="IndexLink"/>
                <w:rtl w:val="true"/>
              </w:rPr>
              <w:t>تعدّى از خصوصيت ملحوظۀ در قسم</w:t>
            </w:r>
            <w:r>
              <w:rPr>
                <w:rStyle w:val="IndexLink"/>
                <w:rtl w:val="true"/>
              </w:rPr>
              <w:tab/>
            </w:r>
            <w:r>
              <w:rPr>
                <w:rStyle w:val="IndexLink"/>
              </w:rPr>
              <w:t>478</w:t>
            </w:r>
          </w:hyperlink>
        </w:p>
        <w:p>
          <w:pPr>
            <w:pStyle w:val="Contents5"/>
            <w:tabs>
              <w:tab w:val="clear" w:pos="7892"/>
              <w:tab w:val="right" w:pos="9026" w:leader="dot"/>
            </w:tabs>
            <w:rPr/>
          </w:pPr>
          <w:hyperlink w:anchor="__RefHeading___Toc3809261_1067777946">
            <w:r>
              <w:rPr>
                <w:webHidden/>
                <w:rStyle w:val="IndexLink"/>
                <w:rtl w:val="true"/>
              </w:rPr>
              <w:t>تقديم و تأخير بر موقّت در قسم</w:t>
            </w:r>
            <w:r>
              <w:rPr>
                <w:rStyle w:val="IndexLink"/>
                <w:rtl w:val="true"/>
              </w:rPr>
              <w:tab/>
            </w:r>
            <w:r>
              <w:rPr>
                <w:rStyle w:val="IndexLink"/>
              </w:rPr>
              <w:t>479</w:t>
            </w:r>
          </w:hyperlink>
        </w:p>
        <w:p>
          <w:pPr>
            <w:pStyle w:val="Contents5"/>
            <w:tabs>
              <w:tab w:val="clear" w:pos="7892"/>
              <w:tab w:val="right" w:pos="9026" w:leader="dot"/>
            </w:tabs>
            <w:rPr/>
          </w:pPr>
          <w:hyperlink w:anchor="__RefHeading___Toc3809263_1067777946">
            <w:r>
              <w:rPr>
                <w:webHidden/>
                <w:rStyle w:val="IndexLink"/>
                <w:rtl w:val="true"/>
              </w:rPr>
              <w:t>اختصاص حنث به اصل متعلّق قسم</w:t>
            </w:r>
            <w:r>
              <w:rPr>
                <w:rStyle w:val="IndexLink"/>
                <w:rtl w:val="true"/>
              </w:rPr>
              <w:tab/>
            </w:r>
            <w:r>
              <w:rPr>
                <w:rStyle w:val="IndexLink"/>
              </w:rPr>
              <w:t>480</w:t>
            </w:r>
          </w:hyperlink>
        </w:p>
        <w:p>
          <w:pPr>
            <w:pStyle w:val="Contents5"/>
            <w:tabs>
              <w:tab w:val="clear" w:pos="7892"/>
              <w:tab w:val="right" w:pos="9026" w:leader="dot"/>
            </w:tabs>
            <w:rPr/>
          </w:pPr>
          <w:hyperlink w:anchor="__RefHeading___Toc3809265_1067777946">
            <w:r>
              <w:rPr>
                <w:webHidden/>
                <w:rStyle w:val="IndexLink"/>
                <w:rtl w:val="true"/>
              </w:rPr>
              <w:t>حمل قسم بر مصاديق متعارفه</w:t>
            </w:r>
            <w:r>
              <w:rPr>
                <w:rStyle w:val="IndexLink"/>
                <w:rtl w:val="true"/>
              </w:rPr>
              <w:tab/>
            </w:r>
            <w:r>
              <w:rPr>
                <w:rStyle w:val="IndexLink"/>
              </w:rPr>
              <w:t>480</w:t>
            </w:r>
          </w:hyperlink>
        </w:p>
        <w:p>
          <w:pPr>
            <w:pStyle w:val="Contents5"/>
            <w:tabs>
              <w:tab w:val="clear" w:pos="7892"/>
              <w:tab w:val="right" w:pos="9026" w:leader="dot"/>
            </w:tabs>
            <w:rPr/>
          </w:pPr>
          <w:hyperlink w:anchor="__RefHeading___Toc3809267_1067777946">
            <w:r>
              <w:rPr>
                <w:webHidden/>
                <w:rStyle w:val="IndexLink"/>
                <w:rtl w:val="true"/>
              </w:rPr>
              <w:t>حلف بر گوشت نخوردن</w:t>
            </w:r>
            <w:r>
              <w:rPr>
                <w:rStyle w:val="IndexLink"/>
                <w:rtl w:val="true"/>
              </w:rPr>
              <w:tab/>
            </w:r>
            <w:r>
              <w:rPr>
                <w:rStyle w:val="IndexLink"/>
              </w:rPr>
              <w:t>480</w:t>
            </w:r>
          </w:hyperlink>
        </w:p>
        <w:p>
          <w:pPr>
            <w:pStyle w:val="Contents5"/>
            <w:tabs>
              <w:tab w:val="clear" w:pos="7892"/>
              <w:tab w:val="right" w:pos="9026" w:leader="dot"/>
            </w:tabs>
            <w:rPr/>
          </w:pPr>
          <w:hyperlink w:anchor="__RefHeading___Toc3809269_1067777946">
            <w:r>
              <w:rPr>
                <w:webHidden/>
                <w:rStyle w:val="IndexLink"/>
                <w:rtl w:val="true"/>
              </w:rPr>
              <w:t>لزوم اخذ به آنچه قسم كنايه از آن است</w:t>
            </w:r>
            <w:r>
              <w:rPr>
                <w:rStyle w:val="IndexLink"/>
                <w:rtl w:val="true"/>
              </w:rPr>
              <w:tab/>
            </w:r>
            <w:r>
              <w:rPr>
                <w:rStyle w:val="IndexLink"/>
              </w:rPr>
              <w:t>480</w:t>
            </w:r>
          </w:hyperlink>
        </w:p>
        <w:p>
          <w:pPr>
            <w:pStyle w:val="Contents5"/>
            <w:tabs>
              <w:tab w:val="clear" w:pos="7892"/>
              <w:tab w:val="right" w:pos="9026" w:leader="dot"/>
            </w:tabs>
            <w:rPr/>
          </w:pPr>
          <w:hyperlink w:anchor="__RefHeading___Toc3809271_1067777946">
            <w:r>
              <w:rPr>
                <w:webHidden/>
                <w:rStyle w:val="IndexLink"/>
                <w:rtl w:val="true"/>
              </w:rPr>
              <w:t>فرض استهلاك و عدم استهلاك متعلق قسم</w:t>
            </w:r>
            <w:r>
              <w:rPr>
                <w:rStyle w:val="IndexLink"/>
                <w:rtl w:val="true"/>
              </w:rPr>
              <w:tab/>
            </w:r>
            <w:r>
              <w:rPr>
                <w:rStyle w:val="IndexLink"/>
              </w:rPr>
              <w:t>480</w:t>
            </w:r>
          </w:hyperlink>
        </w:p>
        <w:p>
          <w:pPr>
            <w:pStyle w:val="Contents5"/>
            <w:tabs>
              <w:tab w:val="clear" w:pos="7892"/>
              <w:tab w:val="right" w:pos="9026" w:leader="dot"/>
            </w:tabs>
            <w:rPr/>
          </w:pPr>
          <w:hyperlink w:anchor="__RefHeading___Toc3809273_1067777946">
            <w:r>
              <w:rPr>
                <w:webHidden/>
                <w:rStyle w:val="IndexLink"/>
                <w:rtl w:val="true"/>
              </w:rPr>
              <w:t>تبديل متعلق قسم، مثل گندم به آرد</w:t>
            </w:r>
            <w:r>
              <w:rPr>
                <w:rStyle w:val="IndexLink"/>
                <w:rtl w:val="true"/>
              </w:rPr>
              <w:tab/>
            </w:r>
            <w:r>
              <w:rPr>
                <w:rStyle w:val="IndexLink"/>
              </w:rPr>
              <w:t>481</w:t>
            </w:r>
          </w:hyperlink>
        </w:p>
        <w:p>
          <w:pPr>
            <w:pStyle w:val="Contents5"/>
            <w:tabs>
              <w:tab w:val="clear" w:pos="7892"/>
              <w:tab w:val="right" w:pos="9026" w:leader="dot"/>
            </w:tabs>
            <w:rPr/>
          </w:pPr>
          <w:hyperlink w:anchor="__RefHeading___Toc3809275_1067777946">
            <w:r>
              <w:rPr>
                <w:webHidden/>
                <w:rStyle w:val="IndexLink"/>
                <w:rtl w:val="true"/>
              </w:rPr>
              <w:t>اقتصار بر آنچه قسم بر آن صادق است</w:t>
            </w:r>
            <w:r>
              <w:rPr>
                <w:rStyle w:val="IndexLink"/>
                <w:rtl w:val="true"/>
              </w:rPr>
              <w:tab/>
            </w:r>
            <w:r>
              <w:rPr>
                <w:rStyle w:val="IndexLink"/>
              </w:rPr>
              <w:t>481</w:t>
            </w:r>
          </w:hyperlink>
        </w:p>
        <w:p>
          <w:pPr>
            <w:pStyle w:val="Contents5"/>
            <w:tabs>
              <w:tab w:val="clear" w:pos="7892"/>
              <w:tab w:val="right" w:pos="9026" w:leader="dot"/>
            </w:tabs>
            <w:rPr/>
          </w:pPr>
          <w:hyperlink w:anchor="__RefHeading___Toc3809277_1067777946">
            <w:r>
              <w:rPr>
                <w:webHidden/>
                <w:rStyle w:val="IndexLink"/>
                <w:rtl w:val="true"/>
              </w:rPr>
              <w:t>خوردن نصف متعلق قسم</w:t>
            </w:r>
            <w:r>
              <w:rPr>
                <w:rStyle w:val="IndexLink"/>
                <w:rtl w:val="true"/>
              </w:rPr>
              <w:tab/>
            </w:r>
            <w:r>
              <w:rPr>
                <w:rStyle w:val="IndexLink"/>
              </w:rPr>
              <w:t>482</w:t>
            </w:r>
          </w:hyperlink>
        </w:p>
        <w:p>
          <w:pPr>
            <w:pStyle w:val="Contents5"/>
            <w:tabs>
              <w:tab w:val="clear" w:pos="7892"/>
              <w:tab w:val="right" w:pos="9026" w:leader="dot"/>
            </w:tabs>
            <w:rPr/>
          </w:pPr>
          <w:hyperlink w:anchor="__RefHeading___Toc3809279_1067777946">
            <w:r>
              <w:rPr>
                <w:webHidden/>
                <w:rStyle w:val="IndexLink"/>
                <w:rtl w:val="true"/>
              </w:rPr>
              <w:t>آنچه ميوه و إدام بر آن صادق است</w:t>
            </w:r>
            <w:r>
              <w:rPr>
                <w:rStyle w:val="IndexLink"/>
                <w:rtl w:val="true"/>
              </w:rPr>
              <w:tab/>
            </w:r>
            <w:r>
              <w:rPr>
                <w:rStyle w:val="IndexLink"/>
              </w:rPr>
              <w:t>482</w:t>
            </w:r>
          </w:hyperlink>
        </w:p>
        <w:p>
          <w:pPr>
            <w:pStyle w:val="Contents5"/>
            <w:tabs>
              <w:tab w:val="clear" w:pos="7892"/>
              <w:tab w:val="right" w:pos="9026" w:leader="dot"/>
            </w:tabs>
            <w:rPr/>
          </w:pPr>
          <w:hyperlink w:anchor="__RefHeading___Toc3809281_1067777946">
            <w:r>
              <w:rPr>
                <w:webHidden/>
                <w:rStyle w:val="IndexLink"/>
                <w:rtl w:val="true"/>
              </w:rPr>
              <w:t>حلف بر نياشاميدن يا آشاميدن آب يك كوزه</w:t>
            </w:r>
            <w:r>
              <w:rPr>
                <w:rStyle w:val="IndexLink"/>
                <w:rtl w:val="true"/>
              </w:rPr>
              <w:tab/>
            </w:r>
            <w:r>
              <w:rPr>
                <w:rStyle w:val="IndexLink"/>
              </w:rPr>
              <w:t>482</w:t>
            </w:r>
          </w:hyperlink>
        </w:p>
        <w:p>
          <w:pPr>
            <w:pStyle w:val="Contents5"/>
            <w:tabs>
              <w:tab w:val="clear" w:pos="7892"/>
              <w:tab w:val="right" w:pos="9026" w:leader="dot"/>
            </w:tabs>
            <w:rPr/>
          </w:pPr>
          <w:hyperlink w:anchor="__RefHeading___Toc3809283_1067777946">
            <w:r>
              <w:rPr>
                <w:webHidden/>
                <w:rStyle w:val="IndexLink"/>
                <w:rtl w:val="true"/>
              </w:rPr>
              <w:t>تثنيه و جمع در قسم و نحوۀ حنث آن</w:t>
            </w:r>
            <w:r>
              <w:rPr>
                <w:rStyle w:val="IndexLink"/>
                <w:rtl w:val="true"/>
              </w:rPr>
              <w:tab/>
            </w:r>
            <w:r>
              <w:rPr>
                <w:rStyle w:val="IndexLink"/>
              </w:rPr>
              <w:t>483</w:t>
            </w:r>
          </w:hyperlink>
        </w:p>
        <w:p>
          <w:pPr>
            <w:pStyle w:val="Contents5"/>
            <w:tabs>
              <w:tab w:val="clear" w:pos="7892"/>
              <w:tab w:val="right" w:pos="9026" w:leader="dot"/>
            </w:tabs>
            <w:rPr/>
          </w:pPr>
          <w:hyperlink w:anchor="__RefHeading___Toc3809285_1067777946">
            <w:r>
              <w:rPr>
                <w:webHidden/>
                <w:rStyle w:val="IndexLink"/>
                <w:rtl w:val="true"/>
              </w:rPr>
              <w:t>حلف بر ترك تكلم با دو نفر</w:t>
            </w:r>
            <w:r>
              <w:rPr>
                <w:rStyle w:val="IndexLink"/>
                <w:rtl w:val="true"/>
              </w:rPr>
              <w:tab/>
            </w:r>
            <w:r>
              <w:rPr>
                <w:rStyle w:val="IndexLink"/>
              </w:rPr>
              <w:t>483</w:t>
            </w:r>
          </w:hyperlink>
        </w:p>
        <w:p>
          <w:pPr>
            <w:pStyle w:val="Contents5"/>
            <w:tabs>
              <w:tab w:val="clear" w:pos="7892"/>
              <w:tab w:val="right" w:pos="9026" w:leader="dot"/>
            </w:tabs>
            <w:rPr/>
          </w:pPr>
          <w:hyperlink w:anchor="__RefHeading___Toc3809287_1067777946">
            <w:r>
              <w:rPr>
                <w:webHidden/>
                <w:rStyle w:val="IndexLink"/>
                <w:rtl w:val="true"/>
              </w:rPr>
              <w:t>جواز اكل سركۀ مستهلك كه قسم بر ترك آن محقق شده</w:t>
            </w:r>
            <w:r>
              <w:rPr>
                <w:rStyle w:val="IndexLink"/>
                <w:rtl w:val="true"/>
              </w:rPr>
              <w:tab/>
            </w:r>
            <w:r>
              <w:rPr>
                <w:rStyle w:val="IndexLink"/>
              </w:rPr>
              <w:t>483</w:t>
            </w:r>
          </w:hyperlink>
        </w:p>
        <w:p>
          <w:pPr>
            <w:pStyle w:val="Contents5"/>
            <w:tabs>
              <w:tab w:val="clear" w:pos="7892"/>
              <w:tab w:val="right" w:pos="9026" w:leader="dot"/>
            </w:tabs>
            <w:rPr/>
          </w:pPr>
          <w:hyperlink w:anchor="__RefHeading___Toc3809289_1067777946">
            <w:r>
              <w:rPr>
                <w:webHidden/>
                <w:rStyle w:val="IndexLink"/>
                <w:rtl w:val="true"/>
              </w:rPr>
              <w:t>اتباع قيود قسم</w:t>
            </w:r>
            <w:r>
              <w:rPr>
                <w:rStyle w:val="IndexLink"/>
                <w:rtl w:val="true"/>
              </w:rPr>
              <w:tab/>
            </w:r>
            <w:r>
              <w:rPr>
                <w:rStyle w:val="IndexLink"/>
              </w:rPr>
              <w:t>483</w:t>
            </w:r>
          </w:hyperlink>
        </w:p>
        <w:p>
          <w:pPr>
            <w:pStyle w:val="Contents4"/>
            <w:tabs>
              <w:tab w:val="clear" w:pos="8176"/>
              <w:tab w:val="right" w:pos="9026" w:leader="dot"/>
            </w:tabs>
            <w:rPr/>
          </w:pPr>
          <w:hyperlink w:anchor="__RefHeading___Toc3809291_1067777946">
            <w:r>
              <w:rPr>
                <w:webHidden/>
                <w:rStyle w:val="IndexLink"/>
              </w:rPr>
              <w:t>3</w:t>
            </w:r>
            <w:r>
              <w:rPr>
                <w:rStyle w:val="IndexLink"/>
                <w:rtl w:val="true"/>
              </w:rPr>
              <w:t xml:space="preserve">. </w:t>
            </w:r>
            <w:r>
              <w:rPr>
                <w:rStyle w:val="IndexLink"/>
                <w:rtl w:val="true"/>
              </w:rPr>
              <w:t>مسائل يمينِ مربوط به بيت و خانه</w:t>
            </w:r>
            <w:r>
              <w:rPr>
                <w:rStyle w:val="IndexLink"/>
                <w:rtl w:val="true"/>
              </w:rPr>
              <w:tab/>
            </w:r>
            <w:r>
              <w:rPr>
                <w:rStyle w:val="IndexLink"/>
              </w:rPr>
              <w:t>484</w:t>
            </w:r>
          </w:hyperlink>
        </w:p>
        <w:p>
          <w:pPr>
            <w:pStyle w:val="Contents5"/>
            <w:tabs>
              <w:tab w:val="clear" w:pos="7892"/>
              <w:tab w:val="right" w:pos="9026" w:leader="dot"/>
            </w:tabs>
            <w:rPr/>
          </w:pPr>
          <w:hyperlink w:anchor="__RefHeading___Toc3809293_1067777946">
            <w:r>
              <w:rPr>
                <w:webHidden/>
                <w:rStyle w:val="IndexLink"/>
                <w:rtl w:val="true"/>
              </w:rPr>
              <w:t>تفضيل بين افعال زمان دار و غير آن</w:t>
            </w:r>
            <w:r>
              <w:rPr>
                <w:rStyle w:val="IndexLink"/>
                <w:rtl w:val="true"/>
              </w:rPr>
              <w:tab/>
            </w:r>
            <w:r>
              <w:rPr>
                <w:rStyle w:val="IndexLink"/>
              </w:rPr>
              <w:t>484</w:t>
            </w:r>
          </w:hyperlink>
        </w:p>
        <w:p>
          <w:pPr>
            <w:pStyle w:val="Contents5"/>
            <w:tabs>
              <w:tab w:val="clear" w:pos="7892"/>
              <w:tab w:val="right" w:pos="9026" w:leader="dot"/>
            </w:tabs>
            <w:rPr/>
          </w:pPr>
          <w:hyperlink w:anchor="__RefHeading___Toc3809295_1067777946">
            <w:r>
              <w:rPr>
                <w:webHidden/>
                <w:rStyle w:val="IndexLink"/>
                <w:rtl w:val="true"/>
              </w:rPr>
              <w:t>فوريت عمل به قسم در فرض تحقق متعلّق</w:t>
            </w:r>
            <w:r>
              <w:rPr>
                <w:rStyle w:val="IndexLink"/>
                <w:rtl w:val="true"/>
              </w:rPr>
              <w:tab/>
            </w:r>
            <w:r>
              <w:rPr>
                <w:rStyle w:val="IndexLink"/>
              </w:rPr>
              <w:t>484</w:t>
            </w:r>
          </w:hyperlink>
        </w:p>
        <w:p>
          <w:pPr>
            <w:pStyle w:val="Contents5"/>
            <w:tabs>
              <w:tab w:val="clear" w:pos="7892"/>
              <w:tab w:val="right" w:pos="9026" w:leader="dot"/>
            </w:tabs>
            <w:rPr/>
          </w:pPr>
          <w:hyperlink w:anchor="__RefHeading___Toc3809297_1067777946">
            <w:r>
              <w:rPr>
                <w:webHidden/>
                <w:rStyle w:val="IndexLink"/>
                <w:rtl w:val="true"/>
              </w:rPr>
              <w:t>نحوۀ حصول حنث در حلف بر عدم دخول خانه</w:t>
            </w:r>
            <w:r>
              <w:rPr>
                <w:rStyle w:val="IndexLink"/>
                <w:rtl w:val="true"/>
              </w:rPr>
              <w:tab/>
            </w:r>
            <w:r>
              <w:rPr>
                <w:rStyle w:val="IndexLink"/>
              </w:rPr>
              <w:t>485</w:t>
            </w:r>
          </w:hyperlink>
        </w:p>
        <w:p>
          <w:pPr>
            <w:pStyle w:val="Contents5"/>
            <w:tabs>
              <w:tab w:val="clear" w:pos="7892"/>
              <w:tab w:val="right" w:pos="9026" w:leader="dot"/>
            </w:tabs>
            <w:rPr/>
          </w:pPr>
          <w:hyperlink w:anchor="__RefHeading___Toc3809299_1067777946">
            <w:r>
              <w:rPr>
                <w:webHidden/>
                <w:rStyle w:val="IndexLink"/>
                <w:rtl w:val="true"/>
              </w:rPr>
              <w:t>قسم با لفظ عام</w:t>
            </w:r>
            <w:r>
              <w:rPr>
                <w:rStyle w:val="IndexLink"/>
                <w:rtl w:val="true"/>
              </w:rPr>
              <w:tab/>
            </w:r>
            <w:r>
              <w:rPr>
                <w:rStyle w:val="IndexLink"/>
              </w:rPr>
              <w:t>485</w:t>
            </w:r>
          </w:hyperlink>
        </w:p>
        <w:p>
          <w:pPr>
            <w:pStyle w:val="Contents5"/>
            <w:tabs>
              <w:tab w:val="clear" w:pos="7892"/>
              <w:tab w:val="right" w:pos="9026" w:leader="dot"/>
            </w:tabs>
            <w:rPr/>
          </w:pPr>
          <w:hyperlink w:anchor="__RefHeading___Toc3809301_1067777946">
            <w:r>
              <w:rPr>
                <w:webHidden/>
                <w:rStyle w:val="IndexLink"/>
                <w:rtl w:val="true"/>
              </w:rPr>
              <w:t>مدخليّت اوصاف و اضافات قسم</w:t>
            </w:r>
            <w:r>
              <w:rPr>
                <w:rStyle w:val="IndexLink"/>
                <w:rtl w:val="true"/>
              </w:rPr>
              <w:tab/>
            </w:r>
            <w:r>
              <w:rPr>
                <w:rStyle w:val="IndexLink"/>
              </w:rPr>
              <w:t>486</w:t>
            </w:r>
          </w:hyperlink>
        </w:p>
        <w:p>
          <w:pPr>
            <w:pStyle w:val="Contents5"/>
            <w:tabs>
              <w:tab w:val="clear" w:pos="7892"/>
              <w:tab w:val="right" w:pos="9026" w:leader="dot"/>
            </w:tabs>
            <w:rPr/>
          </w:pPr>
          <w:hyperlink w:anchor="__RefHeading___Toc3809303_1067777946">
            <w:r>
              <w:rPr>
                <w:webHidden/>
                <w:rStyle w:val="IndexLink"/>
                <w:rtl w:val="true"/>
              </w:rPr>
              <w:t>عدم صدق لفظ بر من قضى</w:t>
            </w:r>
            <w:r>
              <w:rPr>
                <w:rStyle w:val="IndexLink"/>
                <w:rtl w:val="true"/>
              </w:rPr>
              <w:tab/>
            </w:r>
            <w:r>
              <w:rPr>
                <w:rStyle w:val="IndexLink"/>
              </w:rPr>
              <w:t>486</w:t>
            </w:r>
          </w:hyperlink>
        </w:p>
        <w:p>
          <w:pPr>
            <w:pStyle w:val="Contents5"/>
            <w:tabs>
              <w:tab w:val="clear" w:pos="7892"/>
              <w:tab w:val="right" w:pos="9026" w:leader="dot"/>
            </w:tabs>
            <w:rPr/>
          </w:pPr>
          <w:hyperlink w:anchor="__RefHeading___Toc3809305_1067777946">
            <w:r>
              <w:rPr>
                <w:webHidden/>
                <w:rStyle w:val="IndexLink"/>
                <w:rtl w:val="true"/>
              </w:rPr>
              <w:t>اتباع قيد خاص</w:t>
            </w:r>
            <w:r>
              <w:rPr>
                <w:rStyle w:val="IndexLink"/>
                <w:rtl w:val="true"/>
              </w:rPr>
              <w:tab/>
            </w:r>
            <w:r>
              <w:rPr>
                <w:rStyle w:val="IndexLink"/>
              </w:rPr>
              <w:t>486</w:t>
            </w:r>
          </w:hyperlink>
        </w:p>
        <w:p>
          <w:pPr>
            <w:pStyle w:val="Contents5"/>
            <w:tabs>
              <w:tab w:val="clear" w:pos="7892"/>
              <w:tab w:val="right" w:pos="9026" w:leader="dot"/>
            </w:tabs>
            <w:rPr/>
          </w:pPr>
          <w:hyperlink w:anchor="__RefHeading___Toc3809307_1067777946">
            <w:r>
              <w:rPr>
                <w:webHidden/>
                <w:rStyle w:val="IndexLink"/>
                <w:rtl w:val="true"/>
              </w:rPr>
              <w:t>تغيير متعلّق</w:t>
            </w:r>
            <w:r>
              <w:rPr>
                <w:rStyle w:val="IndexLink"/>
                <w:rtl w:val="true"/>
              </w:rPr>
              <w:tab/>
            </w:r>
            <w:r>
              <w:rPr>
                <w:rStyle w:val="IndexLink"/>
              </w:rPr>
              <w:t>486</w:t>
            </w:r>
          </w:hyperlink>
        </w:p>
        <w:p>
          <w:pPr>
            <w:pStyle w:val="Contents5"/>
            <w:tabs>
              <w:tab w:val="clear" w:pos="7892"/>
              <w:tab w:val="right" w:pos="9026" w:leader="dot"/>
            </w:tabs>
            <w:rPr/>
          </w:pPr>
          <w:hyperlink w:anchor="__RefHeading___Toc3809309_1067777946">
            <w:r>
              <w:rPr>
                <w:webHidden/>
                <w:rStyle w:val="IndexLink"/>
                <w:rtl w:val="true"/>
              </w:rPr>
              <w:t>تفصيل بين فعل و ترك در اقتضاى تأبيد</w:t>
            </w:r>
            <w:r>
              <w:rPr>
                <w:rStyle w:val="IndexLink"/>
                <w:rtl w:val="true"/>
              </w:rPr>
              <w:tab/>
            </w:r>
            <w:r>
              <w:rPr>
                <w:rStyle w:val="IndexLink"/>
              </w:rPr>
              <w:t>487</w:t>
            </w:r>
          </w:hyperlink>
        </w:p>
        <w:p>
          <w:pPr>
            <w:pStyle w:val="Contents5"/>
            <w:tabs>
              <w:tab w:val="clear" w:pos="7892"/>
              <w:tab w:val="right" w:pos="9026" w:leader="dot"/>
            </w:tabs>
            <w:rPr/>
          </w:pPr>
          <w:hyperlink w:anchor="__RefHeading___Toc3809311_1067777946">
            <w:r>
              <w:rPr>
                <w:webHidden/>
                <w:rStyle w:val="IndexLink"/>
                <w:rtl w:val="true"/>
              </w:rPr>
              <w:t>عدم تحقق حنث با نسيان يا جهل به موضوع</w:t>
            </w:r>
            <w:r>
              <w:rPr>
                <w:rStyle w:val="IndexLink"/>
                <w:rtl w:val="true"/>
              </w:rPr>
              <w:tab/>
            </w:r>
            <w:r>
              <w:rPr>
                <w:rStyle w:val="IndexLink"/>
              </w:rPr>
              <w:t>487</w:t>
            </w:r>
          </w:hyperlink>
        </w:p>
        <w:p>
          <w:pPr>
            <w:pStyle w:val="Contents5"/>
            <w:tabs>
              <w:tab w:val="clear" w:pos="7892"/>
              <w:tab w:val="right" w:pos="9026" w:leader="dot"/>
            </w:tabs>
            <w:rPr/>
          </w:pPr>
          <w:hyperlink w:anchor="__RefHeading___Toc3809313_1067777946">
            <w:r>
              <w:rPr>
                <w:webHidden/>
                <w:rStyle w:val="IndexLink"/>
                <w:rtl w:val="true"/>
              </w:rPr>
              <w:t>الغاىِ خصوصيت در قسم</w:t>
            </w:r>
            <w:r>
              <w:rPr>
                <w:rStyle w:val="IndexLink"/>
                <w:rtl w:val="true"/>
              </w:rPr>
              <w:tab/>
            </w:r>
            <w:r>
              <w:rPr>
                <w:rStyle w:val="IndexLink"/>
              </w:rPr>
              <w:t>487</w:t>
            </w:r>
          </w:hyperlink>
        </w:p>
        <w:p>
          <w:pPr>
            <w:pStyle w:val="Contents5"/>
            <w:tabs>
              <w:tab w:val="clear" w:pos="7892"/>
              <w:tab w:val="right" w:pos="9026" w:leader="dot"/>
            </w:tabs>
            <w:rPr/>
          </w:pPr>
          <w:hyperlink w:anchor="__RefHeading___Toc3809315_1067777946">
            <w:r>
              <w:rPr>
                <w:webHidden/>
                <w:rStyle w:val="IndexLink"/>
                <w:rtl w:val="true"/>
              </w:rPr>
              <w:t>تفصيل ديگرى بين فعل و ترك</w:t>
            </w:r>
            <w:r>
              <w:rPr>
                <w:rStyle w:val="IndexLink"/>
                <w:rtl w:val="true"/>
              </w:rPr>
              <w:tab/>
            </w:r>
            <w:r>
              <w:rPr>
                <w:rStyle w:val="IndexLink"/>
              </w:rPr>
              <w:t>487</w:t>
            </w:r>
          </w:hyperlink>
        </w:p>
        <w:p>
          <w:pPr>
            <w:pStyle w:val="Contents5"/>
            <w:tabs>
              <w:tab w:val="clear" w:pos="7892"/>
              <w:tab w:val="right" w:pos="9026" w:leader="dot"/>
            </w:tabs>
            <w:rPr/>
          </w:pPr>
          <w:hyperlink w:anchor="__RefHeading___Toc3809317_1067777946">
            <w:r>
              <w:rPr>
                <w:webHidden/>
                <w:rStyle w:val="IndexLink"/>
                <w:rtl w:val="true"/>
              </w:rPr>
              <w:t xml:space="preserve">ظاهر از كلمۀ </w:t>
            </w:r>
            <w:r>
              <w:rPr>
                <w:rStyle w:val="IndexLink"/>
                <w:rtl w:val="true"/>
              </w:rPr>
              <w:t>«</w:t>
            </w:r>
            <w:r>
              <w:rPr>
                <w:rStyle w:val="IndexLink"/>
                <w:rtl w:val="true"/>
              </w:rPr>
              <w:t>بيت</w:t>
            </w:r>
            <w:r>
              <w:rPr>
                <w:rStyle w:val="IndexLink"/>
                <w:rtl w:val="true"/>
              </w:rPr>
              <w:t>»</w:t>
              <w:tab/>
            </w:r>
            <w:r>
              <w:rPr>
                <w:rStyle w:val="IndexLink"/>
              </w:rPr>
              <w:t>487</w:t>
            </w:r>
          </w:hyperlink>
        </w:p>
        <w:p>
          <w:pPr>
            <w:pStyle w:val="Contents4"/>
            <w:tabs>
              <w:tab w:val="clear" w:pos="8176"/>
              <w:tab w:val="right" w:pos="9026" w:leader="dot"/>
            </w:tabs>
            <w:rPr/>
          </w:pPr>
          <w:hyperlink w:anchor="__RefHeading___Toc3809319_1067777946">
            <w:r>
              <w:rPr>
                <w:webHidden/>
                <w:rStyle w:val="IndexLink"/>
              </w:rPr>
              <w:t>4</w:t>
            </w:r>
            <w:r>
              <w:rPr>
                <w:rStyle w:val="IndexLink"/>
                <w:rtl w:val="true"/>
              </w:rPr>
              <w:t xml:space="preserve">. </w:t>
            </w:r>
            <w:r>
              <w:rPr>
                <w:rStyle w:val="IndexLink"/>
                <w:rtl w:val="true"/>
              </w:rPr>
              <w:t>يمين متعلّق به عقود يا ايقاعات</w:t>
            </w:r>
            <w:r>
              <w:rPr>
                <w:rStyle w:val="IndexLink"/>
                <w:rtl w:val="true"/>
              </w:rPr>
              <w:tab/>
            </w:r>
            <w:r>
              <w:rPr>
                <w:rStyle w:val="IndexLink"/>
              </w:rPr>
              <w:t>488</w:t>
            </w:r>
          </w:hyperlink>
        </w:p>
        <w:p>
          <w:pPr>
            <w:pStyle w:val="Contents5"/>
            <w:tabs>
              <w:tab w:val="clear" w:pos="7892"/>
              <w:tab w:val="right" w:pos="9026" w:leader="dot"/>
            </w:tabs>
            <w:rPr/>
          </w:pPr>
          <w:hyperlink w:anchor="__RefHeading___Toc3809321_1067777946">
            <w:r>
              <w:rPr>
                <w:webHidden/>
                <w:rStyle w:val="IndexLink"/>
                <w:rtl w:val="true"/>
              </w:rPr>
              <w:t>اعتبار تحقق تام متعلّق در حنث</w:t>
            </w:r>
            <w:r>
              <w:rPr>
                <w:rStyle w:val="IndexLink"/>
                <w:rtl w:val="true"/>
              </w:rPr>
              <w:tab/>
            </w:r>
            <w:r>
              <w:rPr>
                <w:rStyle w:val="IndexLink"/>
              </w:rPr>
              <w:t>488</w:t>
            </w:r>
          </w:hyperlink>
        </w:p>
        <w:p>
          <w:pPr>
            <w:pStyle w:val="Contents5"/>
            <w:tabs>
              <w:tab w:val="clear" w:pos="7892"/>
              <w:tab w:val="right" w:pos="9026" w:leader="dot"/>
            </w:tabs>
            <w:rPr/>
          </w:pPr>
          <w:hyperlink w:anchor="__RefHeading___Toc3809323_1067777946">
            <w:r>
              <w:rPr>
                <w:webHidden/>
                <w:rStyle w:val="IndexLink"/>
                <w:rtl w:val="true"/>
              </w:rPr>
              <w:t>عدم حنث بر تكر عقد، به عقد فاسد</w:t>
            </w:r>
            <w:r>
              <w:rPr>
                <w:rStyle w:val="IndexLink"/>
                <w:rtl w:val="true"/>
              </w:rPr>
              <w:tab/>
            </w:r>
            <w:r>
              <w:rPr>
                <w:rStyle w:val="IndexLink"/>
              </w:rPr>
              <w:t>488</w:t>
            </w:r>
          </w:hyperlink>
        </w:p>
        <w:p>
          <w:pPr>
            <w:pStyle w:val="Contents5"/>
            <w:tabs>
              <w:tab w:val="clear" w:pos="7892"/>
              <w:tab w:val="right" w:pos="9026" w:leader="dot"/>
            </w:tabs>
            <w:rPr/>
          </w:pPr>
          <w:hyperlink w:anchor="__RefHeading___Toc3809325_1067777946">
            <w:r>
              <w:rPr>
                <w:webHidden/>
                <w:rStyle w:val="IndexLink"/>
                <w:rtl w:val="true"/>
              </w:rPr>
              <w:t>حلف بر هبه</w:t>
            </w:r>
            <w:r>
              <w:rPr>
                <w:rStyle w:val="IndexLink"/>
                <w:rtl w:val="true"/>
              </w:rPr>
              <w:tab/>
            </w:r>
            <w:r>
              <w:rPr>
                <w:rStyle w:val="IndexLink"/>
              </w:rPr>
              <w:t>488</w:t>
            </w:r>
          </w:hyperlink>
        </w:p>
        <w:p>
          <w:pPr>
            <w:pStyle w:val="Contents5"/>
            <w:tabs>
              <w:tab w:val="clear" w:pos="7892"/>
              <w:tab w:val="right" w:pos="9026" w:leader="dot"/>
            </w:tabs>
            <w:rPr/>
          </w:pPr>
          <w:hyperlink w:anchor="__RefHeading___Toc3809327_1067777946">
            <w:r>
              <w:rPr>
                <w:webHidden/>
                <w:rStyle w:val="IndexLink"/>
                <w:rtl w:val="true"/>
              </w:rPr>
              <w:t>تحقق تصميم و تخصيص به وسيلۀ قرينه و نيّت</w:t>
            </w:r>
            <w:r>
              <w:rPr>
                <w:rStyle w:val="IndexLink"/>
                <w:rtl w:val="true"/>
              </w:rPr>
              <w:tab/>
            </w:r>
            <w:r>
              <w:rPr>
                <w:rStyle w:val="IndexLink"/>
              </w:rPr>
              <w:t>488</w:t>
            </w:r>
          </w:hyperlink>
        </w:p>
        <w:p>
          <w:pPr>
            <w:pStyle w:val="Contents5"/>
            <w:tabs>
              <w:tab w:val="clear" w:pos="7892"/>
              <w:tab w:val="right" w:pos="9026" w:leader="dot"/>
            </w:tabs>
            <w:rPr/>
          </w:pPr>
          <w:hyperlink w:anchor="__RefHeading___Toc3809329_1067777946">
            <w:r>
              <w:rPr>
                <w:webHidden/>
                <w:rStyle w:val="IndexLink"/>
                <w:rtl w:val="true"/>
              </w:rPr>
              <w:t>صحت بيعى كه حلف بر ترك آن ايقاع كرده است</w:t>
            </w:r>
            <w:r>
              <w:rPr>
                <w:rStyle w:val="IndexLink"/>
                <w:rtl w:val="true"/>
              </w:rPr>
              <w:tab/>
            </w:r>
            <w:r>
              <w:rPr>
                <w:rStyle w:val="IndexLink"/>
              </w:rPr>
              <w:t>489</w:t>
            </w:r>
          </w:hyperlink>
        </w:p>
        <w:p>
          <w:pPr>
            <w:pStyle w:val="Contents5"/>
            <w:tabs>
              <w:tab w:val="clear" w:pos="7892"/>
              <w:tab w:val="right" w:pos="9026" w:leader="dot"/>
            </w:tabs>
            <w:rPr/>
          </w:pPr>
          <w:hyperlink w:anchor="__RefHeading___Toc3809331_1067777946">
            <w:r>
              <w:rPr>
                <w:webHidden/>
                <w:rStyle w:val="IndexLink"/>
                <w:rtl w:val="true"/>
              </w:rPr>
              <w:t>حلف بر عدم استخدام شخص</w:t>
            </w:r>
            <w:r>
              <w:rPr>
                <w:rStyle w:val="IndexLink"/>
                <w:rtl w:val="true"/>
              </w:rPr>
              <w:tab/>
            </w:r>
            <w:r>
              <w:rPr>
                <w:rStyle w:val="IndexLink"/>
              </w:rPr>
              <w:t>489</w:t>
            </w:r>
          </w:hyperlink>
        </w:p>
        <w:p>
          <w:pPr>
            <w:pStyle w:val="Contents5"/>
            <w:tabs>
              <w:tab w:val="clear" w:pos="7892"/>
              <w:tab w:val="right" w:pos="9026" w:leader="dot"/>
            </w:tabs>
            <w:rPr/>
          </w:pPr>
          <w:hyperlink w:anchor="__RefHeading___Toc3809333_1067777946">
            <w:r>
              <w:rPr>
                <w:webHidden/>
                <w:rStyle w:val="IndexLink"/>
                <w:rtl w:val="true"/>
              </w:rPr>
              <w:t>تحقق و عدم تحقق حنث به وسيلۀ فعل غير مباشرى</w:t>
            </w:r>
            <w:r>
              <w:rPr>
                <w:rStyle w:val="IndexLink"/>
                <w:rtl w:val="true"/>
              </w:rPr>
              <w:tab/>
            </w:r>
            <w:r>
              <w:rPr>
                <w:rStyle w:val="IndexLink"/>
              </w:rPr>
              <w:t>489</w:t>
            </w:r>
          </w:hyperlink>
        </w:p>
        <w:p>
          <w:pPr>
            <w:pStyle w:val="Contents5"/>
            <w:tabs>
              <w:tab w:val="clear" w:pos="7892"/>
              <w:tab w:val="right" w:pos="9026" w:leader="dot"/>
            </w:tabs>
            <w:rPr/>
          </w:pPr>
          <w:hyperlink w:anchor="__RefHeading___Toc3809335_1067777946">
            <w:r>
              <w:rPr>
                <w:webHidden/>
                <w:rStyle w:val="IndexLink"/>
                <w:rtl w:val="true"/>
              </w:rPr>
              <w:t>حلف بر عدم بيع ممنوع المعاملة</w:t>
            </w:r>
            <w:r>
              <w:rPr>
                <w:rStyle w:val="IndexLink"/>
                <w:rtl w:val="true"/>
              </w:rPr>
              <w:tab/>
            </w:r>
            <w:r>
              <w:rPr>
                <w:rStyle w:val="IndexLink"/>
              </w:rPr>
              <w:t>489</w:t>
            </w:r>
          </w:hyperlink>
        </w:p>
        <w:p>
          <w:pPr>
            <w:pStyle w:val="Contents4"/>
            <w:tabs>
              <w:tab w:val="clear" w:pos="8176"/>
              <w:tab w:val="right" w:pos="9026" w:leader="dot"/>
            </w:tabs>
            <w:rPr/>
          </w:pPr>
          <w:hyperlink w:anchor="__RefHeading___Toc3809337_1067777946">
            <w:r>
              <w:rPr>
                <w:webHidden/>
                <w:rStyle w:val="IndexLink"/>
              </w:rPr>
              <w:t>5</w:t>
            </w:r>
            <w:r>
              <w:rPr>
                <w:rStyle w:val="IndexLink"/>
                <w:rtl w:val="true"/>
              </w:rPr>
              <w:t xml:space="preserve">. </w:t>
            </w:r>
            <w:r>
              <w:rPr>
                <w:rStyle w:val="IndexLink"/>
                <w:rtl w:val="true"/>
              </w:rPr>
              <w:t>مسائل متفرّقۀ متعلَّق يمين</w:t>
            </w:r>
            <w:r>
              <w:rPr>
                <w:rStyle w:val="IndexLink"/>
                <w:rtl w:val="true"/>
              </w:rPr>
              <w:tab/>
            </w:r>
            <w:r>
              <w:rPr>
                <w:rStyle w:val="IndexLink"/>
              </w:rPr>
              <w:t>490</w:t>
            </w:r>
          </w:hyperlink>
        </w:p>
        <w:p>
          <w:pPr>
            <w:pStyle w:val="Contents5"/>
            <w:tabs>
              <w:tab w:val="clear" w:pos="7892"/>
              <w:tab w:val="right" w:pos="9026" w:leader="dot"/>
            </w:tabs>
            <w:rPr/>
          </w:pPr>
          <w:hyperlink w:anchor="__RefHeading___Toc3809339_1067777946">
            <w:r>
              <w:rPr>
                <w:webHidden/>
                <w:rStyle w:val="IndexLink"/>
                <w:rtl w:val="true"/>
              </w:rPr>
              <w:t>عدم تعيين وقت در قسم و فرض تأخير و فوت</w:t>
            </w:r>
            <w:r>
              <w:rPr>
                <w:rStyle w:val="IndexLink"/>
                <w:rtl w:val="true"/>
              </w:rPr>
              <w:tab/>
            </w:r>
            <w:r>
              <w:rPr>
                <w:rStyle w:val="IndexLink"/>
              </w:rPr>
              <w:t>490</w:t>
            </w:r>
          </w:hyperlink>
        </w:p>
        <w:p>
          <w:pPr>
            <w:pStyle w:val="Contents5"/>
            <w:tabs>
              <w:tab w:val="clear" w:pos="7892"/>
              <w:tab w:val="right" w:pos="9026" w:leader="dot"/>
            </w:tabs>
            <w:rPr/>
          </w:pPr>
          <w:hyperlink w:anchor="__RefHeading___Toc3809341_1067777946">
            <w:r>
              <w:rPr>
                <w:webHidden/>
                <w:rStyle w:val="IndexLink"/>
                <w:rtl w:val="true"/>
              </w:rPr>
              <w:t>اضطرار و اختيار در متعلّق قسم</w:t>
            </w:r>
            <w:r>
              <w:rPr>
                <w:rStyle w:val="IndexLink"/>
                <w:rtl w:val="true"/>
              </w:rPr>
              <w:tab/>
            </w:r>
            <w:r>
              <w:rPr>
                <w:rStyle w:val="IndexLink"/>
              </w:rPr>
              <w:t>490</w:t>
            </w:r>
          </w:hyperlink>
        </w:p>
        <w:p>
          <w:pPr>
            <w:pStyle w:val="Contents5"/>
            <w:tabs>
              <w:tab w:val="clear" w:pos="7892"/>
              <w:tab w:val="right" w:pos="9026" w:leader="dot"/>
            </w:tabs>
            <w:rPr/>
          </w:pPr>
          <w:hyperlink w:anchor="__RefHeading___Toc3809343_1067777946">
            <w:r>
              <w:rPr>
                <w:webHidden/>
                <w:rStyle w:val="IndexLink"/>
                <w:rtl w:val="true"/>
              </w:rPr>
              <w:t>حلف بر تكر ركوب دابۀ عبد</w:t>
            </w:r>
            <w:r>
              <w:rPr>
                <w:rStyle w:val="IndexLink"/>
                <w:rtl w:val="true"/>
              </w:rPr>
              <w:tab/>
            </w:r>
            <w:r>
              <w:rPr>
                <w:rStyle w:val="IndexLink"/>
              </w:rPr>
              <w:t>491</w:t>
            </w:r>
          </w:hyperlink>
        </w:p>
        <w:p>
          <w:pPr>
            <w:pStyle w:val="Contents5"/>
            <w:tabs>
              <w:tab w:val="clear" w:pos="7892"/>
              <w:tab w:val="right" w:pos="9026" w:leader="dot"/>
            </w:tabs>
            <w:rPr/>
          </w:pPr>
          <w:hyperlink w:anchor="__RefHeading___Toc3809345_1067777946">
            <w:r>
              <w:rPr>
                <w:webHidden/>
                <w:rStyle w:val="IndexLink"/>
                <w:rtl w:val="true"/>
              </w:rPr>
              <w:t>صدق عرفى بشارت و اخبار</w:t>
            </w:r>
            <w:r>
              <w:rPr>
                <w:rStyle w:val="IndexLink"/>
                <w:rtl w:val="true"/>
              </w:rPr>
              <w:tab/>
            </w:r>
            <w:r>
              <w:rPr>
                <w:rStyle w:val="IndexLink"/>
              </w:rPr>
              <w:t>491</w:t>
            </w:r>
          </w:hyperlink>
        </w:p>
        <w:p>
          <w:pPr>
            <w:pStyle w:val="Contents5"/>
            <w:tabs>
              <w:tab w:val="clear" w:pos="7892"/>
              <w:tab w:val="right" w:pos="9026" w:leader="dot"/>
            </w:tabs>
            <w:rPr/>
          </w:pPr>
          <w:hyperlink w:anchor="__RefHeading___Toc3809347_1067777946">
            <w:r>
              <w:rPr>
                <w:webHidden/>
                <w:rStyle w:val="IndexLink"/>
                <w:rtl w:val="true"/>
              </w:rPr>
              <w:t>مراد از اول داخل و آخر آن</w:t>
            </w:r>
            <w:r>
              <w:rPr>
                <w:rStyle w:val="IndexLink"/>
                <w:rtl w:val="true"/>
              </w:rPr>
              <w:tab/>
            </w:r>
            <w:r>
              <w:rPr>
                <w:rStyle w:val="IndexLink"/>
              </w:rPr>
              <w:t>491</w:t>
            </w:r>
          </w:hyperlink>
        </w:p>
        <w:p>
          <w:pPr>
            <w:pStyle w:val="Contents5"/>
            <w:tabs>
              <w:tab w:val="clear" w:pos="7892"/>
              <w:tab w:val="right" w:pos="9026" w:leader="dot"/>
            </w:tabs>
            <w:rPr/>
          </w:pPr>
          <w:hyperlink w:anchor="__RefHeading___Toc3809349_1067777946">
            <w:r>
              <w:rPr>
                <w:webHidden/>
                <w:rStyle w:val="IndexLink"/>
                <w:rtl w:val="true"/>
              </w:rPr>
              <w:t>حلف بر ترك شرب آب و ترك كلام با مردم</w:t>
            </w:r>
            <w:r>
              <w:rPr>
                <w:rStyle w:val="IndexLink"/>
                <w:rtl w:val="true"/>
              </w:rPr>
              <w:tab/>
            </w:r>
            <w:r>
              <w:rPr>
                <w:rStyle w:val="IndexLink"/>
              </w:rPr>
              <w:t>492</w:t>
            </w:r>
          </w:hyperlink>
        </w:p>
        <w:p>
          <w:pPr>
            <w:pStyle w:val="Contents5"/>
            <w:tabs>
              <w:tab w:val="clear" w:pos="7892"/>
              <w:tab w:val="right" w:pos="9026" w:leader="dot"/>
            </w:tabs>
            <w:rPr/>
          </w:pPr>
          <w:hyperlink w:anchor="__RefHeading___Toc3809351_1067777946">
            <w:r>
              <w:rPr>
                <w:webHidden/>
                <w:rStyle w:val="IndexLink"/>
                <w:rtl w:val="true"/>
              </w:rPr>
              <w:t>مراد از مال مضاف به نفس</w:t>
            </w:r>
            <w:r>
              <w:rPr>
                <w:rStyle w:val="IndexLink"/>
                <w:rtl w:val="true"/>
              </w:rPr>
              <w:tab/>
            </w:r>
            <w:r>
              <w:rPr>
                <w:rStyle w:val="IndexLink"/>
              </w:rPr>
              <w:t>492</w:t>
            </w:r>
          </w:hyperlink>
        </w:p>
        <w:p>
          <w:pPr>
            <w:pStyle w:val="Contents5"/>
            <w:tabs>
              <w:tab w:val="clear" w:pos="7892"/>
              <w:tab w:val="right" w:pos="9026" w:leader="dot"/>
            </w:tabs>
            <w:rPr/>
          </w:pPr>
          <w:hyperlink w:anchor="__RefHeading___Toc3809353_1067777946">
            <w:r>
              <w:rPr>
                <w:webHidden/>
                <w:rStyle w:val="IndexLink"/>
                <w:rtl w:val="true"/>
              </w:rPr>
              <w:t>افراد و جمع در متعلّق</w:t>
            </w:r>
            <w:r>
              <w:rPr>
                <w:rStyle w:val="IndexLink"/>
                <w:rtl w:val="true"/>
              </w:rPr>
              <w:tab/>
            </w:r>
            <w:r>
              <w:rPr>
                <w:rStyle w:val="IndexLink"/>
              </w:rPr>
              <w:t>492</w:t>
            </w:r>
          </w:hyperlink>
        </w:p>
        <w:p>
          <w:pPr>
            <w:pStyle w:val="Contents5"/>
            <w:tabs>
              <w:tab w:val="clear" w:pos="7892"/>
              <w:tab w:val="right" w:pos="9026" w:leader="dot"/>
            </w:tabs>
            <w:rPr/>
          </w:pPr>
          <w:hyperlink w:anchor="__RefHeading___Toc3809355_1067777946">
            <w:r>
              <w:rPr>
                <w:webHidden/>
                <w:rStyle w:val="IndexLink"/>
                <w:rtl w:val="true"/>
              </w:rPr>
              <w:t>حلف بر ترك تكلم و موارد آن</w:t>
            </w:r>
            <w:r>
              <w:rPr>
                <w:rStyle w:val="IndexLink"/>
                <w:rtl w:val="true"/>
              </w:rPr>
              <w:tab/>
            </w:r>
            <w:r>
              <w:rPr>
                <w:rStyle w:val="IndexLink"/>
              </w:rPr>
              <w:t>492</w:t>
            </w:r>
          </w:hyperlink>
        </w:p>
        <w:p>
          <w:pPr>
            <w:pStyle w:val="Contents5"/>
            <w:tabs>
              <w:tab w:val="clear" w:pos="7892"/>
              <w:tab w:val="right" w:pos="9026" w:leader="dot"/>
            </w:tabs>
            <w:rPr/>
          </w:pPr>
          <w:hyperlink w:anchor="__RefHeading___Toc3809357_1067777946">
            <w:r>
              <w:rPr>
                <w:webHidden/>
                <w:rStyle w:val="IndexLink"/>
                <w:rtl w:val="true"/>
              </w:rPr>
              <w:t>حلف بر تسرّى</w:t>
            </w:r>
            <w:r>
              <w:rPr>
                <w:rStyle w:val="IndexLink"/>
                <w:rtl w:val="true"/>
              </w:rPr>
              <w:tab/>
            </w:r>
            <w:r>
              <w:rPr>
                <w:rStyle w:val="IndexLink"/>
              </w:rPr>
              <w:t>493</w:t>
            </w:r>
          </w:hyperlink>
        </w:p>
        <w:p>
          <w:pPr>
            <w:pStyle w:val="Contents5"/>
            <w:tabs>
              <w:tab w:val="clear" w:pos="7892"/>
              <w:tab w:val="right" w:pos="9026" w:leader="dot"/>
            </w:tabs>
            <w:rPr/>
          </w:pPr>
          <w:hyperlink w:anchor="__RefHeading___Toc3809359_1067777946">
            <w:r>
              <w:rPr>
                <w:webHidden/>
                <w:rStyle w:val="IndexLink"/>
                <w:rtl w:val="true"/>
              </w:rPr>
              <w:t>عدم و عدم دخول غاية</w:t>
            </w:r>
            <w:r>
              <w:rPr>
                <w:rStyle w:val="IndexLink"/>
                <w:rtl w:val="true"/>
              </w:rPr>
              <w:tab/>
            </w:r>
            <w:r>
              <w:rPr>
                <w:rStyle w:val="IndexLink"/>
              </w:rPr>
              <w:t>494</w:t>
            </w:r>
          </w:hyperlink>
        </w:p>
        <w:p>
          <w:pPr>
            <w:pStyle w:val="Contents3"/>
            <w:tabs>
              <w:tab w:val="clear" w:pos="8459"/>
              <w:tab w:val="right" w:pos="9026" w:leader="dot"/>
            </w:tabs>
            <w:rPr/>
          </w:pPr>
          <w:hyperlink w:anchor="__RefHeading___Toc3809361_1067777946">
            <w:r>
              <w:rPr>
                <w:webHidden/>
                <w:rStyle w:val="IndexLink"/>
                <w:rtl w:val="true"/>
              </w:rPr>
              <w:t>فصل چهارم حنث يمين</w:t>
            </w:r>
            <w:r>
              <w:rPr>
                <w:rStyle w:val="IndexLink"/>
                <w:rtl w:val="true"/>
              </w:rPr>
              <w:tab/>
            </w:r>
            <w:r>
              <w:rPr>
                <w:rStyle w:val="IndexLink"/>
              </w:rPr>
              <w:t>495</w:t>
            </w:r>
          </w:hyperlink>
        </w:p>
        <w:p>
          <w:pPr>
            <w:pStyle w:val="Contents4"/>
            <w:tabs>
              <w:tab w:val="clear" w:pos="8176"/>
              <w:tab w:val="right" w:pos="9026" w:leader="dot"/>
            </w:tabs>
            <w:rPr/>
          </w:pPr>
          <w:hyperlink w:anchor="__RefHeading___Toc3809363_1067777946">
            <w:r>
              <w:rPr>
                <w:webHidden/>
                <w:rStyle w:val="IndexLink"/>
                <w:rtl w:val="true"/>
              </w:rPr>
              <w:t>تحقّق حنث به اختيار سبب</w:t>
            </w:r>
            <w:r>
              <w:rPr>
                <w:rStyle w:val="IndexLink"/>
                <w:rtl w:val="true"/>
              </w:rPr>
              <w:tab/>
            </w:r>
            <w:r>
              <w:rPr>
                <w:rStyle w:val="IndexLink"/>
              </w:rPr>
              <w:t>495</w:t>
            </w:r>
          </w:hyperlink>
        </w:p>
        <w:p>
          <w:pPr>
            <w:pStyle w:val="Contents4"/>
            <w:tabs>
              <w:tab w:val="clear" w:pos="8176"/>
              <w:tab w:val="right" w:pos="9026" w:leader="dot"/>
            </w:tabs>
            <w:rPr/>
          </w:pPr>
          <w:hyperlink w:anchor="__RefHeading___Toc3809365_1067777946">
            <w:r>
              <w:rPr>
                <w:webHidden/>
                <w:rStyle w:val="IndexLink"/>
                <w:rtl w:val="true"/>
              </w:rPr>
              <w:t>عدم تحقّق حنث با اكراه</w:t>
            </w:r>
            <w:r>
              <w:rPr>
                <w:rStyle w:val="IndexLink"/>
                <w:rtl w:val="true"/>
              </w:rPr>
              <w:tab/>
            </w:r>
            <w:r>
              <w:rPr>
                <w:rStyle w:val="IndexLink"/>
              </w:rPr>
              <w:t>495</w:t>
            </w:r>
          </w:hyperlink>
        </w:p>
        <w:p>
          <w:pPr>
            <w:pStyle w:val="Contents4"/>
            <w:tabs>
              <w:tab w:val="clear" w:pos="8176"/>
              <w:tab w:val="right" w:pos="9026" w:leader="dot"/>
            </w:tabs>
            <w:rPr/>
          </w:pPr>
          <w:hyperlink w:anchor="__RefHeading___Toc3809367_1067777946">
            <w:r>
              <w:rPr>
                <w:webHidden/>
                <w:rStyle w:val="IndexLink"/>
                <w:rtl w:val="true"/>
              </w:rPr>
              <w:t>انحلال و بقاى قسم با فعل و ترك</w:t>
            </w:r>
            <w:r>
              <w:rPr>
                <w:rStyle w:val="IndexLink"/>
                <w:rtl w:val="true"/>
              </w:rPr>
              <w:tab/>
            </w:r>
            <w:r>
              <w:rPr>
                <w:rStyle w:val="IndexLink"/>
              </w:rPr>
              <w:t>495</w:t>
            </w:r>
          </w:hyperlink>
        </w:p>
        <w:p>
          <w:pPr>
            <w:pStyle w:val="Contents3"/>
            <w:tabs>
              <w:tab w:val="clear" w:pos="8459"/>
              <w:tab w:val="right" w:pos="9026" w:leader="dot"/>
            </w:tabs>
            <w:rPr/>
          </w:pPr>
          <w:hyperlink w:anchor="__RefHeading___Toc3809369_1067777946">
            <w:r>
              <w:rPr>
                <w:webHidden/>
                <w:rStyle w:val="IndexLink"/>
                <w:rtl w:val="true"/>
              </w:rPr>
              <w:t>فصل پنجم لواحق أيمان</w:t>
            </w:r>
            <w:r>
              <w:rPr>
                <w:rStyle w:val="IndexLink"/>
                <w:rtl w:val="true"/>
              </w:rPr>
              <w:tab/>
            </w:r>
            <w:r>
              <w:rPr>
                <w:rStyle w:val="IndexLink"/>
              </w:rPr>
              <w:t>496</w:t>
            </w:r>
          </w:hyperlink>
        </w:p>
        <w:p>
          <w:pPr>
            <w:pStyle w:val="Contents4"/>
            <w:tabs>
              <w:tab w:val="clear" w:pos="8176"/>
              <w:tab w:val="right" w:pos="9026" w:leader="dot"/>
            </w:tabs>
            <w:rPr/>
          </w:pPr>
          <w:hyperlink w:anchor="__RefHeading___Toc3809371_1067777946">
            <w:r>
              <w:rPr>
                <w:webHidden/>
                <w:rStyle w:val="IndexLink"/>
                <w:rtl w:val="true"/>
              </w:rPr>
              <w:t>قسم مكروه، راجح و واجب</w:t>
            </w:r>
            <w:r>
              <w:rPr>
                <w:rStyle w:val="IndexLink"/>
                <w:rtl w:val="true"/>
              </w:rPr>
              <w:tab/>
            </w:r>
            <w:r>
              <w:rPr>
                <w:rStyle w:val="IndexLink"/>
              </w:rPr>
              <w:t>496</w:t>
            </w:r>
          </w:hyperlink>
        </w:p>
        <w:p>
          <w:pPr>
            <w:pStyle w:val="Contents4"/>
            <w:tabs>
              <w:tab w:val="clear" w:pos="8176"/>
              <w:tab w:val="right" w:pos="9026" w:leader="dot"/>
            </w:tabs>
            <w:rPr/>
          </w:pPr>
          <w:hyperlink w:anchor="__RefHeading___Toc3809373_1067777946">
            <w:r>
              <w:rPr>
                <w:webHidden/>
                <w:rStyle w:val="IndexLink"/>
                <w:rtl w:val="true"/>
              </w:rPr>
              <w:t>تخلّص از كذب به وسيلۀ توريه</w:t>
            </w:r>
            <w:r>
              <w:rPr>
                <w:rStyle w:val="IndexLink"/>
                <w:rtl w:val="true"/>
              </w:rPr>
              <w:tab/>
            </w:r>
            <w:r>
              <w:rPr>
                <w:rStyle w:val="IndexLink"/>
              </w:rPr>
              <w:t>496</w:t>
            </w:r>
          </w:hyperlink>
        </w:p>
        <w:p>
          <w:pPr>
            <w:pStyle w:val="Contents4"/>
            <w:tabs>
              <w:tab w:val="clear" w:pos="8176"/>
              <w:tab w:val="right" w:pos="9026" w:leader="dot"/>
            </w:tabs>
            <w:rPr/>
          </w:pPr>
          <w:hyperlink w:anchor="__RefHeading___Toc3809375_1067777946">
            <w:r>
              <w:rPr>
                <w:webHidden/>
                <w:rStyle w:val="IndexLink"/>
                <w:rtl w:val="true"/>
              </w:rPr>
              <w:t>حلف به برائت</w:t>
            </w:r>
            <w:r>
              <w:rPr>
                <w:rStyle w:val="IndexLink"/>
                <w:rtl w:val="true"/>
              </w:rPr>
              <w:tab/>
            </w:r>
            <w:r>
              <w:rPr>
                <w:rStyle w:val="IndexLink"/>
              </w:rPr>
              <w:t>496</w:t>
            </w:r>
          </w:hyperlink>
        </w:p>
        <w:p>
          <w:pPr>
            <w:pStyle w:val="Contents4"/>
            <w:tabs>
              <w:tab w:val="clear" w:pos="8176"/>
              <w:tab w:val="right" w:pos="9026" w:leader="dot"/>
            </w:tabs>
            <w:rPr/>
          </w:pPr>
          <w:hyperlink w:anchor="__RefHeading___Toc3809377_1067777946">
            <w:r>
              <w:rPr>
                <w:webHidden/>
                <w:rStyle w:val="IndexLink"/>
                <w:rtl w:val="true"/>
              </w:rPr>
              <w:t>عدم اجزاى تقديم كفارۀ حنث بر حنث</w:t>
            </w:r>
            <w:r>
              <w:rPr>
                <w:rStyle w:val="IndexLink"/>
                <w:rtl w:val="true"/>
              </w:rPr>
              <w:tab/>
            </w:r>
            <w:r>
              <w:rPr>
                <w:rStyle w:val="IndexLink"/>
              </w:rPr>
              <w:t>497</w:t>
            </w:r>
          </w:hyperlink>
        </w:p>
        <w:p>
          <w:pPr>
            <w:pStyle w:val="Contents4"/>
            <w:tabs>
              <w:tab w:val="clear" w:pos="8176"/>
              <w:tab w:val="right" w:pos="9026" w:leader="dot"/>
            </w:tabs>
            <w:rPr/>
          </w:pPr>
          <w:hyperlink w:anchor="__RefHeading___Toc3809379_1067777946">
            <w:r>
              <w:rPr>
                <w:webHidden/>
                <w:rStyle w:val="IndexLink"/>
                <w:rtl w:val="true"/>
              </w:rPr>
              <w:t>اعطاى كفاره به غير واجد شرائط</w:t>
            </w:r>
            <w:r>
              <w:rPr>
                <w:rStyle w:val="IndexLink"/>
                <w:rtl w:val="true"/>
              </w:rPr>
              <w:tab/>
            </w:r>
            <w:r>
              <w:rPr>
                <w:rStyle w:val="IndexLink"/>
              </w:rPr>
              <w:t>497</w:t>
            </w:r>
          </w:hyperlink>
        </w:p>
        <w:p>
          <w:pPr>
            <w:pStyle w:val="Contents4"/>
            <w:tabs>
              <w:tab w:val="clear" w:pos="8176"/>
              <w:tab w:val="right" w:pos="9026" w:leader="dot"/>
            </w:tabs>
            <w:rPr/>
          </w:pPr>
          <w:hyperlink w:anchor="__RefHeading___Toc3809381_1067777946">
            <w:r>
              <w:rPr>
                <w:webHidden/>
                <w:rStyle w:val="IndexLink"/>
                <w:rtl w:val="true"/>
              </w:rPr>
              <w:t>حكم اخراج كفاره از مال ميت</w:t>
            </w:r>
            <w:r>
              <w:rPr>
                <w:rStyle w:val="IndexLink"/>
                <w:rtl w:val="true"/>
              </w:rPr>
              <w:tab/>
            </w:r>
            <w:r>
              <w:rPr>
                <w:rStyle w:val="IndexLink"/>
              </w:rPr>
              <w:t>497</w:t>
            </w:r>
          </w:hyperlink>
        </w:p>
        <w:p>
          <w:pPr>
            <w:pStyle w:val="Contents4"/>
            <w:tabs>
              <w:tab w:val="clear" w:pos="8176"/>
              <w:tab w:val="right" w:pos="9026" w:leader="dot"/>
            </w:tabs>
            <w:rPr/>
          </w:pPr>
          <w:hyperlink w:anchor="__RefHeading___Toc3809383_1067777946">
            <w:r>
              <w:rPr>
                <w:webHidden/>
                <w:rStyle w:val="IndexLink"/>
                <w:rtl w:val="true"/>
              </w:rPr>
              <w:t>حكم حنث يمين عبد</w:t>
            </w:r>
            <w:r>
              <w:rPr>
                <w:rStyle w:val="IndexLink"/>
                <w:rtl w:val="true"/>
              </w:rPr>
              <w:tab/>
            </w:r>
            <w:r>
              <w:rPr>
                <w:rStyle w:val="IndexLink"/>
              </w:rPr>
              <w:t>498</w:t>
            </w:r>
          </w:hyperlink>
        </w:p>
        <w:p>
          <w:pPr>
            <w:pStyle w:val="Contents4"/>
            <w:tabs>
              <w:tab w:val="clear" w:pos="8176"/>
              <w:tab w:val="right" w:pos="9026" w:leader="dot"/>
            </w:tabs>
            <w:rPr/>
          </w:pPr>
          <w:hyperlink w:anchor="__RefHeading___Toc3809385_1067777946">
            <w:r>
              <w:rPr>
                <w:webHidden/>
                <w:rStyle w:val="IndexLink"/>
                <w:rtl w:val="true"/>
              </w:rPr>
              <w:t>يمين و حنث و كفارۀ آن در مملوك</w:t>
            </w:r>
            <w:r>
              <w:rPr>
                <w:rStyle w:val="IndexLink"/>
                <w:rtl w:val="true"/>
              </w:rPr>
              <w:tab/>
            </w:r>
            <w:r>
              <w:rPr>
                <w:rStyle w:val="IndexLink"/>
              </w:rPr>
              <w:t>498</w:t>
            </w:r>
          </w:hyperlink>
        </w:p>
        <w:p>
          <w:pPr>
            <w:pStyle w:val="Contents4"/>
            <w:tabs>
              <w:tab w:val="clear" w:pos="8176"/>
              <w:tab w:val="right" w:pos="9026" w:leader="dot"/>
            </w:tabs>
            <w:rPr/>
          </w:pPr>
          <w:hyperlink w:anchor="__RefHeading___Toc3809387_1067777946">
            <w:r>
              <w:rPr>
                <w:webHidden/>
                <w:rStyle w:val="IndexLink"/>
                <w:rtl w:val="true"/>
              </w:rPr>
              <w:t>كفاره در صورت حريت لاحقه</w:t>
            </w:r>
            <w:r>
              <w:rPr>
                <w:rStyle w:val="IndexLink"/>
                <w:rtl w:val="true"/>
              </w:rPr>
              <w:tab/>
            </w:r>
            <w:r>
              <w:rPr>
                <w:rStyle w:val="IndexLink"/>
              </w:rPr>
              <w:t>499</w:t>
            </w:r>
          </w:hyperlink>
        </w:p>
        <w:p>
          <w:pPr>
            <w:pStyle w:val="Contents2"/>
            <w:tabs>
              <w:tab w:val="clear" w:pos="8743"/>
              <w:tab w:val="right" w:pos="9026" w:leader="dot"/>
            </w:tabs>
            <w:rPr/>
          </w:pPr>
          <w:hyperlink w:anchor="__RefHeading___Toc3809389_1067777946">
            <w:r>
              <w:rPr>
                <w:webHidden/>
                <w:rStyle w:val="IndexLink"/>
                <w:rtl w:val="true"/>
              </w:rPr>
              <w:t>كتاب نذر</w:t>
            </w:r>
            <w:r>
              <w:rPr>
                <w:rStyle w:val="IndexLink"/>
                <w:rtl w:val="true"/>
              </w:rPr>
              <w:tab/>
            </w:r>
            <w:r>
              <w:rPr>
                <w:rStyle w:val="IndexLink"/>
              </w:rPr>
              <w:t>500</w:t>
            </w:r>
          </w:hyperlink>
        </w:p>
        <w:p>
          <w:pPr>
            <w:pStyle w:val="Contents3"/>
            <w:tabs>
              <w:tab w:val="clear" w:pos="8459"/>
              <w:tab w:val="right" w:pos="9026" w:leader="dot"/>
            </w:tabs>
            <w:rPr/>
          </w:pPr>
          <w:hyperlink w:anchor="__RefHeading___Toc3809391_1067777946">
            <w:r>
              <w:rPr>
                <w:webHidden/>
                <w:rStyle w:val="IndexLink"/>
                <w:rtl w:val="true"/>
              </w:rPr>
              <w:t>اشاره</w:t>
            </w:r>
            <w:r>
              <w:rPr>
                <w:rStyle w:val="IndexLink"/>
                <w:rtl w:val="true"/>
              </w:rPr>
              <w:tab/>
            </w:r>
            <w:r>
              <w:rPr>
                <w:rStyle w:val="IndexLink"/>
              </w:rPr>
              <w:t>500</w:t>
            </w:r>
          </w:hyperlink>
        </w:p>
        <w:p>
          <w:pPr>
            <w:pStyle w:val="Contents3"/>
            <w:tabs>
              <w:tab w:val="clear" w:pos="8459"/>
              <w:tab w:val="right" w:pos="9026" w:leader="dot"/>
            </w:tabs>
            <w:rPr/>
          </w:pPr>
          <w:hyperlink w:anchor="__RefHeading___Toc3809393_1067777946">
            <w:r>
              <w:rPr>
                <w:webHidden/>
                <w:rStyle w:val="IndexLink"/>
                <w:rtl w:val="true"/>
              </w:rPr>
              <w:t>فصل اوّل شرايط نذركننده، صيغۀ نذر</w:t>
            </w:r>
            <w:r>
              <w:rPr>
                <w:rStyle w:val="IndexLink"/>
                <w:rtl w:val="true"/>
              </w:rPr>
              <w:tab/>
            </w:r>
            <w:r>
              <w:rPr>
                <w:rStyle w:val="IndexLink"/>
              </w:rPr>
              <w:t>502</w:t>
            </w:r>
          </w:hyperlink>
        </w:p>
        <w:p>
          <w:pPr>
            <w:pStyle w:val="Contents4"/>
            <w:tabs>
              <w:tab w:val="clear" w:pos="8176"/>
              <w:tab w:val="right" w:pos="9026" w:leader="dot"/>
            </w:tabs>
            <w:rPr/>
          </w:pPr>
          <w:hyperlink w:anchor="__RefHeading___Toc3809395_1067777946">
            <w:r>
              <w:rPr>
                <w:webHidden/>
                <w:rStyle w:val="IndexLink"/>
                <w:rtl w:val="true"/>
              </w:rPr>
              <w:t>تعريف نذر</w:t>
            </w:r>
            <w:r>
              <w:rPr>
                <w:rStyle w:val="IndexLink"/>
                <w:rtl w:val="true"/>
              </w:rPr>
              <w:tab/>
            </w:r>
            <w:r>
              <w:rPr>
                <w:rStyle w:val="IndexLink"/>
              </w:rPr>
              <w:t>502</w:t>
            </w:r>
          </w:hyperlink>
        </w:p>
        <w:p>
          <w:pPr>
            <w:pStyle w:val="Contents4"/>
            <w:tabs>
              <w:tab w:val="clear" w:pos="8176"/>
              <w:tab w:val="right" w:pos="9026" w:leader="dot"/>
            </w:tabs>
            <w:rPr/>
          </w:pPr>
          <w:hyperlink w:anchor="__RefHeading___Toc3809397_1067777946">
            <w:r>
              <w:rPr>
                <w:webHidden/>
                <w:rStyle w:val="IndexLink"/>
              </w:rPr>
              <w:t>1</w:t>
            </w:r>
            <w:r>
              <w:rPr>
                <w:rStyle w:val="IndexLink"/>
                <w:rtl w:val="true"/>
              </w:rPr>
              <w:t xml:space="preserve">. </w:t>
            </w:r>
            <w:r>
              <w:rPr>
                <w:rStyle w:val="IndexLink"/>
                <w:rtl w:val="true"/>
              </w:rPr>
              <w:t>شرائط نذركننده</w:t>
            </w:r>
            <w:r>
              <w:rPr>
                <w:rStyle w:val="IndexLink"/>
                <w:rtl w:val="true"/>
              </w:rPr>
              <w:tab/>
            </w:r>
            <w:r>
              <w:rPr>
                <w:rStyle w:val="IndexLink"/>
              </w:rPr>
              <w:t>502</w:t>
            </w:r>
          </w:hyperlink>
        </w:p>
        <w:p>
          <w:pPr>
            <w:pStyle w:val="Contents5"/>
            <w:tabs>
              <w:tab w:val="clear" w:pos="7892"/>
              <w:tab w:val="right" w:pos="9026" w:leader="dot"/>
            </w:tabs>
            <w:rPr/>
          </w:pPr>
          <w:hyperlink w:anchor="__RefHeading___Toc3809399_1067777946">
            <w:r>
              <w:rPr>
                <w:webHidden/>
                <w:rStyle w:val="IndexLink"/>
                <w:rtl w:val="true"/>
              </w:rPr>
              <w:t>اشتراط عقل و بلوغ و اسلام</w:t>
            </w:r>
            <w:r>
              <w:rPr>
                <w:rStyle w:val="IndexLink"/>
                <w:rtl w:val="true"/>
              </w:rPr>
              <w:tab/>
            </w:r>
            <w:r>
              <w:rPr>
                <w:rStyle w:val="IndexLink"/>
              </w:rPr>
              <w:t>502</w:t>
            </w:r>
          </w:hyperlink>
        </w:p>
        <w:p>
          <w:pPr>
            <w:pStyle w:val="Contents5"/>
            <w:tabs>
              <w:tab w:val="clear" w:pos="7892"/>
              <w:tab w:val="right" w:pos="9026" w:leader="dot"/>
            </w:tabs>
            <w:rPr/>
          </w:pPr>
          <w:hyperlink w:anchor="__RefHeading___Toc3809401_1067777946">
            <w:r>
              <w:rPr>
                <w:webHidden/>
                <w:rStyle w:val="IndexLink"/>
                <w:rtl w:val="true"/>
              </w:rPr>
              <w:t>اذن مالك و زوج و والد</w:t>
            </w:r>
            <w:r>
              <w:rPr>
                <w:rStyle w:val="IndexLink"/>
                <w:rtl w:val="true"/>
              </w:rPr>
              <w:tab/>
            </w:r>
            <w:r>
              <w:rPr>
                <w:rStyle w:val="IndexLink"/>
              </w:rPr>
              <w:t>503</w:t>
            </w:r>
          </w:hyperlink>
        </w:p>
        <w:p>
          <w:pPr>
            <w:pStyle w:val="Contents5"/>
            <w:tabs>
              <w:tab w:val="clear" w:pos="7892"/>
              <w:tab w:val="right" w:pos="9026" w:leader="dot"/>
            </w:tabs>
            <w:rPr/>
          </w:pPr>
          <w:hyperlink w:anchor="__RefHeading___Toc3809403_1067777946">
            <w:r>
              <w:rPr>
                <w:webHidden/>
                <w:rStyle w:val="IndexLink"/>
                <w:rtl w:val="true"/>
              </w:rPr>
              <w:t>اشتراط قصد و اختيار</w:t>
            </w:r>
            <w:r>
              <w:rPr>
                <w:rStyle w:val="IndexLink"/>
                <w:rtl w:val="true"/>
              </w:rPr>
              <w:tab/>
            </w:r>
            <w:r>
              <w:rPr>
                <w:rStyle w:val="IndexLink"/>
              </w:rPr>
              <w:t>503</w:t>
            </w:r>
          </w:hyperlink>
        </w:p>
        <w:p>
          <w:pPr>
            <w:pStyle w:val="Contents5"/>
            <w:tabs>
              <w:tab w:val="clear" w:pos="7892"/>
              <w:tab w:val="right" w:pos="9026" w:leader="dot"/>
            </w:tabs>
            <w:rPr/>
          </w:pPr>
          <w:hyperlink w:anchor="__RefHeading___Toc3809405_1067777946">
            <w:r>
              <w:rPr>
                <w:webHidden/>
                <w:rStyle w:val="IndexLink"/>
                <w:rtl w:val="true"/>
              </w:rPr>
              <w:t>نذر مفلّس</w:t>
            </w:r>
            <w:r>
              <w:rPr>
                <w:rStyle w:val="IndexLink"/>
                <w:rtl w:val="true"/>
              </w:rPr>
              <w:tab/>
            </w:r>
            <w:r>
              <w:rPr>
                <w:rStyle w:val="IndexLink"/>
              </w:rPr>
              <w:t>503</w:t>
            </w:r>
          </w:hyperlink>
        </w:p>
        <w:p>
          <w:pPr>
            <w:pStyle w:val="Contents4"/>
            <w:tabs>
              <w:tab w:val="clear" w:pos="8176"/>
              <w:tab w:val="right" w:pos="9026" w:leader="dot"/>
            </w:tabs>
            <w:rPr/>
          </w:pPr>
          <w:hyperlink w:anchor="__RefHeading___Toc3809407_1067777946">
            <w:r>
              <w:rPr>
                <w:webHidden/>
                <w:rStyle w:val="IndexLink"/>
              </w:rPr>
              <w:t>2</w:t>
            </w:r>
            <w:r>
              <w:rPr>
                <w:rStyle w:val="IndexLink"/>
                <w:rtl w:val="true"/>
              </w:rPr>
              <w:t xml:space="preserve">. </w:t>
            </w:r>
            <w:r>
              <w:rPr>
                <w:rStyle w:val="IndexLink"/>
                <w:rtl w:val="true"/>
              </w:rPr>
              <w:t>صيغۀ نذر</w:t>
            </w:r>
            <w:r>
              <w:rPr>
                <w:rStyle w:val="IndexLink"/>
                <w:rtl w:val="true"/>
              </w:rPr>
              <w:tab/>
            </w:r>
            <w:r>
              <w:rPr>
                <w:rStyle w:val="IndexLink"/>
              </w:rPr>
              <w:t>503</w:t>
            </w:r>
          </w:hyperlink>
        </w:p>
        <w:p>
          <w:pPr>
            <w:pStyle w:val="Contents5"/>
            <w:tabs>
              <w:tab w:val="clear" w:pos="7892"/>
              <w:tab w:val="right" w:pos="9026" w:leader="dot"/>
            </w:tabs>
            <w:rPr/>
          </w:pPr>
          <w:hyperlink w:anchor="__RefHeading___Toc3809409_1067777946">
            <w:r>
              <w:rPr>
                <w:webHidden/>
                <w:rStyle w:val="IndexLink"/>
                <w:rtl w:val="true"/>
              </w:rPr>
              <w:t>نحوۀ تعليق در نذر</w:t>
            </w:r>
            <w:r>
              <w:rPr>
                <w:rStyle w:val="IndexLink"/>
                <w:rtl w:val="true"/>
              </w:rPr>
              <w:tab/>
            </w:r>
            <w:r>
              <w:rPr>
                <w:rStyle w:val="IndexLink"/>
              </w:rPr>
              <w:t>503</w:t>
            </w:r>
          </w:hyperlink>
        </w:p>
        <w:p>
          <w:pPr>
            <w:pStyle w:val="Contents5"/>
            <w:tabs>
              <w:tab w:val="clear" w:pos="7892"/>
              <w:tab w:val="right" w:pos="9026" w:leader="dot"/>
            </w:tabs>
            <w:rPr/>
          </w:pPr>
          <w:hyperlink w:anchor="__RefHeading___Toc3809411_1067777946">
            <w:r>
              <w:rPr>
                <w:webHidden/>
                <w:rStyle w:val="IndexLink"/>
                <w:rtl w:val="true"/>
              </w:rPr>
              <w:t>اعتبار قصد قربت و كيفيّت صيغه</w:t>
            </w:r>
            <w:r>
              <w:rPr>
                <w:rStyle w:val="IndexLink"/>
                <w:rtl w:val="true"/>
              </w:rPr>
              <w:tab/>
            </w:r>
            <w:r>
              <w:rPr>
                <w:rStyle w:val="IndexLink"/>
              </w:rPr>
              <w:t>504</w:t>
            </w:r>
          </w:hyperlink>
        </w:p>
        <w:p>
          <w:pPr>
            <w:pStyle w:val="Contents5"/>
            <w:tabs>
              <w:tab w:val="clear" w:pos="7892"/>
              <w:tab w:val="right" w:pos="9026" w:leader="dot"/>
            </w:tabs>
            <w:rPr/>
          </w:pPr>
          <w:hyperlink w:anchor="__RefHeading___Toc3809413_1067777946">
            <w:r>
              <w:rPr>
                <w:webHidden/>
                <w:rStyle w:val="IndexLink"/>
                <w:rtl w:val="true"/>
              </w:rPr>
              <w:t>كفايت ذكر دالّ بر ذات مقدّسه و</w:t>
            </w:r>
            <w:r>
              <w:rPr>
                <w:rStyle w:val="IndexLink"/>
                <w:rtl w:val="true"/>
              </w:rPr>
              <w:t>...</w:t>
              <w:tab/>
            </w:r>
            <w:r>
              <w:rPr>
                <w:rStyle w:val="IndexLink"/>
              </w:rPr>
              <w:t>504</w:t>
            </w:r>
          </w:hyperlink>
        </w:p>
        <w:p>
          <w:pPr>
            <w:pStyle w:val="Contents3"/>
            <w:tabs>
              <w:tab w:val="clear" w:pos="8459"/>
              <w:tab w:val="right" w:pos="9026" w:leader="dot"/>
            </w:tabs>
            <w:rPr/>
          </w:pPr>
          <w:hyperlink w:anchor="__RefHeading___Toc3809415_1067777946">
            <w:r>
              <w:rPr>
                <w:webHidden/>
                <w:rStyle w:val="IndexLink"/>
                <w:rtl w:val="true"/>
              </w:rPr>
              <w:t>فصل دوّم متعلَّق نذر</w:t>
            </w:r>
            <w:r>
              <w:rPr>
                <w:rStyle w:val="IndexLink"/>
                <w:rtl w:val="true"/>
              </w:rPr>
              <w:tab/>
            </w:r>
            <w:r>
              <w:rPr>
                <w:rStyle w:val="IndexLink"/>
              </w:rPr>
              <w:t>505</w:t>
            </w:r>
          </w:hyperlink>
        </w:p>
        <w:p>
          <w:pPr>
            <w:pStyle w:val="Contents4"/>
            <w:tabs>
              <w:tab w:val="clear" w:pos="8176"/>
              <w:tab w:val="right" w:pos="9026" w:leader="dot"/>
            </w:tabs>
            <w:rPr/>
          </w:pPr>
          <w:hyperlink w:anchor="__RefHeading___Toc3809417_1067777946">
            <w:r>
              <w:rPr>
                <w:webHidden/>
                <w:rStyle w:val="IndexLink"/>
                <w:rtl w:val="true"/>
              </w:rPr>
              <w:t>اعتبار رجحان در متعلّق نذر</w:t>
            </w:r>
            <w:r>
              <w:rPr>
                <w:rStyle w:val="IndexLink"/>
                <w:rtl w:val="true"/>
              </w:rPr>
              <w:tab/>
            </w:r>
            <w:r>
              <w:rPr>
                <w:rStyle w:val="IndexLink"/>
              </w:rPr>
              <w:t>505</w:t>
            </w:r>
          </w:hyperlink>
        </w:p>
        <w:p>
          <w:pPr>
            <w:pStyle w:val="Contents4"/>
            <w:tabs>
              <w:tab w:val="clear" w:pos="8176"/>
              <w:tab w:val="right" w:pos="9026" w:leader="dot"/>
            </w:tabs>
            <w:rPr/>
          </w:pPr>
          <w:hyperlink w:anchor="__RefHeading___Toc3809419_1067777946">
            <w:r>
              <w:rPr>
                <w:webHidden/>
                <w:rStyle w:val="IndexLink"/>
              </w:rPr>
              <w:t>1</w:t>
            </w:r>
            <w:r>
              <w:rPr>
                <w:rStyle w:val="IndexLink"/>
                <w:rtl w:val="true"/>
              </w:rPr>
              <w:t xml:space="preserve">. </w:t>
            </w:r>
            <w:r>
              <w:rPr>
                <w:rStyle w:val="IndexLink"/>
                <w:rtl w:val="true"/>
              </w:rPr>
              <w:t>مسائل نذر حجّ‌</w:t>
            </w:r>
            <w:r>
              <w:rPr>
                <w:rStyle w:val="IndexLink"/>
                <w:rtl w:val="true"/>
              </w:rPr>
              <w:tab/>
            </w:r>
            <w:r>
              <w:rPr>
                <w:rStyle w:val="IndexLink"/>
              </w:rPr>
              <w:t>506</w:t>
            </w:r>
          </w:hyperlink>
        </w:p>
        <w:p>
          <w:pPr>
            <w:pStyle w:val="Contents5"/>
            <w:tabs>
              <w:tab w:val="clear" w:pos="7892"/>
              <w:tab w:val="right" w:pos="9026" w:leader="dot"/>
            </w:tabs>
            <w:rPr/>
          </w:pPr>
          <w:hyperlink w:anchor="__RefHeading___Toc3809421_1067777946">
            <w:r>
              <w:rPr>
                <w:webHidden/>
                <w:rStyle w:val="IndexLink"/>
                <w:rtl w:val="true"/>
              </w:rPr>
              <w:t>نذر حج يا زيارت پياده</w:t>
            </w:r>
            <w:r>
              <w:rPr>
                <w:rStyle w:val="IndexLink"/>
                <w:rtl w:val="true"/>
              </w:rPr>
              <w:tab/>
            </w:r>
            <w:r>
              <w:rPr>
                <w:rStyle w:val="IndexLink"/>
              </w:rPr>
              <w:t>506</w:t>
            </w:r>
          </w:hyperlink>
        </w:p>
        <w:p>
          <w:pPr>
            <w:pStyle w:val="Contents5"/>
            <w:tabs>
              <w:tab w:val="clear" w:pos="7892"/>
              <w:tab w:val="right" w:pos="9026" w:leader="dot"/>
            </w:tabs>
            <w:rPr/>
          </w:pPr>
          <w:hyperlink w:anchor="__RefHeading___Toc3809423_1067777946">
            <w:r>
              <w:rPr>
                <w:webHidden/>
                <w:rStyle w:val="IndexLink"/>
                <w:rtl w:val="true"/>
              </w:rPr>
              <w:t>فوت حج منذور و قضاى آن</w:t>
            </w:r>
            <w:r>
              <w:rPr>
                <w:rStyle w:val="IndexLink"/>
                <w:rtl w:val="true"/>
              </w:rPr>
              <w:tab/>
            </w:r>
            <w:r>
              <w:rPr>
                <w:rStyle w:val="IndexLink"/>
              </w:rPr>
              <w:t>506</w:t>
            </w:r>
          </w:hyperlink>
        </w:p>
        <w:p>
          <w:pPr>
            <w:pStyle w:val="Contents5"/>
            <w:tabs>
              <w:tab w:val="clear" w:pos="7892"/>
              <w:tab w:val="right" w:pos="9026" w:leader="dot"/>
            </w:tabs>
            <w:rPr/>
          </w:pPr>
          <w:hyperlink w:anchor="__RefHeading___Toc3809425_1067777946">
            <w:r>
              <w:rPr>
                <w:webHidden/>
                <w:rStyle w:val="IndexLink"/>
                <w:rtl w:val="true"/>
              </w:rPr>
              <w:t>نذر حج به صورت سواره</w:t>
            </w:r>
            <w:r>
              <w:rPr>
                <w:rStyle w:val="IndexLink"/>
                <w:rtl w:val="true"/>
              </w:rPr>
              <w:tab/>
            </w:r>
            <w:r>
              <w:rPr>
                <w:rStyle w:val="IndexLink"/>
              </w:rPr>
              <w:t>507</w:t>
            </w:r>
          </w:hyperlink>
        </w:p>
        <w:p>
          <w:pPr>
            <w:pStyle w:val="Contents5"/>
            <w:tabs>
              <w:tab w:val="clear" w:pos="7892"/>
              <w:tab w:val="right" w:pos="9026" w:leader="dot"/>
            </w:tabs>
            <w:rPr/>
          </w:pPr>
          <w:hyperlink w:anchor="__RefHeading___Toc3809427_1067777946">
            <w:r>
              <w:rPr>
                <w:webHidden/>
                <w:rStyle w:val="IndexLink"/>
                <w:rtl w:val="true"/>
              </w:rPr>
              <w:t>نذر راه رفتن به سوى بيت اللّٰه الحرام</w:t>
            </w:r>
            <w:r>
              <w:rPr>
                <w:rStyle w:val="IndexLink"/>
                <w:rtl w:val="true"/>
              </w:rPr>
              <w:tab/>
            </w:r>
            <w:r>
              <w:rPr>
                <w:rStyle w:val="IndexLink"/>
              </w:rPr>
              <w:t>507</w:t>
            </w:r>
          </w:hyperlink>
        </w:p>
        <w:p>
          <w:pPr>
            <w:pStyle w:val="Contents5"/>
            <w:tabs>
              <w:tab w:val="clear" w:pos="7892"/>
              <w:tab w:val="right" w:pos="9026" w:leader="dot"/>
            </w:tabs>
            <w:rPr/>
          </w:pPr>
          <w:hyperlink w:anchor="__RefHeading___Toc3809429_1067777946">
            <w:r>
              <w:rPr>
                <w:webHidden/>
                <w:rStyle w:val="IndexLink"/>
                <w:rtl w:val="true"/>
              </w:rPr>
              <w:t>نذر مشى لا حاجّاً و لا معتمراً</w:t>
            </w:r>
            <w:r>
              <w:rPr>
                <w:rStyle w:val="IndexLink"/>
                <w:rtl w:val="true"/>
              </w:rPr>
              <w:tab/>
            </w:r>
            <w:r>
              <w:rPr>
                <w:rStyle w:val="IndexLink"/>
              </w:rPr>
              <w:t>508</w:t>
            </w:r>
          </w:hyperlink>
        </w:p>
        <w:p>
          <w:pPr>
            <w:pStyle w:val="Contents5"/>
            <w:tabs>
              <w:tab w:val="clear" w:pos="7892"/>
              <w:tab w:val="right" w:pos="9026" w:leader="dot"/>
            </w:tabs>
            <w:rPr/>
          </w:pPr>
          <w:hyperlink w:anchor="__RefHeading___Toc3809431_1067777946">
            <w:r>
              <w:rPr>
                <w:webHidden/>
                <w:rStyle w:val="IndexLink"/>
                <w:rtl w:val="true"/>
              </w:rPr>
              <w:t>نذر مشى بدون قرينه يا قصد موضع</w:t>
            </w:r>
            <w:r>
              <w:rPr>
                <w:rStyle w:val="IndexLink"/>
                <w:rtl w:val="true"/>
              </w:rPr>
              <w:tab/>
            </w:r>
            <w:r>
              <w:rPr>
                <w:rStyle w:val="IndexLink"/>
              </w:rPr>
              <w:t>508</w:t>
            </w:r>
          </w:hyperlink>
        </w:p>
        <w:p>
          <w:pPr>
            <w:pStyle w:val="Contents5"/>
            <w:tabs>
              <w:tab w:val="clear" w:pos="7892"/>
              <w:tab w:val="right" w:pos="9026" w:leader="dot"/>
            </w:tabs>
            <w:rPr/>
          </w:pPr>
          <w:hyperlink w:anchor="__RefHeading___Toc3809433_1067777946">
            <w:r>
              <w:rPr>
                <w:webHidden/>
                <w:rStyle w:val="IndexLink"/>
                <w:rtl w:val="true"/>
              </w:rPr>
              <w:t>نذر احجاج ولد يا استنابه از او</w:t>
            </w:r>
            <w:r>
              <w:rPr>
                <w:rStyle w:val="IndexLink"/>
                <w:rtl w:val="true"/>
              </w:rPr>
              <w:tab/>
            </w:r>
            <w:r>
              <w:rPr>
                <w:rStyle w:val="IndexLink"/>
              </w:rPr>
              <w:t>508</w:t>
            </w:r>
          </w:hyperlink>
        </w:p>
        <w:p>
          <w:pPr>
            <w:pStyle w:val="Contents5"/>
            <w:tabs>
              <w:tab w:val="clear" w:pos="7892"/>
              <w:tab w:val="right" w:pos="9026" w:leader="dot"/>
            </w:tabs>
            <w:rPr/>
          </w:pPr>
          <w:hyperlink w:anchor="__RefHeading___Toc3809435_1067777946">
            <w:r>
              <w:rPr>
                <w:webHidden/>
                <w:rStyle w:val="IndexLink"/>
                <w:rtl w:val="true"/>
              </w:rPr>
              <w:t>عجز از يكى از دو شق منذور</w:t>
            </w:r>
            <w:r>
              <w:rPr>
                <w:rStyle w:val="IndexLink"/>
                <w:rtl w:val="true"/>
              </w:rPr>
              <w:tab/>
            </w:r>
            <w:r>
              <w:rPr>
                <w:rStyle w:val="IndexLink"/>
              </w:rPr>
              <w:t>509</w:t>
            </w:r>
          </w:hyperlink>
        </w:p>
        <w:p>
          <w:pPr>
            <w:pStyle w:val="Contents5"/>
            <w:tabs>
              <w:tab w:val="clear" w:pos="7892"/>
              <w:tab w:val="right" w:pos="9026" w:leader="dot"/>
            </w:tabs>
            <w:rPr/>
          </w:pPr>
          <w:hyperlink w:anchor="__RefHeading___Toc3809437_1067777946">
            <w:r>
              <w:rPr>
                <w:webHidden/>
                <w:rStyle w:val="IndexLink"/>
                <w:rtl w:val="true"/>
              </w:rPr>
              <w:t>كسى نذر حج كند و مال نيابد و از غير، حج كند</w:t>
            </w:r>
            <w:r>
              <w:rPr>
                <w:rStyle w:val="IndexLink"/>
                <w:rtl w:val="true"/>
              </w:rPr>
              <w:tab/>
            </w:r>
            <w:r>
              <w:rPr>
                <w:rStyle w:val="IndexLink"/>
              </w:rPr>
              <w:t>509</w:t>
            </w:r>
          </w:hyperlink>
        </w:p>
        <w:p>
          <w:pPr>
            <w:pStyle w:val="Contents4"/>
            <w:tabs>
              <w:tab w:val="clear" w:pos="8176"/>
              <w:tab w:val="right" w:pos="9026" w:leader="dot"/>
            </w:tabs>
            <w:rPr/>
          </w:pPr>
          <w:hyperlink w:anchor="__RefHeading___Toc3809439_1067777946">
            <w:r>
              <w:rPr>
                <w:webHidden/>
                <w:rStyle w:val="IndexLink"/>
              </w:rPr>
              <w:t>2</w:t>
            </w:r>
            <w:r>
              <w:rPr>
                <w:rStyle w:val="IndexLink"/>
                <w:rtl w:val="true"/>
              </w:rPr>
              <w:t xml:space="preserve">. </w:t>
            </w:r>
            <w:r>
              <w:rPr>
                <w:rStyle w:val="IndexLink"/>
                <w:rtl w:val="true"/>
              </w:rPr>
              <w:t>مسائل صوم منذور</w:t>
            </w:r>
            <w:r>
              <w:rPr>
                <w:rStyle w:val="IndexLink"/>
                <w:rtl w:val="true"/>
              </w:rPr>
              <w:tab/>
            </w:r>
            <w:r>
              <w:rPr>
                <w:rStyle w:val="IndexLink"/>
              </w:rPr>
              <w:t>510</w:t>
            </w:r>
          </w:hyperlink>
        </w:p>
        <w:p>
          <w:pPr>
            <w:pStyle w:val="Contents5"/>
            <w:tabs>
              <w:tab w:val="clear" w:pos="7892"/>
              <w:tab w:val="right" w:pos="9026" w:leader="dot"/>
            </w:tabs>
            <w:rPr/>
          </w:pPr>
          <w:hyperlink w:anchor="__RefHeading___Toc3809441_1067777946">
            <w:r>
              <w:rPr>
                <w:webHidden/>
                <w:rStyle w:val="IndexLink"/>
                <w:rtl w:val="true"/>
              </w:rPr>
              <w:t>تتابع و تفريق در صوم منذور</w:t>
            </w:r>
            <w:r>
              <w:rPr>
                <w:rStyle w:val="IndexLink"/>
                <w:rtl w:val="true"/>
              </w:rPr>
              <w:tab/>
            </w:r>
            <w:r>
              <w:rPr>
                <w:rStyle w:val="IndexLink"/>
              </w:rPr>
              <w:t>510</w:t>
            </w:r>
          </w:hyperlink>
        </w:p>
        <w:p>
          <w:pPr>
            <w:pStyle w:val="Contents5"/>
            <w:tabs>
              <w:tab w:val="clear" w:pos="7892"/>
              <w:tab w:val="right" w:pos="9026" w:leader="dot"/>
            </w:tabs>
            <w:rPr/>
          </w:pPr>
          <w:hyperlink w:anchor="__RefHeading___Toc3809443_1067777946">
            <w:r>
              <w:rPr>
                <w:webHidden/>
                <w:rStyle w:val="IndexLink"/>
                <w:rtl w:val="true"/>
              </w:rPr>
              <w:t>عدم انعقاد نذر صوم ايام محرّمه و غير مقدور</w:t>
            </w:r>
            <w:r>
              <w:rPr>
                <w:rStyle w:val="IndexLink"/>
                <w:rtl w:val="true"/>
              </w:rPr>
              <w:tab/>
            </w:r>
            <w:r>
              <w:rPr>
                <w:rStyle w:val="IndexLink"/>
              </w:rPr>
              <w:t>510</w:t>
            </w:r>
          </w:hyperlink>
        </w:p>
        <w:p>
          <w:pPr>
            <w:pStyle w:val="Contents5"/>
            <w:tabs>
              <w:tab w:val="clear" w:pos="7892"/>
              <w:tab w:val="right" w:pos="9026" w:leader="dot"/>
            </w:tabs>
            <w:rPr/>
          </w:pPr>
          <w:hyperlink w:anchor="__RefHeading___Toc3809445_1067777946">
            <w:r>
              <w:rPr>
                <w:webHidden/>
                <w:rStyle w:val="IndexLink"/>
                <w:rtl w:val="true"/>
              </w:rPr>
              <w:t>دوام در صوم منذور</w:t>
            </w:r>
            <w:r>
              <w:rPr>
                <w:rStyle w:val="IndexLink"/>
                <w:rtl w:val="true"/>
              </w:rPr>
              <w:tab/>
            </w:r>
            <w:r>
              <w:rPr>
                <w:rStyle w:val="IndexLink"/>
              </w:rPr>
              <w:t>511</w:t>
            </w:r>
          </w:hyperlink>
        </w:p>
        <w:p>
          <w:pPr>
            <w:pStyle w:val="Contents5"/>
            <w:tabs>
              <w:tab w:val="clear" w:pos="7892"/>
              <w:tab w:val="right" w:pos="9026" w:leader="dot"/>
            </w:tabs>
            <w:rPr/>
          </w:pPr>
          <w:hyperlink w:anchor="__RefHeading___Toc3809447_1067777946">
            <w:r>
              <w:rPr>
                <w:webHidden/>
                <w:rStyle w:val="IndexLink"/>
                <w:rtl w:val="true"/>
              </w:rPr>
              <w:t>تقارن صوم منذور با ماه مبارك رمضان</w:t>
            </w:r>
            <w:r>
              <w:rPr>
                <w:rStyle w:val="IndexLink"/>
                <w:rtl w:val="true"/>
              </w:rPr>
              <w:tab/>
            </w:r>
            <w:r>
              <w:rPr>
                <w:rStyle w:val="IndexLink"/>
              </w:rPr>
              <w:t>511</w:t>
            </w:r>
          </w:hyperlink>
        </w:p>
        <w:p>
          <w:pPr>
            <w:pStyle w:val="Contents5"/>
            <w:tabs>
              <w:tab w:val="clear" w:pos="7892"/>
              <w:tab w:val="right" w:pos="9026" w:leader="dot"/>
            </w:tabs>
            <w:rPr/>
          </w:pPr>
          <w:hyperlink w:anchor="__RefHeading___Toc3809449_1067777946">
            <w:r>
              <w:rPr>
                <w:webHidden/>
                <w:rStyle w:val="IndexLink"/>
                <w:rtl w:val="true"/>
              </w:rPr>
              <w:t>نذر صوم يك روز از هفته دائماً</w:t>
            </w:r>
            <w:r>
              <w:rPr>
                <w:rStyle w:val="IndexLink"/>
                <w:rtl w:val="true"/>
              </w:rPr>
              <w:tab/>
            </w:r>
            <w:r>
              <w:rPr>
                <w:rStyle w:val="IndexLink"/>
              </w:rPr>
              <w:t>511</w:t>
            </w:r>
          </w:hyperlink>
        </w:p>
        <w:p>
          <w:pPr>
            <w:pStyle w:val="Contents5"/>
            <w:tabs>
              <w:tab w:val="clear" w:pos="7892"/>
              <w:tab w:val="right" w:pos="9026" w:leader="dot"/>
            </w:tabs>
            <w:rPr/>
          </w:pPr>
          <w:hyperlink w:anchor="__RefHeading___Toc3809451_1067777946">
            <w:r>
              <w:rPr>
                <w:webHidden/>
                <w:rStyle w:val="IndexLink"/>
                <w:rtl w:val="true"/>
              </w:rPr>
              <w:t>نذر مطلق صوم</w:t>
            </w:r>
            <w:r>
              <w:rPr>
                <w:rStyle w:val="IndexLink"/>
                <w:rtl w:val="true"/>
              </w:rPr>
              <w:tab/>
            </w:r>
            <w:r>
              <w:rPr>
                <w:rStyle w:val="IndexLink"/>
              </w:rPr>
              <w:t>512</w:t>
            </w:r>
          </w:hyperlink>
        </w:p>
        <w:p>
          <w:pPr>
            <w:pStyle w:val="Contents5"/>
            <w:tabs>
              <w:tab w:val="clear" w:pos="7892"/>
              <w:tab w:val="right" w:pos="9026" w:leader="dot"/>
            </w:tabs>
            <w:rPr/>
          </w:pPr>
          <w:hyperlink w:anchor="__RefHeading___Toc3809453_1067777946">
            <w:r>
              <w:rPr>
                <w:webHidden/>
                <w:rStyle w:val="IndexLink"/>
                <w:rtl w:val="true"/>
              </w:rPr>
              <w:t>نذر صوم در بلد معين</w:t>
            </w:r>
            <w:r>
              <w:rPr>
                <w:rStyle w:val="IndexLink"/>
                <w:rtl w:val="true"/>
              </w:rPr>
              <w:tab/>
            </w:r>
            <w:r>
              <w:rPr>
                <w:rStyle w:val="IndexLink"/>
              </w:rPr>
              <w:t>512</w:t>
            </w:r>
          </w:hyperlink>
        </w:p>
        <w:p>
          <w:pPr>
            <w:pStyle w:val="Contents5"/>
            <w:tabs>
              <w:tab w:val="clear" w:pos="7892"/>
              <w:tab w:val="right" w:pos="9026" w:leader="dot"/>
            </w:tabs>
            <w:rPr/>
          </w:pPr>
          <w:hyperlink w:anchor="__RefHeading___Toc3809455_1067777946">
            <w:r>
              <w:rPr>
                <w:webHidden/>
                <w:rStyle w:val="IndexLink"/>
                <w:rtl w:val="true"/>
              </w:rPr>
              <w:t>نذر صوم زمان يا حين</w:t>
            </w:r>
            <w:r>
              <w:rPr>
                <w:rStyle w:val="IndexLink"/>
                <w:rtl w:val="true"/>
              </w:rPr>
              <w:tab/>
            </w:r>
            <w:r>
              <w:rPr>
                <w:rStyle w:val="IndexLink"/>
              </w:rPr>
              <w:t>512</w:t>
            </w:r>
          </w:hyperlink>
        </w:p>
        <w:p>
          <w:pPr>
            <w:pStyle w:val="Contents4"/>
            <w:tabs>
              <w:tab w:val="clear" w:pos="8176"/>
              <w:tab w:val="right" w:pos="9026" w:leader="dot"/>
            </w:tabs>
            <w:rPr/>
          </w:pPr>
          <w:hyperlink w:anchor="__RefHeading___Toc3809457_1067777946">
            <w:r>
              <w:rPr>
                <w:webHidden/>
                <w:rStyle w:val="IndexLink"/>
              </w:rPr>
              <w:t>3</w:t>
            </w:r>
            <w:r>
              <w:rPr>
                <w:rStyle w:val="IndexLink"/>
                <w:rtl w:val="true"/>
              </w:rPr>
              <w:t xml:space="preserve">. </w:t>
            </w:r>
            <w:r>
              <w:rPr>
                <w:rStyle w:val="IndexLink"/>
                <w:rtl w:val="true"/>
              </w:rPr>
              <w:t>مسائل نذر نماز</w:t>
            </w:r>
            <w:r>
              <w:rPr>
                <w:rStyle w:val="IndexLink"/>
                <w:rtl w:val="true"/>
              </w:rPr>
              <w:tab/>
            </w:r>
            <w:r>
              <w:rPr>
                <w:rStyle w:val="IndexLink"/>
              </w:rPr>
              <w:t>512</w:t>
            </w:r>
          </w:hyperlink>
        </w:p>
        <w:p>
          <w:pPr>
            <w:pStyle w:val="Contents5"/>
            <w:tabs>
              <w:tab w:val="clear" w:pos="7892"/>
              <w:tab w:val="right" w:pos="9026" w:leader="dot"/>
            </w:tabs>
            <w:rPr/>
          </w:pPr>
          <w:hyperlink w:anchor="__RefHeading___Toc3809459_1067777946">
            <w:r>
              <w:rPr>
                <w:webHidden/>
                <w:rStyle w:val="IndexLink"/>
                <w:rtl w:val="true"/>
              </w:rPr>
              <w:t>نذر مطلق نماز</w:t>
            </w:r>
            <w:r>
              <w:rPr>
                <w:rStyle w:val="IndexLink"/>
                <w:rtl w:val="true"/>
              </w:rPr>
              <w:tab/>
            </w:r>
            <w:r>
              <w:rPr>
                <w:rStyle w:val="IndexLink"/>
              </w:rPr>
              <w:t>512</w:t>
            </w:r>
          </w:hyperlink>
        </w:p>
        <w:p>
          <w:pPr>
            <w:pStyle w:val="Contents5"/>
            <w:tabs>
              <w:tab w:val="clear" w:pos="7892"/>
              <w:tab w:val="right" w:pos="9026" w:leader="dot"/>
            </w:tabs>
            <w:rPr/>
          </w:pPr>
          <w:hyperlink w:anchor="__RefHeading___Toc3809461_1067777946">
            <w:r>
              <w:rPr>
                <w:webHidden/>
                <w:rStyle w:val="IndexLink"/>
                <w:rtl w:val="true"/>
              </w:rPr>
              <w:t>نذر قربت به عملى</w:t>
            </w:r>
            <w:r>
              <w:rPr>
                <w:rStyle w:val="IndexLink"/>
                <w:rtl w:val="true"/>
              </w:rPr>
              <w:tab/>
            </w:r>
            <w:r>
              <w:rPr>
                <w:rStyle w:val="IndexLink"/>
              </w:rPr>
              <w:t>513</w:t>
            </w:r>
          </w:hyperlink>
        </w:p>
        <w:p>
          <w:pPr>
            <w:pStyle w:val="Contents5"/>
            <w:tabs>
              <w:tab w:val="clear" w:pos="7892"/>
              <w:tab w:val="right" w:pos="9026" w:leader="dot"/>
            </w:tabs>
            <w:rPr/>
          </w:pPr>
          <w:hyperlink w:anchor="__RefHeading___Toc3809463_1067777946">
            <w:r>
              <w:rPr>
                <w:webHidden/>
                <w:rStyle w:val="IndexLink"/>
                <w:rtl w:val="true"/>
              </w:rPr>
              <w:t>نذر نماز در مكان معيّن</w:t>
            </w:r>
            <w:r>
              <w:rPr>
                <w:rStyle w:val="IndexLink"/>
                <w:rtl w:val="true"/>
              </w:rPr>
              <w:tab/>
            </w:r>
            <w:r>
              <w:rPr>
                <w:rStyle w:val="IndexLink"/>
              </w:rPr>
              <w:t>513</w:t>
            </w:r>
          </w:hyperlink>
        </w:p>
        <w:p>
          <w:pPr>
            <w:pStyle w:val="Contents5"/>
            <w:tabs>
              <w:tab w:val="clear" w:pos="7892"/>
              <w:tab w:val="right" w:pos="9026" w:leader="dot"/>
            </w:tabs>
            <w:rPr/>
          </w:pPr>
          <w:hyperlink w:anchor="__RefHeading___Toc3809465_1067777946">
            <w:r>
              <w:rPr>
                <w:webHidden/>
                <w:rStyle w:val="IndexLink"/>
                <w:rtl w:val="true"/>
              </w:rPr>
              <w:t>مسأله اى از نذر حجّ‌</w:t>
            </w:r>
            <w:r>
              <w:rPr>
                <w:rStyle w:val="IndexLink"/>
                <w:rtl w:val="true"/>
              </w:rPr>
              <w:tab/>
            </w:r>
            <w:r>
              <w:rPr>
                <w:rStyle w:val="IndexLink"/>
              </w:rPr>
              <w:t>513</w:t>
            </w:r>
          </w:hyperlink>
        </w:p>
        <w:p>
          <w:pPr>
            <w:pStyle w:val="Contents6"/>
            <w:tabs>
              <w:tab w:val="clear" w:pos="7609"/>
              <w:tab w:val="right" w:pos="9026" w:leader="dot"/>
            </w:tabs>
            <w:rPr/>
          </w:pPr>
          <w:hyperlink w:anchor="__RefHeading___Toc3809467_1067777946">
            <w:r>
              <w:rPr>
                <w:webHidden/>
                <w:rStyle w:val="IndexLink"/>
                <w:rtl w:val="true"/>
              </w:rPr>
              <w:t>عجز از حج منذور ماشياً</w:t>
            </w:r>
            <w:r>
              <w:rPr>
                <w:rStyle w:val="IndexLink"/>
                <w:rtl w:val="true"/>
              </w:rPr>
              <w:tab/>
            </w:r>
            <w:r>
              <w:rPr>
                <w:rStyle w:val="IndexLink"/>
              </w:rPr>
              <w:t>513</w:t>
            </w:r>
          </w:hyperlink>
        </w:p>
        <w:p>
          <w:pPr>
            <w:pStyle w:val="Contents4"/>
            <w:tabs>
              <w:tab w:val="clear" w:pos="8176"/>
              <w:tab w:val="right" w:pos="9026" w:leader="dot"/>
            </w:tabs>
            <w:rPr/>
          </w:pPr>
          <w:hyperlink w:anchor="__RefHeading___Toc3809469_1067777946">
            <w:r>
              <w:rPr>
                <w:webHidden/>
                <w:rStyle w:val="IndexLink"/>
              </w:rPr>
              <w:t>4</w:t>
            </w:r>
            <w:r>
              <w:rPr>
                <w:rStyle w:val="IndexLink"/>
                <w:rtl w:val="true"/>
              </w:rPr>
              <w:t xml:space="preserve">. </w:t>
            </w:r>
            <w:r>
              <w:rPr>
                <w:rStyle w:val="IndexLink"/>
                <w:rtl w:val="true"/>
              </w:rPr>
              <w:t>در مسائل نذر عتق</w:t>
            </w:r>
            <w:r>
              <w:rPr>
                <w:rStyle w:val="IndexLink"/>
                <w:rtl w:val="true"/>
              </w:rPr>
              <w:tab/>
            </w:r>
            <w:r>
              <w:rPr>
                <w:rStyle w:val="IndexLink"/>
              </w:rPr>
              <w:t>513</w:t>
            </w:r>
          </w:hyperlink>
        </w:p>
        <w:p>
          <w:pPr>
            <w:pStyle w:val="Contents4"/>
            <w:tabs>
              <w:tab w:val="clear" w:pos="8176"/>
              <w:tab w:val="right" w:pos="9026" w:leader="dot"/>
            </w:tabs>
            <w:rPr/>
          </w:pPr>
          <w:hyperlink w:anchor="__RefHeading___Toc3809471_1067777946">
            <w:r>
              <w:rPr>
                <w:webHidden/>
                <w:rStyle w:val="IndexLink"/>
              </w:rPr>
              <w:t>5</w:t>
            </w:r>
            <w:r>
              <w:rPr>
                <w:rStyle w:val="IndexLink"/>
                <w:rtl w:val="true"/>
              </w:rPr>
              <w:t xml:space="preserve">. </w:t>
            </w:r>
            <w:r>
              <w:rPr>
                <w:rStyle w:val="IndexLink"/>
                <w:rtl w:val="true"/>
              </w:rPr>
              <w:t>مسائل نذر تصدّق</w:t>
            </w:r>
            <w:r>
              <w:rPr>
                <w:rStyle w:val="IndexLink"/>
                <w:rtl w:val="true"/>
              </w:rPr>
              <w:tab/>
            </w:r>
            <w:r>
              <w:rPr>
                <w:rStyle w:val="IndexLink"/>
              </w:rPr>
              <w:t>514</w:t>
            </w:r>
          </w:hyperlink>
        </w:p>
        <w:p>
          <w:pPr>
            <w:pStyle w:val="Contents5"/>
            <w:tabs>
              <w:tab w:val="clear" w:pos="7892"/>
              <w:tab w:val="right" w:pos="9026" w:leader="dot"/>
            </w:tabs>
            <w:rPr/>
          </w:pPr>
          <w:hyperlink w:anchor="__RefHeading___Toc3809473_1067777946">
            <w:r>
              <w:rPr>
                <w:webHidden/>
                <w:rStyle w:val="IndexLink"/>
                <w:rtl w:val="true"/>
              </w:rPr>
              <w:t>نذر مطلق تصرّف به مال</w:t>
            </w:r>
            <w:r>
              <w:rPr>
                <w:rStyle w:val="IndexLink"/>
                <w:rtl w:val="true"/>
              </w:rPr>
              <w:tab/>
            </w:r>
            <w:r>
              <w:rPr>
                <w:rStyle w:val="IndexLink"/>
              </w:rPr>
              <w:t>514</w:t>
            </w:r>
          </w:hyperlink>
        </w:p>
        <w:p>
          <w:pPr>
            <w:pStyle w:val="Contents5"/>
            <w:tabs>
              <w:tab w:val="clear" w:pos="7892"/>
              <w:tab w:val="right" w:pos="9026" w:leader="dot"/>
            </w:tabs>
            <w:rPr/>
          </w:pPr>
          <w:hyperlink w:anchor="__RefHeading___Toc3809475_1067777946">
            <w:r>
              <w:rPr>
                <w:webHidden/>
                <w:rStyle w:val="IndexLink"/>
                <w:rtl w:val="true"/>
              </w:rPr>
              <w:t>نذر تصدق به مال كثير</w:t>
            </w:r>
            <w:r>
              <w:rPr>
                <w:rStyle w:val="IndexLink"/>
                <w:rtl w:val="true"/>
              </w:rPr>
              <w:tab/>
            </w:r>
            <w:r>
              <w:rPr>
                <w:rStyle w:val="IndexLink"/>
              </w:rPr>
              <w:t>515</w:t>
            </w:r>
          </w:hyperlink>
        </w:p>
        <w:p>
          <w:pPr>
            <w:pStyle w:val="Contents5"/>
            <w:tabs>
              <w:tab w:val="clear" w:pos="7892"/>
              <w:tab w:val="right" w:pos="9026" w:leader="dot"/>
            </w:tabs>
            <w:rPr/>
          </w:pPr>
          <w:hyperlink w:anchor="__RefHeading___Toc3809477_1067777946">
            <w:r>
              <w:rPr>
                <w:webHidden/>
                <w:rStyle w:val="IndexLink"/>
                <w:rtl w:val="true"/>
              </w:rPr>
              <w:t>نذر تصدق به مال جليل يا خطير يا عظيم</w:t>
            </w:r>
            <w:r>
              <w:rPr>
                <w:rStyle w:val="IndexLink"/>
                <w:rtl w:val="true"/>
              </w:rPr>
              <w:tab/>
            </w:r>
            <w:r>
              <w:rPr>
                <w:rStyle w:val="IndexLink"/>
              </w:rPr>
              <w:t>515</w:t>
            </w:r>
          </w:hyperlink>
        </w:p>
        <w:p>
          <w:pPr>
            <w:pStyle w:val="Contents5"/>
            <w:tabs>
              <w:tab w:val="clear" w:pos="7892"/>
              <w:tab w:val="right" w:pos="9026" w:leader="dot"/>
            </w:tabs>
            <w:rPr/>
          </w:pPr>
          <w:hyperlink w:anchor="__RefHeading___Toc3809479_1067777946">
            <w:r>
              <w:rPr>
                <w:webHidden/>
                <w:rStyle w:val="IndexLink"/>
                <w:rtl w:val="true"/>
              </w:rPr>
              <w:t>نذر تصدق در مكان معين</w:t>
            </w:r>
            <w:r>
              <w:rPr>
                <w:rStyle w:val="IndexLink"/>
                <w:rtl w:val="true"/>
              </w:rPr>
              <w:tab/>
            </w:r>
            <w:r>
              <w:rPr>
                <w:rStyle w:val="IndexLink"/>
              </w:rPr>
              <w:t>515</w:t>
            </w:r>
          </w:hyperlink>
        </w:p>
        <w:p>
          <w:pPr>
            <w:pStyle w:val="Contents5"/>
            <w:tabs>
              <w:tab w:val="clear" w:pos="7892"/>
              <w:tab w:val="right" w:pos="9026" w:leader="dot"/>
            </w:tabs>
            <w:rPr/>
          </w:pPr>
          <w:hyperlink w:anchor="__RefHeading___Toc3809481_1067777946">
            <w:r>
              <w:rPr>
                <w:webHidden/>
                <w:rStyle w:val="IndexLink"/>
                <w:rtl w:val="true"/>
              </w:rPr>
              <w:t>عدم كفايت قيمت مگر با قصد</w:t>
            </w:r>
            <w:r>
              <w:rPr>
                <w:rStyle w:val="IndexLink"/>
                <w:rtl w:val="true"/>
              </w:rPr>
              <w:tab/>
            </w:r>
            <w:r>
              <w:rPr>
                <w:rStyle w:val="IndexLink"/>
              </w:rPr>
              <w:t>516</w:t>
            </w:r>
          </w:hyperlink>
        </w:p>
        <w:p>
          <w:pPr>
            <w:pStyle w:val="Contents5"/>
            <w:tabs>
              <w:tab w:val="clear" w:pos="7892"/>
              <w:tab w:val="right" w:pos="9026" w:leader="dot"/>
            </w:tabs>
            <w:rPr/>
          </w:pPr>
          <w:hyperlink w:anchor="__RefHeading___Toc3809483_1067777946">
            <w:r>
              <w:rPr>
                <w:webHidden/>
                <w:rStyle w:val="IndexLink"/>
                <w:rtl w:val="true"/>
              </w:rPr>
              <w:t>عدم وجوب قبول بر منذور له</w:t>
            </w:r>
            <w:r>
              <w:rPr>
                <w:rStyle w:val="IndexLink"/>
                <w:rtl w:val="true"/>
              </w:rPr>
              <w:tab/>
            </w:r>
            <w:r>
              <w:rPr>
                <w:rStyle w:val="IndexLink"/>
              </w:rPr>
              <w:t>516</w:t>
            </w:r>
          </w:hyperlink>
        </w:p>
        <w:p>
          <w:pPr>
            <w:pStyle w:val="Contents5"/>
            <w:tabs>
              <w:tab w:val="clear" w:pos="7892"/>
              <w:tab w:val="right" w:pos="9026" w:leader="dot"/>
            </w:tabs>
            <w:rPr/>
          </w:pPr>
          <w:hyperlink w:anchor="__RefHeading___Toc3809485_1067777946">
            <w:r>
              <w:rPr>
                <w:webHidden/>
                <w:rStyle w:val="IndexLink"/>
                <w:rtl w:val="true"/>
              </w:rPr>
              <w:t>اثبات مالى در ذمه براى كسى با نذر</w:t>
            </w:r>
            <w:r>
              <w:rPr>
                <w:rStyle w:val="IndexLink"/>
                <w:rtl w:val="true"/>
              </w:rPr>
              <w:tab/>
            </w:r>
            <w:r>
              <w:rPr>
                <w:rStyle w:val="IndexLink"/>
              </w:rPr>
              <w:t>516</w:t>
            </w:r>
          </w:hyperlink>
        </w:p>
        <w:p>
          <w:pPr>
            <w:pStyle w:val="Contents5"/>
            <w:tabs>
              <w:tab w:val="clear" w:pos="7892"/>
              <w:tab w:val="right" w:pos="9026" w:leader="dot"/>
            </w:tabs>
            <w:rPr/>
          </w:pPr>
          <w:hyperlink w:anchor="__RefHeading___Toc3809487_1067777946">
            <w:r>
              <w:rPr>
                <w:webHidden/>
                <w:rStyle w:val="IndexLink"/>
                <w:rtl w:val="true"/>
              </w:rPr>
              <w:t>نماى منذور</w:t>
            </w:r>
            <w:r>
              <w:rPr>
                <w:rStyle w:val="IndexLink"/>
                <w:rtl w:val="true"/>
              </w:rPr>
              <w:tab/>
            </w:r>
            <w:r>
              <w:rPr>
                <w:rStyle w:val="IndexLink"/>
              </w:rPr>
              <w:t>516</w:t>
            </w:r>
          </w:hyperlink>
        </w:p>
        <w:p>
          <w:pPr>
            <w:pStyle w:val="Contents5"/>
            <w:tabs>
              <w:tab w:val="clear" w:pos="7892"/>
              <w:tab w:val="right" w:pos="9026" w:leader="dot"/>
            </w:tabs>
            <w:rPr/>
          </w:pPr>
          <w:hyperlink w:anchor="__RefHeading___Toc3809489_1067777946">
            <w:r>
              <w:rPr>
                <w:webHidden/>
                <w:rStyle w:val="IndexLink"/>
                <w:rtl w:val="true"/>
              </w:rPr>
              <w:t>نذر صرف خمس يا زكات بر معيّن</w:t>
            </w:r>
            <w:r>
              <w:rPr>
                <w:rStyle w:val="IndexLink"/>
                <w:rtl w:val="true"/>
              </w:rPr>
              <w:tab/>
            </w:r>
            <w:r>
              <w:rPr>
                <w:rStyle w:val="IndexLink"/>
              </w:rPr>
              <w:t>517</w:t>
            </w:r>
          </w:hyperlink>
        </w:p>
        <w:p>
          <w:pPr>
            <w:pStyle w:val="Contents5"/>
            <w:tabs>
              <w:tab w:val="clear" w:pos="7892"/>
              <w:tab w:val="right" w:pos="9026" w:leader="dot"/>
            </w:tabs>
            <w:rPr/>
          </w:pPr>
          <w:hyperlink w:anchor="__RefHeading___Toc3809491_1067777946">
            <w:r>
              <w:rPr>
                <w:webHidden/>
                <w:rStyle w:val="IndexLink"/>
                <w:rtl w:val="true"/>
              </w:rPr>
              <w:t>نذر تصدق به همۀ مال</w:t>
            </w:r>
            <w:r>
              <w:rPr>
                <w:rStyle w:val="IndexLink"/>
                <w:rtl w:val="true"/>
              </w:rPr>
              <w:tab/>
            </w:r>
            <w:r>
              <w:rPr>
                <w:rStyle w:val="IndexLink"/>
              </w:rPr>
              <w:t>517</w:t>
            </w:r>
          </w:hyperlink>
        </w:p>
        <w:p>
          <w:pPr>
            <w:pStyle w:val="Contents5"/>
            <w:tabs>
              <w:tab w:val="clear" w:pos="7892"/>
              <w:tab w:val="right" w:pos="9026" w:leader="dot"/>
            </w:tabs>
            <w:rPr/>
          </w:pPr>
          <w:hyperlink w:anchor="__RefHeading___Toc3809493_1067777946">
            <w:r>
              <w:rPr>
                <w:webHidden/>
                <w:rStyle w:val="IndexLink"/>
                <w:rtl w:val="true"/>
              </w:rPr>
              <w:t>نذر صرف مال در راه خير</w:t>
            </w:r>
            <w:r>
              <w:rPr>
                <w:rStyle w:val="IndexLink"/>
                <w:rtl w:val="true"/>
              </w:rPr>
              <w:tab/>
            </w:r>
            <w:r>
              <w:rPr>
                <w:rStyle w:val="IndexLink"/>
              </w:rPr>
              <w:t>517</w:t>
            </w:r>
          </w:hyperlink>
        </w:p>
        <w:p>
          <w:pPr>
            <w:pStyle w:val="Contents4"/>
            <w:tabs>
              <w:tab w:val="clear" w:pos="8176"/>
              <w:tab w:val="right" w:pos="9026" w:leader="dot"/>
            </w:tabs>
            <w:rPr/>
          </w:pPr>
          <w:hyperlink w:anchor="__RefHeading___Toc3809495_1067777946">
            <w:r>
              <w:rPr>
                <w:webHidden/>
                <w:rStyle w:val="IndexLink"/>
              </w:rPr>
              <w:t>6</w:t>
            </w:r>
            <w:r>
              <w:rPr>
                <w:rStyle w:val="IndexLink"/>
                <w:rtl w:val="true"/>
              </w:rPr>
              <w:t xml:space="preserve">. </w:t>
            </w:r>
            <w:r>
              <w:rPr>
                <w:rStyle w:val="IndexLink"/>
                <w:rtl w:val="true"/>
              </w:rPr>
              <w:t>مسائل نذر هَدى</w:t>
            </w:r>
            <w:r>
              <w:rPr>
                <w:rStyle w:val="IndexLink"/>
                <w:rtl w:val="true"/>
              </w:rPr>
              <w:tab/>
            </w:r>
            <w:r>
              <w:rPr>
                <w:rStyle w:val="IndexLink"/>
              </w:rPr>
              <w:t>518</w:t>
            </w:r>
          </w:hyperlink>
        </w:p>
        <w:p>
          <w:pPr>
            <w:pStyle w:val="Contents5"/>
            <w:tabs>
              <w:tab w:val="clear" w:pos="7892"/>
              <w:tab w:val="right" w:pos="9026" w:leader="dot"/>
            </w:tabs>
            <w:rPr/>
          </w:pPr>
          <w:hyperlink w:anchor="__RefHeading___Toc3809497_1067777946">
            <w:r>
              <w:rPr>
                <w:webHidden/>
                <w:rStyle w:val="IndexLink"/>
                <w:rtl w:val="true"/>
              </w:rPr>
              <w:t>اشاره</w:t>
            </w:r>
            <w:r>
              <w:rPr>
                <w:rStyle w:val="IndexLink"/>
                <w:rtl w:val="true"/>
              </w:rPr>
              <w:tab/>
            </w:r>
            <w:r>
              <w:rPr>
                <w:rStyle w:val="IndexLink"/>
              </w:rPr>
              <w:t>518</w:t>
            </w:r>
          </w:hyperlink>
        </w:p>
        <w:p>
          <w:pPr>
            <w:pStyle w:val="Contents5"/>
            <w:tabs>
              <w:tab w:val="clear" w:pos="7892"/>
              <w:tab w:val="right" w:pos="9026" w:leader="dot"/>
            </w:tabs>
            <w:rPr/>
          </w:pPr>
          <w:hyperlink w:anchor="__RefHeading___Toc3809499_1067777946">
            <w:r>
              <w:rPr>
                <w:webHidden/>
                <w:rStyle w:val="IndexLink"/>
                <w:rtl w:val="true"/>
              </w:rPr>
              <w:t>نذر براى صاحبان مشاهد مشرفه</w:t>
            </w:r>
            <w:r>
              <w:rPr>
                <w:rStyle w:val="IndexLink"/>
                <w:rtl w:val="true"/>
              </w:rPr>
              <w:tab/>
            </w:r>
            <w:r>
              <w:rPr>
                <w:rStyle w:val="IndexLink"/>
              </w:rPr>
              <w:t>519</w:t>
            </w:r>
          </w:hyperlink>
        </w:p>
        <w:p>
          <w:pPr>
            <w:pStyle w:val="Contents5"/>
            <w:tabs>
              <w:tab w:val="clear" w:pos="7892"/>
              <w:tab w:val="right" w:pos="9026" w:leader="dot"/>
            </w:tabs>
            <w:rPr/>
          </w:pPr>
          <w:hyperlink w:anchor="__RefHeading___Toc3809501_1067777946">
            <w:r>
              <w:rPr>
                <w:webHidden/>
                <w:rStyle w:val="IndexLink"/>
                <w:rtl w:val="true"/>
              </w:rPr>
              <w:t>بقيۀ مسائل نذر هَدى</w:t>
            </w:r>
            <w:r>
              <w:rPr>
                <w:rStyle w:val="IndexLink"/>
                <w:rtl w:val="true"/>
              </w:rPr>
              <w:tab/>
            </w:r>
            <w:r>
              <w:rPr>
                <w:rStyle w:val="IndexLink"/>
              </w:rPr>
              <w:t>519</w:t>
            </w:r>
          </w:hyperlink>
        </w:p>
        <w:p>
          <w:pPr>
            <w:pStyle w:val="Contents4"/>
            <w:tabs>
              <w:tab w:val="clear" w:pos="8176"/>
              <w:tab w:val="right" w:pos="9026" w:leader="dot"/>
            </w:tabs>
            <w:rPr/>
          </w:pPr>
          <w:hyperlink w:anchor="__RefHeading___Toc3809503_1067777946">
            <w:r>
              <w:rPr>
                <w:webHidden/>
                <w:rStyle w:val="IndexLink"/>
              </w:rPr>
              <w:t>7</w:t>
            </w:r>
            <w:r>
              <w:rPr>
                <w:rStyle w:val="IndexLink"/>
                <w:rtl w:val="true"/>
              </w:rPr>
              <w:t xml:space="preserve">. </w:t>
            </w:r>
            <w:r>
              <w:rPr>
                <w:rStyle w:val="IndexLink"/>
                <w:rtl w:val="true"/>
              </w:rPr>
              <w:t>نذر زيارت</w:t>
            </w:r>
            <w:r>
              <w:rPr>
                <w:rStyle w:val="IndexLink"/>
                <w:rtl w:val="true"/>
              </w:rPr>
              <w:tab/>
            </w:r>
            <w:r>
              <w:rPr>
                <w:rStyle w:val="IndexLink"/>
              </w:rPr>
              <w:t>519</w:t>
            </w:r>
          </w:hyperlink>
        </w:p>
        <w:p>
          <w:pPr>
            <w:pStyle w:val="Contents5"/>
            <w:tabs>
              <w:tab w:val="clear" w:pos="7892"/>
              <w:tab w:val="right" w:pos="9026" w:leader="dot"/>
            </w:tabs>
            <w:rPr/>
          </w:pPr>
          <w:hyperlink w:anchor="__RefHeading___Toc3809505_1067777946">
            <w:r>
              <w:rPr>
                <w:webHidden/>
                <w:rStyle w:val="IndexLink"/>
                <w:rtl w:val="true"/>
              </w:rPr>
              <w:t>اشاره</w:t>
            </w:r>
            <w:r>
              <w:rPr>
                <w:rStyle w:val="IndexLink"/>
                <w:rtl w:val="true"/>
              </w:rPr>
              <w:tab/>
            </w:r>
            <w:r>
              <w:rPr>
                <w:rStyle w:val="IndexLink"/>
              </w:rPr>
              <w:t>519</w:t>
            </w:r>
          </w:hyperlink>
        </w:p>
        <w:p>
          <w:pPr>
            <w:pStyle w:val="Contents5"/>
            <w:tabs>
              <w:tab w:val="clear" w:pos="7892"/>
              <w:tab w:val="right" w:pos="9026" w:leader="dot"/>
            </w:tabs>
            <w:rPr/>
          </w:pPr>
          <w:hyperlink w:anchor="__RefHeading___Toc3809507_1067777946">
            <w:r>
              <w:rPr>
                <w:webHidden/>
                <w:rStyle w:val="IndexLink"/>
                <w:rtl w:val="true"/>
              </w:rPr>
              <w:t xml:space="preserve">نذر زيارت حضرت مهدى </w:t>
            </w:r>
            <w:r>
              <w:rPr>
                <w:rStyle w:val="IndexLink"/>
                <w:rtl w:val="true"/>
              </w:rPr>
              <w:t xml:space="preserve">- </w:t>
            </w:r>
            <w:r>
              <w:rPr>
                <w:rStyle w:val="IndexLink"/>
                <w:rtl w:val="true"/>
              </w:rPr>
              <w:t>عجل اللّٰه تعالى فرجه</w:t>
            </w:r>
            <w:r>
              <w:rPr>
                <w:rStyle w:val="IndexLink"/>
                <w:rtl w:val="true"/>
              </w:rPr>
              <w:tab/>
            </w:r>
            <w:r>
              <w:rPr>
                <w:rStyle w:val="IndexLink"/>
              </w:rPr>
              <w:t>519</w:t>
            </w:r>
          </w:hyperlink>
        </w:p>
        <w:p>
          <w:pPr>
            <w:pStyle w:val="Contents3"/>
            <w:tabs>
              <w:tab w:val="clear" w:pos="8459"/>
              <w:tab w:val="right" w:pos="9026" w:leader="dot"/>
            </w:tabs>
            <w:rPr/>
          </w:pPr>
          <w:hyperlink w:anchor="__RefHeading___Toc3809509_1067777946">
            <w:r>
              <w:rPr>
                <w:webHidden/>
                <w:rStyle w:val="IndexLink"/>
                <w:rtl w:val="true"/>
              </w:rPr>
              <w:t>فصل سوّم احكام نذر</w:t>
            </w:r>
            <w:r>
              <w:rPr>
                <w:rStyle w:val="IndexLink"/>
                <w:rtl w:val="true"/>
              </w:rPr>
              <w:tab/>
            </w:r>
            <w:r>
              <w:rPr>
                <w:rStyle w:val="IndexLink"/>
              </w:rPr>
              <w:t>521</w:t>
            </w:r>
          </w:hyperlink>
        </w:p>
        <w:p>
          <w:pPr>
            <w:pStyle w:val="Contents4"/>
            <w:tabs>
              <w:tab w:val="clear" w:pos="8176"/>
              <w:tab w:val="right" w:pos="9026" w:leader="dot"/>
            </w:tabs>
            <w:rPr/>
          </w:pPr>
          <w:hyperlink w:anchor="__RefHeading___Toc3809511_1067777946">
            <w:r>
              <w:rPr>
                <w:webHidden/>
                <w:rStyle w:val="IndexLink"/>
                <w:rtl w:val="true"/>
              </w:rPr>
              <w:t>نذر صوم يك سال معين</w:t>
            </w:r>
            <w:r>
              <w:rPr>
                <w:rStyle w:val="IndexLink"/>
                <w:rtl w:val="true"/>
              </w:rPr>
              <w:tab/>
            </w:r>
            <w:r>
              <w:rPr>
                <w:rStyle w:val="IndexLink"/>
              </w:rPr>
              <w:t>521</w:t>
            </w:r>
          </w:hyperlink>
        </w:p>
        <w:p>
          <w:pPr>
            <w:pStyle w:val="Contents4"/>
            <w:tabs>
              <w:tab w:val="clear" w:pos="8176"/>
              <w:tab w:val="right" w:pos="9026" w:leader="dot"/>
            </w:tabs>
            <w:rPr/>
          </w:pPr>
          <w:hyperlink w:anchor="__RefHeading___Toc3809513_1067777946">
            <w:r>
              <w:rPr>
                <w:webHidden/>
                <w:rStyle w:val="IndexLink"/>
                <w:rtl w:val="true"/>
              </w:rPr>
              <w:t>نذر صوم دهر و مسأله مسافرت در آن</w:t>
            </w:r>
            <w:r>
              <w:rPr>
                <w:rStyle w:val="IndexLink"/>
                <w:rtl w:val="true"/>
              </w:rPr>
              <w:tab/>
            </w:r>
            <w:r>
              <w:rPr>
                <w:rStyle w:val="IndexLink"/>
              </w:rPr>
              <w:t>522</w:t>
            </w:r>
          </w:hyperlink>
        </w:p>
        <w:p>
          <w:pPr>
            <w:pStyle w:val="Contents4"/>
            <w:tabs>
              <w:tab w:val="clear" w:pos="8176"/>
              <w:tab w:val="right" w:pos="9026" w:leader="dot"/>
            </w:tabs>
            <w:rPr/>
          </w:pPr>
          <w:hyperlink w:anchor="__RefHeading___Toc3809515_1067777946">
            <w:r>
              <w:rPr>
                <w:webHidden/>
                <w:rStyle w:val="IndexLink"/>
                <w:rtl w:val="true"/>
              </w:rPr>
              <w:t>معين نمودن روزى براى قضا</w:t>
            </w:r>
            <w:r>
              <w:rPr>
                <w:rStyle w:val="IndexLink"/>
                <w:rtl w:val="true"/>
              </w:rPr>
              <w:tab/>
            </w:r>
            <w:r>
              <w:rPr>
                <w:rStyle w:val="IndexLink"/>
              </w:rPr>
              <w:t>523</w:t>
            </w:r>
          </w:hyperlink>
        </w:p>
        <w:p>
          <w:pPr>
            <w:pStyle w:val="Contents4"/>
            <w:tabs>
              <w:tab w:val="clear" w:pos="8176"/>
              <w:tab w:val="right" w:pos="9026" w:leader="dot"/>
            </w:tabs>
            <w:rPr/>
          </w:pPr>
          <w:hyperlink w:anchor="__RefHeading___Toc3809517_1067777946">
            <w:r>
              <w:rPr>
                <w:webHidden/>
                <w:rStyle w:val="IndexLink"/>
                <w:rtl w:val="true"/>
              </w:rPr>
              <w:t>نذر صوم يك سال غير معين</w:t>
            </w:r>
            <w:r>
              <w:rPr>
                <w:rStyle w:val="IndexLink"/>
                <w:rtl w:val="true"/>
              </w:rPr>
              <w:tab/>
            </w:r>
            <w:r>
              <w:rPr>
                <w:rStyle w:val="IndexLink"/>
              </w:rPr>
              <w:t>523</w:t>
            </w:r>
          </w:hyperlink>
        </w:p>
        <w:p>
          <w:pPr>
            <w:pStyle w:val="Contents4"/>
            <w:tabs>
              <w:tab w:val="clear" w:pos="8176"/>
              <w:tab w:val="right" w:pos="9026" w:leader="dot"/>
            </w:tabs>
            <w:rPr/>
          </w:pPr>
          <w:hyperlink w:anchor="__RefHeading___Toc3809519_1067777946">
            <w:r>
              <w:rPr>
                <w:webHidden/>
                <w:rStyle w:val="IndexLink"/>
                <w:rtl w:val="true"/>
              </w:rPr>
              <w:t xml:space="preserve">مراد از </w:t>
            </w:r>
            <w:r>
              <w:rPr>
                <w:rStyle w:val="IndexLink"/>
                <w:rtl w:val="true"/>
              </w:rPr>
              <w:t>«</w:t>
            </w:r>
            <w:r>
              <w:rPr>
                <w:rStyle w:val="IndexLink"/>
                <w:rtl w:val="true"/>
              </w:rPr>
              <w:t>ماه</w:t>
            </w:r>
            <w:r>
              <w:rPr>
                <w:rStyle w:val="IndexLink"/>
                <w:rtl w:val="true"/>
              </w:rPr>
              <w:t>»</w:t>
              <w:tab/>
            </w:r>
            <w:r>
              <w:rPr>
                <w:rStyle w:val="IndexLink"/>
              </w:rPr>
              <w:t>523</w:t>
            </w:r>
          </w:hyperlink>
        </w:p>
        <w:p>
          <w:pPr>
            <w:pStyle w:val="Contents4"/>
            <w:tabs>
              <w:tab w:val="clear" w:pos="8176"/>
              <w:tab w:val="right" w:pos="9026" w:leader="dot"/>
            </w:tabs>
            <w:rPr/>
          </w:pPr>
          <w:hyperlink w:anchor="__RefHeading___Toc3809521_1067777946">
            <w:r>
              <w:rPr>
                <w:webHidden/>
                <w:rStyle w:val="IndexLink"/>
                <w:rtl w:val="true"/>
              </w:rPr>
              <w:t>نذر صوم سال و مسأله ماه رمضان و عيدين</w:t>
            </w:r>
            <w:r>
              <w:rPr>
                <w:rStyle w:val="IndexLink"/>
                <w:rtl w:val="true"/>
              </w:rPr>
              <w:tab/>
            </w:r>
            <w:r>
              <w:rPr>
                <w:rStyle w:val="IndexLink"/>
              </w:rPr>
              <w:t>524</w:t>
            </w:r>
          </w:hyperlink>
        </w:p>
        <w:p>
          <w:pPr>
            <w:pStyle w:val="Contents4"/>
            <w:tabs>
              <w:tab w:val="clear" w:pos="8176"/>
              <w:tab w:val="right" w:pos="9026" w:leader="dot"/>
            </w:tabs>
            <w:rPr/>
          </w:pPr>
          <w:hyperlink w:anchor="__RefHeading___Toc3809523_1067777946">
            <w:r>
              <w:rPr>
                <w:webHidden/>
                <w:rStyle w:val="IndexLink"/>
                <w:rtl w:val="true"/>
              </w:rPr>
              <w:t>مسافرت در نذر روزۀ يك سال</w:t>
            </w:r>
            <w:r>
              <w:rPr>
                <w:rStyle w:val="IndexLink"/>
                <w:rtl w:val="true"/>
              </w:rPr>
              <w:tab/>
            </w:r>
            <w:r>
              <w:rPr>
                <w:rStyle w:val="IndexLink"/>
              </w:rPr>
              <w:t>524</w:t>
            </w:r>
          </w:hyperlink>
        </w:p>
        <w:p>
          <w:pPr>
            <w:pStyle w:val="Contents4"/>
            <w:tabs>
              <w:tab w:val="clear" w:pos="8176"/>
              <w:tab w:val="right" w:pos="9026" w:leader="dot"/>
            </w:tabs>
            <w:rPr/>
          </w:pPr>
          <w:hyperlink w:anchor="__RefHeading___Toc3809525_1067777946">
            <w:r>
              <w:rPr>
                <w:webHidden/>
                <w:rStyle w:val="IndexLink"/>
                <w:rtl w:val="true"/>
              </w:rPr>
              <w:t>نذر صوم يك ماه پى درپى</w:t>
            </w:r>
            <w:r>
              <w:rPr>
                <w:rStyle w:val="IndexLink"/>
                <w:rtl w:val="true"/>
              </w:rPr>
              <w:tab/>
            </w:r>
            <w:r>
              <w:rPr>
                <w:rStyle w:val="IndexLink"/>
              </w:rPr>
              <w:t>525</w:t>
            </w:r>
          </w:hyperlink>
        </w:p>
        <w:p>
          <w:pPr>
            <w:pStyle w:val="Contents4"/>
            <w:tabs>
              <w:tab w:val="clear" w:pos="8176"/>
              <w:tab w:val="right" w:pos="9026" w:leader="dot"/>
            </w:tabs>
            <w:rPr/>
          </w:pPr>
          <w:hyperlink w:anchor="__RefHeading___Toc3809527_1067777946">
            <w:r>
              <w:rPr>
                <w:webHidden/>
                <w:rStyle w:val="IndexLink"/>
                <w:rtl w:val="true"/>
              </w:rPr>
              <w:t>اعتبار تعين با قصد يا قرينه در فروع نذر</w:t>
            </w:r>
            <w:r>
              <w:rPr>
                <w:rStyle w:val="IndexLink"/>
                <w:rtl w:val="true"/>
              </w:rPr>
              <w:tab/>
            </w:r>
            <w:r>
              <w:rPr>
                <w:rStyle w:val="IndexLink"/>
              </w:rPr>
              <w:t>525</w:t>
            </w:r>
          </w:hyperlink>
        </w:p>
        <w:p>
          <w:pPr>
            <w:pStyle w:val="Contents4"/>
            <w:tabs>
              <w:tab w:val="clear" w:pos="8176"/>
              <w:tab w:val="right" w:pos="9026" w:leader="dot"/>
            </w:tabs>
            <w:rPr/>
          </w:pPr>
          <w:hyperlink w:anchor="__RefHeading___Toc3809529_1067777946">
            <w:r>
              <w:rPr>
                <w:webHidden/>
                <w:rStyle w:val="IndexLink"/>
                <w:rtl w:val="true"/>
              </w:rPr>
              <w:t>نذر روزۀ واجب</w:t>
            </w:r>
            <w:r>
              <w:rPr>
                <w:rStyle w:val="IndexLink"/>
                <w:rtl w:val="true"/>
              </w:rPr>
              <w:tab/>
            </w:r>
            <w:r>
              <w:rPr>
                <w:rStyle w:val="IndexLink"/>
              </w:rPr>
              <w:t>525</w:t>
            </w:r>
          </w:hyperlink>
        </w:p>
        <w:p>
          <w:pPr>
            <w:pStyle w:val="Contents4"/>
            <w:tabs>
              <w:tab w:val="clear" w:pos="8176"/>
              <w:tab w:val="right" w:pos="9026" w:leader="dot"/>
            </w:tabs>
            <w:rPr/>
          </w:pPr>
          <w:hyperlink w:anchor="__RefHeading___Toc3809531_1067777946">
            <w:r>
              <w:rPr>
                <w:webHidden/>
                <w:rStyle w:val="IndexLink"/>
                <w:rtl w:val="true"/>
              </w:rPr>
              <w:t>نذر معصيت</w:t>
            </w:r>
            <w:r>
              <w:rPr>
                <w:rStyle w:val="IndexLink"/>
                <w:rtl w:val="true"/>
              </w:rPr>
              <w:tab/>
            </w:r>
            <w:r>
              <w:rPr>
                <w:rStyle w:val="IndexLink"/>
              </w:rPr>
              <w:t>526</w:t>
            </w:r>
          </w:hyperlink>
        </w:p>
        <w:p>
          <w:pPr>
            <w:pStyle w:val="Contents4"/>
            <w:tabs>
              <w:tab w:val="clear" w:pos="8176"/>
              <w:tab w:val="right" w:pos="9026" w:leader="dot"/>
            </w:tabs>
            <w:rPr/>
          </w:pPr>
          <w:hyperlink w:anchor="__RefHeading___Toc3809533_1067777946">
            <w:r>
              <w:rPr>
                <w:webHidden/>
                <w:rStyle w:val="IndexLink"/>
                <w:rtl w:val="true"/>
              </w:rPr>
              <w:t>عجز از اداء نذر</w:t>
            </w:r>
            <w:r>
              <w:rPr>
                <w:rStyle w:val="IndexLink"/>
                <w:rtl w:val="true"/>
              </w:rPr>
              <w:tab/>
            </w:r>
            <w:r>
              <w:rPr>
                <w:rStyle w:val="IndexLink"/>
              </w:rPr>
              <w:t>526</w:t>
            </w:r>
          </w:hyperlink>
        </w:p>
        <w:p>
          <w:pPr>
            <w:pStyle w:val="Contents3"/>
            <w:tabs>
              <w:tab w:val="clear" w:pos="8459"/>
              <w:tab w:val="right" w:pos="9026" w:leader="dot"/>
            </w:tabs>
            <w:rPr/>
          </w:pPr>
          <w:hyperlink w:anchor="__RefHeading___Toc3809535_1067777946">
            <w:r>
              <w:rPr>
                <w:webHidden/>
                <w:rStyle w:val="IndexLink"/>
                <w:rtl w:val="true"/>
              </w:rPr>
              <w:t>فصل چهارم احكام عهد</w:t>
            </w:r>
            <w:r>
              <w:rPr>
                <w:rStyle w:val="IndexLink"/>
                <w:rtl w:val="true"/>
              </w:rPr>
              <w:tab/>
            </w:r>
            <w:r>
              <w:rPr>
                <w:rStyle w:val="IndexLink"/>
              </w:rPr>
              <w:t>527</w:t>
            </w:r>
          </w:hyperlink>
        </w:p>
        <w:p>
          <w:pPr>
            <w:pStyle w:val="Contents4"/>
            <w:tabs>
              <w:tab w:val="clear" w:pos="8176"/>
              <w:tab w:val="right" w:pos="9026" w:leader="dot"/>
            </w:tabs>
            <w:rPr/>
          </w:pPr>
          <w:hyperlink w:anchor="__RefHeading___Toc3809537_1067777946">
            <w:r>
              <w:rPr>
                <w:webHidden/>
                <w:rStyle w:val="IndexLink"/>
                <w:rtl w:val="true"/>
              </w:rPr>
              <w:t>صيغه و شرايط عهد</w:t>
            </w:r>
            <w:r>
              <w:rPr>
                <w:rStyle w:val="IndexLink"/>
                <w:rtl w:val="true"/>
              </w:rPr>
              <w:tab/>
            </w:r>
            <w:r>
              <w:rPr>
                <w:rStyle w:val="IndexLink"/>
              </w:rPr>
              <w:t>527</w:t>
            </w:r>
          </w:hyperlink>
        </w:p>
        <w:p>
          <w:pPr>
            <w:pStyle w:val="Contents4"/>
            <w:tabs>
              <w:tab w:val="clear" w:pos="8176"/>
              <w:tab w:val="right" w:pos="9026" w:leader="dot"/>
            </w:tabs>
            <w:rPr/>
          </w:pPr>
          <w:hyperlink w:anchor="__RefHeading___Toc3809539_1067777946">
            <w:r>
              <w:rPr>
                <w:webHidden/>
                <w:rStyle w:val="IndexLink"/>
                <w:rtl w:val="true"/>
              </w:rPr>
              <w:t>كفارۀ عهد</w:t>
            </w:r>
            <w:r>
              <w:rPr>
                <w:rStyle w:val="IndexLink"/>
                <w:rtl w:val="true"/>
              </w:rPr>
              <w:tab/>
            </w:r>
            <w:r>
              <w:rPr>
                <w:rStyle w:val="IndexLink"/>
              </w:rPr>
              <w:t>528</w:t>
            </w:r>
          </w:hyperlink>
        </w:p>
        <w:p>
          <w:pPr>
            <w:pStyle w:val="Contents4"/>
            <w:tabs>
              <w:tab w:val="clear" w:pos="8176"/>
              <w:tab w:val="right" w:pos="9026" w:leader="dot"/>
            </w:tabs>
            <w:rPr/>
          </w:pPr>
          <w:hyperlink w:anchor="__RefHeading___Toc3809541_1067777946">
            <w:r>
              <w:rPr>
                <w:webHidden/>
                <w:rStyle w:val="IndexLink"/>
                <w:rtl w:val="true"/>
              </w:rPr>
              <w:t>حكم عهد غير لفظى</w:t>
            </w:r>
            <w:r>
              <w:rPr>
                <w:rStyle w:val="IndexLink"/>
                <w:rtl w:val="true"/>
              </w:rPr>
              <w:tab/>
            </w:r>
            <w:r>
              <w:rPr>
                <w:rStyle w:val="IndexLink"/>
              </w:rPr>
              <w:t>528</w:t>
            </w:r>
          </w:hyperlink>
        </w:p>
        <w:p>
          <w:pPr>
            <w:pStyle w:val="Contents2"/>
            <w:tabs>
              <w:tab w:val="clear" w:pos="8743"/>
              <w:tab w:val="right" w:pos="9026" w:leader="dot"/>
            </w:tabs>
            <w:rPr/>
          </w:pPr>
          <w:hyperlink w:anchor="__RefHeading___Toc3809543_1067777946">
            <w:r>
              <w:rPr>
                <w:webHidden/>
                <w:rStyle w:val="IndexLink"/>
                <w:rtl w:val="true"/>
              </w:rPr>
              <w:t>كتاب صيد و ذباحه</w:t>
            </w:r>
            <w:r>
              <w:rPr>
                <w:rStyle w:val="IndexLink"/>
                <w:rtl w:val="true"/>
              </w:rPr>
              <w:tab/>
            </w:r>
            <w:r>
              <w:rPr>
                <w:rStyle w:val="IndexLink"/>
              </w:rPr>
              <w:t>530</w:t>
            </w:r>
          </w:hyperlink>
        </w:p>
        <w:p>
          <w:pPr>
            <w:pStyle w:val="Contents3"/>
            <w:tabs>
              <w:tab w:val="clear" w:pos="8459"/>
              <w:tab w:val="right" w:pos="9026" w:leader="dot"/>
            </w:tabs>
            <w:rPr/>
          </w:pPr>
          <w:hyperlink w:anchor="__RefHeading___Toc3809545_1067777946">
            <w:r>
              <w:rPr>
                <w:webHidden/>
                <w:rStyle w:val="IndexLink"/>
                <w:rtl w:val="true"/>
              </w:rPr>
              <w:t>اشاره</w:t>
            </w:r>
            <w:r>
              <w:rPr>
                <w:rStyle w:val="IndexLink"/>
                <w:rtl w:val="true"/>
              </w:rPr>
              <w:tab/>
            </w:r>
            <w:r>
              <w:rPr>
                <w:rStyle w:val="IndexLink"/>
              </w:rPr>
              <w:t>530</w:t>
            </w:r>
          </w:hyperlink>
        </w:p>
        <w:p>
          <w:pPr>
            <w:pStyle w:val="Contents3"/>
            <w:tabs>
              <w:tab w:val="clear" w:pos="8459"/>
              <w:tab w:val="right" w:pos="9026" w:leader="dot"/>
            </w:tabs>
            <w:rPr/>
          </w:pPr>
          <w:hyperlink w:anchor="__RefHeading___Toc3809547_1067777946">
            <w:r>
              <w:rPr>
                <w:webHidden/>
                <w:rStyle w:val="IndexLink"/>
                <w:rtl w:val="true"/>
              </w:rPr>
              <w:t>فصل اوّل آلات صيد</w:t>
            </w:r>
            <w:r>
              <w:rPr>
                <w:rStyle w:val="IndexLink"/>
                <w:rtl w:val="true"/>
              </w:rPr>
              <w:tab/>
            </w:r>
            <w:r>
              <w:rPr>
                <w:rStyle w:val="IndexLink"/>
              </w:rPr>
              <w:t>532</w:t>
            </w:r>
          </w:hyperlink>
        </w:p>
        <w:p>
          <w:pPr>
            <w:pStyle w:val="Contents4"/>
            <w:tabs>
              <w:tab w:val="clear" w:pos="8176"/>
              <w:tab w:val="right" w:pos="9026" w:leader="dot"/>
            </w:tabs>
            <w:rPr/>
          </w:pPr>
          <w:hyperlink w:anchor="__RefHeading___Toc3809549_1067777946">
            <w:r>
              <w:rPr>
                <w:webHidden/>
                <w:rStyle w:val="IndexLink"/>
                <w:rtl w:val="true"/>
              </w:rPr>
              <w:t>اشاره</w:t>
            </w:r>
            <w:r>
              <w:rPr>
                <w:rStyle w:val="IndexLink"/>
                <w:rtl w:val="true"/>
              </w:rPr>
              <w:tab/>
            </w:r>
            <w:r>
              <w:rPr>
                <w:rStyle w:val="IndexLink"/>
              </w:rPr>
              <w:t>532</w:t>
            </w:r>
          </w:hyperlink>
        </w:p>
        <w:p>
          <w:pPr>
            <w:pStyle w:val="Contents4"/>
            <w:tabs>
              <w:tab w:val="clear" w:pos="8176"/>
              <w:tab w:val="right" w:pos="9026" w:leader="dot"/>
            </w:tabs>
            <w:rPr/>
          </w:pPr>
          <w:hyperlink w:anchor="__RefHeading___Toc3809551_1067777946">
            <w:r>
              <w:rPr>
                <w:webHidden/>
                <w:rStyle w:val="IndexLink"/>
              </w:rPr>
              <w:t>1</w:t>
            </w:r>
            <w:r>
              <w:rPr>
                <w:rStyle w:val="IndexLink"/>
                <w:rtl w:val="true"/>
              </w:rPr>
              <w:t xml:space="preserve">. </w:t>
            </w:r>
            <w:r>
              <w:rPr>
                <w:rStyle w:val="IndexLink"/>
                <w:rtl w:val="true"/>
              </w:rPr>
              <w:t>اسلحۀ شكار</w:t>
            </w:r>
            <w:r>
              <w:rPr>
                <w:rStyle w:val="IndexLink"/>
                <w:rtl w:val="true"/>
              </w:rPr>
              <w:tab/>
            </w:r>
            <w:r>
              <w:rPr>
                <w:rStyle w:val="IndexLink"/>
              </w:rPr>
              <w:t>532</w:t>
            </w:r>
          </w:hyperlink>
        </w:p>
        <w:p>
          <w:pPr>
            <w:pStyle w:val="Contents5"/>
            <w:tabs>
              <w:tab w:val="clear" w:pos="7892"/>
              <w:tab w:val="right" w:pos="9026" w:leader="dot"/>
            </w:tabs>
            <w:rPr/>
          </w:pPr>
          <w:hyperlink w:anchor="__RefHeading___Toc3809553_1067777946">
            <w:r>
              <w:rPr>
                <w:webHidden/>
                <w:rStyle w:val="IndexLink"/>
                <w:rtl w:val="true"/>
              </w:rPr>
              <w:t>تيزى در اسلحه</w:t>
            </w:r>
            <w:r>
              <w:rPr>
                <w:rStyle w:val="IndexLink"/>
                <w:rtl w:val="true"/>
              </w:rPr>
              <w:tab/>
            </w:r>
            <w:r>
              <w:rPr>
                <w:rStyle w:val="IndexLink"/>
              </w:rPr>
              <w:t>532</w:t>
            </w:r>
          </w:hyperlink>
        </w:p>
        <w:p>
          <w:pPr>
            <w:pStyle w:val="Contents5"/>
            <w:tabs>
              <w:tab w:val="clear" w:pos="7892"/>
              <w:tab w:val="right" w:pos="9026" w:leader="dot"/>
            </w:tabs>
            <w:rPr/>
          </w:pPr>
          <w:hyperlink w:anchor="__RefHeading___Toc3809555_1067777946">
            <w:r>
              <w:rPr>
                <w:webHidden/>
                <w:rStyle w:val="IndexLink"/>
                <w:rtl w:val="true"/>
              </w:rPr>
              <w:t>اعتبار شكافندگى</w:t>
            </w:r>
            <w:r>
              <w:rPr>
                <w:rStyle w:val="IndexLink"/>
                <w:rtl w:val="true"/>
              </w:rPr>
              <w:tab/>
            </w:r>
            <w:r>
              <w:rPr>
                <w:rStyle w:val="IndexLink"/>
              </w:rPr>
              <w:t>532</w:t>
            </w:r>
          </w:hyperlink>
        </w:p>
        <w:p>
          <w:pPr>
            <w:pStyle w:val="Contents5"/>
            <w:tabs>
              <w:tab w:val="clear" w:pos="7892"/>
              <w:tab w:val="right" w:pos="9026" w:leader="dot"/>
            </w:tabs>
            <w:rPr/>
          </w:pPr>
          <w:hyperlink w:anchor="__RefHeading___Toc3809557_1067777946">
            <w:r>
              <w:rPr>
                <w:webHidden/>
                <w:rStyle w:val="IndexLink"/>
                <w:rtl w:val="true"/>
              </w:rPr>
              <w:t>تير و نيزه</w:t>
            </w:r>
            <w:r>
              <w:rPr>
                <w:rStyle w:val="IndexLink"/>
                <w:rtl w:val="true"/>
              </w:rPr>
              <w:tab/>
            </w:r>
            <w:r>
              <w:rPr>
                <w:rStyle w:val="IndexLink"/>
              </w:rPr>
              <w:t>533</w:t>
            </w:r>
          </w:hyperlink>
        </w:p>
        <w:p>
          <w:pPr>
            <w:pStyle w:val="Contents5"/>
            <w:tabs>
              <w:tab w:val="clear" w:pos="7892"/>
              <w:tab w:val="right" w:pos="9026" w:leader="dot"/>
            </w:tabs>
            <w:rPr/>
          </w:pPr>
          <w:hyperlink w:anchor="__RefHeading___Toc3809559_1067777946">
            <w:r>
              <w:rPr>
                <w:webHidden/>
                <w:rStyle w:val="IndexLink"/>
                <w:rtl w:val="true"/>
              </w:rPr>
              <w:t>اعتبار حديديت</w:t>
            </w:r>
            <w:r>
              <w:rPr>
                <w:rStyle w:val="IndexLink"/>
                <w:rtl w:val="true"/>
              </w:rPr>
              <w:tab/>
            </w:r>
            <w:r>
              <w:rPr>
                <w:rStyle w:val="IndexLink"/>
              </w:rPr>
              <w:t>533</w:t>
            </w:r>
          </w:hyperlink>
        </w:p>
        <w:p>
          <w:pPr>
            <w:pStyle w:val="Contents5"/>
            <w:tabs>
              <w:tab w:val="clear" w:pos="7892"/>
              <w:tab w:val="right" w:pos="9026" w:leader="dot"/>
            </w:tabs>
            <w:rPr/>
          </w:pPr>
          <w:hyperlink w:anchor="__RefHeading___Toc3809561_1067777946">
            <w:r>
              <w:rPr>
                <w:webHidden/>
                <w:rStyle w:val="IndexLink"/>
                <w:rtl w:val="true"/>
              </w:rPr>
              <w:t>تفنگ و بندقه و سنگ و ساچمه</w:t>
            </w:r>
            <w:r>
              <w:rPr>
                <w:rStyle w:val="IndexLink"/>
                <w:rtl w:val="true"/>
              </w:rPr>
              <w:tab/>
            </w:r>
            <w:r>
              <w:rPr>
                <w:rStyle w:val="IndexLink"/>
              </w:rPr>
              <w:t>533</w:t>
            </w:r>
          </w:hyperlink>
        </w:p>
        <w:p>
          <w:pPr>
            <w:pStyle w:val="Contents5"/>
            <w:tabs>
              <w:tab w:val="clear" w:pos="7892"/>
              <w:tab w:val="right" w:pos="9026" w:leader="dot"/>
            </w:tabs>
            <w:rPr/>
          </w:pPr>
          <w:hyperlink w:anchor="__RefHeading___Toc3809563_1067777946">
            <w:r>
              <w:rPr>
                <w:webHidden/>
                <w:rStyle w:val="IndexLink"/>
                <w:rtl w:val="true"/>
              </w:rPr>
              <w:t>عدم اعتبار وحدت آلت و وحدت صياد</w:t>
            </w:r>
            <w:r>
              <w:rPr>
                <w:rStyle w:val="IndexLink"/>
                <w:rtl w:val="true"/>
              </w:rPr>
              <w:tab/>
            </w:r>
            <w:r>
              <w:rPr>
                <w:rStyle w:val="IndexLink"/>
              </w:rPr>
              <w:t>534</w:t>
            </w:r>
          </w:hyperlink>
        </w:p>
        <w:p>
          <w:pPr>
            <w:pStyle w:val="Contents4"/>
            <w:tabs>
              <w:tab w:val="clear" w:pos="8176"/>
              <w:tab w:val="right" w:pos="9026" w:leader="dot"/>
            </w:tabs>
            <w:rPr/>
          </w:pPr>
          <w:hyperlink w:anchor="__RefHeading___Toc3809565_1067777946">
            <w:r>
              <w:rPr>
                <w:webHidden/>
                <w:rStyle w:val="IndexLink"/>
              </w:rPr>
              <w:t>2</w:t>
            </w:r>
            <w:r>
              <w:rPr>
                <w:rStyle w:val="IndexLink"/>
                <w:rtl w:val="true"/>
              </w:rPr>
              <w:t xml:space="preserve">. </w:t>
            </w:r>
            <w:r>
              <w:rPr>
                <w:rStyle w:val="IndexLink"/>
                <w:rtl w:val="true"/>
              </w:rPr>
              <w:t>معلَّم بودن سگ شكارى</w:t>
            </w:r>
            <w:r>
              <w:rPr>
                <w:rStyle w:val="IndexLink"/>
                <w:rtl w:val="true"/>
              </w:rPr>
              <w:tab/>
            </w:r>
            <w:r>
              <w:rPr>
                <w:rStyle w:val="IndexLink"/>
              </w:rPr>
              <w:t>534</w:t>
            </w:r>
          </w:hyperlink>
        </w:p>
        <w:p>
          <w:pPr>
            <w:pStyle w:val="Contents5"/>
            <w:tabs>
              <w:tab w:val="clear" w:pos="7892"/>
              <w:tab w:val="right" w:pos="9026" w:leader="dot"/>
            </w:tabs>
            <w:rPr/>
          </w:pPr>
          <w:hyperlink w:anchor="__RefHeading___Toc3809567_1067777946">
            <w:r>
              <w:rPr>
                <w:webHidden/>
                <w:rStyle w:val="IndexLink"/>
                <w:rtl w:val="true"/>
              </w:rPr>
              <w:t>اشاره</w:t>
            </w:r>
            <w:r>
              <w:rPr>
                <w:rStyle w:val="IndexLink"/>
                <w:rtl w:val="true"/>
              </w:rPr>
              <w:tab/>
            </w:r>
            <w:r>
              <w:rPr>
                <w:rStyle w:val="IndexLink"/>
              </w:rPr>
              <w:t>534</w:t>
            </w:r>
          </w:hyperlink>
        </w:p>
        <w:p>
          <w:pPr>
            <w:pStyle w:val="Contents5"/>
            <w:tabs>
              <w:tab w:val="clear" w:pos="7892"/>
              <w:tab w:val="right" w:pos="9026" w:leader="dot"/>
            </w:tabs>
            <w:rPr/>
          </w:pPr>
          <w:hyperlink w:anchor="__RefHeading___Toc3809569_1067777946">
            <w:r>
              <w:rPr>
                <w:webHidden/>
                <w:rStyle w:val="IndexLink"/>
                <w:rtl w:val="true"/>
              </w:rPr>
              <w:t>اعتبار عدم اكل توسط كلب معلّم</w:t>
            </w:r>
            <w:r>
              <w:rPr>
                <w:rStyle w:val="IndexLink"/>
                <w:rtl w:val="true"/>
              </w:rPr>
              <w:tab/>
            </w:r>
            <w:r>
              <w:rPr>
                <w:rStyle w:val="IndexLink"/>
              </w:rPr>
              <w:t>534</w:t>
            </w:r>
          </w:hyperlink>
        </w:p>
        <w:p>
          <w:pPr>
            <w:pStyle w:val="Contents5"/>
            <w:tabs>
              <w:tab w:val="clear" w:pos="7892"/>
              <w:tab w:val="right" w:pos="9026" w:leader="dot"/>
            </w:tabs>
            <w:rPr/>
          </w:pPr>
          <w:hyperlink w:anchor="__RefHeading___Toc3809571_1067777946">
            <w:r>
              <w:rPr>
                <w:webHidden/>
                <w:rStyle w:val="IndexLink"/>
                <w:rtl w:val="true"/>
              </w:rPr>
              <w:t>حدّ تعليم كلب معلّم</w:t>
            </w:r>
            <w:r>
              <w:rPr>
                <w:rStyle w:val="IndexLink"/>
                <w:rtl w:val="true"/>
              </w:rPr>
              <w:tab/>
            </w:r>
            <w:r>
              <w:rPr>
                <w:rStyle w:val="IndexLink"/>
              </w:rPr>
              <w:t>535</w:t>
            </w:r>
          </w:hyperlink>
        </w:p>
        <w:p>
          <w:pPr>
            <w:pStyle w:val="Contents3"/>
            <w:tabs>
              <w:tab w:val="clear" w:pos="8459"/>
              <w:tab w:val="right" w:pos="9026" w:leader="dot"/>
            </w:tabs>
            <w:rPr/>
          </w:pPr>
          <w:hyperlink w:anchor="__RefHeading___Toc3809573_1067777946">
            <w:r>
              <w:rPr>
                <w:webHidden/>
                <w:rStyle w:val="IndexLink"/>
                <w:rtl w:val="true"/>
              </w:rPr>
              <w:t>فصل دوّم شرايط شكاركننده</w:t>
            </w:r>
            <w:r>
              <w:rPr>
                <w:rStyle w:val="IndexLink"/>
                <w:rtl w:val="true"/>
              </w:rPr>
              <w:tab/>
            </w:r>
            <w:r>
              <w:rPr>
                <w:rStyle w:val="IndexLink"/>
              </w:rPr>
              <w:t>536</w:t>
            </w:r>
          </w:hyperlink>
        </w:p>
        <w:p>
          <w:pPr>
            <w:pStyle w:val="Contents4"/>
            <w:tabs>
              <w:tab w:val="clear" w:pos="8176"/>
              <w:tab w:val="right" w:pos="9026" w:leader="dot"/>
            </w:tabs>
            <w:rPr/>
          </w:pPr>
          <w:hyperlink w:anchor="__RefHeading___Toc3809575_1067777946">
            <w:r>
              <w:rPr>
                <w:webHidden/>
                <w:rStyle w:val="IndexLink"/>
                <w:rtl w:val="true"/>
              </w:rPr>
              <w:t>اعتبار اسلام و عقل و تميز</w:t>
            </w:r>
            <w:r>
              <w:rPr>
                <w:rStyle w:val="IndexLink"/>
                <w:rtl w:val="true"/>
              </w:rPr>
              <w:tab/>
            </w:r>
            <w:r>
              <w:rPr>
                <w:rStyle w:val="IndexLink"/>
              </w:rPr>
              <w:t>536</w:t>
            </w:r>
          </w:hyperlink>
        </w:p>
        <w:p>
          <w:pPr>
            <w:pStyle w:val="Contents4"/>
            <w:tabs>
              <w:tab w:val="clear" w:pos="8176"/>
              <w:tab w:val="right" w:pos="9026" w:leader="dot"/>
            </w:tabs>
            <w:rPr/>
          </w:pPr>
          <w:hyperlink w:anchor="__RefHeading___Toc3809577_1067777946">
            <w:r>
              <w:rPr>
                <w:webHidden/>
                <w:rStyle w:val="IndexLink"/>
                <w:rtl w:val="true"/>
              </w:rPr>
              <w:t>اعتبار ارسال كلب براى اصطياد نه براى غير آن</w:t>
            </w:r>
            <w:r>
              <w:rPr>
                <w:rStyle w:val="IndexLink"/>
                <w:rtl w:val="true"/>
              </w:rPr>
              <w:tab/>
            </w:r>
            <w:r>
              <w:rPr>
                <w:rStyle w:val="IndexLink"/>
              </w:rPr>
              <w:t>536</w:t>
            </w:r>
          </w:hyperlink>
        </w:p>
        <w:p>
          <w:pPr>
            <w:pStyle w:val="Contents4"/>
            <w:tabs>
              <w:tab w:val="clear" w:pos="8176"/>
              <w:tab w:val="right" w:pos="9026" w:leader="dot"/>
            </w:tabs>
            <w:rPr/>
          </w:pPr>
          <w:hyperlink w:anchor="__RefHeading___Toc3809579_1067777946">
            <w:r>
              <w:rPr>
                <w:webHidden/>
                <w:rStyle w:val="IndexLink"/>
                <w:rtl w:val="true"/>
              </w:rPr>
              <w:t>اعتبار تسميه، قبل از اصابت</w:t>
            </w:r>
            <w:r>
              <w:rPr>
                <w:rStyle w:val="IndexLink"/>
                <w:rtl w:val="true"/>
              </w:rPr>
              <w:tab/>
            </w:r>
            <w:r>
              <w:rPr>
                <w:rStyle w:val="IndexLink"/>
              </w:rPr>
              <w:t>537</w:t>
            </w:r>
          </w:hyperlink>
        </w:p>
        <w:p>
          <w:pPr>
            <w:pStyle w:val="Contents4"/>
            <w:tabs>
              <w:tab w:val="clear" w:pos="8176"/>
              <w:tab w:val="right" w:pos="9026" w:leader="dot"/>
            </w:tabs>
            <w:rPr/>
          </w:pPr>
          <w:hyperlink w:anchor="__RefHeading___Toc3809581_1067777946">
            <w:r>
              <w:rPr>
                <w:webHidden/>
                <w:rStyle w:val="IndexLink"/>
                <w:rtl w:val="true"/>
              </w:rPr>
              <w:t>شك در تسميه</w:t>
            </w:r>
            <w:r>
              <w:rPr>
                <w:rStyle w:val="IndexLink"/>
                <w:rtl w:val="true"/>
              </w:rPr>
              <w:tab/>
            </w:r>
            <w:r>
              <w:rPr>
                <w:rStyle w:val="IndexLink"/>
              </w:rPr>
              <w:t>538</w:t>
            </w:r>
          </w:hyperlink>
        </w:p>
        <w:p>
          <w:pPr>
            <w:pStyle w:val="Contents4"/>
            <w:tabs>
              <w:tab w:val="clear" w:pos="8176"/>
              <w:tab w:val="right" w:pos="9026" w:leader="dot"/>
            </w:tabs>
            <w:rPr/>
          </w:pPr>
          <w:hyperlink w:anchor="__RefHeading___Toc3809583_1067777946">
            <w:r>
              <w:rPr>
                <w:webHidden/>
                <w:rStyle w:val="IndexLink"/>
                <w:rtl w:val="true"/>
              </w:rPr>
              <w:t>حكم جاهل به حكم تسميه يا منكر آن</w:t>
            </w:r>
            <w:r>
              <w:rPr>
                <w:rStyle w:val="IndexLink"/>
                <w:rtl w:val="true"/>
              </w:rPr>
              <w:tab/>
            </w:r>
            <w:r>
              <w:rPr>
                <w:rStyle w:val="IndexLink"/>
              </w:rPr>
              <w:t>538</w:t>
            </w:r>
          </w:hyperlink>
        </w:p>
        <w:p>
          <w:pPr>
            <w:pStyle w:val="Contents4"/>
            <w:tabs>
              <w:tab w:val="clear" w:pos="8176"/>
              <w:tab w:val="right" w:pos="9026" w:leader="dot"/>
            </w:tabs>
            <w:rPr/>
          </w:pPr>
          <w:hyperlink w:anchor="__RefHeading___Toc3809585_1067777946">
            <w:r>
              <w:rPr>
                <w:webHidden/>
                <w:rStyle w:val="IndexLink"/>
                <w:rtl w:val="true"/>
              </w:rPr>
              <w:t>لزوم واجديّت شرائط همۀ اسباب صيد</w:t>
            </w:r>
            <w:r>
              <w:rPr>
                <w:rStyle w:val="IndexLink"/>
                <w:rtl w:val="true"/>
              </w:rPr>
              <w:tab/>
            </w:r>
            <w:r>
              <w:rPr>
                <w:rStyle w:val="IndexLink"/>
              </w:rPr>
              <w:t>538</w:t>
            </w:r>
          </w:hyperlink>
        </w:p>
        <w:p>
          <w:pPr>
            <w:pStyle w:val="Contents4"/>
            <w:tabs>
              <w:tab w:val="clear" w:pos="8176"/>
              <w:tab w:val="right" w:pos="9026" w:leader="dot"/>
            </w:tabs>
            <w:rPr/>
          </w:pPr>
          <w:hyperlink w:anchor="__RefHeading___Toc3809587_1067777946">
            <w:r>
              <w:rPr>
                <w:webHidden/>
                <w:rStyle w:val="IndexLink"/>
                <w:rtl w:val="true"/>
              </w:rPr>
              <w:t>اعتبار علم به استناد زهاق روح به سبب محلّل</w:t>
            </w:r>
            <w:r>
              <w:rPr>
                <w:rStyle w:val="IndexLink"/>
                <w:rtl w:val="true"/>
              </w:rPr>
              <w:tab/>
            </w:r>
            <w:r>
              <w:rPr>
                <w:rStyle w:val="IndexLink"/>
              </w:rPr>
              <w:t>538</w:t>
            </w:r>
          </w:hyperlink>
        </w:p>
        <w:p>
          <w:pPr>
            <w:pStyle w:val="Contents4"/>
            <w:tabs>
              <w:tab w:val="clear" w:pos="8176"/>
              <w:tab w:val="right" w:pos="9026" w:leader="dot"/>
            </w:tabs>
            <w:rPr/>
          </w:pPr>
          <w:hyperlink w:anchor="__RefHeading___Toc3809589_1067777946">
            <w:r>
              <w:rPr>
                <w:webHidden/>
                <w:rStyle w:val="IndexLink"/>
                <w:rtl w:val="true"/>
              </w:rPr>
              <w:t>عدم حليّت حيوان مقتول بدون مشخص بودن رامى</w:t>
            </w:r>
            <w:r>
              <w:rPr>
                <w:rStyle w:val="IndexLink"/>
                <w:rtl w:val="true"/>
              </w:rPr>
              <w:tab/>
            </w:r>
            <w:r>
              <w:rPr>
                <w:rStyle w:val="IndexLink"/>
              </w:rPr>
              <w:t>539</w:t>
            </w:r>
          </w:hyperlink>
        </w:p>
        <w:p>
          <w:pPr>
            <w:pStyle w:val="Contents4"/>
            <w:tabs>
              <w:tab w:val="clear" w:pos="8176"/>
              <w:tab w:val="right" w:pos="9026" w:leader="dot"/>
            </w:tabs>
            <w:rPr/>
          </w:pPr>
          <w:hyperlink w:anchor="__RefHeading___Toc3809591_1067777946">
            <w:r>
              <w:rPr>
                <w:webHidden/>
                <w:rStyle w:val="IndexLink"/>
                <w:rtl w:val="true"/>
              </w:rPr>
              <w:t>غيبت بعد از رمى</w:t>
            </w:r>
            <w:r>
              <w:rPr>
                <w:rStyle w:val="IndexLink"/>
                <w:rtl w:val="true"/>
              </w:rPr>
              <w:tab/>
            </w:r>
            <w:r>
              <w:rPr>
                <w:rStyle w:val="IndexLink"/>
              </w:rPr>
              <w:t>539</w:t>
            </w:r>
          </w:hyperlink>
        </w:p>
        <w:p>
          <w:pPr>
            <w:pStyle w:val="Contents4"/>
            <w:tabs>
              <w:tab w:val="clear" w:pos="8176"/>
              <w:tab w:val="right" w:pos="9026" w:leader="dot"/>
            </w:tabs>
            <w:rPr/>
          </w:pPr>
          <w:hyperlink w:anchor="__RefHeading___Toc3809593_1067777946">
            <w:r>
              <w:rPr>
                <w:webHidden/>
                <w:rStyle w:val="IndexLink"/>
                <w:rtl w:val="true"/>
              </w:rPr>
              <w:t>نگهدارى حيوان وحشى و ذبح آن</w:t>
            </w:r>
            <w:r>
              <w:rPr>
                <w:rStyle w:val="IndexLink"/>
                <w:rtl w:val="true"/>
              </w:rPr>
              <w:tab/>
            </w:r>
            <w:r>
              <w:rPr>
                <w:rStyle w:val="IndexLink"/>
              </w:rPr>
              <w:t>539</w:t>
            </w:r>
          </w:hyperlink>
        </w:p>
        <w:p>
          <w:pPr>
            <w:pStyle w:val="Contents4"/>
            <w:tabs>
              <w:tab w:val="clear" w:pos="8176"/>
              <w:tab w:val="right" w:pos="9026" w:leader="dot"/>
            </w:tabs>
            <w:rPr/>
          </w:pPr>
          <w:hyperlink w:anchor="__RefHeading___Toc3809595_1067777946">
            <w:r>
              <w:rPr>
                <w:webHidden/>
                <w:rStyle w:val="IndexLink"/>
                <w:rtl w:val="true"/>
              </w:rPr>
              <w:t>حكم عضو قطع شده از حيوان به سبب صيد</w:t>
            </w:r>
            <w:r>
              <w:rPr>
                <w:rStyle w:val="IndexLink"/>
                <w:rtl w:val="true"/>
              </w:rPr>
              <w:tab/>
            </w:r>
            <w:r>
              <w:rPr>
                <w:rStyle w:val="IndexLink"/>
              </w:rPr>
              <w:t>539</w:t>
            </w:r>
          </w:hyperlink>
        </w:p>
        <w:p>
          <w:pPr>
            <w:pStyle w:val="Contents3"/>
            <w:tabs>
              <w:tab w:val="clear" w:pos="8459"/>
              <w:tab w:val="right" w:pos="9026" w:leader="dot"/>
            </w:tabs>
            <w:rPr/>
          </w:pPr>
          <w:hyperlink w:anchor="__RefHeading___Toc3809597_1067777946">
            <w:r>
              <w:rPr>
                <w:webHidden/>
                <w:rStyle w:val="IndexLink"/>
                <w:rtl w:val="true"/>
              </w:rPr>
              <w:t>فصل سوّم احكام اصطياد</w:t>
            </w:r>
            <w:r>
              <w:rPr>
                <w:rStyle w:val="IndexLink"/>
                <w:rtl w:val="true"/>
              </w:rPr>
              <w:tab/>
            </w:r>
            <w:r>
              <w:rPr>
                <w:rStyle w:val="IndexLink"/>
              </w:rPr>
              <w:t>540</w:t>
            </w:r>
          </w:hyperlink>
        </w:p>
        <w:p>
          <w:pPr>
            <w:pStyle w:val="Contents4"/>
            <w:tabs>
              <w:tab w:val="clear" w:pos="8176"/>
              <w:tab w:val="right" w:pos="9026" w:leader="dot"/>
            </w:tabs>
            <w:rPr/>
          </w:pPr>
          <w:hyperlink w:anchor="__RefHeading___Toc3809599_1067777946">
            <w:r>
              <w:rPr>
                <w:webHidden/>
                <w:rStyle w:val="IndexLink"/>
                <w:rtl w:val="true"/>
              </w:rPr>
              <w:t>اجتماع سبب محلّل و غير آن در صيد</w:t>
            </w:r>
            <w:r>
              <w:rPr>
                <w:rStyle w:val="IndexLink"/>
                <w:rtl w:val="true"/>
              </w:rPr>
              <w:tab/>
            </w:r>
            <w:r>
              <w:rPr>
                <w:rStyle w:val="IndexLink"/>
              </w:rPr>
              <w:t>540</w:t>
            </w:r>
          </w:hyperlink>
        </w:p>
        <w:p>
          <w:pPr>
            <w:pStyle w:val="Contents4"/>
            <w:tabs>
              <w:tab w:val="clear" w:pos="8176"/>
              <w:tab w:val="right" w:pos="9026" w:leader="dot"/>
            </w:tabs>
            <w:rPr/>
          </w:pPr>
          <w:hyperlink w:anchor="__RefHeading___Toc3809601_1067777946">
            <w:r>
              <w:rPr>
                <w:webHidden/>
                <w:rStyle w:val="IndexLink"/>
                <w:rtl w:val="true"/>
              </w:rPr>
              <w:t>بعض انحاى استناد به رامى</w:t>
            </w:r>
            <w:r>
              <w:rPr>
                <w:rStyle w:val="IndexLink"/>
                <w:rtl w:val="true"/>
              </w:rPr>
              <w:tab/>
            </w:r>
            <w:r>
              <w:rPr>
                <w:rStyle w:val="IndexLink"/>
              </w:rPr>
              <w:t>540</w:t>
            </w:r>
          </w:hyperlink>
        </w:p>
        <w:p>
          <w:pPr>
            <w:pStyle w:val="Contents4"/>
            <w:tabs>
              <w:tab w:val="clear" w:pos="8176"/>
              <w:tab w:val="right" w:pos="9026" w:leader="dot"/>
            </w:tabs>
            <w:rPr/>
          </w:pPr>
          <w:hyperlink w:anchor="__RefHeading___Toc3809603_1067777946">
            <w:r>
              <w:rPr>
                <w:webHidden/>
                <w:rStyle w:val="IndexLink"/>
                <w:rtl w:val="true"/>
              </w:rPr>
              <w:t>اعتبار اسلام در مرسل، نه در معلِّم</w:t>
            </w:r>
            <w:r>
              <w:rPr>
                <w:rStyle w:val="IndexLink"/>
                <w:rtl w:val="true"/>
              </w:rPr>
              <w:tab/>
            </w:r>
            <w:r>
              <w:rPr>
                <w:rStyle w:val="IndexLink"/>
              </w:rPr>
              <w:t>541</w:t>
            </w:r>
          </w:hyperlink>
        </w:p>
        <w:p>
          <w:pPr>
            <w:pStyle w:val="Contents4"/>
            <w:tabs>
              <w:tab w:val="clear" w:pos="8176"/>
              <w:tab w:val="right" w:pos="9026" w:leader="dot"/>
            </w:tabs>
            <w:rPr/>
          </w:pPr>
          <w:hyperlink w:anchor="__RefHeading___Toc3809605_1067777946">
            <w:r>
              <w:rPr>
                <w:webHidden/>
                <w:rStyle w:val="IndexLink"/>
                <w:rtl w:val="true"/>
              </w:rPr>
              <w:t>اعتبار و عدم اعتبار تعيين در صيد و اعتبار اختياريّت</w:t>
            </w:r>
            <w:r>
              <w:rPr>
                <w:rStyle w:val="IndexLink"/>
                <w:rtl w:val="true"/>
              </w:rPr>
              <w:tab/>
            </w:r>
            <w:r>
              <w:rPr>
                <w:rStyle w:val="IndexLink"/>
              </w:rPr>
              <w:t>541</w:t>
            </w:r>
          </w:hyperlink>
        </w:p>
        <w:p>
          <w:pPr>
            <w:pStyle w:val="Contents4"/>
            <w:tabs>
              <w:tab w:val="clear" w:pos="8176"/>
              <w:tab w:val="right" w:pos="9026" w:leader="dot"/>
            </w:tabs>
            <w:rPr/>
          </w:pPr>
          <w:hyperlink w:anchor="__RefHeading___Toc3809607_1067777946">
            <w:r>
              <w:rPr>
                <w:webHidden/>
                <w:rStyle w:val="IndexLink"/>
                <w:rtl w:val="true"/>
              </w:rPr>
              <w:t>الحاق حيوان متعذر الذبح به وحشى</w:t>
            </w:r>
            <w:r>
              <w:rPr>
                <w:rStyle w:val="IndexLink"/>
                <w:rtl w:val="true"/>
              </w:rPr>
              <w:tab/>
            </w:r>
            <w:r>
              <w:rPr>
                <w:rStyle w:val="IndexLink"/>
              </w:rPr>
              <w:t>541</w:t>
            </w:r>
          </w:hyperlink>
        </w:p>
        <w:p>
          <w:pPr>
            <w:pStyle w:val="Contents4"/>
            <w:tabs>
              <w:tab w:val="clear" w:pos="8176"/>
              <w:tab w:val="right" w:pos="9026" w:leader="dot"/>
            </w:tabs>
            <w:rPr/>
          </w:pPr>
          <w:hyperlink w:anchor="__RefHeading___Toc3809609_1067777946">
            <w:r>
              <w:rPr>
                <w:webHidden/>
                <w:rStyle w:val="IndexLink"/>
                <w:rtl w:val="true"/>
              </w:rPr>
              <w:t>تقطيع صيد</w:t>
            </w:r>
            <w:r>
              <w:rPr>
                <w:rStyle w:val="IndexLink"/>
                <w:rtl w:val="true"/>
              </w:rPr>
              <w:tab/>
            </w:r>
            <w:r>
              <w:rPr>
                <w:rStyle w:val="IndexLink"/>
              </w:rPr>
              <w:t>542</w:t>
            </w:r>
          </w:hyperlink>
        </w:p>
        <w:p>
          <w:pPr>
            <w:pStyle w:val="Contents4"/>
            <w:tabs>
              <w:tab w:val="clear" w:pos="8176"/>
              <w:tab w:val="right" w:pos="9026" w:leader="dot"/>
            </w:tabs>
            <w:rPr/>
          </w:pPr>
          <w:hyperlink w:anchor="__RefHeading___Toc3809611_1067777946">
            <w:r>
              <w:rPr>
                <w:webHidden/>
                <w:rStyle w:val="IndexLink"/>
                <w:rtl w:val="true"/>
              </w:rPr>
              <w:t>اعتبار استقلال در سبب محلّل</w:t>
            </w:r>
            <w:r>
              <w:rPr>
                <w:rStyle w:val="IndexLink"/>
                <w:rtl w:val="true"/>
              </w:rPr>
              <w:tab/>
            </w:r>
            <w:r>
              <w:rPr>
                <w:rStyle w:val="IndexLink"/>
              </w:rPr>
              <w:t>543</w:t>
            </w:r>
          </w:hyperlink>
        </w:p>
        <w:p>
          <w:pPr>
            <w:pStyle w:val="Contents4"/>
            <w:tabs>
              <w:tab w:val="clear" w:pos="8176"/>
              <w:tab w:val="right" w:pos="9026" w:leader="dot"/>
            </w:tabs>
            <w:rPr/>
          </w:pPr>
          <w:hyperlink w:anchor="__RefHeading___Toc3809613_1067777946">
            <w:r>
              <w:rPr>
                <w:webHidden/>
                <w:rStyle w:val="IndexLink"/>
                <w:rtl w:val="true"/>
              </w:rPr>
              <w:t>تقطيع حيوان و حيات داشتن ما بقى</w:t>
            </w:r>
            <w:r>
              <w:rPr>
                <w:rStyle w:val="IndexLink"/>
                <w:rtl w:val="true"/>
              </w:rPr>
              <w:tab/>
            </w:r>
            <w:r>
              <w:rPr>
                <w:rStyle w:val="IndexLink"/>
              </w:rPr>
              <w:t>543</w:t>
            </w:r>
          </w:hyperlink>
        </w:p>
        <w:p>
          <w:pPr>
            <w:pStyle w:val="Contents4"/>
            <w:tabs>
              <w:tab w:val="clear" w:pos="8176"/>
              <w:tab w:val="right" w:pos="9026" w:leader="dot"/>
            </w:tabs>
            <w:rPr/>
          </w:pPr>
          <w:hyperlink w:anchor="__RefHeading___Toc3809615_1067777946">
            <w:r>
              <w:rPr>
                <w:webHidden/>
                <w:rStyle w:val="IndexLink"/>
                <w:rtl w:val="true"/>
              </w:rPr>
              <w:t>تنصيف حيوان</w:t>
            </w:r>
            <w:r>
              <w:rPr>
                <w:rStyle w:val="IndexLink"/>
                <w:rtl w:val="true"/>
              </w:rPr>
              <w:tab/>
            </w:r>
            <w:r>
              <w:rPr>
                <w:rStyle w:val="IndexLink"/>
              </w:rPr>
              <w:t>543</w:t>
            </w:r>
          </w:hyperlink>
        </w:p>
        <w:p>
          <w:pPr>
            <w:pStyle w:val="Contents4"/>
            <w:tabs>
              <w:tab w:val="clear" w:pos="8176"/>
              <w:tab w:val="right" w:pos="9026" w:leader="dot"/>
            </w:tabs>
            <w:rPr/>
          </w:pPr>
          <w:hyperlink w:anchor="__RefHeading___Toc3809617_1067777946">
            <w:r>
              <w:rPr>
                <w:webHidden/>
                <w:rStyle w:val="IndexLink"/>
                <w:rtl w:val="true"/>
              </w:rPr>
              <w:t>حكم مقطوع از حيوان توسط كلب يا رمى</w:t>
            </w:r>
            <w:r>
              <w:rPr>
                <w:rStyle w:val="IndexLink"/>
                <w:rtl w:val="true"/>
              </w:rPr>
              <w:tab/>
            </w:r>
            <w:r>
              <w:rPr>
                <w:rStyle w:val="IndexLink"/>
              </w:rPr>
              <w:t>544</w:t>
            </w:r>
          </w:hyperlink>
        </w:p>
        <w:p>
          <w:pPr>
            <w:pStyle w:val="Contents4"/>
            <w:tabs>
              <w:tab w:val="clear" w:pos="8176"/>
              <w:tab w:val="right" w:pos="9026" w:leader="dot"/>
            </w:tabs>
            <w:rPr/>
          </w:pPr>
          <w:hyperlink w:anchor="__RefHeading___Toc3809619_1067777946">
            <w:r>
              <w:rPr>
                <w:webHidden/>
                <w:rStyle w:val="IndexLink"/>
                <w:rtl w:val="true"/>
              </w:rPr>
              <w:t>عدم اضرار عصب آلت صيد يا خود مذبوح به تذكيه</w:t>
            </w:r>
            <w:r>
              <w:rPr>
                <w:rStyle w:val="IndexLink"/>
                <w:rtl w:val="true"/>
              </w:rPr>
              <w:tab/>
            </w:r>
            <w:r>
              <w:rPr>
                <w:rStyle w:val="IndexLink"/>
              </w:rPr>
              <w:t>544</w:t>
            </w:r>
          </w:hyperlink>
        </w:p>
        <w:p>
          <w:pPr>
            <w:pStyle w:val="Contents4"/>
            <w:tabs>
              <w:tab w:val="clear" w:pos="8176"/>
              <w:tab w:val="right" w:pos="9026" w:leader="dot"/>
            </w:tabs>
            <w:rPr/>
          </w:pPr>
          <w:hyperlink w:anchor="__RefHeading___Toc3809621_1067777946">
            <w:r>
              <w:rPr>
                <w:webHidden/>
                <w:rStyle w:val="IndexLink"/>
                <w:rtl w:val="true"/>
              </w:rPr>
              <w:t>نجس بودن موضع مسّ كلب از صيد</w:t>
            </w:r>
            <w:r>
              <w:rPr>
                <w:rStyle w:val="IndexLink"/>
                <w:rtl w:val="true"/>
              </w:rPr>
              <w:tab/>
            </w:r>
            <w:r>
              <w:rPr>
                <w:rStyle w:val="IndexLink"/>
              </w:rPr>
              <w:t>544</w:t>
            </w:r>
          </w:hyperlink>
        </w:p>
        <w:p>
          <w:pPr>
            <w:pStyle w:val="Contents4"/>
            <w:tabs>
              <w:tab w:val="clear" w:pos="8176"/>
              <w:tab w:val="right" w:pos="9026" w:leader="dot"/>
            </w:tabs>
            <w:rPr/>
          </w:pPr>
          <w:hyperlink w:anchor="__RefHeading___Toc3809623_1067777946">
            <w:r>
              <w:rPr>
                <w:webHidden/>
                <w:rStyle w:val="IndexLink"/>
                <w:rtl w:val="true"/>
              </w:rPr>
              <w:t>لزوم ذبح بعد از صيد در فرض امكان و وجود حيات مستقر</w:t>
            </w:r>
            <w:r>
              <w:rPr>
                <w:rStyle w:val="IndexLink"/>
                <w:rtl w:val="true"/>
              </w:rPr>
              <w:tab/>
            </w:r>
            <w:r>
              <w:rPr>
                <w:rStyle w:val="IndexLink"/>
              </w:rPr>
              <w:t>544</w:t>
            </w:r>
          </w:hyperlink>
        </w:p>
        <w:p>
          <w:pPr>
            <w:pStyle w:val="Contents4"/>
            <w:tabs>
              <w:tab w:val="clear" w:pos="8176"/>
              <w:tab w:val="right" w:pos="9026" w:leader="dot"/>
            </w:tabs>
            <w:rPr/>
          </w:pPr>
          <w:hyperlink w:anchor="__RefHeading___Toc3809625_1067777946">
            <w:r>
              <w:rPr>
                <w:webHidden/>
                <w:rStyle w:val="IndexLink"/>
                <w:rtl w:val="true"/>
              </w:rPr>
              <w:t>اگر بعد از وصول آلت ذبح نداشت</w:t>
            </w:r>
            <w:r>
              <w:rPr>
                <w:rStyle w:val="IndexLink"/>
                <w:rtl w:val="true"/>
              </w:rPr>
              <w:tab/>
            </w:r>
            <w:r>
              <w:rPr>
                <w:rStyle w:val="IndexLink"/>
              </w:rPr>
              <w:t>545</w:t>
            </w:r>
          </w:hyperlink>
        </w:p>
        <w:p>
          <w:pPr>
            <w:pStyle w:val="Contents4"/>
            <w:tabs>
              <w:tab w:val="clear" w:pos="8176"/>
              <w:tab w:val="right" w:pos="9026" w:leader="dot"/>
            </w:tabs>
            <w:rPr/>
          </w:pPr>
          <w:hyperlink w:anchor="__RefHeading___Toc3809627_1067777946">
            <w:r>
              <w:rPr>
                <w:webHidden/>
                <w:rStyle w:val="IndexLink"/>
                <w:rtl w:val="true"/>
              </w:rPr>
              <w:t>اگر زمان وسعت ذبح نداشته باشد</w:t>
            </w:r>
            <w:r>
              <w:rPr>
                <w:rStyle w:val="IndexLink"/>
                <w:rtl w:val="true"/>
              </w:rPr>
              <w:tab/>
            </w:r>
            <w:r>
              <w:rPr>
                <w:rStyle w:val="IndexLink"/>
              </w:rPr>
              <w:t>545</w:t>
            </w:r>
          </w:hyperlink>
        </w:p>
        <w:p>
          <w:pPr>
            <w:pStyle w:val="Contents4"/>
            <w:tabs>
              <w:tab w:val="clear" w:pos="8176"/>
              <w:tab w:val="right" w:pos="9026" w:leader="dot"/>
            </w:tabs>
            <w:rPr/>
          </w:pPr>
          <w:hyperlink w:anchor="__RefHeading___Toc3809629_1067777946">
            <w:r>
              <w:rPr>
                <w:webHidden/>
                <w:rStyle w:val="IndexLink"/>
                <w:rtl w:val="true"/>
              </w:rPr>
              <w:t>ترك ذبح</w:t>
            </w:r>
            <w:r>
              <w:rPr>
                <w:rStyle w:val="IndexLink"/>
                <w:rtl w:val="true"/>
              </w:rPr>
              <w:tab/>
            </w:r>
            <w:r>
              <w:rPr>
                <w:rStyle w:val="IndexLink"/>
              </w:rPr>
              <w:t>545</w:t>
            </w:r>
          </w:hyperlink>
        </w:p>
        <w:p>
          <w:pPr>
            <w:pStyle w:val="Contents4"/>
            <w:tabs>
              <w:tab w:val="clear" w:pos="8176"/>
              <w:tab w:val="right" w:pos="9026" w:leader="dot"/>
            </w:tabs>
            <w:rPr/>
          </w:pPr>
          <w:hyperlink w:anchor="__RefHeading___Toc3809631_1067777946">
            <w:r>
              <w:rPr>
                <w:webHidden/>
                <w:rStyle w:val="IndexLink"/>
                <w:rtl w:val="true"/>
              </w:rPr>
              <w:t>سببيت اصطياد براى مالكيت</w:t>
            </w:r>
            <w:r>
              <w:rPr>
                <w:rStyle w:val="IndexLink"/>
                <w:rtl w:val="true"/>
              </w:rPr>
              <w:tab/>
            </w:r>
            <w:r>
              <w:rPr>
                <w:rStyle w:val="IndexLink"/>
              </w:rPr>
              <w:t>546</w:t>
            </w:r>
          </w:hyperlink>
        </w:p>
        <w:p>
          <w:pPr>
            <w:pStyle w:val="Contents3"/>
            <w:tabs>
              <w:tab w:val="clear" w:pos="8459"/>
              <w:tab w:val="right" w:pos="9026" w:leader="dot"/>
            </w:tabs>
            <w:rPr/>
          </w:pPr>
          <w:hyperlink w:anchor="__RefHeading___Toc3809633_1067777946">
            <w:r>
              <w:rPr>
                <w:webHidden/>
                <w:rStyle w:val="IndexLink"/>
                <w:rtl w:val="true"/>
              </w:rPr>
              <w:t>فصل چهارم شرايط ذابح و وسيله ذبح</w:t>
            </w:r>
            <w:r>
              <w:rPr>
                <w:rStyle w:val="IndexLink"/>
                <w:rtl w:val="true"/>
              </w:rPr>
              <w:tab/>
            </w:r>
            <w:r>
              <w:rPr>
                <w:rStyle w:val="IndexLink"/>
              </w:rPr>
              <w:t>547</w:t>
            </w:r>
          </w:hyperlink>
        </w:p>
        <w:p>
          <w:pPr>
            <w:pStyle w:val="Contents4"/>
            <w:tabs>
              <w:tab w:val="clear" w:pos="8176"/>
              <w:tab w:val="right" w:pos="9026" w:leader="dot"/>
            </w:tabs>
            <w:rPr/>
          </w:pPr>
          <w:hyperlink w:anchor="__RefHeading___Toc3809635_1067777946">
            <w:r>
              <w:rPr>
                <w:webHidden/>
                <w:rStyle w:val="IndexLink"/>
              </w:rPr>
              <w:t>1</w:t>
            </w:r>
            <w:r>
              <w:rPr>
                <w:rStyle w:val="IndexLink"/>
                <w:rtl w:val="true"/>
              </w:rPr>
              <w:t xml:space="preserve">. </w:t>
            </w:r>
            <w:r>
              <w:rPr>
                <w:rStyle w:val="IndexLink"/>
                <w:rtl w:val="true"/>
              </w:rPr>
              <w:t>شرايط ذابح</w:t>
            </w:r>
            <w:r>
              <w:rPr>
                <w:rStyle w:val="IndexLink"/>
                <w:rtl w:val="true"/>
              </w:rPr>
              <w:tab/>
            </w:r>
            <w:r>
              <w:rPr>
                <w:rStyle w:val="IndexLink"/>
              </w:rPr>
              <w:t>547</w:t>
            </w:r>
          </w:hyperlink>
        </w:p>
        <w:p>
          <w:pPr>
            <w:pStyle w:val="Contents5"/>
            <w:tabs>
              <w:tab w:val="clear" w:pos="7892"/>
              <w:tab w:val="right" w:pos="9026" w:leader="dot"/>
            </w:tabs>
            <w:rPr/>
          </w:pPr>
          <w:hyperlink w:anchor="__RefHeading___Toc3809637_1067777946">
            <w:r>
              <w:rPr>
                <w:webHidden/>
                <w:rStyle w:val="IndexLink"/>
                <w:rtl w:val="true"/>
              </w:rPr>
              <w:t>اشتراط اسلام يا حكم آن</w:t>
            </w:r>
            <w:r>
              <w:rPr>
                <w:rStyle w:val="IndexLink"/>
                <w:rtl w:val="true"/>
              </w:rPr>
              <w:tab/>
            </w:r>
            <w:r>
              <w:rPr>
                <w:rStyle w:val="IndexLink"/>
              </w:rPr>
              <w:t>547</w:t>
            </w:r>
          </w:hyperlink>
        </w:p>
        <w:p>
          <w:pPr>
            <w:pStyle w:val="Contents5"/>
            <w:tabs>
              <w:tab w:val="clear" w:pos="7892"/>
              <w:tab w:val="right" w:pos="9026" w:leader="dot"/>
            </w:tabs>
            <w:rPr/>
          </w:pPr>
          <w:hyperlink w:anchor="__RefHeading___Toc3809639_1067777946">
            <w:r>
              <w:rPr>
                <w:webHidden/>
                <w:rStyle w:val="IndexLink"/>
                <w:rtl w:val="true"/>
              </w:rPr>
              <w:t>طهارت مولد</w:t>
            </w:r>
            <w:r>
              <w:rPr>
                <w:rStyle w:val="IndexLink"/>
                <w:rtl w:val="true"/>
              </w:rPr>
              <w:tab/>
            </w:r>
            <w:r>
              <w:rPr>
                <w:rStyle w:val="IndexLink"/>
              </w:rPr>
              <w:t>547</w:t>
            </w:r>
          </w:hyperlink>
        </w:p>
        <w:p>
          <w:pPr>
            <w:pStyle w:val="Contents5"/>
            <w:tabs>
              <w:tab w:val="clear" w:pos="7892"/>
              <w:tab w:val="right" w:pos="9026" w:leader="dot"/>
            </w:tabs>
            <w:rPr/>
          </w:pPr>
          <w:hyperlink w:anchor="__RefHeading___Toc3809641_1067777946">
            <w:r>
              <w:rPr>
                <w:webHidden/>
                <w:rStyle w:val="IndexLink"/>
                <w:rtl w:val="true"/>
              </w:rPr>
              <w:t>اعتبار قصد ذبح</w:t>
            </w:r>
            <w:r>
              <w:rPr>
                <w:rStyle w:val="IndexLink"/>
                <w:rtl w:val="true"/>
              </w:rPr>
              <w:tab/>
            </w:r>
            <w:r>
              <w:rPr>
                <w:rStyle w:val="IndexLink"/>
              </w:rPr>
              <w:t>548</w:t>
            </w:r>
          </w:hyperlink>
        </w:p>
        <w:p>
          <w:pPr>
            <w:pStyle w:val="Contents4"/>
            <w:tabs>
              <w:tab w:val="clear" w:pos="8176"/>
              <w:tab w:val="right" w:pos="9026" w:leader="dot"/>
            </w:tabs>
            <w:rPr/>
          </w:pPr>
          <w:hyperlink w:anchor="__RefHeading___Toc3809643_1067777946">
            <w:r>
              <w:rPr>
                <w:webHidden/>
                <w:rStyle w:val="IndexLink"/>
              </w:rPr>
              <w:t>2</w:t>
            </w:r>
            <w:r>
              <w:rPr>
                <w:rStyle w:val="IndexLink"/>
                <w:rtl w:val="true"/>
              </w:rPr>
              <w:t xml:space="preserve">. </w:t>
            </w:r>
            <w:r>
              <w:rPr>
                <w:rStyle w:val="IndexLink"/>
                <w:rtl w:val="true"/>
              </w:rPr>
              <w:t>آلت ذَبح و نحر</w:t>
            </w:r>
            <w:r>
              <w:rPr>
                <w:rStyle w:val="IndexLink"/>
                <w:rtl w:val="true"/>
              </w:rPr>
              <w:tab/>
            </w:r>
            <w:r>
              <w:rPr>
                <w:rStyle w:val="IndexLink"/>
              </w:rPr>
              <w:t>548</w:t>
            </w:r>
          </w:hyperlink>
        </w:p>
        <w:p>
          <w:pPr>
            <w:pStyle w:val="Contents5"/>
            <w:tabs>
              <w:tab w:val="clear" w:pos="7892"/>
              <w:tab w:val="right" w:pos="9026" w:leader="dot"/>
            </w:tabs>
            <w:rPr/>
          </w:pPr>
          <w:hyperlink w:anchor="__RefHeading___Toc3809645_1067777946">
            <w:r>
              <w:rPr>
                <w:webHidden/>
                <w:rStyle w:val="IndexLink"/>
                <w:rtl w:val="true"/>
              </w:rPr>
              <w:t>اعتبار حديد بودن آلت ذبح در حال اختيار</w:t>
            </w:r>
            <w:r>
              <w:rPr>
                <w:rStyle w:val="IndexLink"/>
                <w:rtl w:val="true"/>
              </w:rPr>
              <w:tab/>
            </w:r>
            <w:r>
              <w:rPr>
                <w:rStyle w:val="IndexLink"/>
              </w:rPr>
              <w:t>548</w:t>
            </w:r>
          </w:hyperlink>
        </w:p>
        <w:p>
          <w:pPr>
            <w:pStyle w:val="Contents5"/>
            <w:tabs>
              <w:tab w:val="clear" w:pos="7892"/>
              <w:tab w:val="right" w:pos="9026" w:leader="dot"/>
            </w:tabs>
            <w:rPr/>
          </w:pPr>
          <w:hyperlink w:anchor="__RefHeading___Toc3809647_1067777946">
            <w:r>
              <w:rPr>
                <w:webHidden/>
                <w:rStyle w:val="IndexLink"/>
                <w:rtl w:val="true"/>
              </w:rPr>
              <w:t>فرض نبود حديد با خوف فوت ذبيحه</w:t>
            </w:r>
            <w:r>
              <w:rPr>
                <w:rStyle w:val="IndexLink"/>
                <w:rtl w:val="true"/>
              </w:rPr>
              <w:tab/>
            </w:r>
            <w:r>
              <w:rPr>
                <w:rStyle w:val="IndexLink"/>
              </w:rPr>
              <w:t>548</w:t>
            </w:r>
          </w:hyperlink>
        </w:p>
        <w:p>
          <w:pPr>
            <w:pStyle w:val="Contents3"/>
            <w:tabs>
              <w:tab w:val="clear" w:pos="8459"/>
              <w:tab w:val="right" w:pos="9026" w:leader="dot"/>
            </w:tabs>
            <w:rPr/>
          </w:pPr>
          <w:hyperlink w:anchor="__RefHeading___Toc3809649_1067777946">
            <w:r>
              <w:rPr>
                <w:webHidden/>
                <w:rStyle w:val="IndexLink"/>
                <w:rtl w:val="true"/>
              </w:rPr>
              <w:t>فصل پنجم كيفيت و شرايط ذبح</w:t>
            </w:r>
            <w:r>
              <w:rPr>
                <w:rStyle w:val="IndexLink"/>
                <w:rtl w:val="true"/>
              </w:rPr>
              <w:tab/>
            </w:r>
            <w:r>
              <w:rPr>
                <w:rStyle w:val="IndexLink"/>
              </w:rPr>
              <w:t>549</w:t>
            </w:r>
          </w:hyperlink>
        </w:p>
        <w:p>
          <w:pPr>
            <w:pStyle w:val="Contents4"/>
            <w:tabs>
              <w:tab w:val="clear" w:pos="8176"/>
              <w:tab w:val="right" w:pos="9026" w:leader="dot"/>
            </w:tabs>
            <w:rPr/>
          </w:pPr>
          <w:hyperlink w:anchor="__RefHeading___Toc3809651_1067777946">
            <w:r>
              <w:rPr>
                <w:webHidden/>
                <w:rStyle w:val="IndexLink"/>
              </w:rPr>
              <w:t>1</w:t>
            </w:r>
            <w:r>
              <w:rPr>
                <w:rStyle w:val="IndexLink"/>
                <w:rtl w:val="true"/>
              </w:rPr>
              <w:t xml:space="preserve">. </w:t>
            </w:r>
            <w:r>
              <w:rPr>
                <w:rStyle w:val="IndexLink"/>
                <w:rtl w:val="true"/>
              </w:rPr>
              <w:t>كيفيّت ذَبح و نحر</w:t>
            </w:r>
            <w:r>
              <w:rPr>
                <w:rStyle w:val="IndexLink"/>
                <w:rtl w:val="true"/>
              </w:rPr>
              <w:tab/>
            </w:r>
            <w:r>
              <w:rPr>
                <w:rStyle w:val="IndexLink"/>
              </w:rPr>
              <w:t>549</w:t>
            </w:r>
          </w:hyperlink>
        </w:p>
        <w:p>
          <w:pPr>
            <w:pStyle w:val="Contents5"/>
            <w:tabs>
              <w:tab w:val="clear" w:pos="7892"/>
              <w:tab w:val="right" w:pos="9026" w:leader="dot"/>
            </w:tabs>
            <w:rPr/>
          </w:pPr>
          <w:hyperlink w:anchor="__RefHeading___Toc3809653_1067777946">
            <w:r>
              <w:rPr>
                <w:webHidden/>
                <w:rStyle w:val="IndexLink"/>
                <w:rtl w:val="true"/>
              </w:rPr>
              <w:t>قطع چهار رگ در ذبح</w:t>
            </w:r>
            <w:r>
              <w:rPr>
                <w:rStyle w:val="IndexLink"/>
                <w:rtl w:val="true"/>
              </w:rPr>
              <w:tab/>
            </w:r>
            <w:r>
              <w:rPr>
                <w:rStyle w:val="IndexLink"/>
              </w:rPr>
              <w:t>549</w:t>
            </w:r>
          </w:hyperlink>
        </w:p>
        <w:p>
          <w:pPr>
            <w:pStyle w:val="Contents5"/>
            <w:tabs>
              <w:tab w:val="clear" w:pos="7892"/>
              <w:tab w:val="right" w:pos="9026" w:leader="dot"/>
            </w:tabs>
            <w:rPr/>
          </w:pPr>
          <w:hyperlink w:anchor="__RefHeading___Toc3809655_1067777946">
            <w:r>
              <w:rPr>
                <w:webHidden/>
                <w:rStyle w:val="IndexLink"/>
                <w:rtl w:val="true"/>
              </w:rPr>
              <w:t>نحر</w:t>
            </w:r>
            <w:r>
              <w:rPr>
                <w:rStyle w:val="IndexLink"/>
                <w:rtl w:val="true"/>
              </w:rPr>
              <w:tab/>
            </w:r>
            <w:r>
              <w:rPr>
                <w:rStyle w:val="IndexLink"/>
              </w:rPr>
              <w:t>549</w:t>
            </w:r>
          </w:hyperlink>
        </w:p>
        <w:p>
          <w:pPr>
            <w:pStyle w:val="Contents4"/>
            <w:tabs>
              <w:tab w:val="clear" w:pos="8176"/>
              <w:tab w:val="right" w:pos="9026" w:leader="dot"/>
            </w:tabs>
            <w:rPr/>
          </w:pPr>
          <w:hyperlink w:anchor="__RefHeading___Toc3809657_1067777946">
            <w:r>
              <w:rPr>
                <w:webHidden/>
                <w:rStyle w:val="IndexLink"/>
              </w:rPr>
              <w:t>2</w:t>
            </w:r>
            <w:r>
              <w:rPr>
                <w:rStyle w:val="IndexLink"/>
                <w:rtl w:val="true"/>
              </w:rPr>
              <w:t xml:space="preserve">. </w:t>
            </w:r>
            <w:r>
              <w:rPr>
                <w:rStyle w:val="IndexLink"/>
                <w:rtl w:val="true"/>
              </w:rPr>
              <w:t>شرائط ذَبح</w:t>
            </w:r>
            <w:r>
              <w:rPr>
                <w:rStyle w:val="IndexLink"/>
                <w:rtl w:val="true"/>
              </w:rPr>
              <w:tab/>
            </w:r>
            <w:r>
              <w:rPr>
                <w:rStyle w:val="IndexLink"/>
              </w:rPr>
              <w:t>549</w:t>
            </w:r>
          </w:hyperlink>
        </w:p>
        <w:p>
          <w:pPr>
            <w:pStyle w:val="Contents5"/>
            <w:tabs>
              <w:tab w:val="clear" w:pos="7892"/>
              <w:tab w:val="right" w:pos="9026" w:leader="dot"/>
            </w:tabs>
            <w:rPr/>
          </w:pPr>
          <w:hyperlink w:anchor="__RefHeading___Toc3809659_1067777946">
            <w:r>
              <w:rPr>
                <w:webHidden/>
                <w:rStyle w:val="IndexLink"/>
                <w:rtl w:val="true"/>
              </w:rPr>
              <w:t>الف</w:t>
            </w:r>
            <w:r>
              <w:rPr>
                <w:rStyle w:val="IndexLink"/>
                <w:rtl w:val="true"/>
              </w:rPr>
              <w:t xml:space="preserve">. </w:t>
            </w:r>
            <w:r>
              <w:rPr>
                <w:rStyle w:val="IndexLink"/>
                <w:rtl w:val="true"/>
              </w:rPr>
              <w:t>اعتبار استقبال</w:t>
            </w:r>
            <w:r>
              <w:rPr>
                <w:rStyle w:val="IndexLink"/>
                <w:rtl w:val="true"/>
              </w:rPr>
              <w:tab/>
            </w:r>
            <w:r>
              <w:rPr>
                <w:rStyle w:val="IndexLink"/>
              </w:rPr>
              <w:t>549</w:t>
            </w:r>
          </w:hyperlink>
        </w:p>
        <w:p>
          <w:pPr>
            <w:pStyle w:val="Contents6"/>
            <w:tabs>
              <w:tab w:val="clear" w:pos="7609"/>
              <w:tab w:val="right" w:pos="9026" w:leader="dot"/>
            </w:tabs>
            <w:rPr/>
          </w:pPr>
          <w:hyperlink w:anchor="__RefHeading___Toc3809661_1067777946">
            <w:r>
              <w:rPr>
                <w:webHidden/>
                <w:rStyle w:val="IndexLink"/>
                <w:rtl w:val="true"/>
              </w:rPr>
              <w:t>اشاره</w:t>
            </w:r>
            <w:r>
              <w:rPr>
                <w:rStyle w:val="IndexLink"/>
                <w:rtl w:val="true"/>
              </w:rPr>
              <w:tab/>
            </w:r>
            <w:r>
              <w:rPr>
                <w:rStyle w:val="IndexLink"/>
              </w:rPr>
              <w:t>549</w:t>
            </w:r>
          </w:hyperlink>
        </w:p>
        <w:p>
          <w:pPr>
            <w:pStyle w:val="Contents6"/>
            <w:tabs>
              <w:tab w:val="clear" w:pos="7609"/>
              <w:tab w:val="right" w:pos="9026" w:leader="dot"/>
            </w:tabs>
            <w:rPr/>
          </w:pPr>
          <w:hyperlink w:anchor="__RefHeading___Toc3809663_1067777946">
            <w:r>
              <w:rPr>
                <w:webHidden/>
                <w:rStyle w:val="IndexLink"/>
                <w:rtl w:val="true"/>
              </w:rPr>
              <w:t>فراموشى يا جهل به قبله</w:t>
            </w:r>
            <w:r>
              <w:rPr>
                <w:rStyle w:val="IndexLink"/>
                <w:rtl w:val="true"/>
              </w:rPr>
              <w:tab/>
            </w:r>
            <w:r>
              <w:rPr>
                <w:rStyle w:val="IndexLink"/>
              </w:rPr>
              <w:t>550</w:t>
            </w:r>
          </w:hyperlink>
        </w:p>
        <w:p>
          <w:pPr>
            <w:pStyle w:val="Contents6"/>
            <w:tabs>
              <w:tab w:val="clear" w:pos="7609"/>
              <w:tab w:val="right" w:pos="9026" w:leader="dot"/>
            </w:tabs>
            <w:rPr/>
          </w:pPr>
          <w:hyperlink w:anchor="__RefHeading___Toc3809665_1067777946">
            <w:r>
              <w:rPr>
                <w:webHidden/>
                <w:rStyle w:val="IndexLink"/>
                <w:rtl w:val="true"/>
              </w:rPr>
              <w:t>نحوه استقبال</w:t>
            </w:r>
            <w:r>
              <w:rPr>
                <w:rStyle w:val="IndexLink"/>
                <w:rtl w:val="true"/>
              </w:rPr>
              <w:tab/>
            </w:r>
            <w:r>
              <w:rPr>
                <w:rStyle w:val="IndexLink"/>
              </w:rPr>
              <w:t>550</w:t>
            </w:r>
          </w:hyperlink>
        </w:p>
        <w:p>
          <w:pPr>
            <w:pStyle w:val="Contents6"/>
            <w:tabs>
              <w:tab w:val="clear" w:pos="7609"/>
              <w:tab w:val="right" w:pos="9026" w:leader="dot"/>
            </w:tabs>
            <w:rPr/>
          </w:pPr>
          <w:hyperlink w:anchor="__RefHeading___Toc3809667_1067777946">
            <w:r>
              <w:rPr>
                <w:webHidden/>
                <w:rStyle w:val="IndexLink"/>
                <w:rtl w:val="true"/>
              </w:rPr>
              <w:t>فرض سقوط استقبال</w:t>
            </w:r>
            <w:r>
              <w:rPr>
                <w:rStyle w:val="IndexLink"/>
                <w:rtl w:val="true"/>
              </w:rPr>
              <w:tab/>
            </w:r>
            <w:r>
              <w:rPr>
                <w:rStyle w:val="IndexLink"/>
              </w:rPr>
              <w:t>550</w:t>
            </w:r>
          </w:hyperlink>
        </w:p>
        <w:p>
          <w:pPr>
            <w:pStyle w:val="Contents5"/>
            <w:tabs>
              <w:tab w:val="clear" w:pos="7892"/>
              <w:tab w:val="right" w:pos="9026" w:leader="dot"/>
            </w:tabs>
            <w:rPr/>
          </w:pPr>
          <w:hyperlink w:anchor="__RefHeading___Toc3809669_1067777946">
            <w:r>
              <w:rPr>
                <w:webHidden/>
                <w:rStyle w:val="IndexLink"/>
                <w:rtl w:val="true"/>
              </w:rPr>
              <w:t>ب</w:t>
            </w:r>
            <w:r>
              <w:rPr>
                <w:rStyle w:val="IndexLink"/>
                <w:rtl w:val="true"/>
              </w:rPr>
              <w:t xml:space="preserve">. </w:t>
            </w:r>
            <w:r>
              <w:rPr>
                <w:rStyle w:val="IndexLink"/>
                <w:rtl w:val="true"/>
              </w:rPr>
              <w:t>اعتبار تسميه</w:t>
            </w:r>
            <w:r>
              <w:rPr>
                <w:rStyle w:val="IndexLink"/>
                <w:rtl w:val="true"/>
              </w:rPr>
              <w:tab/>
            </w:r>
            <w:r>
              <w:rPr>
                <w:rStyle w:val="IndexLink"/>
              </w:rPr>
              <w:t>550</w:t>
            </w:r>
          </w:hyperlink>
        </w:p>
        <w:p>
          <w:pPr>
            <w:pStyle w:val="Contents6"/>
            <w:tabs>
              <w:tab w:val="clear" w:pos="7609"/>
              <w:tab w:val="right" w:pos="9026" w:leader="dot"/>
            </w:tabs>
            <w:rPr/>
          </w:pPr>
          <w:hyperlink w:anchor="__RefHeading___Toc3809671_1067777946">
            <w:r>
              <w:rPr>
                <w:webHidden/>
                <w:rStyle w:val="IndexLink"/>
                <w:rtl w:val="true"/>
              </w:rPr>
              <w:t>اشاره</w:t>
            </w:r>
            <w:r>
              <w:rPr>
                <w:rStyle w:val="IndexLink"/>
                <w:rtl w:val="true"/>
              </w:rPr>
              <w:tab/>
            </w:r>
            <w:r>
              <w:rPr>
                <w:rStyle w:val="IndexLink"/>
              </w:rPr>
              <w:t>550</w:t>
            </w:r>
          </w:hyperlink>
        </w:p>
        <w:p>
          <w:pPr>
            <w:pStyle w:val="Contents6"/>
            <w:tabs>
              <w:tab w:val="clear" w:pos="7609"/>
              <w:tab w:val="right" w:pos="9026" w:leader="dot"/>
            </w:tabs>
            <w:rPr/>
          </w:pPr>
          <w:hyperlink w:anchor="__RefHeading___Toc3809673_1067777946">
            <w:r>
              <w:rPr>
                <w:webHidden/>
                <w:rStyle w:val="IndexLink"/>
                <w:rtl w:val="true"/>
              </w:rPr>
              <w:t>ترك تسميه</w:t>
            </w:r>
            <w:r>
              <w:rPr>
                <w:rStyle w:val="IndexLink"/>
                <w:rtl w:val="true"/>
              </w:rPr>
              <w:tab/>
            </w:r>
            <w:r>
              <w:rPr>
                <w:rStyle w:val="IndexLink"/>
              </w:rPr>
              <w:t>551</w:t>
            </w:r>
          </w:hyperlink>
        </w:p>
        <w:p>
          <w:pPr>
            <w:pStyle w:val="Contents6"/>
            <w:tabs>
              <w:tab w:val="clear" w:pos="7609"/>
              <w:tab w:val="right" w:pos="9026" w:leader="dot"/>
            </w:tabs>
            <w:rPr/>
          </w:pPr>
          <w:hyperlink w:anchor="__RefHeading___Toc3809675_1067777946">
            <w:r>
              <w:rPr>
                <w:webHidden/>
                <w:rStyle w:val="IndexLink"/>
                <w:rtl w:val="true"/>
              </w:rPr>
              <w:t>اعتبار قصد در تسميه</w:t>
            </w:r>
            <w:r>
              <w:rPr>
                <w:rStyle w:val="IndexLink"/>
                <w:rtl w:val="true"/>
              </w:rPr>
              <w:tab/>
            </w:r>
            <w:r>
              <w:rPr>
                <w:rStyle w:val="IndexLink"/>
              </w:rPr>
              <w:t>551</w:t>
            </w:r>
          </w:hyperlink>
        </w:p>
        <w:p>
          <w:pPr>
            <w:pStyle w:val="Contents6"/>
            <w:tabs>
              <w:tab w:val="clear" w:pos="7609"/>
              <w:tab w:val="right" w:pos="9026" w:leader="dot"/>
            </w:tabs>
            <w:rPr/>
          </w:pPr>
          <w:hyperlink w:anchor="__RefHeading___Toc3809677_1067777946">
            <w:r>
              <w:rPr>
                <w:webHidden/>
                <w:rStyle w:val="IndexLink"/>
                <w:rtl w:val="true"/>
              </w:rPr>
              <w:t>شرطيت ذكر خداى متعال به نحو اختصاص</w:t>
            </w:r>
            <w:r>
              <w:rPr>
                <w:rStyle w:val="IndexLink"/>
                <w:rtl w:val="true"/>
              </w:rPr>
              <w:tab/>
            </w:r>
            <w:r>
              <w:rPr>
                <w:rStyle w:val="IndexLink"/>
              </w:rPr>
              <w:t>551</w:t>
            </w:r>
          </w:hyperlink>
        </w:p>
        <w:p>
          <w:pPr>
            <w:pStyle w:val="Contents6"/>
            <w:tabs>
              <w:tab w:val="clear" w:pos="7609"/>
              <w:tab w:val="right" w:pos="9026" w:leader="dot"/>
            </w:tabs>
            <w:rPr/>
          </w:pPr>
          <w:hyperlink w:anchor="__RefHeading___Toc3809679_1067777946">
            <w:r>
              <w:rPr>
                <w:webHidden/>
                <w:rStyle w:val="IndexLink"/>
                <w:rtl w:val="true"/>
              </w:rPr>
              <w:t>اشاره اخرس</w:t>
            </w:r>
            <w:r>
              <w:rPr>
                <w:rStyle w:val="IndexLink"/>
                <w:rtl w:val="true"/>
              </w:rPr>
              <w:tab/>
            </w:r>
            <w:r>
              <w:rPr>
                <w:rStyle w:val="IndexLink"/>
              </w:rPr>
              <w:t>551</w:t>
            </w:r>
          </w:hyperlink>
        </w:p>
        <w:p>
          <w:pPr>
            <w:pStyle w:val="Contents6"/>
            <w:tabs>
              <w:tab w:val="clear" w:pos="7609"/>
              <w:tab w:val="right" w:pos="9026" w:leader="dot"/>
            </w:tabs>
            <w:rPr/>
          </w:pPr>
          <w:hyperlink w:anchor="__RefHeading___Toc3809681_1067777946">
            <w:r>
              <w:rPr>
                <w:webHidden/>
                <w:rStyle w:val="IndexLink"/>
                <w:rtl w:val="true"/>
              </w:rPr>
              <w:t>جواز وصفى تسميه به قصد عزيمت از جنب و حائض</w:t>
            </w:r>
            <w:r>
              <w:rPr>
                <w:rStyle w:val="IndexLink"/>
                <w:rtl w:val="true"/>
              </w:rPr>
              <w:tab/>
            </w:r>
            <w:r>
              <w:rPr>
                <w:rStyle w:val="IndexLink"/>
              </w:rPr>
              <w:t>551</w:t>
            </w:r>
          </w:hyperlink>
        </w:p>
        <w:p>
          <w:pPr>
            <w:pStyle w:val="Contents6"/>
            <w:tabs>
              <w:tab w:val="clear" w:pos="7609"/>
              <w:tab w:val="right" w:pos="9026" w:leader="dot"/>
            </w:tabs>
            <w:rPr/>
          </w:pPr>
          <w:hyperlink w:anchor="__RefHeading___Toc3809683_1067777946">
            <w:r>
              <w:rPr>
                <w:webHidden/>
                <w:rStyle w:val="IndexLink"/>
                <w:rtl w:val="true"/>
              </w:rPr>
              <w:t>اعتبار تسميۀ وكيل</w:t>
            </w:r>
            <w:r>
              <w:rPr>
                <w:rStyle w:val="IndexLink"/>
                <w:rtl w:val="true"/>
              </w:rPr>
              <w:tab/>
            </w:r>
            <w:r>
              <w:rPr>
                <w:rStyle w:val="IndexLink"/>
              </w:rPr>
              <w:t>552</w:t>
            </w:r>
          </w:hyperlink>
        </w:p>
        <w:p>
          <w:pPr>
            <w:pStyle w:val="Contents6"/>
            <w:tabs>
              <w:tab w:val="clear" w:pos="7609"/>
              <w:tab w:val="right" w:pos="9026" w:leader="dot"/>
            </w:tabs>
            <w:rPr/>
          </w:pPr>
          <w:hyperlink w:anchor="__RefHeading___Toc3809685_1067777946">
            <w:r>
              <w:rPr>
                <w:webHidden/>
                <w:rStyle w:val="IndexLink"/>
                <w:rtl w:val="true"/>
              </w:rPr>
              <w:t>مباشرت دو نفر در ذبح</w:t>
            </w:r>
            <w:r>
              <w:rPr>
                <w:rStyle w:val="IndexLink"/>
                <w:rtl w:val="true"/>
              </w:rPr>
              <w:tab/>
            </w:r>
            <w:r>
              <w:rPr>
                <w:rStyle w:val="IndexLink"/>
              </w:rPr>
              <w:t>552</w:t>
            </w:r>
          </w:hyperlink>
        </w:p>
        <w:p>
          <w:pPr>
            <w:pStyle w:val="Contents5"/>
            <w:tabs>
              <w:tab w:val="clear" w:pos="7892"/>
              <w:tab w:val="right" w:pos="9026" w:leader="dot"/>
            </w:tabs>
            <w:rPr/>
          </w:pPr>
          <w:hyperlink w:anchor="__RefHeading___Toc3809687_1067777946">
            <w:r>
              <w:rPr>
                <w:webHidden/>
                <w:rStyle w:val="IndexLink"/>
                <w:rtl w:val="true"/>
              </w:rPr>
              <w:t>ج</w:t>
            </w:r>
            <w:r>
              <w:rPr>
                <w:rStyle w:val="IndexLink"/>
                <w:rtl w:val="true"/>
              </w:rPr>
              <w:t xml:space="preserve">. </w:t>
            </w:r>
            <w:r>
              <w:rPr>
                <w:rStyle w:val="IndexLink"/>
                <w:rtl w:val="true"/>
              </w:rPr>
              <w:t>اختصاص شتر به نحر و غير شتر به ذبح</w:t>
            </w:r>
            <w:r>
              <w:rPr>
                <w:rStyle w:val="IndexLink"/>
                <w:rtl w:val="true"/>
              </w:rPr>
              <w:tab/>
            </w:r>
            <w:r>
              <w:rPr>
                <w:rStyle w:val="IndexLink"/>
              </w:rPr>
              <w:t>552</w:t>
            </w:r>
          </w:hyperlink>
        </w:p>
        <w:p>
          <w:pPr>
            <w:pStyle w:val="Contents6"/>
            <w:tabs>
              <w:tab w:val="clear" w:pos="7609"/>
              <w:tab w:val="right" w:pos="9026" w:leader="dot"/>
            </w:tabs>
            <w:rPr/>
          </w:pPr>
          <w:hyperlink w:anchor="__RefHeading___Toc3809689_1067777946">
            <w:r>
              <w:rPr>
                <w:webHidden/>
                <w:rStyle w:val="IndexLink"/>
                <w:rtl w:val="true"/>
              </w:rPr>
              <w:t>اشاره</w:t>
            </w:r>
            <w:r>
              <w:rPr>
                <w:rStyle w:val="IndexLink"/>
                <w:rtl w:val="true"/>
              </w:rPr>
              <w:tab/>
            </w:r>
            <w:r>
              <w:rPr>
                <w:rStyle w:val="IndexLink"/>
              </w:rPr>
              <w:t>552</w:t>
            </w:r>
          </w:hyperlink>
        </w:p>
        <w:p>
          <w:pPr>
            <w:pStyle w:val="Contents6"/>
            <w:tabs>
              <w:tab w:val="clear" w:pos="7609"/>
              <w:tab w:val="right" w:pos="9026" w:leader="dot"/>
            </w:tabs>
            <w:rPr/>
          </w:pPr>
          <w:hyperlink w:anchor="__RefHeading___Toc3809691_1067777946">
            <w:r>
              <w:rPr>
                <w:webHidden/>
                <w:rStyle w:val="IndexLink"/>
                <w:rtl w:val="true"/>
              </w:rPr>
              <w:t>جدا كردن سر قبل از زهاق روح</w:t>
            </w:r>
            <w:r>
              <w:rPr>
                <w:rStyle w:val="IndexLink"/>
                <w:rtl w:val="true"/>
              </w:rPr>
              <w:tab/>
            </w:r>
            <w:r>
              <w:rPr>
                <w:rStyle w:val="IndexLink"/>
              </w:rPr>
              <w:t>552</w:t>
            </w:r>
          </w:hyperlink>
        </w:p>
        <w:p>
          <w:pPr>
            <w:pStyle w:val="Contents6"/>
            <w:tabs>
              <w:tab w:val="clear" w:pos="7609"/>
              <w:tab w:val="right" w:pos="9026" w:leader="dot"/>
            </w:tabs>
            <w:rPr/>
          </w:pPr>
          <w:hyperlink w:anchor="__RefHeading___Toc3809693_1067777946">
            <w:r>
              <w:rPr>
                <w:webHidden/>
                <w:rStyle w:val="IndexLink"/>
                <w:rtl w:val="true"/>
              </w:rPr>
              <w:t>كراهت كندن پوست و قطع اعضا قبل از برودت</w:t>
            </w:r>
            <w:r>
              <w:rPr>
                <w:rStyle w:val="IndexLink"/>
                <w:rtl w:val="true"/>
              </w:rPr>
              <w:tab/>
            </w:r>
            <w:r>
              <w:rPr>
                <w:rStyle w:val="IndexLink"/>
              </w:rPr>
              <w:t>552</w:t>
            </w:r>
          </w:hyperlink>
        </w:p>
        <w:p>
          <w:pPr>
            <w:pStyle w:val="Contents6"/>
            <w:tabs>
              <w:tab w:val="clear" w:pos="7609"/>
              <w:tab w:val="right" w:pos="9026" w:leader="dot"/>
            </w:tabs>
            <w:rPr/>
          </w:pPr>
          <w:hyperlink w:anchor="__RefHeading___Toc3809695_1067777946">
            <w:r>
              <w:rPr>
                <w:webHidden/>
                <w:rStyle w:val="IndexLink"/>
                <w:rtl w:val="true"/>
              </w:rPr>
              <w:t>جواز معاملۀ ممتنع با طائر فرارى</w:t>
            </w:r>
            <w:r>
              <w:rPr>
                <w:rStyle w:val="IndexLink"/>
                <w:rtl w:val="true"/>
              </w:rPr>
              <w:tab/>
            </w:r>
            <w:r>
              <w:rPr>
                <w:rStyle w:val="IndexLink"/>
              </w:rPr>
              <w:t>553</w:t>
            </w:r>
          </w:hyperlink>
        </w:p>
        <w:p>
          <w:pPr>
            <w:pStyle w:val="Contents5"/>
            <w:tabs>
              <w:tab w:val="clear" w:pos="7892"/>
              <w:tab w:val="right" w:pos="9026" w:leader="dot"/>
            </w:tabs>
            <w:rPr/>
          </w:pPr>
          <w:hyperlink w:anchor="__RefHeading___Toc3809697_1067777946">
            <w:r>
              <w:rPr>
                <w:webHidden/>
                <w:rStyle w:val="IndexLink"/>
                <w:rtl w:val="true"/>
              </w:rPr>
              <w:t>د</w:t>
            </w:r>
            <w:r>
              <w:rPr>
                <w:rStyle w:val="IndexLink"/>
                <w:rtl w:val="true"/>
              </w:rPr>
              <w:t xml:space="preserve">. </w:t>
            </w:r>
            <w:r>
              <w:rPr>
                <w:rStyle w:val="IndexLink"/>
                <w:rtl w:val="true"/>
              </w:rPr>
              <w:t>لزوم استقرار حيات قبل از ذبح</w:t>
            </w:r>
            <w:r>
              <w:rPr>
                <w:rStyle w:val="IndexLink"/>
                <w:rtl w:val="true"/>
              </w:rPr>
              <w:tab/>
            </w:r>
            <w:r>
              <w:rPr>
                <w:rStyle w:val="IndexLink"/>
              </w:rPr>
              <w:t>553</w:t>
            </w:r>
          </w:hyperlink>
        </w:p>
        <w:p>
          <w:pPr>
            <w:pStyle w:val="Contents6"/>
            <w:tabs>
              <w:tab w:val="clear" w:pos="7609"/>
              <w:tab w:val="right" w:pos="9026" w:leader="dot"/>
            </w:tabs>
            <w:rPr/>
          </w:pPr>
          <w:hyperlink w:anchor="__RefHeading___Toc3809699_1067777946">
            <w:r>
              <w:rPr>
                <w:webHidden/>
                <w:rStyle w:val="IndexLink"/>
                <w:rtl w:val="true"/>
              </w:rPr>
              <w:t>اشاره</w:t>
            </w:r>
            <w:r>
              <w:rPr>
                <w:rStyle w:val="IndexLink"/>
                <w:rtl w:val="true"/>
              </w:rPr>
              <w:tab/>
            </w:r>
            <w:r>
              <w:rPr>
                <w:rStyle w:val="IndexLink"/>
              </w:rPr>
              <w:t>553</w:t>
            </w:r>
          </w:hyperlink>
        </w:p>
        <w:p>
          <w:pPr>
            <w:pStyle w:val="Contents6"/>
            <w:tabs>
              <w:tab w:val="clear" w:pos="7609"/>
              <w:tab w:val="right" w:pos="9026" w:leader="dot"/>
            </w:tabs>
            <w:rPr/>
          </w:pPr>
          <w:hyperlink w:anchor="__RefHeading___Toc3809701_1067777946">
            <w:r>
              <w:rPr>
                <w:webHidden/>
                <w:rStyle w:val="IndexLink"/>
                <w:rtl w:val="true"/>
              </w:rPr>
              <w:t>كفايت حركت</w:t>
            </w:r>
            <w:r>
              <w:rPr>
                <w:rStyle w:val="IndexLink"/>
                <w:rtl w:val="true"/>
              </w:rPr>
              <w:tab/>
            </w:r>
            <w:r>
              <w:rPr>
                <w:rStyle w:val="IndexLink"/>
              </w:rPr>
              <w:t>553</w:t>
            </w:r>
          </w:hyperlink>
        </w:p>
        <w:p>
          <w:pPr>
            <w:pStyle w:val="Contents3"/>
            <w:tabs>
              <w:tab w:val="clear" w:pos="8459"/>
              <w:tab w:val="right" w:pos="9026" w:leader="dot"/>
            </w:tabs>
            <w:rPr/>
          </w:pPr>
          <w:hyperlink w:anchor="__RefHeading___Toc3809703_1067777946">
            <w:r>
              <w:rPr>
                <w:webHidden/>
                <w:rStyle w:val="IndexLink"/>
                <w:rtl w:val="true"/>
              </w:rPr>
              <w:t>فصل ششم لواحق ذباحه و مسائلى از ذبح</w:t>
            </w:r>
            <w:r>
              <w:rPr>
                <w:rStyle w:val="IndexLink"/>
                <w:rtl w:val="true"/>
              </w:rPr>
              <w:tab/>
            </w:r>
            <w:r>
              <w:rPr>
                <w:rStyle w:val="IndexLink"/>
              </w:rPr>
              <w:t>554</w:t>
            </w:r>
          </w:hyperlink>
        </w:p>
        <w:p>
          <w:pPr>
            <w:pStyle w:val="Contents4"/>
            <w:tabs>
              <w:tab w:val="clear" w:pos="8176"/>
              <w:tab w:val="right" w:pos="9026" w:leader="dot"/>
            </w:tabs>
            <w:rPr/>
          </w:pPr>
          <w:hyperlink w:anchor="__RefHeading___Toc3809705_1067777946">
            <w:r>
              <w:rPr>
                <w:webHidden/>
                <w:rStyle w:val="IndexLink"/>
              </w:rPr>
              <w:t>1</w:t>
            </w:r>
            <w:r>
              <w:rPr>
                <w:rStyle w:val="IndexLink"/>
                <w:rtl w:val="true"/>
              </w:rPr>
              <w:t xml:space="preserve">. </w:t>
            </w:r>
            <w:r>
              <w:rPr>
                <w:rStyle w:val="IndexLink"/>
                <w:rtl w:val="true"/>
              </w:rPr>
              <w:t>لواحق ذباحه</w:t>
            </w:r>
            <w:r>
              <w:rPr>
                <w:rStyle w:val="IndexLink"/>
                <w:rtl w:val="true"/>
              </w:rPr>
              <w:tab/>
            </w:r>
            <w:r>
              <w:rPr>
                <w:rStyle w:val="IndexLink"/>
              </w:rPr>
              <w:t>554</w:t>
            </w:r>
          </w:hyperlink>
        </w:p>
        <w:p>
          <w:pPr>
            <w:pStyle w:val="Contents5"/>
            <w:tabs>
              <w:tab w:val="clear" w:pos="7892"/>
              <w:tab w:val="right" w:pos="9026" w:leader="dot"/>
            </w:tabs>
            <w:rPr/>
          </w:pPr>
          <w:hyperlink w:anchor="__RefHeading___Toc3809707_1067777946">
            <w:r>
              <w:rPr>
                <w:webHidden/>
                <w:rStyle w:val="IndexLink"/>
                <w:rtl w:val="true"/>
              </w:rPr>
              <w:t>أماريت سوق مسلمين و عدم لزوم فحص</w:t>
            </w:r>
            <w:r>
              <w:rPr>
                <w:rStyle w:val="IndexLink"/>
                <w:rtl w:val="true"/>
              </w:rPr>
              <w:tab/>
            </w:r>
            <w:r>
              <w:rPr>
                <w:rStyle w:val="IndexLink"/>
              </w:rPr>
              <w:t>554</w:t>
            </w:r>
          </w:hyperlink>
        </w:p>
        <w:p>
          <w:pPr>
            <w:pStyle w:val="Contents5"/>
            <w:tabs>
              <w:tab w:val="clear" w:pos="7892"/>
              <w:tab w:val="right" w:pos="9026" w:leader="dot"/>
            </w:tabs>
            <w:rPr/>
          </w:pPr>
          <w:hyperlink w:anchor="__RefHeading___Toc3809709_1067777946">
            <w:r>
              <w:rPr>
                <w:webHidden/>
                <w:rStyle w:val="IndexLink"/>
                <w:rtl w:val="true"/>
              </w:rPr>
              <w:t>مراد از استقرار حيات قبل از ذبح و در صيد</w:t>
            </w:r>
            <w:r>
              <w:rPr>
                <w:rStyle w:val="IndexLink"/>
                <w:rtl w:val="true"/>
              </w:rPr>
              <w:tab/>
            </w:r>
            <w:r>
              <w:rPr>
                <w:rStyle w:val="IndexLink"/>
              </w:rPr>
              <w:t>554</w:t>
            </w:r>
          </w:hyperlink>
        </w:p>
        <w:p>
          <w:pPr>
            <w:pStyle w:val="Contents5"/>
            <w:tabs>
              <w:tab w:val="clear" w:pos="7892"/>
              <w:tab w:val="right" w:pos="9026" w:leader="dot"/>
            </w:tabs>
            <w:rPr/>
          </w:pPr>
          <w:hyperlink w:anchor="__RefHeading___Toc3809711_1067777946">
            <w:r>
              <w:rPr>
                <w:webHidden/>
                <w:rStyle w:val="IndexLink"/>
                <w:rtl w:val="true"/>
              </w:rPr>
              <w:t>اگر بعد از ذبح حركت نداشته باشد</w:t>
            </w:r>
            <w:r>
              <w:rPr>
                <w:rStyle w:val="IndexLink"/>
                <w:rtl w:val="true"/>
              </w:rPr>
              <w:tab/>
            </w:r>
            <w:r>
              <w:rPr>
                <w:rStyle w:val="IndexLink"/>
              </w:rPr>
              <w:t>555</w:t>
            </w:r>
          </w:hyperlink>
        </w:p>
        <w:p>
          <w:pPr>
            <w:pStyle w:val="Contents5"/>
            <w:tabs>
              <w:tab w:val="clear" w:pos="7892"/>
              <w:tab w:val="right" w:pos="9026" w:leader="dot"/>
            </w:tabs>
            <w:rPr/>
          </w:pPr>
          <w:hyperlink w:anchor="__RefHeading___Toc3809713_1067777946">
            <w:r>
              <w:rPr>
                <w:webHidden/>
                <w:rStyle w:val="IndexLink"/>
                <w:rtl w:val="true"/>
              </w:rPr>
              <w:t>نذر اضحيۀ معينه</w:t>
            </w:r>
            <w:r>
              <w:rPr>
                <w:rStyle w:val="IndexLink"/>
                <w:rtl w:val="true"/>
              </w:rPr>
              <w:tab/>
            </w:r>
            <w:r>
              <w:rPr>
                <w:rStyle w:val="IndexLink"/>
              </w:rPr>
              <w:t>555</w:t>
            </w:r>
          </w:hyperlink>
        </w:p>
        <w:p>
          <w:pPr>
            <w:pStyle w:val="Contents5"/>
            <w:tabs>
              <w:tab w:val="clear" w:pos="7892"/>
              <w:tab w:val="right" w:pos="9026" w:leader="dot"/>
            </w:tabs>
            <w:rPr/>
          </w:pPr>
          <w:hyperlink w:anchor="__RefHeading___Toc3809715_1067777946">
            <w:r>
              <w:rPr>
                <w:webHidden/>
                <w:rStyle w:val="IndexLink"/>
                <w:rtl w:val="true"/>
              </w:rPr>
              <w:t>ميزان ضمان در مقام</w:t>
            </w:r>
            <w:r>
              <w:rPr>
                <w:rStyle w:val="IndexLink"/>
                <w:rtl w:val="true"/>
              </w:rPr>
              <w:tab/>
            </w:r>
            <w:r>
              <w:rPr>
                <w:rStyle w:val="IndexLink"/>
              </w:rPr>
              <w:t>556</w:t>
            </w:r>
          </w:hyperlink>
        </w:p>
        <w:p>
          <w:pPr>
            <w:pStyle w:val="Contents5"/>
            <w:tabs>
              <w:tab w:val="clear" w:pos="7892"/>
              <w:tab w:val="right" w:pos="9026" w:leader="dot"/>
            </w:tabs>
            <w:rPr/>
          </w:pPr>
          <w:hyperlink w:anchor="__RefHeading___Toc3809717_1067777946">
            <w:r>
              <w:rPr>
                <w:webHidden/>
                <w:rStyle w:val="IndexLink"/>
                <w:rtl w:val="true"/>
              </w:rPr>
              <w:t>حصول عيب بعد از نذر معيّن</w:t>
            </w:r>
            <w:r>
              <w:rPr>
                <w:rStyle w:val="IndexLink"/>
                <w:rtl w:val="true"/>
              </w:rPr>
              <w:tab/>
            </w:r>
            <w:r>
              <w:rPr>
                <w:rStyle w:val="IndexLink"/>
              </w:rPr>
              <w:t>556</w:t>
            </w:r>
          </w:hyperlink>
        </w:p>
        <w:p>
          <w:pPr>
            <w:pStyle w:val="Contents5"/>
            <w:tabs>
              <w:tab w:val="clear" w:pos="7892"/>
              <w:tab w:val="right" w:pos="9026" w:leader="dot"/>
            </w:tabs>
            <w:rPr/>
          </w:pPr>
          <w:hyperlink w:anchor="__RefHeading___Toc3809719_1067777946">
            <w:r>
              <w:rPr>
                <w:webHidden/>
                <w:rStyle w:val="IndexLink"/>
                <w:rtl w:val="true"/>
              </w:rPr>
              <w:t>نذر معين و تضحيۀ ديگرى بدون اذن مالك</w:t>
            </w:r>
            <w:r>
              <w:rPr>
                <w:rStyle w:val="IndexLink"/>
                <w:rtl w:val="true"/>
              </w:rPr>
              <w:tab/>
            </w:r>
            <w:r>
              <w:rPr>
                <w:rStyle w:val="IndexLink"/>
              </w:rPr>
              <w:t>556</w:t>
            </w:r>
          </w:hyperlink>
        </w:p>
        <w:p>
          <w:pPr>
            <w:pStyle w:val="Contents5"/>
            <w:tabs>
              <w:tab w:val="clear" w:pos="7892"/>
              <w:tab w:val="right" w:pos="9026" w:leader="dot"/>
            </w:tabs>
            <w:rPr/>
          </w:pPr>
          <w:hyperlink w:anchor="__RefHeading___Toc3809721_1067777946">
            <w:r>
              <w:rPr>
                <w:webHidden/>
                <w:rStyle w:val="IndexLink"/>
                <w:rtl w:val="true"/>
              </w:rPr>
              <w:t>تذكيۀ ماهى</w:t>
            </w:r>
            <w:r>
              <w:rPr>
                <w:rStyle w:val="IndexLink"/>
                <w:rtl w:val="true"/>
              </w:rPr>
              <w:tab/>
            </w:r>
            <w:r>
              <w:rPr>
                <w:rStyle w:val="IndexLink"/>
              </w:rPr>
              <w:t>556</w:t>
            </w:r>
          </w:hyperlink>
        </w:p>
        <w:p>
          <w:pPr>
            <w:pStyle w:val="Contents5"/>
            <w:tabs>
              <w:tab w:val="clear" w:pos="7892"/>
              <w:tab w:val="right" w:pos="9026" w:leader="dot"/>
            </w:tabs>
            <w:rPr/>
          </w:pPr>
          <w:hyperlink w:anchor="__RefHeading___Toc3809723_1067777946">
            <w:r>
              <w:rPr>
                <w:webHidden/>
                <w:rStyle w:val="IndexLink"/>
                <w:rtl w:val="true"/>
              </w:rPr>
              <w:t>عود بعد از اخراج</w:t>
            </w:r>
            <w:r>
              <w:rPr>
                <w:rStyle w:val="IndexLink"/>
                <w:rtl w:val="true"/>
              </w:rPr>
              <w:tab/>
            </w:r>
            <w:r>
              <w:rPr>
                <w:rStyle w:val="IndexLink"/>
              </w:rPr>
              <w:t>557</w:t>
            </w:r>
          </w:hyperlink>
        </w:p>
        <w:p>
          <w:pPr>
            <w:pStyle w:val="Contents5"/>
            <w:tabs>
              <w:tab w:val="clear" w:pos="7892"/>
              <w:tab w:val="right" w:pos="9026" w:leader="dot"/>
            </w:tabs>
            <w:rPr/>
          </w:pPr>
          <w:hyperlink w:anchor="__RefHeading___Toc3809725_1067777946">
            <w:r>
              <w:rPr>
                <w:webHidden/>
                <w:rStyle w:val="IndexLink"/>
                <w:rtl w:val="true"/>
              </w:rPr>
              <w:t>ماهى مرده در دست كافر</w:t>
            </w:r>
            <w:r>
              <w:rPr>
                <w:rStyle w:val="IndexLink"/>
                <w:rtl w:val="true"/>
              </w:rPr>
              <w:tab/>
            </w:r>
            <w:r>
              <w:rPr>
                <w:rStyle w:val="IndexLink"/>
              </w:rPr>
              <w:t>557</w:t>
            </w:r>
          </w:hyperlink>
        </w:p>
        <w:p>
          <w:pPr>
            <w:pStyle w:val="Contents5"/>
            <w:tabs>
              <w:tab w:val="clear" w:pos="7892"/>
              <w:tab w:val="right" w:pos="9026" w:leader="dot"/>
            </w:tabs>
            <w:rPr/>
          </w:pPr>
          <w:hyperlink w:anchor="__RefHeading___Toc3809727_1067777946">
            <w:r>
              <w:rPr>
                <w:webHidden/>
                <w:rStyle w:val="IndexLink"/>
                <w:rtl w:val="true"/>
              </w:rPr>
              <w:t>بلعيدن ماهى زنده</w:t>
            </w:r>
            <w:r>
              <w:rPr>
                <w:rStyle w:val="IndexLink"/>
                <w:rtl w:val="true"/>
              </w:rPr>
              <w:tab/>
            </w:r>
            <w:r>
              <w:rPr>
                <w:rStyle w:val="IndexLink"/>
              </w:rPr>
              <w:t>557</w:t>
            </w:r>
          </w:hyperlink>
        </w:p>
        <w:p>
          <w:pPr>
            <w:pStyle w:val="Contents5"/>
            <w:tabs>
              <w:tab w:val="clear" w:pos="7892"/>
              <w:tab w:val="right" w:pos="9026" w:leader="dot"/>
            </w:tabs>
            <w:rPr/>
          </w:pPr>
          <w:hyperlink w:anchor="__RefHeading___Toc3809729_1067777946">
            <w:r>
              <w:rPr>
                <w:webHidden/>
                <w:rStyle w:val="IndexLink"/>
                <w:rtl w:val="true"/>
              </w:rPr>
              <w:t>موت ماهى در شبكه</w:t>
            </w:r>
            <w:r>
              <w:rPr>
                <w:rStyle w:val="IndexLink"/>
                <w:rtl w:val="true"/>
              </w:rPr>
              <w:tab/>
            </w:r>
            <w:r>
              <w:rPr>
                <w:rStyle w:val="IndexLink"/>
              </w:rPr>
              <w:t>557</w:t>
            </w:r>
          </w:hyperlink>
        </w:p>
        <w:p>
          <w:pPr>
            <w:pStyle w:val="Contents5"/>
            <w:tabs>
              <w:tab w:val="clear" w:pos="7892"/>
              <w:tab w:val="right" w:pos="9026" w:leader="dot"/>
            </w:tabs>
            <w:rPr/>
          </w:pPr>
          <w:hyperlink w:anchor="__RefHeading___Toc3809731_1067777946">
            <w:r>
              <w:rPr>
                <w:webHidden/>
                <w:rStyle w:val="IndexLink"/>
                <w:rtl w:val="true"/>
              </w:rPr>
              <w:t>بريان نمودن ماهى زنده</w:t>
            </w:r>
            <w:r>
              <w:rPr>
                <w:rStyle w:val="IndexLink"/>
                <w:rtl w:val="true"/>
              </w:rPr>
              <w:tab/>
            </w:r>
            <w:r>
              <w:rPr>
                <w:rStyle w:val="IndexLink"/>
              </w:rPr>
              <w:t>557</w:t>
            </w:r>
          </w:hyperlink>
        </w:p>
        <w:p>
          <w:pPr>
            <w:pStyle w:val="Contents5"/>
            <w:tabs>
              <w:tab w:val="clear" w:pos="7892"/>
              <w:tab w:val="right" w:pos="9026" w:leader="dot"/>
            </w:tabs>
            <w:rPr/>
          </w:pPr>
          <w:hyperlink w:anchor="__RefHeading___Toc3809733_1067777946">
            <w:r>
              <w:rPr>
                <w:webHidden/>
                <w:rStyle w:val="IndexLink"/>
                <w:rtl w:val="true"/>
              </w:rPr>
              <w:t>مخلوط شدن ميت در آب با حى</w:t>
            </w:r>
            <w:r>
              <w:rPr>
                <w:rStyle w:val="IndexLink"/>
                <w:rtl w:val="true"/>
              </w:rPr>
              <w:tab/>
            </w:r>
            <w:r>
              <w:rPr>
                <w:rStyle w:val="IndexLink"/>
              </w:rPr>
              <w:t>558</w:t>
            </w:r>
          </w:hyperlink>
        </w:p>
        <w:p>
          <w:pPr>
            <w:pStyle w:val="Contents5"/>
            <w:tabs>
              <w:tab w:val="clear" w:pos="7892"/>
              <w:tab w:val="right" w:pos="9026" w:leader="dot"/>
            </w:tabs>
            <w:rPr/>
          </w:pPr>
          <w:hyperlink w:anchor="__RefHeading___Toc3809735_1067777946">
            <w:r>
              <w:rPr>
                <w:webHidden/>
                <w:rStyle w:val="IndexLink"/>
                <w:rtl w:val="true"/>
              </w:rPr>
              <w:t>تذكيۀ ملخ</w:t>
            </w:r>
            <w:r>
              <w:rPr>
                <w:rStyle w:val="IndexLink"/>
                <w:rtl w:val="true"/>
              </w:rPr>
              <w:tab/>
            </w:r>
            <w:r>
              <w:rPr>
                <w:rStyle w:val="IndexLink"/>
              </w:rPr>
              <w:t>558</w:t>
            </w:r>
          </w:hyperlink>
        </w:p>
        <w:p>
          <w:pPr>
            <w:pStyle w:val="Contents5"/>
            <w:tabs>
              <w:tab w:val="clear" w:pos="7892"/>
              <w:tab w:val="right" w:pos="9026" w:leader="dot"/>
            </w:tabs>
            <w:rPr/>
          </w:pPr>
          <w:hyperlink w:anchor="__RefHeading___Toc3809737_1067777946">
            <w:r>
              <w:rPr>
                <w:webHidden/>
                <w:rStyle w:val="IndexLink"/>
                <w:rtl w:val="true"/>
              </w:rPr>
              <w:t>تذكيۀ حيوان در شكم</w:t>
            </w:r>
            <w:r>
              <w:rPr>
                <w:rStyle w:val="IndexLink"/>
                <w:rtl w:val="true"/>
              </w:rPr>
              <w:tab/>
            </w:r>
            <w:r>
              <w:rPr>
                <w:rStyle w:val="IndexLink"/>
              </w:rPr>
              <w:t>558</w:t>
            </w:r>
          </w:hyperlink>
        </w:p>
        <w:p>
          <w:pPr>
            <w:pStyle w:val="Contents4"/>
            <w:tabs>
              <w:tab w:val="clear" w:pos="8176"/>
              <w:tab w:val="right" w:pos="9026" w:leader="dot"/>
            </w:tabs>
            <w:rPr/>
          </w:pPr>
          <w:hyperlink w:anchor="__RefHeading___Toc3809739_1067777946">
            <w:r>
              <w:rPr>
                <w:webHidden/>
                <w:rStyle w:val="IndexLink"/>
              </w:rPr>
              <w:t>2</w:t>
            </w:r>
            <w:r>
              <w:rPr>
                <w:rStyle w:val="IndexLink"/>
                <w:rtl w:val="true"/>
              </w:rPr>
              <w:t xml:space="preserve">. </w:t>
            </w:r>
            <w:r>
              <w:rPr>
                <w:rStyle w:val="IndexLink"/>
                <w:rtl w:val="true"/>
              </w:rPr>
              <w:t>مسائلى از احكام ذباحه</w:t>
            </w:r>
            <w:r>
              <w:rPr>
                <w:rStyle w:val="IndexLink"/>
                <w:rtl w:val="true"/>
              </w:rPr>
              <w:tab/>
            </w:r>
            <w:r>
              <w:rPr>
                <w:rStyle w:val="IndexLink"/>
              </w:rPr>
              <w:t>559</w:t>
            </w:r>
          </w:hyperlink>
        </w:p>
        <w:p>
          <w:pPr>
            <w:pStyle w:val="Contents5"/>
            <w:tabs>
              <w:tab w:val="clear" w:pos="7892"/>
              <w:tab w:val="right" w:pos="9026" w:leader="dot"/>
            </w:tabs>
            <w:rPr/>
          </w:pPr>
          <w:hyperlink w:anchor="__RefHeading___Toc3809741_1067777946">
            <w:r>
              <w:rPr>
                <w:webHidden/>
                <w:rStyle w:val="IndexLink"/>
                <w:rtl w:val="true"/>
              </w:rPr>
              <w:t>لزوم رعايت متابعت و موالات عرفى در ذبح</w:t>
            </w:r>
            <w:r>
              <w:rPr>
                <w:rStyle w:val="IndexLink"/>
                <w:rtl w:val="true"/>
              </w:rPr>
              <w:tab/>
            </w:r>
            <w:r>
              <w:rPr>
                <w:rStyle w:val="IndexLink"/>
              </w:rPr>
              <w:t>559</w:t>
            </w:r>
          </w:hyperlink>
        </w:p>
        <w:p>
          <w:pPr>
            <w:pStyle w:val="Contents5"/>
            <w:tabs>
              <w:tab w:val="clear" w:pos="7892"/>
              <w:tab w:val="right" w:pos="9026" w:leader="dot"/>
            </w:tabs>
            <w:rPr/>
          </w:pPr>
          <w:hyperlink w:anchor="__RefHeading___Toc3809743_1067777946">
            <w:r>
              <w:rPr>
                <w:webHidden/>
                <w:rStyle w:val="IndexLink"/>
                <w:rtl w:val="true"/>
              </w:rPr>
              <w:t>لزوم استناد زهاق روح به ذبح</w:t>
            </w:r>
            <w:r>
              <w:rPr>
                <w:rStyle w:val="IndexLink"/>
                <w:rtl w:val="true"/>
              </w:rPr>
              <w:tab/>
            </w:r>
            <w:r>
              <w:rPr>
                <w:rStyle w:val="IndexLink"/>
              </w:rPr>
              <w:t>560</w:t>
            </w:r>
          </w:hyperlink>
        </w:p>
        <w:p>
          <w:pPr>
            <w:pStyle w:val="Contents5"/>
            <w:tabs>
              <w:tab w:val="clear" w:pos="7892"/>
              <w:tab w:val="right" w:pos="9026" w:leader="dot"/>
            </w:tabs>
            <w:rPr/>
          </w:pPr>
          <w:hyperlink w:anchor="__RefHeading___Toc3809745_1067777946">
            <w:r>
              <w:rPr>
                <w:webHidden/>
                <w:rStyle w:val="IndexLink"/>
                <w:rtl w:val="true"/>
              </w:rPr>
              <w:t>لزوم احراز حيات بعد از ذبح در تذكيه</w:t>
            </w:r>
            <w:r>
              <w:rPr>
                <w:rStyle w:val="IndexLink"/>
                <w:rtl w:val="true"/>
              </w:rPr>
              <w:tab/>
            </w:r>
            <w:r>
              <w:rPr>
                <w:rStyle w:val="IndexLink"/>
              </w:rPr>
              <w:t>560</w:t>
            </w:r>
          </w:hyperlink>
        </w:p>
        <w:p>
          <w:pPr>
            <w:pStyle w:val="Contents4"/>
            <w:tabs>
              <w:tab w:val="clear" w:pos="8176"/>
              <w:tab w:val="right" w:pos="9026" w:leader="dot"/>
            </w:tabs>
            <w:rPr/>
          </w:pPr>
          <w:hyperlink w:anchor="__RefHeading___Toc3809747_1067777946">
            <w:r>
              <w:rPr>
                <w:webHidden/>
                <w:rStyle w:val="IndexLink"/>
              </w:rPr>
              <w:t>3</w:t>
            </w:r>
            <w:r>
              <w:rPr>
                <w:rStyle w:val="IndexLink"/>
                <w:rtl w:val="true"/>
              </w:rPr>
              <w:t xml:space="preserve">. </w:t>
            </w:r>
            <w:r>
              <w:rPr>
                <w:rStyle w:val="IndexLink"/>
                <w:rtl w:val="true"/>
              </w:rPr>
              <w:t>آنچه قابل تذكيه است</w:t>
            </w:r>
            <w:r>
              <w:rPr>
                <w:rStyle w:val="IndexLink"/>
                <w:rtl w:val="true"/>
              </w:rPr>
              <w:tab/>
            </w:r>
            <w:r>
              <w:rPr>
                <w:rStyle w:val="IndexLink"/>
              </w:rPr>
              <w:t>560</w:t>
            </w:r>
          </w:hyperlink>
        </w:p>
        <w:p>
          <w:pPr>
            <w:pStyle w:val="Contents5"/>
            <w:tabs>
              <w:tab w:val="clear" w:pos="7892"/>
              <w:tab w:val="right" w:pos="9026" w:leader="dot"/>
            </w:tabs>
            <w:rPr/>
          </w:pPr>
          <w:hyperlink w:anchor="__RefHeading___Toc3809749_1067777946">
            <w:r>
              <w:rPr>
                <w:webHidden/>
                <w:rStyle w:val="IndexLink"/>
                <w:rtl w:val="true"/>
              </w:rPr>
              <w:t>اقسام حيوان</w:t>
            </w:r>
            <w:r>
              <w:rPr>
                <w:rStyle w:val="IndexLink"/>
                <w:rtl w:val="true"/>
              </w:rPr>
              <w:tab/>
            </w:r>
            <w:r>
              <w:rPr>
                <w:rStyle w:val="IndexLink"/>
              </w:rPr>
              <w:t>560</w:t>
            </w:r>
          </w:hyperlink>
        </w:p>
        <w:p>
          <w:pPr>
            <w:pStyle w:val="Contents5"/>
            <w:tabs>
              <w:tab w:val="clear" w:pos="7892"/>
              <w:tab w:val="right" w:pos="9026" w:leader="dot"/>
            </w:tabs>
            <w:rPr/>
          </w:pPr>
          <w:hyperlink w:anchor="__RefHeading___Toc3809751_1067777946">
            <w:r>
              <w:rPr>
                <w:webHidden/>
                <w:rStyle w:val="IndexLink"/>
                <w:rtl w:val="true"/>
              </w:rPr>
              <w:t>وقوع تذكيه بر سباع و مسوخ</w:t>
            </w:r>
            <w:r>
              <w:rPr>
                <w:rStyle w:val="IndexLink"/>
                <w:rtl w:val="true"/>
              </w:rPr>
              <w:tab/>
            </w:r>
            <w:r>
              <w:rPr>
                <w:rStyle w:val="IndexLink"/>
              </w:rPr>
              <w:t>561</w:t>
            </w:r>
          </w:hyperlink>
        </w:p>
        <w:p>
          <w:pPr>
            <w:pStyle w:val="Contents3"/>
            <w:tabs>
              <w:tab w:val="clear" w:pos="8459"/>
              <w:tab w:val="right" w:pos="9026" w:leader="dot"/>
            </w:tabs>
            <w:rPr/>
          </w:pPr>
          <w:hyperlink w:anchor="__RefHeading___Toc3809753_1067777946">
            <w:r>
              <w:rPr>
                <w:webHidden/>
                <w:rStyle w:val="IndexLink"/>
                <w:rtl w:val="true"/>
              </w:rPr>
              <w:t>فصل هفتم مسائلى از احكام صيد</w:t>
            </w:r>
            <w:r>
              <w:rPr>
                <w:rStyle w:val="IndexLink"/>
                <w:rtl w:val="true"/>
              </w:rPr>
              <w:tab/>
            </w:r>
            <w:r>
              <w:rPr>
                <w:rStyle w:val="IndexLink"/>
              </w:rPr>
              <w:t>562</w:t>
            </w:r>
          </w:hyperlink>
        </w:p>
        <w:p>
          <w:pPr>
            <w:pStyle w:val="Contents4"/>
            <w:tabs>
              <w:tab w:val="clear" w:pos="8176"/>
              <w:tab w:val="right" w:pos="9026" w:leader="dot"/>
            </w:tabs>
            <w:rPr/>
          </w:pPr>
          <w:hyperlink w:anchor="__RefHeading___Toc3809755_1067777946">
            <w:r>
              <w:rPr>
                <w:webHidden/>
                <w:rStyle w:val="IndexLink"/>
                <w:rtl w:val="true"/>
              </w:rPr>
              <w:t>شرائط مملوكيت حيوان براى صياد</w:t>
            </w:r>
            <w:r>
              <w:rPr>
                <w:rStyle w:val="IndexLink"/>
                <w:rtl w:val="true"/>
              </w:rPr>
              <w:tab/>
            </w:r>
            <w:r>
              <w:rPr>
                <w:rStyle w:val="IndexLink"/>
              </w:rPr>
              <w:t>562</w:t>
            </w:r>
          </w:hyperlink>
        </w:p>
        <w:p>
          <w:pPr>
            <w:pStyle w:val="Contents4"/>
            <w:tabs>
              <w:tab w:val="clear" w:pos="8176"/>
              <w:tab w:val="right" w:pos="9026" w:leader="dot"/>
            </w:tabs>
            <w:rPr/>
          </w:pPr>
          <w:hyperlink w:anchor="__RefHeading___Toc3809757_1067777946">
            <w:r>
              <w:rPr>
                <w:webHidden/>
                <w:rStyle w:val="IndexLink"/>
                <w:rtl w:val="true"/>
              </w:rPr>
              <w:t>نيّت قطع ملك و اعراض از صيد و خروج از ملك</w:t>
            </w:r>
            <w:r>
              <w:rPr>
                <w:rStyle w:val="IndexLink"/>
                <w:rtl w:val="true"/>
              </w:rPr>
              <w:tab/>
            </w:r>
            <w:r>
              <w:rPr>
                <w:rStyle w:val="IndexLink"/>
              </w:rPr>
              <w:t>562</w:t>
            </w:r>
          </w:hyperlink>
        </w:p>
        <w:p>
          <w:pPr>
            <w:pStyle w:val="Contents4"/>
            <w:tabs>
              <w:tab w:val="clear" w:pos="8176"/>
              <w:tab w:val="right" w:pos="9026" w:leader="dot"/>
            </w:tabs>
            <w:rPr/>
          </w:pPr>
          <w:hyperlink w:anchor="__RefHeading___Toc3809759_1067777946">
            <w:r>
              <w:rPr>
                <w:webHidden/>
                <w:rStyle w:val="IndexLink"/>
                <w:rtl w:val="true"/>
              </w:rPr>
              <w:t>عدم كفايت اتعاب براى مالكيّت</w:t>
            </w:r>
            <w:r>
              <w:rPr>
                <w:rStyle w:val="IndexLink"/>
                <w:rtl w:val="true"/>
              </w:rPr>
              <w:tab/>
            </w:r>
            <w:r>
              <w:rPr>
                <w:rStyle w:val="IndexLink"/>
              </w:rPr>
              <w:t>563</w:t>
            </w:r>
          </w:hyperlink>
        </w:p>
        <w:p>
          <w:pPr>
            <w:pStyle w:val="Contents4"/>
            <w:tabs>
              <w:tab w:val="clear" w:pos="8176"/>
              <w:tab w:val="right" w:pos="9026" w:leader="dot"/>
            </w:tabs>
            <w:rPr/>
          </w:pPr>
          <w:hyperlink w:anchor="__RefHeading___Toc3809761_1067777946">
            <w:r>
              <w:rPr>
                <w:webHidden/>
                <w:rStyle w:val="IndexLink"/>
                <w:rtl w:val="true"/>
              </w:rPr>
              <w:t>گونه اى مختلف مشاركت دو نفر در صيد و ذبح و مسأله مالكيت آن</w:t>
            </w:r>
            <w:r>
              <w:rPr>
                <w:rStyle w:val="IndexLink"/>
                <w:rtl w:val="true"/>
              </w:rPr>
              <w:tab/>
            </w:r>
            <w:r>
              <w:rPr>
                <w:rStyle w:val="IndexLink"/>
              </w:rPr>
              <w:t>563</w:t>
            </w:r>
          </w:hyperlink>
        </w:p>
        <w:p>
          <w:pPr>
            <w:pStyle w:val="Contents4"/>
            <w:tabs>
              <w:tab w:val="clear" w:pos="8176"/>
              <w:tab w:val="right" w:pos="9026" w:leader="dot"/>
            </w:tabs>
            <w:rPr/>
          </w:pPr>
          <w:hyperlink w:anchor="__RefHeading___Toc3809763_1067777946">
            <w:r>
              <w:rPr>
                <w:webHidden/>
                <w:rStyle w:val="IndexLink"/>
                <w:rtl w:val="true"/>
              </w:rPr>
              <w:t>رفع دو امتناع به تعاقب توسط دو نفر</w:t>
            </w:r>
            <w:r>
              <w:rPr>
                <w:rStyle w:val="IndexLink"/>
                <w:rtl w:val="true"/>
              </w:rPr>
              <w:tab/>
            </w:r>
            <w:r>
              <w:rPr>
                <w:rStyle w:val="IndexLink"/>
              </w:rPr>
              <w:t>565</w:t>
            </w:r>
          </w:hyperlink>
        </w:p>
        <w:p>
          <w:pPr>
            <w:pStyle w:val="Contents4"/>
            <w:tabs>
              <w:tab w:val="clear" w:pos="8176"/>
              <w:tab w:val="right" w:pos="9026" w:leader="dot"/>
            </w:tabs>
            <w:rPr/>
          </w:pPr>
          <w:hyperlink w:anchor="__RefHeading___Toc3809765_1067777946">
            <w:r>
              <w:rPr>
                <w:webHidden/>
                <w:rStyle w:val="IndexLink"/>
                <w:rtl w:val="true"/>
              </w:rPr>
              <w:t>قتل صيد بعد از رمى دو صياد</w:t>
            </w:r>
            <w:r>
              <w:rPr>
                <w:rStyle w:val="IndexLink"/>
                <w:rtl w:val="true"/>
              </w:rPr>
              <w:tab/>
            </w:r>
            <w:r>
              <w:rPr>
                <w:rStyle w:val="IndexLink"/>
              </w:rPr>
              <w:t>565</w:t>
            </w:r>
          </w:hyperlink>
        </w:p>
        <w:p>
          <w:pPr>
            <w:pStyle w:val="Contents4"/>
            <w:tabs>
              <w:tab w:val="clear" w:pos="8176"/>
              <w:tab w:val="right" w:pos="9026" w:leader="dot"/>
            </w:tabs>
            <w:rPr/>
          </w:pPr>
          <w:hyperlink w:anchor="__RefHeading___Toc3809767_1067777946">
            <w:r>
              <w:rPr>
                <w:webHidden/>
                <w:rStyle w:val="IndexLink"/>
                <w:rtl w:val="true"/>
              </w:rPr>
              <w:t>موت صيد به سبب عقر كلب يا اتعاب و فشار</w:t>
            </w:r>
            <w:r>
              <w:rPr>
                <w:rStyle w:val="IndexLink"/>
                <w:rtl w:val="true"/>
              </w:rPr>
              <w:tab/>
            </w:r>
            <w:r>
              <w:rPr>
                <w:rStyle w:val="IndexLink"/>
              </w:rPr>
              <w:t>566</w:t>
            </w:r>
          </w:hyperlink>
        </w:p>
        <w:p>
          <w:pPr>
            <w:pStyle w:val="Contents4"/>
            <w:tabs>
              <w:tab w:val="clear" w:pos="8176"/>
              <w:tab w:val="right" w:pos="9026" w:leader="dot"/>
            </w:tabs>
            <w:rPr/>
          </w:pPr>
          <w:hyperlink w:anchor="__RefHeading___Toc3809769_1067777946">
            <w:r>
              <w:rPr>
                <w:webHidden/>
                <w:rStyle w:val="IndexLink"/>
                <w:rtl w:val="true"/>
              </w:rPr>
              <w:t>رمى به قصد غير صيد يا غير شخص يا نوع مصيد يا قصد غير اصطياد</w:t>
            </w:r>
            <w:r>
              <w:rPr>
                <w:rStyle w:val="IndexLink"/>
                <w:rtl w:val="true"/>
              </w:rPr>
              <w:tab/>
            </w:r>
            <w:r>
              <w:rPr>
                <w:rStyle w:val="IndexLink"/>
              </w:rPr>
              <w:t>566</w:t>
            </w:r>
          </w:hyperlink>
        </w:p>
        <w:p>
          <w:pPr>
            <w:pStyle w:val="Contents4"/>
            <w:tabs>
              <w:tab w:val="clear" w:pos="8176"/>
              <w:tab w:val="right" w:pos="9026" w:leader="dot"/>
            </w:tabs>
            <w:rPr/>
          </w:pPr>
          <w:hyperlink w:anchor="__RefHeading___Toc3809771_1067777946">
            <w:r>
              <w:rPr>
                <w:webHidden/>
                <w:rStyle w:val="IndexLink"/>
                <w:rtl w:val="true"/>
              </w:rPr>
              <w:t>نحوۀ مالكيّت گيرنده پرنده</w:t>
            </w:r>
            <w:r>
              <w:rPr>
                <w:rStyle w:val="IndexLink"/>
                <w:rtl w:val="true"/>
              </w:rPr>
              <w:tab/>
            </w:r>
            <w:r>
              <w:rPr>
                <w:rStyle w:val="IndexLink"/>
              </w:rPr>
              <w:t>567</w:t>
            </w:r>
          </w:hyperlink>
        </w:p>
        <w:p>
          <w:pPr>
            <w:pStyle w:val="Contents4"/>
            <w:tabs>
              <w:tab w:val="clear" w:pos="8176"/>
              <w:tab w:val="right" w:pos="9026" w:leader="dot"/>
            </w:tabs>
            <w:rPr/>
          </w:pPr>
          <w:hyperlink w:anchor="__RefHeading___Toc3809773_1067777946">
            <w:r>
              <w:rPr>
                <w:webHidden/>
                <w:rStyle w:val="IndexLink"/>
                <w:rtl w:val="true"/>
              </w:rPr>
              <w:t>حكم كبوترى كه به خانه اى درآيد</w:t>
            </w:r>
            <w:r>
              <w:rPr>
                <w:rStyle w:val="IndexLink"/>
                <w:rtl w:val="true"/>
              </w:rPr>
              <w:tab/>
            </w:r>
            <w:r>
              <w:rPr>
                <w:rStyle w:val="IndexLink"/>
              </w:rPr>
              <w:t>567</w:t>
            </w:r>
          </w:hyperlink>
        </w:p>
        <w:p>
          <w:pPr>
            <w:pStyle w:val="Contents4"/>
            <w:tabs>
              <w:tab w:val="clear" w:pos="8176"/>
              <w:tab w:val="right" w:pos="9026" w:leader="dot"/>
            </w:tabs>
            <w:rPr/>
          </w:pPr>
          <w:hyperlink w:anchor="__RefHeading___Toc3809775_1067777946">
            <w:r>
              <w:rPr>
                <w:webHidden/>
                <w:rStyle w:val="IndexLink"/>
                <w:rtl w:val="true"/>
              </w:rPr>
              <w:t>حكم اجزاء مبانۀ از ماهى</w:t>
            </w:r>
            <w:r>
              <w:rPr>
                <w:rStyle w:val="IndexLink"/>
                <w:rtl w:val="true"/>
              </w:rPr>
              <w:tab/>
            </w:r>
            <w:r>
              <w:rPr>
                <w:rStyle w:val="IndexLink"/>
              </w:rPr>
              <w:t>567</w:t>
            </w:r>
          </w:hyperlink>
        </w:p>
        <w:p>
          <w:pPr>
            <w:pStyle w:val="Contents4"/>
            <w:tabs>
              <w:tab w:val="clear" w:pos="8176"/>
              <w:tab w:val="right" w:pos="9026" w:leader="dot"/>
            </w:tabs>
            <w:rPr/>
          </w:pPr>
          <w:hyperlink w:anchor="__RefHeading___Toc3809777_1067777946">
            <w:r>
              <w:rPr>
                <w:webHidden/>
                <w:rStyle w:val="IndexLink"/>
                <w:rtl w:val="true"/>
              </w:rPr>
              <w:t>شراكت دو نفر در اثبات يا جرح صيد</w:t>
            </w:r>
            <w:r>
              <w:rPr>
                <w:rStyle w:val="IndexLink"/>
                <w:rtl w:val="true"/>
              </w:rPr>
              <w:tab/>
            </w:r>
            <w:r>
              <w:rPr>
                <w:rStyle w:val="IndexLink"/>
              </w:rPr>
              <w:t>568</w:t>
            </w:r>
          </w:hyperlink>
        </w:p>
        <w:p>
          <w:pPr>
            <w:pStyle w:val="Contents2"/>
            <w:tabs>
              <w:tab w:val="clear" w:pos="8743"/>
              <w:tab w:val="right" w:pos="9026" w:leader="dot"/>
            </w:tabs>
            <w:rPr/>
          </w:pPr>
          <w:hyperlink w:anchor="__RefHeading___Toc3809779_1067777946">
            <w:r>
              <w:rPr>
                <w:webHidden/>
                <w:rStyle w:val="IndexLink"/>
                <w:rtl w:val="true"/>
              </w:rPr>
              <w:t>كتاب اطعمه و اشربه</w:t>
            </w:r>
            <w:r>
              <w:rPr>
                <w:rStyle w:val="IndexLink"/>
                <w:rtl w:val="true"/>
              </w:rPr>
              <w:tab/>
            </w:r>
            <w:r>
              <w:rPr>
                <w:rStyle w:val="IndexLink"/>
              </w:rPr>
              <w:t>570</w:t>
            </w:r>
          </w:hyperlink>
        </w:p>
        <w:p>
          <w:pPr>
            <w:pStyle w:val="Contents3"/>
            <w:tabs>
              <w:tab w:val="clear" w:pos="8459"/>
              <w:tab w:val="right" w:pos="9026" w:leader="dot"/>
            </w:tabs>
            <w:rPr/>
          </w:pPr>
          <w:hyperlink w:anchor="__RefHeading___Toc3809781_1067777946">
            <w:r>
              <w:rPr>
                <w:webHidden/>
                <w:rStyle w:val="IndexLink"/>
                <w:rtl w:val="true"/>
              </w:rPr>
              <w:t>اشاره</w:t>
            </w:r>
            <w:r>
              <w:rPr>
                <w:rStyle w:val="IndexLink"/>
                <w:rtl w:val="true"/>
              </w:rPr>
              <w:tab/>
            </w:r>
            <w:r>
              <w:rPr>
                <w:rStyle w:val="IndexLink"/>
              </w:rPr>
              <w:t>570</w:t>
            </w:r>
          </w:hyperlink>
        </w:p>
        <w:p>
          <w:pPr>
            <w:pStyle w:val="Contents3"/>
            <w:tabs>
              <w:tab w:val="clear" w:pos="8459"/>
              <w:tab w:val="right" w:pos="9026" w:leader="dot"/>
            </w:tabs>
            <w:rPr/>
          </w:pPr>
          <w:hyperlink w:anchor="__RefHeading___Toc3809783_1067777946">
            <w:r>
              <w:rPr>
                <w:webHidden/>
                <w:rStyle w:val="IndexLink"/>
                <w:rtl w:val="true"/>
              </w:rPr>
              <w:t>فصل اوّل حيوان دريا</w:t>
            </w:r>
            <w:r>
              <w:rPr>
                <w:rStyle w:val="IndexLink"/>
                <w:rtl w:val="true"/>
              </w:rPr>
              <w:tab/>
            </w:r>
            <w:r>
              <w:rPr>
                <w:rStyle w:val="IndexLink"/>
              </w:rPr>
              <w:t>572</w:t>
            </w:r>
          </w:hyperlink>
        </w:p>
        <w:p>
          <w:pPr>
            <w:pStyle w:val="Contents4"/>
            <w:tabs>
              <w:tab w:val="clear" w:pos="8176"/>
              <w:tab w:val="right" w:pos="9026" w:leader="dot"/>
            </w:tabs>
            <w:rPr/>
          </w:pPr>
          <w:hyperlink w:anchor="__RefHeading___Toc3809785_1067777946">
            <w:r>
              <w:rPr>
                <w:webHidden/>
                <w:rStyle w:val="IndexLink"/>
                <w:rtl w:val="true"/>
              </w:rPr>
              <w:t>اشاره</w:t>
            </w:r>
            <w:r>
              <w:rPr>
                <w:rStyle w:val="IndexLink"/>
                <w:rtl w:val="true"/>
              </w:rPr>
              <w:tab/>
            </w:r>
            <w:r>
              <w:rPr>
                <w:rStyle w:val="IndexLink"/>
              </w:rPr>
              <w:t>572</w:t>
            </w:r>
          </w:hyperlink>
        </w:p>
        <w:p>
          <w:pPr>
            <w:pStyle w:val="Contents4"/>
            <w:tabs>
              <w:tab w:val="clear" w:pos="8176"/>
              <w:tab w:val="right" w:pos="9026" w:leader="dot"/>
            </w:tabs>
            <w:rPr/>
          </w:pPr>
          <w:hyperlink w:anchor="__RefHeading___Toc3809787_1067777946">
            <w:r>
              <w:rPr>
                <w:webHidden/>
                <w:rStyle w:val="IndexLink"/>
                <w:rtl w:val="true"/>
              </w:rPr>
              <w:t>آنچه از حيوان دريا حلال است</w:t>
            </w:r>
            <w:r>
              <w:rPr>
                <w:rStyle w:val="IndexLink"/>
                <w:rtl w:val="true"/>
              </w:rPr>
              <w:tab/>
            </w:r>
            <w:r>
              <w:rPr>
                <w:rStyle w:val="IndexLink"/>
              </w:rPr>
              <w:t>572</w:t>
            </w:r>
          </w:hyperlink>
        </w:p>
        <w:p>
          <w:pPr>
            <w:pStyle w:val="Contents4"/>
            <w:tabs>
              <w:tab w:val="clear" w:pos="8176"/>
              <w:tab w:val="right" w:pos="9026" w:leader="dot"/>
            </w:tabs>
            <w:rPr/>
          </w:pPr>
          <w:hyperlink w:anchor="__RefHeading___Toc3809789_1067777946">
            <w:r>
              <w:rPr>
                <w:webHidden/>
                <w:rStyle w:val="IndexLink"/>
                <w:rtl w:val="true"/>
              </w:rPr>
              <w:t>حرمت حيوان دريايى غير ماهى</w:t>
            </w:r>
            <w:r>
              <w:rPr>
                <w:rStyle w:val="IndexLink"/>
                <w:rtl w:val="true"/>
              </w:rPr>
              <w:tab/>
            </w:r>
            <w:r>
              <w:rPr>
                <w:rStyle w:val="IndexLink"/>
              </w:rPr>
              <w:t>572</w:t>
            </w:r>
          </w:hyperlink>
        </w:p>
        <w:p>
          <w:pPr>
            <w:pStyle w:val="Contents4"/>
            <w:tabs>
              <w:tab w:val="clear" w:pos="8176"/>
              <w:tab w:val="right" w:pos="9026" w:leader="dot"/>
            </w:tabs>
            <w:rPr/>
          </w:pPr>
          <w:hyperlink w:anchor="__RefHeading___Toc3809791_1067777946">
            <w:r>
              <w:rPr>
                <w:webHidden/>
                <w:rStyle w:val="IndexLink"/>
                <w:rtl w:val="true"/>
              </w:rPr>
              <w:t>اگر در جوف ماهى، ماهى ديگرى بود</w:t>
            </w:r>
            <w:r>
              <w:rPr>
                <w:rStyle w:val="IndexLink"/>
                <w:rtl w:val="true"/>
              </w:rPr>
              <w:tab/>
            </w:r>
            <w:r>
              <w:rPr>
                <w:rStyle w:val="IndexLink"/>
              </w:rPr>
              <w:t>573</w:t>
            </w:r>
          </w:hyperlink>
        </w:p>
        <w:p>
          <w:pPr>
            <w:pStyle w:val="Contents4"/>
            <w:tabs>
              <w:tab w:val="clear" w:pos="8176"/>
              <w:tab w:val="right" w:pos="9026" w:leader="dot"/>
            </w:tabs>
            <w:rPr/>
          </w:pPr>
          <w:hyperlink w:anchor="__RefHeading___Toc3809793_1067777946">
            <w:r>
              <w:rPr>
                <w:webHidden/>
                <w:rStyle w:val="IndexLink"/>
                <w:rtl w:val="true"/>
              </w:rPr>
              <w:t>اگر در جوف مار، ماهى بود</w:t>
            </w:r>
            <w:r>
              <w:rPr>
                <w:rStyle w:val="IndexLink"/>
                <w:rtl w:val="true"/>
              </w:rPr>
              <w:tab/>
            </w:r>
            <w:r>
              <w:rPr>
                <w:rStyle w:val="IndexLink"/>
              </w:rPr>
              <w:t>573</w:t>
            </w:r>
          </w:hyperlink>
        </w:p>
        <w:p>
          <w:pPr>
            <w:pStyle w:val="Contents4"/>
            <w:tabs>
              <w:tab w:val="clear" w:pos="8176"/>
              <w:tab w:val="right" w:pos="9026" w:leader="dot"/>
            </w:tabs>
            <w:rPr/>
          </w:pPr>
          <w:hyperlink w:anchor="__RefHeading___Toc3809795_1067777946">
            <w:r>
              <w:rPr>
                <w:webHidden/>
                <w:rStyle w:val="IndexLink"/>
                <w:rtl w:val="true"/>
              </w:rPr>
              <w:t>آنچه از ماهى در آب بميرد</w:t>
            </w:r>
            <w:r>
              <w:rPr>
                <w:rStyle w:val="IndexLink"/>
                <w:rtl w:val="true"/>
              </w:rPr>
              <w:tab/>
            </w:r>
            <w:r>
              <w:rPr>
                <w:rStyle w:val="IndexLink"/>
              </w:rPr>
              <w:t>573</w:t>
            </w:r>
          </w:hyperlink>
        </w:p>
        <w:p>
          <w:pPr>
            <w:pStyle w:val="Contents4"/>
            <w:tabs>
              <w:tab w:val="clear" w:pos="8176"/>
              <w:tab w:val="right" w:pos="9026" w:leader="dot"/>
            </w:tabs>
            <w:rPr/>
          </w:pPr>
          <w:hyperlink w:anchor="__RefHeading___Toc3809797_1067777946">
            <w:r>
              <w:rPr>
                <w:webHidden/>
                <w:rStyle w:val="IndexLink"/>
                <w:rtl w:val="true"/>
              </w:rPr>
              <w:t>اگر ماهى، متعذى به عذرۀ انسان باشد</w:t>
            </w:r>
            <w:r>
              <w:rPr>
                <w:rStyle w:val="IndexLink"/>
                <w:rtl w:val="true"/>
              </w:rPr>
              <w:tab/>
            </w:r>
            <w:r>
              <w:rPr>
                <w:rStyle w:val="IndexLink"/>
              </w:rPr>
              <w:t>573</w:t>
            </w:r>
          </w:hyperlink>
        </w:p>
        <w:p>
          <w:pPr>
            <w:pStyle w:val="Contents4"/>
            <w:tabs>
              <w:tab w:val="clear" w:pos="8176"/>
              <w:tab w:val="right" w:pos="9026" w:leader="dot"/>
            </w:tabs>
            <w:rPr/>
          </w:pPr>
          <w:hyperlink w:anchor="__RefHeading___Toc3809799_1067777946">
            <w:r>
              <w:rPr>
                <w:webHidden/>
                <w:rStyle w:val="IndexLink"/>
                <w:rtl w:val="true"/>
              </w:rPr>
              <w:t>حكم تخم ماهى و سائر حيوانات</w:t>
            </w:r>
            <w:r>
              <w:rPr>
                <w:rStyle w:val="IndexLink"/>
                <w:rtl w:val="true"/>
              </w:rPr>
              <w:tab/>
            </w:r>
            <w:r>
              <w:rPr>
                <w:rStyle w:val="IndexLink"/>
              </w:rPr>
              <w:t>574</w:t>
            </w:r>
          </w:hyperlink>
        </w:p>
        <w:p>
          <w:pPr>
            <w:pStyle w:val="Contents3"/>
            <w:tabs>
              <w:tab w:val="clear" w:pos="8459"/>
              <w:tab w:val="right" w:pos="9026" w:leader="dot"/>
            </w:tabs>
            <w:rPr/>
          </w:pPr>
          <w:hyperlink w:anchor="__RefHeading___Toc3809801_1067777946">
            <w:r>
              <w:rPr>
                <w:webHidden/>
                <w:rStyle w:val="IndexLink"/>
                <w:rtl w:val="true"/>
              </w:rPr>
              <w:t>فصل دوّم بهائم</w:t>
            </w:r>
            <w:r>
              <w:rPr>
                <w:rStyle w:val="IndexLink"/>
                <w:rtl w:val="true"/>
              </w:rPr>
              <w:tab/>
            </w:r>
            <w:r>
              <w:rPr>
                <w:rStyle w:val="IndexLink"/>
              </w:rPr>
              <w:t>575</w:t>
            </w:r>
          </w:hyperlink>
        </w:p>
        <w:p>
          <w:pPr>
            <w:pStyle w:val="Contents4"/>
            <w:tabs>
              <w:tab w:val="clear" w:pos="8176"/>
              <w:tab w:val="right" w:pos="9026" w:leader="dot"/>
            </w:tabs>
            <w:rPr/>
          </w:pPr>
          <w:hyperlink w:anchor="__RefHeading___Toc3809803_1067777946">
            <w:r>
              <w:rPr>
                <w:webHidden/>
                <w:rStyle w:val="IndexLink"/>
                <w:rtl w:val="true"/>
              </w:rPr>
              <w:t>آنچه از بهائم حلال است</w:t>
            </w:r>
            <w:r>
              <w:rPr>
                <w:rStyle w:val="IndexLink"/>
                <w:rtl w:val="true"/>
              </w:rPr>
              <w:tab/>
            </w:r>
            <w:r>
              <w:rPr>
                <w:rStyle w:val="IndexLink"/>
              </w:rPr>
              <w:t>575</w:t>
            </w:r>
          </w:hyperlink>
        </w:p>
        <w:p>
          <w:pPr>
            <w:pStyle w:val="Contents4"/>
            <w:tabs>
              <w:tab w:val="clear" w:pos="8176"/>
              <w:tab w:val="right" w:pos="9026" w:leader="dot"/>
            </w:tabs>
            <w:rPr/>
          </w:pPr>
          <w:hyperlink w:anchor="__RefHeading___Toc3809805_1067777946">
            <w:r>
              <w:rPr>
                <w:webHidden/>
                <w:rStyle w:val="IndexLink"/>
                <w:rtl w:val="true"/>
              </w:rPr>
              <w:t>اسباب عروض حرمت بر حيوان حلال گوشت</w:t>
            </w:r>
            <w:r>
              <w:rPr>
                <w:rStyle w:val="IndexLink"/>
                <w:rtl w:val="true"/>
              </w:rPr>
              <w:tab/>
            </w:r>
            <w:r>
              <w:rPr>
                <w:rStyle w:val="IndexLink"/>
              </w:rPr>
              <w:t>575</w:t>
            </w:r>
          </w:hyperlink>
        </w:p>
        <w:p>
          <w:pPr>
            <w:pStyle w:val="Contents5"/>
            <w:tabs>
              <w:tab w:val="clear" w:pos="7892"/>
              <w:tab w:val="right" w:pos="9026" w:leader="dot"/>
            </w:tabs>
            <w:rPr/>
          </w:pPr>
          <w:hyperlink w:anchor="__RefHeading___Toc3809807_1067777946">
            <w:r>
              <w:rPr>
                <w:webHidden/>
                <w:rStyle w:val="IndexLink"/>
                <w:rtl w:val="true"/>
              </w:rPr>
              <w:t>جلال و ملاك آن و طريق انتقاى آن</w:t>
            </w:r>
            <w:r>
              <w:rPr>
                <w:rStyle w:val="IndexLink"/>
                <w:rtl w:val="true"/>
              </w:rPr>
              <w:tab/>
            </w:r>
            <w:r>
              <w:rPr>
                <w:rStyle w:val="IndexLink"/>
              </w:rPr>
              <w:t>575</w:t>
            </w:r>
          </w:hyperlink>
        </w:p>
        <w:p>
          <w:pPr>
            <w:pStyle w:val="Contents5"/>
            <w:tabs>
              <w:tab w:val="clear" w:pos="7892"/>
              <w:tab w:val="right" w:pos="9026" w:leader="dot"/>
            </w:tabs>
            <w:rPr/>
          </w:pPr>
          <w:hyperlink w:anchor="__RefHeading___Toc3809809_1067777946">
            <w:r>
              <w:rPr>
                <w:webHidden/>
                <w:rStyle w:val="IndexLink"/>
                <w:rtl w:val="true"/>
              </w:rPr>
              <w:t>كيفيت استبراى از جلل</w:t>
            </w:r>
            <w:r>
              <w:rPr>
                <w:rStyle w:val="IndexLink"/>
                <w:rtl w:val="true"/>
              </w:rPr>
              <w:tab/>
            </w:r>
            <w:r>
              <w:rPr>
                <w:rStyle w:val="IndexLink"/>
              </w:rPr>
              <w:t>576</w:t>
            </w:r>
          </w:hyperlink>
        </w:p>
        <w:p>
          <w:pPr>
            <w:pStyle w:val="Contents5"/>
            <w:tabs>
              <w:tab w:val="clear" w:pos="7892"/>
              <w:tab w:val="right" w:pos="9026" w:leader="dot"/>
            </w:tabs>
            <w:rPr/>
          </w:pPr>
          <w:hyperlink w:anchor="__RefHeading___Toc3809811_1067777946">
            <w:r>
              <w:rPr>
                <w:webHidden/>
                <w:rStyle w:val="IndexLink"/>
                <w:rtl w:val="true"/>
              </w:rPr>
              <w:t>اگر حيوان، شير خوك بنوشد</w:t>
            </w:r>
            <w:r>
              <w:rPr>
                <w:rStyle w:val="IndexLink"/>
                <w:rtl w:val="true"/>
              </w:rPr>
              <w:tab/>
            </w:r>
            <w:r>
              <w:rPr>
                <w:rStyle w:val="IndexLink"/>
              </w:rPr>
              <w:t>576</w:t>
            </w:r>
          </w:hyperlink>
        </w:p>
        <w:p>
          <w:pPr>
            <w:pStyle w:val="Contents5"/>
            <w:tabs>
              <w:tab w:val="clear" w:pos="7892"/>
              <w:tab w:val="right" w:pos="9026" w:leader="dot"/>
            </w:tabs>
            <w:rPr/>
          </w:pPr>
          <w:hyperlink w:anchor="__RefHeading___Toc3809813_1067777946">
            <w:r>
              <w:rPr>
                <w:webHidden/>
                <w:rStyle w:val="IndexLink"/>
                <w:rtl w:val="true"/>
              </w:rPr>
              <w:t>حكم بهيمه موطوئه</w:t>
            </w:r>
            <w:r>
              <w:rPr>
                <w:rStyle w:val="IndexLink"/>
                <w:rtl w:val="true"/>
              </w:rPr>
              <w:tab/>
            </w:r>
            <w:r>
              <w:rPr>
                <w:rStyle w:val="IndexLink"/>
              </w:rPr>
              <w:t>577</w:t>
            </w:r>
          </w:hyperlink>
        </w:p>
        <w:p>
          <w:pPr>
            <w:pStyle w:val="Contents5"/>
            <w:tabs>
              <w:tab w:val="clear" w:pos="7892"/>
              <w:tab w:val="right" w:pos="9026" w:leader="dot"/>
            </w:tabs>
            <w:rPr/>
          </w:pPr>
          <w:hyperlink w:anchor="__RefHeading___Toc3809815_1067777946">
            <w:r>
              <w:rPr>
                <w:webHidden/>
                <w:rStyle w:val="IndexLink"/>
                <w:rtl w:val="true"/>
              </w:rPr>
              <w:t>اشتباه موطوء به غير و تعيين با قرعه</w:t>
            </w:r>
            <w:r>
              <w:rPr>
                <w:rStyle w:val="IndexLink"/>
                <w:rtl w:val="true"/>
              </w:rPr>
              <w:tab/>
            </w:r>
            <w:r>
              <w:rPr>
                <w:rStyle w:val="IndexLink"/>
              </w:rPr>
              <w:t>578</w:t>
            </w:r>
          </w:hyperlink>
        </w:p>
        <w:p>
          <w:pPr>
            <w:pStyle w:val="Contents5"/>
            <w:tabs>
              <w:tab w:val="clear" w:pos="7892"/>
              <w:tab w:val="right" w:pos="9026" w:leader="dot"/>
            </w:tabs>
            <w:rPr/>
          </w:pPr>
          <w:hyperlink w:anchor="__RefHeading___Toc3809817_1067777946">
            <w:r>
              <w:rPr>
                <w:webHidden/>
                <w:rStyle w:val="IndexLink"/>
                <w:rtl w:val="true"/>
              </w:rPr>
              <w:t>حيوانى كه خمر يا بول بياشامد</w:t>
            </w:r>
            <w:r>
              <w:rPr>
                <w:rStyle w:val="IndexLink"/>
                <w:rtl w:val="true"/>
              </w:rPr>
              <w:tab/>
            </w:r>
            <w:r>
              <w:rPr>
                <w:rStyle w:val="IndexLink"/>
              </w:rPr>
              <w:t>578</w:t>
            </w:r>
          </w:hyperlink>
        </w:p>
        <w:p>
          <w:pPr>
            <w:pStyle w:val="Contents4"/>
            <w:tabs>
              <w:tab w:val="clear" w:pos="8176"/>
              <w:tab w:val="right" w:pos="9026" w:leader="dot"/>
            </w:tabs>
            <w:rPr/>
          </w:pPr>
          <w:hyperlink w:anchor="__RefHeading___Toc3809819_1067777946">
            <w:r>
              <w:rPr>
                <w:webHidden/>
                <w:rStyle w:val="IndexLink"/>
                <w:rtl w:val="true"/>
              </w:rPr>
              <w:t>تعدادى از حيوانات حرام گوشت و حلال گوشت</w:t>
            </w:r>
            <w:r>
              <w:rPr>
                <w:rStyle w:val="IndexLink"/>
                <w:rtl w:val="true"/>
              </w:rPr>
              <w:tab/>
            </w:r>
            <w:r>
              <w:rPr>
                <w:rStyle w:val="IndexLink"/>
              </w:rPr>
              <w:t>578</w:t>
            </w:r>
          </w:hyperlink>
        </w:p>
        <w:p>
          <w:pPr>
            <w:pStyle w:val="Contents3"/>
            <w:tabs>
              <w:tab w:val="clear" w:pos="8459"/>
              <w:tab w:val="right" w:pos="9026" w:leader="dot"/>
            </w:tabs>
            <w:rPr/>
          </w:pPr>
          <w:hyperlink w:anchor="__RefHeading___Toc3809821_1067777946">
            <w:r>
              <w:rPr>
                <w:webHidden/>
                <w:rStyle w:val="IndexLink"/>
                <w:rtl w:val="true"/>
              </w:rPr>
              <w:t>فصل سوّم پرندگان</w:t>
            </w:r>
            <w:r>
              <w:rPr>
                <w:rStyle w:val="IndexLink"/>
                <w:rtl w:val="true"/>
              </w:rPr>
              <w:tab/>
            </w:r>
            <w:r>
              <w:rPr>
                <w:rStyle w:val="IndexLink"/>
              </w:rPr>
              <w:t>580</w:t>
            </w:r>
          </w:hyperlink>
        </w:p>
        <w:p>
          <w:pPr>
            <w:pStyle w:val="Contents4"/>
            <w:tabs>
              <w:tab w:val="clear" w:pos="8176"/>
              <w:tab w:val="right" w:pos="9026" w:leader="dot"/>
            </w:tabs>
            <w:rPr/>
          </w:pPr>
          <w:hyperlink w:anchor="__RefHeading___Toc3809823_1067777946">
            <w:r>
              <w:rPr>
                <w:webHidden/>
                <w:rStyle w:val="IndexLink"/>
                <w:rtl w:val="true"/>
              </w:rPr>
              <w:t>حرمت صاحب مخلاب و كلاغ</w:t>
            </w:r>
            <w:r>
              <w:rPr>
                <w:rStyle w:val="IndexLink"/>
                <w:rtl w:val="true"/>
              </w:rPr>
              <w:tab/>
            </w:r>
            <w:r>
              <w:rPr>
                <w:rStyle w:val="IndexLink"/>
              </w:rPr>
              <w:t>580</w:t>
            </w:r>
          </w:hyperlink>
        </w:p>
        <w:p>
          <w:pPr>
            <w:pStyle w:val="Contents4"/>
            <w:tabs>
              <w:tab w:val="clear" w:pos="8176"/>
              <w:tab w:val="right" w:pos="9026" w:leader="dot"/>
            </w:tabs>
            <w:rPr/>
          </w:pPr>
          <w:hyperlink w:anchor="__RefHeading___Toc3809825_1067777946">
            <w:r>
              <w:rPr>
                <w:webHidden/>
                <w:rStyle w:val="IndexLink"/>
                <w:rtl w:val="true"/>
              </w:rPr>
              <w:t>حرمت پرنده اى كه بال گشودن آن بيش از حركت دادن باشد</w:t>
            </w:r>
            <w:r>
              <w:rPr>
                <w:rStyle w:val="IndexLink"/>
                <w:rtl w:val="true"/>
              </w:rPr>
              <w:tab/>
            </w:r>
            <w:r>
              <w:rPr>
                <w:rStyle w:val="IndexLink"/>
              </w:rPr>
              <w:t>580</w:t>
            </w:r>
          </w:hyperlink>
        </w:p>
        <w:p>
          <w:pPr>
            <w:pStyle w:val="Contents4"/>
            <w:tabs>
              <w:tab w:val="clear" w:pos="8176"/>
              <w:tab w:val="right" w:pos="9026" w:leader="dot"/>
            </w:tabs>
            <w:rPr/>
          </w:pPr>
          <w:hyperlink w:anchor="__RefHeading___Toc3809827_1067777946">
            <w:r>
              <w:rPr>
                <w:webHidden/>
                <w:rStyle w:val="IndexLink"/>
                <w:rtl w:val="true"/>
              </w:rPr>
              <w:t>حرمت پرنده اى كه قانصه و حوصله و صيصيه ندارد</w:t>
            </w:r>
            <w:r>
              <w:rPr>
                <w:rStyle w:val="IndexLink"/>
                <w:rtl w:val="true"/>
              </w:rPr>
              <w:tab/>
            </w:r>
            <w:r>
              <w:rPr>
                <w:rStyle w:val="IndexLink"/>
              </w:rPr>
              <w:t>581</w:t>
            </w:r>
          </w:hyperlink>
        </w:p>
        <w:p>
          <w:pPr>
            <w:pStyle w:val="Contents4"/>
            <w:tabs>
              <w:tab w:val="clear" w:pos="8176"/>
              <w:tab w:val="right" w:pos="9026" w:leader="dot"/>
            </w:tabs>
            <w:rPr/>
          </w:pPr>
          <w:hyperlink w:anchor="__RefHeading___Toc3809829_1067777946">
            <w:r>
              <w:rPr>
                <w:webHidden/>
                <w:rStyle w:val="IndexLink"/>
                <w:rtl w:val="true"/>
              </w:rPr>
              <w:t>معارضه بين علائم حليت و حرمت</w:t>
            </w:r>
            <w:r>
              <w:rPr>
                <w:rStyle w:val="IndexLink"/>
                <w:rtl w:val="true"/>
              </w:rPr>
              <w:tab/>
            </w:r>
            <w:r>
              <w:rPr>
                <w:rStyle w:val="IndexLink"/>
              </w:rPr>
              <w:t>581</w:t>
            </w:r>
          </w:hyperlink>
        </w:p>
        <w:p>
          <w:pPr>
            <w:pStyle w:val="Contents4"/>
            <w:tabs>
              <w:tab w:val="clear" w:pos="8176"/>
              <w:tab w:val="right" w:pos="9026" w:leader="dot"/>
            </w:tabs>
            <w:rPr/>
          </w:pPr>
          <w:hyperlink w:anchor="__RefHeading___Toc3809831_1067777946">
            <w:r>
              <w:rPr>
                <w:webHidden/>
                <w:rStyle w:val="IndexLink"/>
                <w:rtl w:val="true"/>
              </w:rPr>
              <w:t>تعدادى از پرندگان حلال گوشت</w:t>
            </w:r>
            <w:r>
              <w:rPr>
                <w:rStyle w:val="IndexLink"/>
                <w:rtl w:val="true"/>
              </w:rPr>
              <w:tab/>
            </w:r>
            <w:r>
              <w:rPr>
                <w:rStyle w:val="IndexLink"/>
              </w:rPr>
              <w:t>581</w:t>
            </w:r>
          </w:hyperlink>
        </w:p>
        <w:p>
          <w:pPr>
            <w:pStyle w:val="Contents4"/>
            <w:tabs>
              <w:tab w:val="clear" w:pos="8176"/>
              <w:tab w:val="right" w:pos="9026" w:leader="dot"/>
            </w:tabs>
            <w:rPr/>
          </w:pPr>
          <w:hyperlink w:anchor="__RefHeading___Toc3809833_1067777946">
            <w:r>
              <w:rPr>
                <w:webHidden/>
                <w:rStyle w:val="IndexLink"/>
                <w:rtl w:val="true"/>
              </w:rPr>
              <w:t>حكم مرغهاى آبى</w:t>
            </w:r>
            <w:r>
              <w:rPr>
                <w:rStyle w:val="IndexLink"/>
                <w:rtl w:val="true"/>
              </w:rPr>
              <w:tab/>
            </w:r>
            <w:r>
              <w:rPr>
                <w:rStyle w:val="IndexLink"/>
              </w:rPr>
              <w:t>581</w:t>
            </w:r>
          </w:hyperlink>
        </w:p>
        <w:p>
          <w:pPr>
            <w:pStyle w:val="Contents4"/>
            <w:tabs>
              <w:tab w:val="clear" w:pos="8176"/>
              <w:tab w:val="right" w:pos="9026" w:leader="dot"/>
            </w:tabs>
            <w:rPr/>
          </w:pPr>
          <w:hyperlink w:anchor="__RefHeading___Toc3809835_1067777946">
            <w:r>
              <w:rPr>
                <w:webHidden/>
                <w:rStyle w:val="IndexLink"/>
                <w:rtl w:val="true"/>
              </w:rPr>
              <w:t>حكم زنبور و مگس و پشه و كرم</w:t>
            </w:r>
            <w:r>
              <w:rPr>
                <w:rStyle w:val="IndexLink"/>
                <w:rtl w:val="true"/>
              </w:rPr>
              <w:tab/>
            </w:r>
            <w:r>
              <w:rPr>
                <w:rStyle w:val="IndexLink"/>
              </w:rPr>
              <w:t>582</w:t>
            </w:r>
          </w:hyperlink>
        </w:p>
        <w:p>
          <w:pPr>
            <w:pStyle w:val="Contents4"/>
            <w:tabs>
              <w:tab w:val="clear" w:pos="8176"/>
              <w:tab w:val="right" w:pos="9026" w:leader="dot"/>
            </w:tabs>
            <w:rPr/>
          </w:pPr>
          <w:hyperlink w:anchor="__RefHeading___Toc3809837_1067777946">
            <w:r>
              <w:rPr>
                <w:webHidden/>
                <w:rStyle w:val="IndexLink"/>
                <w:rtl w:val="true"/>
              </w:rPr>
              <w:t>حكم شترمرغ</w:t>
            </w:r>
            <w:r>
              <w:rPr>
                <w:rStyle w:val="IndexLink"/>
                <w:rtl w:val="true"/>
              </w:rPr>
              <w:tab/>
            </w:r>
            <w:r>
              <w:rPr>
                <w:rStyle w:val="IndexLink"/>
              </w:rPr>
              <w:t>582</w:t>
            </w:r>
          </w:hyperlink>
        </w:p>
        <w:p>
          <w:pPr>
            <w:pStyle w:val="Contents4"/>
            <w:tabs>
              <w:tab w:val="clear" w:pos="8176"/>
              <w:tab w:val="right" w:pos="9026" w:leader="dot"/>
            </w:tabs>
            <w:rPr/>
          </w:pPr>
          <w:hyperlink w:anchor="__RefHeading___Toc3809839_1067777946">
            <w:r>
              <w:rPr>
                <w:webHidden/>
                <w:rStyle w:val="IndexLink"/>
                <w:rtl w:val="true"/>
              </w:rPr>
              <w:t>حكم تخم مرغ</w:t>
            </w:r>
            <w:r>
              <w:rPr>
                <w:rStyle w:val="IndexLink"/>
                <w:rtl w:val="true"/>
              </w:rPr>
              <w:tab/>
            </w:r>
            <w:r>
              <w:rPr>
                <w:rStyle w:val="IndexLink"/>
              </w:rPr>
              <w:t>582</w:t>
            </w:r>
          </w:hyperlink>
        </w:p>
        <w:p>
          <w:pPr>
            <w:pStyle w:val="Contents4"/>
            <w:tabs>
              <w:tab w:val="clear" w:pos="8176"/>
              <w:tab w:val="right" w:pos="9026" w:leader="dot"/>
            </w:tabs>
            <w:rPr/>
          </w:pPr>
          <w:hyperlink w:anchor="__RefHeading___Toc3809841_1067777946">
            <w:r>
              <w:rPr>
                <w:webHidden/>
                <w:rStyle w:val="IndexLink"/>
                <w:rtl w:val="true"/>
              </w:rPr>
              <w:t>حكم مجثمه و مصبوره</w:t>
            </w:r>
            <w:r>
              <w:rPr>
                <w:rStyle w:val="IndexLink"/>
                <w:rtl w:val="true"/>
              </w:rPr>
              <w:tab/>
            </w:r>
            <w:r>
              <w:rPr>
                <w:rStyle w:val="IndexLink"/>
              </w:rPr>
              <w:t>583</w:t>
            </w:r>
          </w:hyperlink>
        </w:p>
        <w:p>
          <w:pPr>
            <w:pStyle w:val="Contents3"/>
            <w:tabs>
              <w:tab w:val="clear" w:pos="8459"/>
              <w:tab w:val="right" w:pos="9026" w:leader="dot"/>
            </w:tabs>
            <w:rPr/>
          </w:pPr>
          <w:hyperlink w:anchor="__RefHeading___Toc3809843_1067777946">
            <w:r>
              <w:rPr>
                <w:webHidden/>
                <w:rStyle w:val="IndexLink"/>
                <w:rtl w:val="true"/>
              </w:rPr>
              <w:t>فصل چهارم محرّمات از جمادات</w:t>
            </w:r>
            <w:r>
              <w:rPr>
                <w:rStyle w:val="IndexLink"/>
                <w:rtl w:val="true"/>
              </w:rPr>
              <w:tab/>
            </w:r>
            <w:r>
              <w:rPr>
                <w:rStyle w:val="IndexLink"/>
              </w:rPr>
              <w:t>584</w:t>
            </w:r>
          </w:hyperlink>
        </w:p>
        <w:p>
          <w:pPr>
            <w:pStyle w:val="Contents4"/>
            <w:tabs>
              <w:tab w:val="clear" w:pos="8176"/>
              <w:tab w:val="right" w:pos="9026" w:leader="dot"/>
            </w:tabs>
            <w:rPr/>
          </w:pPr>
          <w:hyperlink w:anchor="__RefHeading___Toc3809845_1067777946">
            <w:r>
              <w:rPr>
                <w:webHidden/>
                <w:rStyle w:val="IndexLink"/>
              </w:rPr>
              <w:t>1</w:t>
            </w:r>
            <w:r>
              <w:rPr>
                <w:rStyle w:val="IndexLink"/>
                <w:rtl w:val="true"/>
              </w:rPr>
              <w:t xml:space="preserve">. </w:t>
            </w:r>
            <w:r>
              <w:rPr>
                <w:rStyle w:val="IndexLink"/>
                <w:rtl w:val="true"/>
              </w:rPr>
              <w:t>جامدات</w:t>
            </w:r>
            <w:r>
              <w:rPr>
                <w:rStyle w:val="IndexLink"/>
                <w:rtl w:val="true"/>
              </w:rPr>
              <w:tab/>
            </w:r>
            <w:r>
              <w:rPr>
                <w:rStyle w:val="IndexLink"/>
              </w:rPr>
              <w:t>584</w:t>
            </w:r>
          </w:hyperlink>
        </w:p>
        <w:p>
          <w:pPr>
            <w:pStyle w:val="Contents5"/>
            <w:tabs>
              <w:tab w:val="clear" w:pos="7892"/>
              <w:tab w:val="right" w:pos="9026" w:leader="dot"/>
            </w:tabs>
            <w:rPr/>
          </w:pPr>
          <w:hyperlink w:anchor="__RefHeading___Toc3809847_1067777946">
            <w:r>
              <w:rPr>
                <w:webHidden/>
                <w:rStyle w:val="IndexLink"/>
                <w:rtl w:val="true"/>
              </w:rPr>
              <w:t>ميته</w:t>
            </w:r>
            <w:r>
              <w:rPr>
                <w:rStyle w:val="IndexLink"/>
                <w:rtl w:val="true"/>
              </w:rPr>
              <w:tab/>
            </w:r>
            <w:r>
              <w:rPr>
                <w:rStyle w:val="IndexLink"/>
              </w:rPr>
              <w:t>584</w:t>
            </w:r>
          </w:hyperlink>
        </w:p>
        <w:p>
          <w:pPr>
            <w:pStyle w:val="Contents5"/>
            <w:tabs>
              <w:tab w:val="clear" w:pos="7892"/>
              <w:tab w:val="right" w:pos="9026" w:leader="dot"/>
            </w:tabs>
            <w:rPr/>
          </w:pPr>
          <w:hyperlink w:anchor="__RefHeading___Toc3809849_1067777946">
            <w:r>
              <w:rPr>
                <w:webHidden/>
                <w:rStyle w:val="IndexLink"/>
                <w:rtl w:val="true"/>
              </w:rPr>
              <w:t>اشتباه ميته با غير ميته</w:t>
            </w:r>
            <w:r>
              <w:rPr>
                <w:rStyle w:val="IndexLink"/>
                <w:rtl w:val="true"/>
              </w:rPr>
              <w:tab/>
            </w:r>
            <w:r>
              <w:rPr>
                <w:rStyle w:val="IndexLink"/>
              </w:rPr>
              <w:t>584</w:t>
            </w:r>
          </w:hyperlink>
        </w:p>
        <w:p>
          <w:pPr>
            <w:pStyle w:val="Contents5"/>
            <w:tabs>
              <w:tab w:val="clear" w:pos="7892"/>
              <w:tab w:val="right" w:pos="9026" w:leader="dot"/>
            </w:tabs>
            <w:rPr/>
          </w:pPr>
          <w:hyperlink w:anchor="__RefHeading___Toc3809851_1067777946">
            <w:r>
              <w:rPr>
                <w:webHidden/>
                <w:rStyle w:val="IndexLink"/>
                <w:rtl w:val="true"/>
              </w:rPr>
              <w:t>محرّمات ذبيحه و مكروهات آن</w:t>
            </w:r>
            <w:r>
              <w:rPr>
                <w:rStyle w:val="IndexLink"/>
                <w:rtl w:val="true"/>
              </w:rPr>
              <w:tab/>
            </w:r>
            <w:r>
              <w:rPr>
                <w:rStyle w:val="IndexLink"/>
              </w:rPr>
              <w:t>585</w:t>
            </w:r>
          </w:hyperlink>
        </w:p>
        <w:p>
          <w:pPr>
            <w:pStyle w:val="Contents5"/>
            <w:tabs>
              <w:tab w:val="clear" w:pos="7892"/>
              <w:tab w:val="right" w:pos="9026" w:leader="dot"/>
            </w:tabs>
            <w:rPr/>
          </w:pPr>
          <w:hyperlink w:anchor="__RefHeading___Toc3809853_1067777946">
            <w:r>
              <w:rPr>
                <w:webHidden/>
                <w:rStyle w:val="IndexLink"/>
                <w:rtl w:val="true"/>
              </w:rPr>
              <w:t>عدم حرمت غير خبيث از غير ذبائح</w:t>
            </w:r>
            <w:r>
              <w:rPr>
                <w:rStyle w:val="IndexLink"/>
                <w:rtl w:val="true"/>
              </w:rPr>
              <w:tab/>
            </w:r>
            <w:r>
              <w:rPr>
                <w:rStyle w:val="IndexLink"/>
              </w:rPr>
              <w:t>585</w:t>
            </w:r>
          </w:hyperlink>
        </w:p>
        <w:p>
          <w:pPr>
            <w:pStyle w:val="Contents5"/>
            <w:tabs>
              <w:tab w:val="clear" w:pos="7892"/>
              <w:tab w:val="right" w:pos="9026" w:leader="dot"/>
            </w:tabs>
            <w:rPr/>
          </w:pPr>
          <w:hyperlink w:anchor="__RefHeading___Toc3809855_1067777946">
            <w:r>
              <w:rPr>
                <w:webHidden/>
                <w:rStyle w:val="IndexLink"/>
                <w:rtl w:val="true"/>
              </w:rPr>
              <w:t>آنچه طبع نوع انسان از آن متنفّر است</w:t>
            </w:r>
            <w:r>
              <w:rPr>
                <w:rStyle w:val="IndexLink"/>
                <w:rtl w:val="true"/>
              </w:rPr>
              <w:tab/>
            </w:r>
            <w:r>
              <w:rPr>
                <w:rStyle w:val="IndexLink"/>
              </w:rPr>
              <w:t>585</w:t>
            </w:r>
          </w:hyperlink>
        </w:p>
        <w:p>
          <w:pPr>
            <w:pStyle w:val="Contents5"/>
            <w:tabs>
              <w:tab w:val="clear" w:pos="7892"/>
              <w:tab w:val="right" w:pos="9026" w:leader="dot"/>
            </w:tabs>
            <w:rPr/>
          </w:pPr>
          <w:hyperlink w:anchor="__RefHeading___Toc3809857_1067777946">
            <w:r>
              <w:rPr>
                <w:webHidden/>
                <w:rStyle w:val="IndexLink"/>
                <w:rtl w:val="true"/>
              </w:rPr>
              <w:t>طبخ حرام با حلال</w:t>
            </w:r>
            <w:r>
              <w:rPr>
                <w:rStyle w:val="IndexLink"/>
                <w:rtl w:val="true"/>
              </w:rPr>
              <w:tab/>
            </w:r>
            <w:r>
              <w:rPr>
                <w:rStyle w:val="IndexLink"/>
              </w:rPr>
              <w:t>586</w:t>
            </w:r>
          </w:hyperlink>
        </w:p>
        <w:p>
          <w:pPr>
            <w:pStyle w:val="Contents5"/>
            <w:tabs>
              <w:tab w:val="clear" w:pos="7892"/>
              <w:tab w:val="right" w:pos="9026" w:leader="dot"/>
            </w:tabs>
            <w:rPr/>
          </w:pPr>
          <w:hyperlink w:anchor="__RefHeading___Toc3809859_1067777946">
            <w:r>
              <w:rPr>
                <w:webHidden/>
                <w:rStyle w:val="IndexLink"/>
                <w:rtl w:val="true"/>
              </w:rPr>
              <w:t>عذرات نجسه</w:t>
            </w:r>
            <w:r>
              <w:rPr>
                <w:rStyle w:val="IndexLink"/>
                <w:rtl w:val="true"/>
              </w:rPr>
              <w:tab/>
            </w:r>
            <w:r>
              <w:rPr>
                <w:rStyle w:val="IndexLink"/>
              </w:rPr>
              <w:t>586</w:t>
            </w:r>
          </w:hyperlink>
        </w:p>
        <w:p>
          <w:pPr>
            <w:pStyle w:val="Contents5"/>
            <w:tabs>
              <w:tab w:val="clear" w:pos="7892"/>
              <w:tab w:val="right" w:pos="9026" w:leader="dot"/>
            </w:tabs>
            <w:rPr/>
          </w:pPr>
          <w:hyperlink w:anchor="__RefHeading___Toc3809861_1067777946">
            <w:r>
              <w:rPr>
                <w:webHidden/>
                <w:rStyle w:val="IndexLink"/>
                <w:rtl w:val="true"/>
              </w:rPr>
              <w:t>اكل طين و خاك</w:t>
            </w:r>
            <w:r>
              <w:rPr>
                <w:rStyle w:val="IndexLink"/>
                <w:rtl w:val="true"/>
              </w:rPr>
              <w:tab/>
            </w:r>
            <w:r>
              <w:rPr>
                <w:rStyle w:val="IndexLink"/>
              </w:rPr>
              <w:t>586</w:t>
            </w:r>
          </w:hyperlink>
        </w:p>
        <w:p>
          <w:pPr>
            <w:pStyle w:val="Contents5"/>
            <w:tabs>
              <w:tab w:val="clear" w:pos="7892"/>
              <w:tab w:val="right" w:pos="9026" w:leader="dot"/>
            </w:tabs>
            <w:rPr/>
          </w:pPr>
          <w:hyperlink w:anchor="__RefHeading___Toc3809863_1067777946">
            <w:r>
              <w:rPr>
                <w:webHidden/>
                <w:rStyle w:val="IndexLink"/>
                <w:rtl w:val="true"/>
              </w:rPr>
              <w:t>گل مأخوذ از قبر مقدس سيد الشهداء</w:t>
            </w:r>
            <w:r>
              <w:rPr>
                <w:rStyle w:val="IndexLink"/>
                <w:rtl w:val="true"/>
              </w:rPr>
              <w:tab/>
            </w:r>
            <w:r>
              <w:rPr>
                <w:rStyle w:val="IndexLink"/>
              </w:rPr>
              <w:t>587</w:t>
            </w:r>
          </w:hyperlink>
        </w:p>
        <w:p>
          <w:pPr>
            <w:pStyle w:val="Contents5"/>
            <w:tabs>
              <w:tab w:val="clear" w:pos="7892"/>
              <w:tab w:val="right" w:pos="9026" w:leader="dot"/>
            </w:tabs>
            <w:rPr/>
          </w:pPr>
          <w:hyperlink w:anchor="__RefHeading___Toc3809865_1067777946">
            <w:r>
              <w:rPr>
                <w:webHidden/>
                <w:rStyle w:val="IndexLink"/>
                <w:rtl w:val="true"/>
              </w:rPr>
              <w:t xml:space="preserve">خاك قبور ديگر معصومين </w:t>
            </w:r>
            <w:r>
              <w:rPr>
                <w:rStyle w:val="IndexLink"/>
                <w:rtl w:val="true"/>
              </w:rPr>
              <w:t>-</w:t>
              <w:tab/>
            </w:r>
            <w:r>
              <w:rPr>
                <w:rStyle w:val="IndexLink"/>
              </w:rPr>
              <w:t>587</w:t>
            </w:r>
          </w:hyperlink>
        </w:p>
        <w:p>
          <w:pPr>
            <w:pStyle w:val="Contents5"/>
            <w:tabs>
              <w:tab w:val="clear" w:pos="7892"/>
              <w:tab w:val="right" w:pos="9026" w:leader="dot"/>
            </w:tabs>
            <w:rPr/>
          </w:pPr>
          <w:hyperlink w:anchor="__RefHeading___Toc3809867_1067777946">
            <w:r>
              <w:rPr>
                <w:webHidden/>
                <w:rStyle w:val="IndexLink"/>
                <w:rtl w:val="true"/>
              </w:rPr>
              <w:t>آنچه براى انسان ضرر دارد</w:t>
            </w:r>
            <w:r>
              <w:rPr>
                <w:rStyle w:val="IndexLink"/>
                <w:rtl w:val="true"/>
              </w:rPr>
              <w:tab/>
            </w:r>
            <w:r>
              <w:rPr>
                <w:rStyle w:val="IndexLink"/>
              </w:rPr>
              <w:t>587</w:t>
            </w:r>
          </w:hyperlink>
        </w:p>
        <w:p>
          <w:pPr>
            <w:pStyle w:val="Contents4"/>
            <w:tabs>
              <w:tab w:val="clear" w:pos="8176"/>
              <w:tab w:val="right" w:pos="9026" w:leader="dot"/>
            </w:tabs>
            <w:rPr/>
          </w:pPr>
          <w:hyperlink w:anchor="__RefHeading___Toc3809869_1067777946">
            <w:r>
              <w:rPr>
                <w:webHidden/>
                <w:rStyle w:val="IndexLink"/>
              </w:rPr>
              <w:t>2</w:t>
            </w:r>
            <w:r>
              <w:rPr>
                <w:rStyle w:val="IndexLink"/>
                <w:rtl w:val="true"/>
              </w:rPr>
              <w:t xml:space="preserve">. </w:t>
            </w:r>
            <w:r>
              <w:rPr>
                <w:rStyle w:val="IndexLink"/>
                <w:rtl w:val="true"/>
              </w:rPr>
              <w:t>مايعات محرّمه</w:t>
            </w:r>
            <w:r>
              <w:rPr>
                <w:rStyle w:val="IndexLink"/>
                <w:rtl w:val="true"/>
              </w:rPr>
              <w:tab/>
            </w:r>
            <w:r>
              <w:rPr>
                <w:rStyle w:val="IndexLink"/>
              </w:rPr>
              <w:t>588</w:t>
            </w:r>
          </w:hyperlink>
        </w:p>
        <w:p>
          <w:pPr>
            <w:pStyle w:val="Contents5"/>
            <w:tabs>
              <w:tab w:val="clear" w:pos="7892"/>
              <w:tab w:val="right" w:pos="9026" w:leader="dot"/>
            </w:tabs>
            <w:rPr/>
          </w:pPr>
          <w:hyperlink w:anchor="__RefHeading___Toc3809871_1067777946">
            <w:r>
              <w:rPr>
                <w:webHidden/>
                <w:rStyle w:val="IndexLink"/>
                <w:rtl w:val="true"/>
              </w:rPr>
              <w:t>حرمت خمر و مسكر</w:t>
            </w:r>
            <w:r>
              <w:rPr>
                <w:rStyle w:val="IndexLink"/>
                <w:rtl w:val="true"/>
              </w:rPr>
              <w:tab/>
            </w:r>
            <w:r>
              <w:rPr>
                <w:rStyle w:val="IndexLink"/>
              </w:rPr>
              <w:t>588</w:t>
            </w:r>
          </w:hyperlink>
        </w:p>
        <w:p>
          <w:pPr>
            <w:pStyle w:val="Contents5"/>
            <w:tabs>
              <w:tab w:val="clear" w:pos="7892"/>
              <w:tab w:val="right" w:pos="9026" w:leader="dot"/>
            </w:tabs>
            <w:rPr/>
          </w:pPr>
          <w:hyperlink w:anchor="__RefHeading___Toc3809873_1067777946">
            <w:r>
              <w:rPr>
                <w:webHidden/>
                <w:rStyle w:val="IndexLink"/>
                <w:rtl w:val="true"/>
              </w:rPr>
              <w:t>حكم خون حيوانات</w:t>
            </w:r>
            <w:r>
              <w:rPr>
                <w:rStyle w:val="IndexLink"/>
                <w:rtl w:val="true"/>
              </w:rPr>
              <w:tab/>
            </w:r>
            <w:r>
              <w:rPr>
                <w:rStyle w:val="IndexLink"/>
              </w:rPr>
              <w:t>588</w:t>
            </w:r>
          </w:hyperlink>
        </w:p>
        <w:p>
          <w:pPr>
            <w:pStyle w:val="Contents5"/>
            <w:tabs>
              <w:tab w:val="clear" w:pos="7892"/>
              <w:tab w:val="right" w:pos="9026" w:leader="dot"/>
            </w:tabs>
            <w:rPr/>
          </w:pPr>
          <w:hyperlink w:anchor="__RefHeading___Toc3809875_1067777946">
            <w:r>
              <w:rPr>
                <w:webHidden/>
                <w:rStyle w:val="IndexLink"/>
                <w:rtl w:val="true"/>
              </w:rPr>
              <w:t>خون تخم مرغ</w:t>
            </w:r>
            <w:r>
              <w:rPr>
                <w:rStyle w:val="IndexLink"/>
                <w:rtl w:val="true"/>
              </w:rPr>
              <w:tab/>
            </w:r>
            <w:r>
              <w:rPr>
                <w:rStyle w:val="IndexLink"/>
              </w:rPr>
              <w:t>589</w:t>
            </w:r>
          </w:hyperlink>
        </w:p>
        <w:p>
          <w:pPr>
            <w:pStyle w:val="Contents5"/>
            <w:tabs>
              <w:tab w:val="clear" w:pos="7892"/>
              <w:tab w:val="right" w:pos="9026" w:leader="dot"/>
            </w:tabs>
            <w:rPr/>
          </w:pPr>
          <w:hyperlink w:anchor="__RefHeading___Toc3809877_1067777946">
            <w:r>
              <w:rPr>
                <w:webHidden/>
                <w:rStyle w:val="IndexLink"/>
                <w:rtl w:val="true"/>
              </w:rPr>
              <w:t>اگر خون يا نجاست ديگر در ظرف غذا بريزد</w:t>
            </w:r>
            <w:r>
              <w:rPr>
                <w:rStyle w:val="IndexLink"/>
                <w:rtl w:val="true"/>
              </w:rPr>
              <w:tab/>
            </w:r>
            <w:r>
              <w:rPr>
                <w:rStyle w:val="IndexLink"/>
              </w:rPr>
              <w:t>589</w:t>
            </w:r>
          </w:hyperlink>
        </w:p>
        <w:p>
          <w:pPr>
            <w:pStyle w:val="Contents5"/>
            <w:tabs>
              <w:tab w:val="clear" w:pos="7892"/>
              <w:tab w:val="right" w:pos="9026" w:leader="dot"/>
            </w:tabs>
            <w:rPr/>
          </w:pPr>
          <w:hyperlink w:anchor="__RefHeading___Toc3809879_1067777946">
            <w:r>
              <w:rPr>
                <w:webHidden/>
                <w:rStyle w:val="IndexLink"/>
                <w:rtl w:val="true"/>
              </w:rPr>
              <w:t>حكم ملاقى نجاست يا متنجس</w:t>
            </w:r>
            <w:r>
              <w:rPr>
                <w:rStyle w:val="IndexLink"/>
                <w:rtl w:val="true"/>
              </w:rPr>
              <w:tab/>
            </w:r>
            <w:r>
              <w:rPr>
                <w:rStyle w:val="IndexLink"/>
              </w:rPr>
              <w:t>589</w:t>
            </w:r>
          </w:hyperlink>
        </w:p>
        <w:p>
          <w:pPr>
            <w:pStyle w:val="Contents5"/>
            <w:tabs>
              <w:tab w:val="clear" w:pos="7892"/>
              <w:tab w:val="right" w:pos="9026" w:leader="dot"/>
            </w:tabs>
            <w:rPr/>
          </w:pPr>
          <w:hyperlink w:anchor="__RefHeading___Toc3809881_1067777946">
            <w:r>
              <w:rPr>
                <w:webHidden/>
                <w:rStyle w:val="IndexLink"/>
                <w:rtl w:val="true"/>
              </w:rPr>
              <w:t>جواز استصباح به دهن متنجس و بيع آن</w:t>
            </w:r>
            <w:r>
              <w:rPr>
                <w:rStyle w:val="IndexLink"/>
                <w:rtl w:val="true"/>
              </w:rPr>
              <w:tab/>
            </w:r>
            <w:r>
              <w:rPr>
                <w:rStyle w:val="IndexLink"/>
              </w:rPr>
              <w:t>590</w:t>
            </w:r>
          </w:hyperlink>
        </w:p>
        <w:p>
          <w:pPr>
            <w:pStyle w:val="Contents5"/>
            <w:tabs>
              <w:tab w:val="clear" w:pos="7892"/>
              <w:tab w:val="right" w:pos="9026" w:leader="dot"/>
            </w:tabs>
            <w:rPr/>
          </w:pPr>
          <w:hyperlink w:anchor="__RefHeading___Toc3809883_1067777946">
            <w:r>
              <w:rPr>
                <w:webHidden/>
                <w:rStyle w:val="IndexLink"/>
                <w:rtl w:val="true"/>
              </w:rPr>
              <w:t>ميته حيوان غير ذى نفس سائله</w:t>
            </w:r>
            <w:r>
              <w:rPr>
                <w:rStyle w:val="IndexLink"/>
                <w:rtl w:val="true"/>
              </w:rPr>
              <w:tab/>
            </w:r>
            <w:r>
              <w:rPr>
                <w:rStyle w:val="IndexLink"/>
              </w:rPr>
              <w:t>591</w:t>
            </w:r>
          </w:hyperlink>
        </w:p>
        <w:p>
          <w:pPr>
            <w:pStyle w:val="Contents5"/>
            <w:tabs>
              <w:tab w:val="clear" w:pos="7892"/>
              <w:tab w:val="right" w:pos="9026" w:leader="dot"/>
            </w:tabs>
            <w:rPr/>
          </w:pPr>
          <w:hyperlink w:anchor="__RefHeading___Toc3809885_1067777946">
            <w:r>
              <w:rPr>
                <w:webHidden/>
                <w:rStyle w:val="IndexLink"/>
                <w:rtl w:val="true"/>
              </w:rPr>
              <w:t>نجاست كافر، حتى كتابى</w:t>
            </w:r>
            <w:r>
              <w:rPr>
                <w:rStyle w:val="IndexLink"/>
                <w:rtl w:val="true"/>
              </w:rPr>
              <w:tab/>
            </w:r>
            <w:r>
              <w:rPr>
                <w:rStyle w:val="IndexLink"/>
              </w:rPr>
              <w:t>591</w:t>
            </w:r>
          </w:hyperlink>
        </w:p>
        <w:p>
          <w:pPr>
            <w:pStyle w:val="Contents5"/>
            <w:tabs>
              <w:tab w:val="clear" w:pos="7892"/>
              <w:tab w:val="right" w:pos="9026" w:leader="dot"/>
            </w:tabs>
            <w:rPr/>
          </w:pPr>
          <w:hyperlink w:anchor="__RefHeading___Toc3809887_1067777946">
            <w:r>
              <w:rPr>
                <w:webHidden/>
                <w:rStyle w:val="IndexLink"/>
                <w:rtl w:val="true"/>
              </w:rPr>
              <w:t>واقع شدن ميته اى در ظرف</w:t>
            </w:r>
            <w:r>
              <w:rPr>
                <w:rStyle w:val="IndexLink"/>
                <w:rtl w:val="true"/>
              </w:rPr>
              <w:tab/>
            </w:r>
            <w:r>
              <w:rPr>
                <w:rStyle w:val="IndexLink"/>
              </w:rPr>
              <w:t>591</w:t>
            </w:r>
          </w:hyperlink>
        </w:p>
        <w:p>
          <w:pPr>
            <w:pStyle w:val="Contents5"/>
            <w:tabs>
              <w:tab w:val="clear" w:pos="7892"/>
              <w:tab w:val="right" w:pos="9026" w:leader="dot"/>
            </w:tabs>
            <w:rPr/>
          </w:pPr>
          <w:hyperlink w:anchor="__RefHeading___Toc3809889_1067777946">
            <w:r>
              <w:rPr>
                <w:webHidden/>
                <w:rStyle w:val="IndexLink"/>
                <w:rtl w:val="true"/>
              </w:rPr>
              <w:t>احكام بول</w:t>
            </w:r>
            <w:r>
              <w:rPr>
                <w:rStyle w:val="IndexLink"/>
                <w:rtl w:val="true"/>
              </w:rPr>
              <w:tab/>
            </w:r>
            <w:r>
              <w:rPr>
                <w:rStyle w:val="IndexLink"/>
              </w:rPr>
              <w:t>591</w:t>
            </w:r>
          </w:hyperlink>
        </w:p>
        <w:p>
          <w:pPr>
            <w:pStyle w:val="Contents5"/>
            <w:tabs>
              <w:tab w:val="clear" w:pos="7892"/>
              <w:tab w:val="right" w:pos="9026" w:leader="dot"/>
            </w:tabs>
            <w:rPr/>
          </w:pPr>
          <w:hyperlink w:anchor="__RefHeading___Toc3809891_1067777946">
            <w:r>
              <w:rPr>
                <w:webHidden/>
                <w:rStyle w:val="IndexLink"/>
                <w:rtl w:val="true"/>
              </w:rPr>
              <w:t>حرمت خبائث مثل عرق و آب دهان</w:t>
            </w:r>
            <w:r>
              <w:rPr>
                <w:rStyle w:val="IndexLink"/>
                <w:rtl w:val="true"/>
              </w:rPr>
              <w:tab/>
            </w:r>
            <w:r>
              <w:rPr>
                <w:rStyle w:val="IndexLink"/>
              </w:rPr>
              <w:t>591</w:t>
            </w:r>
          </w:hyperlink>
        </w:p>
        <w:p>
          <w:pPr>
            <w:pStyle w:val="Contents5"/>
            <w:tabs>
              <w:tab w:val="clear" w:pos="7892"/>
              <w:tab w:val="right" w:pos="9026" w:leader="dot"/>
            </w:tabs>
            <w:rPr/>
          </w:pPr>
          <w:hyperlink w:anchor="__RefHeading___Toc3809893_1067777946">
            <w:r>
              <w:rPr>
                <w:webHidden/>
                <w:rStyle w:val="IndexLink"/>
                <w:rtl w:val="true"/>
              </w:rPr>
              <w:t>أكل چيزهائى كه احتمال ضرر در آن هست</w:t>
            </w:r>
            <w:r>
              <w:rPr>
                <w:rStyle w:val="IndexLink"/>
                <w:rtl w:val="true"/>
              </w:rPr>
              <w:tab/>
            </w:r>
            <w:r>
              <w:rPr>
                <w:rStyle w:val="IndexLink"/>
              </w:rPr>
              <w:t>592</w:t>
            </w:r>
          </w:hyperlink>
        </w:p>
        <w:p>
          <w:pPr>
            <w:pStyle w:val="Contents5"/>
            <w:tabs>
              <w:tab w:val="clear" w:pos="7892"/>
              <w:tab w:val="right" w:pos="9026" w:leader="dot"/>
            </w:tabs>
            <w:rPr/>
          </w:pPr>
          <w:hyperlink w:anchor="__RefHeading___Toc3809895_1067777946">
            <w:r>
              <w:rPr>
                <w:webHidden/>
                <w:rStyle w:val="IndexLink"/>
                <w:rtl w:val="true"/>
              </w:rPr>
              <w:t>شير حيوان حلال گوشت</w:t>
            </w:r>
            <w:r>
              <w:rPr>
                <w:rStyle w:val="IndexLink"/>
                <w:rtl w:val="true"/>
              </w:rPr>
              <w:tab/>
            </w:r>
            <w:r>
              <w:rPr>
                <w:rStyle w:val="IndexLink"/>
              </w:rPr>
              <w:t>592</w:t>
            </w:r>
          </w:hyperlink>
        </w:p>
        <w:p>
          <w:pPr>
            <w:pStyle w:val="Contents3"/>
            <w:tabs>
              <w:tab w:val="clear" w:pos="8459"/>
              <w:tab w:val="right" w:pos="9026" w:leader="dot"/>
            </w:tabs>
            <w:rPr/>
          </w:pPr>
          <w:hyperlink w:anchor="__RefHeading___Toc3809897_1067777946">
            <w:r>
              <w:rPr>
                <w:webHidden/>
                <w:rStyle w:val="IndexLink"/>
                <w:rtl w:val="true"/>
              </w:rPr>
              <w:t>فصل پنجم مسائلى از اطعمه و اشربه</w:t>
            </w:r>
            <w:r>
              <w:rPr>
                <w:rStyle w:val="IndexLink"/>
                <w:rtl w:val="true"/>
              </w:rPr>
              <w:tab/>
            </w:r>
            <w:r>
              <w:rPr>
                <w:rStyle w:val="IndexLink"/>
              </w:rPr>
              <w:t>593</w:t>
            </w:r>
          </w:hyperlink>
        </w:p>
        <w:p>
          <w:pPr>
            <w:pStyle w:val="Contents4"/>
            <w:tabs>
              <w:tab w:val="clear" w:pos="8176"/>
              <w:tab w:val="right" w:pos="9026" w:leader="dot"/>
            </w:tabs>
            <w:rPr/>
          </w:pPr>
          <w:hyperlink w:anchor="__RefHeading___Toc3809899_1067777946">
            <w:r>
              <w:rPr>
                <w:webHidden/>
                <w:rStyle w:val="IndexLink"/>
                <w:rtl w:val="true"/>
              </w:rPr>
              <w:t>استعمال موى خوك و استقاى به جلود ميته</w:t>
            </w:r>
            <w:r>
              <w:rPr>
                <w:rStyle w:val="IndexLink"/>
                <w:rtl w:val="true"/>
              </w:rPr>
              <w:tab/>
            </w:r>
            <w:r>
              <w:rPr>
                <w:rStyle w:val="IndexLink"/>
              </w:rPr>
              <w:t>593</w:t>
            </w:r>
          </w:hyperlink>
        </w:p>
        <w:p>
          <w:pPr>
            <w:pStyle w:val="Contents4"/>
            <w:tabs>
              <w:tab w:val="clear" w:pos="8176"/>
              <w:tab w:val="right" w:pos="9026" w:leader="dot"/>
            </w:tabs>
            <w:rPr/>
          </w:pPr>
          <w:hyperlink w:anchor="__RefHeading___Toc3809901_1067777946">
            <w:r>
              <w:rPr>
                <w:webHidden/>
                <w:rStyle w:val="IndexLink"/>
                <w:rtl w:val="true"/>
              </w:rPr>
              <w:t>حكم لحم مطروح در بلاد اسلام</w:t>
            </w:r>
            <w:r>
              <w:rPr>
                <w:rStyle w:val="IndexLink"/>
                <w:rtl w:val="true"/>
              </w:rPr>
              <w:tab/>
            </w:r>
            <w:r>
              <w:rPr>
                <w:rStyle w:val="IndexLink"/>
              </w:rPr>
              <w:t>593</w:t>
            </w:r>
          </w:hyperlink>
        </w:p>
        <w:p>
          <w:pPr>
            <w:pStyle w:val="Contents4"/>
            <w:tabs>
              <w:tab w:val="clear" w:pos="8176"/>
              <w:tab w:val="right" w:pos="9026" w:leader="dot"/>
            </w:tabs>
            <w:rPr/>
          </w:pPr>
          <w:hyperlink w:anchor="__RefHeading___Toc3809903_1067777946">
            <w:r>
              <w:rPr>
                <w:webHidden/>
                <w:rStyle w:val="IndexLink"/>
                <w:rtl w:val="true"/>
              </w:rPr>
              <w:t>جواز تناول طعام و شراب از خانه هاى كه در آيه شريفه، مذكور شده اند</w:t>
            </w:r>
            <w:r>
              <w:rPr>
                <w:rStyle w:val="IndexLink"/>
                <w:rtl w:val="true"/>
              </w:rPr>
              <w:tab/>
            </w:r>
            <w:r>
              <w:rPr>
                <w:rStyle w:val="IndexLink"/>
              </w:rPr>
              <w:t>593</w:t>
            </w:r>
          </w:hyperlink>
        </w:p>
        <w:p>
          <w:pPr>
            <w:pStyle w:val="Contents4"/>
            <w:tabs>
              <w:tab w:val="clear" w:pos="8176"/>
              <w:tab w:val="right" w:pos="9026" w:leader="dot"/>
            </w:tabs>
            <w:rPr/>
          </w:pPr>
          <w:hyperlink w:anchor="__RefHeading___Toc3809905_1067777946">
            <w:r>
              <w:rPr>
                <w:webHidden/>
                <w:rStyle w:val="IndexLink"/>
                <w:rtl w:val="true"/>
              </w:rPr>
              <w:t>ميزان جواز تصرف در آن بيوت</w:t>
            </w:r>
            <w:r>
              <w:rPr>
                <w:rStyle w:val="IndexLink"/>
                <w:rtl w:val="true"/>
              </w:rPr>
              <w:tab/>
            </w:r>
            <w:r>
              <w:rPr>
                <w:rStyle w:val="IndexLink"/>
              </w:rPr>
              <w:t>594</w:t>
            </w:r>
          </w:hyperlink>
        </w:p>
        <w:p>
          <w:pPr>
            <w:pStyle w:val="Contents4"/>
            <w:tabs>
              <w:tab w:val="clear" w:pos="8176"/>
              <w:tab w:val="right" w:pos="9026" w:leader="dot"/>
            </w:tabs>
            <w:rPr/>
          </w:pPr>
          <w:hyperlink w:anchor="__RefHeading___Toc3809907_1067777946">
            <w:r>
              <w:rPr>
                <w:webHidden/>
                <w:rStyle w:val="IndexLink"/>
                <w:rtl w:val="true"/>
              </w:rPr>
              <w:t>حق مارّه</w:t>
            </w:r>
            <w:r>
              <w:rPr>
                <w:rStyle w:val="IndexLink"/>
                <w:rtl w:val="true"/>
              </w:rPr>
              <w:tab/>
            </w:r>
            <w:r>
              <w:rPr>
                <w:rStyle w:val="IndexLink"/>
              </w:rPr>
              <w:t>594</w:t>
            </w:r>
          </w:hyperlink>
        </w:p>
        <w:p>
          <w:pPr>
            <w:pStyle w:val="Contents4"/>
            <w:tabs>
              <w:tab w:val="clear" w:pos="8176"/>
              <w:tab w:val="right" w:pos="9026" w:leader="dot"/>
            </w:tabs>
            <w:rPr/>
          </w:pPr>
          <w:hyperlink w:anchor="__RefHeading___Toc3809909_1067777946">
            <w:r>
              <w:rPr>
                <w:webHidden/>
                <w:rStyle w:val="IndexLink"/>
                <w:rtl w:val="true"/>
              </w:rPr>
              <w:t>حكم آب دهان و اشك چشم در صورت تناول نجس و سرمه نجس</w:t>
            </w:r>
            <w:r>
              <w:rPr>
                <w:rStyle w:val="IndexLink"/>
                <w:rtl w:val="true"/>
              </w:rPr>
              <w:tab/>
            </w:r>
            <w:r>
              <w:rPr>
                <w:rStyle w:val="IndexLink"/>
              </w:rPr>
              <w:t>594</w:t>
            </w:r>
          </w:hyperlink>
        </w:p>
        <w:p>
          <w:pPr>
            <w:pStyle w:val="Contents4"/>
            <w:tabs>
              <w:tab w:val="clear" w:pos="8176"/>
              <w:tab w:val="right" w:pos="9026" w:leader="dot"/>
            </w:tabs>
            <w:rPr/>
          </w:pPr>
          <w:hyperlink w:anchor="__RefHeading___Toc3809911_1067777946">
            <w:r>
              <w:rPr>
                <w:webHidden/>
                <w:rStyle w:val="IndexLink"/>
                <w:rtl w:val="true"/>
              </w:rPr>
              <w:t>ثمن خمر در صورت كه بايع، ذمّى باشد</w:t>
            </w:r>
            <w:r>
              <w:rPr>
                <w:rStyle w:val="IndexLink"/>
                <w:rtl w:val="true"/>
              </w:rPr>
              <w:tab/>
            </w:r>
            <w:r>
              <w:rPr>
                <w:rStyle w:val="IndexLink"/>
              </w:rPr>
              <w:t>595</w:t>
            </w:r>
          </w:hyperlink>
        </w:p>
        <w:p>
          <w:pPr>
            <w:pStyle w:val="Contents4"/>
            <w:tabs>
              <w:tab w:val="clear" w:pos="8176"/>
              <w:tab w:val="right" w:pos="9026" w:leader="dot"/>
            </w:tabs>
            <w:rPr/>
          </w:pPr>
          <w:hyperlink w:anchor="__RefHeading___Toc3809913_1067777946">
            <w:r>
              <w:rPr>
                <w:webHidden/>
                <w:rStyle w:val="IndexLink"/>
                <w:rtl w:val="true"/>
              </w:rPr>
              <w:t>منقلب شدن خمر به سركه</w:t>
            </w:r>
            <w:r>
              <w:rPr>
                <w:rStyle w:val="IndexLink"/>
                <w:rtl w:val="true"/>
              </w:rPr>
              <w:tab/>
            </w:r>
            <w:r>
              <w:rPr>
                <w:rStyle w:val="IndexLink"/>
              </w:rPr>
              <w:t>595</w:t>
            </w:r>
          </w:hyperlink>
        </w:p>
        <w:p>
          <w:pPr>
            <w:pStyle w:val="Contents4"/>
            <w:tabs>
              <w:tab w:val="clear" w:pos="8176"/>
              <w:tab w:val="right" w:pos="9026" w:leader="dot"/>
            </w:tabs>
            <w:rPr/>
          </w:pPr>
          <w:hyperlink w:anchor="__RefHeading___Toc3809915_1067777946">
            <w:r>
              <w:rPr>
                <w:webHidden/>
                <w:rStyle w:val="IndexLink"/>
                <w:rtl w:val="true"/>
              </w:rPr>
              <w:t>استعمال ظرف خمر</w:t>
            </w:r>
            <w:r>
              <w:rPr>
                <w:rStyle w:val="IndexLink"/>
                <w:rtl w:val="true"/>
              </w:rPr>
              <w:tab/>
            </w:r>
            <w:r>
              <w:rPr>
                <w:rStyle w:val="IndexLink"/>
              </w:rPr>
              <w:t>595</w:t>
            </w:r>
          </w:hyperlink>
        </w:p>
        <w:p>
          <w:pPr>
            <w:pStyle w:val="Contents4"/>
            <w:tabs>
              <w:tab w:val="clear" w:pos="8176"/>
              <w:tab w:val="right" w:pos="9026" w:leader="dot"/>
            </w:tabs>
            <w:rPr/>
          </w:pPr>
          <w:hyperlink w:anchor="__RefHeading___Toc3809917_1067777946">
            <w:r>
              <w:rPr>
                <w:webHidden/>
                <w:rStyle w:val="IndexLink"/>
                <w:rtl w:val="true"/>
              </w:rPr>
              <w:t>حكم مشروبى كه كثير آن مسكر يا مضر است</w:t>
            </w:r>
            <w:r>
              <w:rPr>
                <w:rStyle w:val="IndexLink"/>
                <w:rtl w:val="true"/>
              </w:rPr>
              <w:tab/>
            </w:r>
            <w:r>
              <w:rPr>
                <w:rStyle w:val="IndexLink"/>
              </w:rPr>
              <w:t>596</w:t>
            </w:r>
          </w:hyperlink>
        </w:p>
        <w:p>
          <w:pPr>
            <w:pStyle w:val="Contents4"/>
            <w:tabs>
              <w:tab w:val="clear" w:pos="8176"/>
              <w:tab w:val="right" w:pos="9026" w:leader="dot"/>
            </w:tabs>
            <w:rPr/>
          </w:pPr>
          <w:hyperlink w:anchor="__RefHeading___Toc3809919_1067777946">
            <w:r>
              <w:rPr>
                <w:webHidden/>
                <w:rStyle w:val="IndexLink"/>
                <w:rtl w:val="true"/>
              </w:rPr>
              <w:t>برخى مكروهات در باب اطعمه و اشربه</w:t>
            </w:r>
            <w:r>
              <w:rPr>
                <w:rStyle w:val="IndexLink"/>
                <w:rtl w:val="true"/>
              </w:rPr>
              <w:tab/>
            </w:r>
            <w:r>
              <w:rPr>
                <w:rStyle w:val="IndexLink"/>
              </w:rPr>
              <w:t>596</w:t>
            </w:r>
          </w:hyperlink>
        </w:p>
        <w:p>
          <w:pPr>
            <w:pStyle w:val="Contents3"/>
            <w:tabs>
              <w:tab w:val="clear" w:pos="8459"/>
              <w:tab w:val="right" w:pos="9026" w:leader="dot"/>
            </w:tabs>
            <w:rPr/>
          </w:pPr>
          <w:hyperlink w:anchor="__RefHeading___Toc3809921_1067777946">
            <w:r>
              <w:rPr>
                <w:webHidden/>
                <w:rStyle w:val="IndexLink"/>
                <w:rtl w:val="true"/>
              </w:rPr>
              <w:t>فصل ششم احكام حال اضطرار</w:t>
            </w:r>
            <w:r>
              <w:rPr>
                <w:rStyle w:val="IndexLink"/>
                <w:rtl w:val="true"/>
              </w:rPr>
              <w:tab/>
            </w:r>
            <w:r>
              <w:rPr>
                <w:rStyle w:val="IndexLink"/>
              </w:rPr>
              <w:t>597</w:t>
            </w:r>
          </w:hyperlink>
        </w:p>
        <w:p>
          <w:pPr>
            <w:pStyle w:val="Contents4"/>
            <w:tabs>
              <w:tab w:val="clear" w:pos="8176"/>
              <w:tab w:val="right" w:pos="9026" w:leader="dot"/>
            </w:tabs>
            <w:rPr/>
          </w:pPr>
          <w:hyperlink w:anchor="__RefHeading___Toc3809923_1067777946">
            <w:r>
              <w:rPr>
                <w:webHidden/>
                <w:rStyle w:val="IndexLink"/>
                <w:rtl w:val="true"/>
              </w:rPr>
              <w:t>اشاره</w:t>
            </w:r>
            <w:r>
              <w:rPr>
                <w:rStyle w:val="IndexLink"/>
                <w:rtl w:val="true"/>
              </w:rPr>
              <w:tab/>
            </w:r>
            <w:r>
              <w:rPr>
                <w:rStyle w:val="IndexLink"/>
              </w:rPr>
              <w:t>597</w:t>
            </w:r>
          </w:hyperlink>
        </w:p>
        <w:p>
          <w:pPr>
            <w:pStyle w:val="Contents4"/>
            <w:tabs>
              <w:tab w:val="clear" w:pos="8176"/>
              <w:tab w:val="right" w:pos="9026" w:leader="dot"/>
            </w:tabs>
            <w:rPr/>
          </w:pPr>
          <w:hyperlink w:anchor="__RefHeading___Toc3809925_1067777946">
            <w:r>
              <w:rPr>
                <w:webHidden/>
                <w:rStyle w:val="IndexLink"/>
                <w:rtl w:val="true"/>
              </w:rPr>
              <w:t>نحوۀ تحقق اضطرار</w:t>
            </w:r>
            <w:r>
              <w:rPr>
                <w:rStyle w:val="IndexLink"/>
                <w:rtl w:val="true"/>
              </w:rPr>
              <w:tab/>
            </w:r>
            <w:r>
              <w:rPr>
                <w:rStyle w:val="IndexLink"/>
              </w:rPr>
              <w:t>597</w:t>
            </w:r>
          </w:hyperlink>
        </w:p>
        <w:p>
          <w:pPr>
            <w:pStyle w:val="Contents4"/>
            <w:tabs>
              <w:tab w:val="clear" w:pos="8176"/>
              <w:tab w:val="right" w:pos="9026" w:leader="dot"/>
            </w:tabs>
            <w:rPr/>
          </w:pPr>
          <w:hyperlink w:anchor="__RefHeading___Toc3809927_1067777946">
            <w:r>
              <w:rPr>
                <w:webHidden/>
                <w:rStyle w:val="IndexLink"/>
                <w:rtl w:val="true"/>
              </w:rPr>
              <w:t>مراد از باغى و عادى و متجانف اثم</w:t>
            </w:r>
            <w:r>
              <w:rPr>
                <w:rStyle w:val="IndexLink"/>
                <w:rtl w:val="true"/>
              </w:rPr>
              <w:tab/>
            </w:r>
            <w:r>
              <w:rPr>
                <w:rStyle w:val="IndexLink"/>
              </w:rPr>
              <w:t>597</w:t>
            </w:r>
          </w:hyperlink>
        </w:p>
        <w:p>
          <w:pPr>
            <w:pStyle w:val="Contents4"/>
            <w:tabs>
              <w:tab w:val="clear" w:pos="8176"/>
              <w:tab w:val="right" w:pos="9026" w:leader="dot"/>
            </w:tabs>
            <w:rPr/>
          </w:pPr>
          <w:hyperlink w:anchor="__RefHeading___Toc3809929_1067777946">
            <w:r>
              <w:rPr>
                <w:webHidden/>
                <w:rStyle w:val="IndexLink"/>
                <w:rtl w:val="true"/>
              </w:rPr>
              <w:t>حد اباحۀ محرمات در حال اضطرار</w:t>
            </w:r>
            <w:r>
              <w:rPr>
                <w:rStyle w:val="IndexLink"/>
                <w:rtl w:val="true"/>
              </w:rPr>
              <w:tab/>
            </w:r>
            <w:r>
              <w:rPr>
                <w:rStyle w:val="IndexLink"/>
              </w:rPr>
              <w:t>598</w:t>
            </w:r>
          </w:hyperlink>
        </w:p>
        <w:p>
          <w:pPr>
            <w:pStyle w:val="Contents4"/>
            <w:tabs>
              <w:tab w:val="clear" w:pos="8176"/>
              <w:tab w:val="right" w:pos="9026" w:leader="dot"/>
            </w:tabs>
            <w:rPr/>
          </w:pPr>
          <w:hyperlink w:anchor="__RefHeading___Toc3809931_1067777946">
            <w:r>
              <w:rPr>
                <w:webHidden/>
                <w:rStyle w:val="IndexLink"/>
                <w:rtl w:val="true"/>
              </w:rPr>
              <w:t>وجوب دفع و بذل به مضطرّ بالفعل</w:t>
            </w:r>
            <w:r>
              <w:rPr>
                <w:rStyle w:val="IndexLink"/>
                <w:rtl w:val="true"/>
              </w:rPr>
              <w:tab/>
            </w:r>
            <w:r>
              <w:rPr>
                <w:rStyle w:val="IndexLink"/>
              </w:rPr>
              <w:t>598</w:t>
            </w:r>
          </w:hyperlink>
        </w:p>
        <w:p>
          <w:pPr>
            <w:pStyle w:val="Contents4"/>
            <w:tabs>
              <w:tab w:val="clear" w:pos="8176"/>
              <w:tab w:val="right" w:pos="9026" w:leader="dot"/>
            </w:tabs>
            <w:rPr/>
          </w:pPr>
          <w:hyperlink w:anchor="__RefHeading___Toc3809933_1067777946">
            <w:r>
              <w:rPr>
                <w:webHidden/>
                <w:rStyle w:val="IndexLink"/>
                <w:rtl w:val="true"/>
              </w:rPr>
              <w:t>مسأله استحقاق عوض در بذل به مضطرّ</w:t>
            </w:r>
            <w:r>
              <w:rPr>
                <w:rStyle w:val="IndexLink"/>
                <w:rtl w:val="true"/>
              </w:rPr>
              <w:tab/>
            </w:r>
            <w:r>
              <w:rPr>
                <w:rStyle w:val="IndexLink"/>
              </w:rPr>
              <w:t>598</w:t>
            </w:r>
          </w:hyperlink>
        </w:p>
        <w:p>
          <w:pPr>
            <w:pStyle w:val="Contents4"/>
            <w:tabs>
              <w:tab w:val="clear" w:pos="8176"/>
              <w:tab w:val="right" w:pos="9026" w:leader="dot"/>
            </w:tabs>
            <w:rPr/>
          </w:pPr>
          <w:hyperlink w:anchor="__RefHeading___Toc3809935_1067777946">
            <w:r>
              <w:rPr>
                <w:webHidden/>
                <w:rStyle w:val="IndexLink"/>
                <w:rtl w:val="true"/>
              </w:rPr>
              <w:t>عدم جواز بذل كسى كه خود مضطرّ است، به ديگرى</w:t>
            </w:r>
            <w:r>
              <w:rPr>
                <w:rStyle w:val="IndexLink"/>
                <w:rtl w:val="true"/>
              </w:rPr>
              <w:tab/>
            </w:r>
            <w:r>
              <w:rPr>
                <w:rStyle w:val="IndexLink"/>
              </w:rPr>
              <w:t>599</w:t>
            </w:r>
          </w:hyperlink>
        </w:p>
        <w:p>
          <w:pPr>
            <w:pStyle w:val="Contents4"/>
            <w:tabs>
              <w:tab w:val="clear" w:pos="8176"/>
              <w:tab w:val="right" w:pos="9026" w:leader="dot"/>
            </w:tabs>
            <w:rPr/>
          </w:pPr>
          <w:hyperlink w:anchor="__RefHeading___Toc3809937_1067777946">
            <w:r>
              <w:rPr>
                <w:webHidden/>
                <w:rStyle w:val="IndexLink"/>
                <w:rtl w:val="true"/>
              </w:rPr>
              <w:t>عدم اختصاص مضطر به مسلم</w:t>
            </w:r>
            <w:r>
              <w:rPr>
                <w:rStyle w:val="IndexLink"/>
                <w:rtl w:val="true"/>
              </w:rPr>
              <w:tab/>
            </w:r>
            <w:r>
              <w:rPr>
                <w:rStyle w:val="IndexLink"/>
              </w:rPr>
              <w:t>599</w:t>
            </w:r>
          </w:hyperlink>
        </w:p>
        <w:p>
          <w:pPr>
            <w:pStyle w:val="Contents4"/>
            <w:tabs>
              <w:tab w:val="clear" w:pos="8176"/>
              <w:tab w:val="right" w:pos="9026" w:leader="dot"/>
            </w:tabs>
            <w:rPr/>
          </w:pPr>
          <w:hyperlink w:anchor="__RefHeading___Toc3809939_1067777946">
            <w:r>
              <w:rPr>
                <w:webHidden/>
                <w:rStyle w:val="IndexLink"/>
                <w:rtl w:val="true"/>
              </w:rPr>
              <w:t>رجوع به حاكم براى الزام به دفع ضرر مضطر</w:t>
            </w:r>
            <w:r>
              <w:rPr>
                <w:rStyle w:val="IndexLink"/>
                <w:rtl w:val="true"/>
              </w:rPr>
              <w:tab/>
            </w:r>
            <w:r>
              <w:rPr>
                <w:rStyle w:val="IndexLink"/>
              </w:rPr>
              <w:t>599</w:t>
            </w:r>
          </w:hyperlink>
        </w:p>
        <w:p>
          <w:pPr>
            <w:pStyle w:val="Contents4"/>
            <w:tabs>
              <w:tab w:val="clear" w:pos="8176"/>
              <w:tab w:val="right" w:pos="9026" w:leader="dot"/>
            </w:tabs>
            <w:rPr/>
          </w:pPr>
          <w:hyperlink w:anchor="__RefHeading___Toc3809941_1067777946">
            <w:r>
              <w:rPr>
                <w:webHidden/>
                <w:rStyle w:val="IndexLink"/>
                <w:rtl w:val="true"/>
              </w:rPr>
              <w:t>دفع به مضطرّ بالفعل با توقع اضطرار در خود</w:t>
            </w:r>
            <w:r>
              <w:rPr>
                <w:rStyle w:val="IndexLink"/>
                <w:rtl w:val="true"/>
              </w:rPr>
              <w:tab/>
            </w:r>
            <w:r>
              <w:rPr>
                <w:rStyle w:val="IndexLink"/>
              </w:rPr>
              <w:t>599</w:t>
            </w:r>
          </w:hyperlink>
        </w:p>
        <w:p>
          <w:pPr>
            <w:pStyle w:val="Contents4"/>
            <w:tabs>
              <w:tab w:val="clear" w:pos="8176"/>
              <w:tab w:val="right" w:pos="9026" w:leader="dot"/>
            </w:tabs>
            <w:rPr/>
          </w:pPr>
          <w:hyperlink w:anchor="__RefHeading___Toc3809943_1067777946">
            <w:r>
              <w:rPr>
                <w:webHidden/>
                <w:rStyle w:val="IndexLink"/>
                <w:rtl w:val="true"/>
              </w:rPr>
              <w:t>تبعيّت قرينه و اخذ به قول مالك</w:t>
            </w:r>
            <w:r>
              <w:rPr>
                <w:rStyle w:val="IndexLink"/>
                <w:rtl w:val="true"/>
              </w:rPr>
              <w:tab/>
            </w:r>
            <w:r>
              <w:rPr>
                <w:rStyle w:val="IndexLink"/>
              </w:rPr>
              <w:t>599</w:t>
            </w:r>
          </w:hyperlink>
        </w:p>
        <w:p>
          <w:pPr>
            <w:pStyle w:val="Contents4"/>
            <w:tabs>
              <w:tab w:val="clear" w:pos="8176"/>
              <w:tab w:val="right" w:pos="9026" w:leader="dot"/>
            </w:tabs>
            <w:rPr/>
          </w:pPr>
          <w:hyperlink w:anchor="__RefHeading___Toc3809945_1067777946">
            <w:r>
              <w:rPr>
                <w:webHidden/>
                <w:rStyle w:val="IndexLink"/>
                <w:rtl w:val="true"/>
              </w:rPr>
              <w:t>حفظ بهائم و بعض صور دوران</w:t>
            </w:r>
            <w:r>
              <w:rPr>
                <w:rStyle w:val="IndexLink"/>
                <w:rtl w:val="true"/>
              </w:rPr>
              <w:tab/>
            </w:r>
            <w:r>
              <w:rPr>
                <w:rStyle w:val="IndexLink"/>
              </w:rPr>
              <w:t>600</w:t>
            </w:r>
          </w:hyperlink>
        </w:p>
        <w:p>
          <w:pPr>
            <w:pStyle w:val="Contents4"/>
            <w:tabs>
              <w:tab w:val="clear" w:pos="8176"/>
              <w:tab w:val="right" w:pos="9026" w:leader="dot"/>
            </w:tabs>
            <w:rPr/>
          </w:pPr>
          <w:hyperlink w:anchor="__RefHeading___Toc3809947_1067777946">
            <w:r>
              <w:rPr>
                <w:webHidden/>
                <w:rStyle w:val="IndexLink"/>
                <w:rtl w:val="true"/>
              </w:rPr>
              <w:t>امورى كه بر باذل و بر مضطر به طعام يا شراب، لازم است</w:t>
            </w:r>
            <w:r>
              <w:rPr>
                <w:rStyle w:val="IndexLink"/>
                <w:rtl w:val="true"/>
              </w:rPr>
              <w:tab/>
            </w:r>
            <w:r>
              <w:rPr>
                <w:rStyle w:val="IndexLink"/>
              </w:rPr>
              <w:t>600</w:t>
            </w:r>
          </w:hyperlink>
        </w:p>
        <w:p>
          <w:pPr>
            <w:pStyle w:val="Contents4"/>
            <w:tabs>
              <w:tab w:val="clear" w:pos="8176"/>
              <w:tab w:val="right" w:pos="9026" w:leader="dot"/>
            </w:tabs>
            <w:rPr/>
          </w:pPr>
          <w:hyperlink w:anchor="__RefHeading___Toc3809949_1067777946">
            <w:r>
              <w:rPr>
                <w:webHidden/>
                <w:rStyle w:val="IndexLink"/>
                <w:rtl w:val="true"/>
              </w:rPr>
              <w:t>عدم مطالبۀ ازيد از ثمن براى مالك</w:t>
            </w:r>
            <w:r>
              <w:rPr>
                <w:rStyle w:val="IndexLink"/>
                <w:rtl w:val="true"/>
              </w:rPr>
              <w:tab/>
            </w:r>
            <w:r>
              <w:rPr>
                <w:rStyle w:val="IndexLink"/>
              </w:rPr>
              <w:t>600</w:t>
            </w:r>
          </w:hyperlink>
        </w:p>
        <w:p>
          <w:pPr>
            <w:pStyle w:val="Contents4"/>
            <w:tabs>
              <w:tab w:val="clear" w:pos="8176"/>
              <w:tab w:val="right" w:pos="9026" w:leader="dot"/>
            </w:tabs>
            <w:rPr/>
          </w:pPr>
          <w:hyperlink w:anchor="__RefHeading___Toc3809951_1067777946">
            <w:r>
              <w:rPr>
                <w:webHidden/>
                <w:rStyle w:val="IndexLink"/>
                <w:rtl w:val="true"/>
              </w:rPr>
              <w:t>احوطيّت عدم منازعه با مالك</w:t>
            </w:r>
            <w:r>
              <w:rPr>
                <w:rStyle w:val="IndexLink"/>
                <w:rtl w:val="true"/>
              </w:rPr>
              <w:tab/>
            </w:r>
            <w:r>
              <w:rPr>
                <w:rStyle w:val="IndexLink"/>
              </w:rPr>
              <w:t>601</w:t>
            </w:r>
          </w:hyperlink>
        </w:p>
        <w:p>
          <w:pPr>
            <w:pStyle w:val="Contents4"/>
            <w:tabs>
              <w:tab w:val="clear" w:pos="8176"/>
              <w:tab w:val="right" w:pos="9026" w:leader="dot"/>
            </w:tabs>
            <w:rPr/>
          </w:pPr>
          <w:hyperlink w:anchor="__RefHeading___Toc3809953_1067777946">
            <w:r>
              <w:rPr>
                <w:webHidden/>
                <w:rStyle w:val="IndexLink"/>
                <w:rtl w:val="true"/>
              </w:rPr>
              <w:t>عدم ضمان از يد از ثمن المثل</w:t>
            </w:r>
            <w:r>
              <w:rPr>
                <w:rStyle w:val="IndexLink"/>
                <w:rtl w:val="true"/>
              </w:rPr>
              <w:tab/>
            </w:r>
            <w:r>
              <w:rPr>
                <w:rStyle w:val="IndexLink"/>
              </w:rPr>
              <w:t>601</w:t>
            </w:r>
          </w:hyperlink>
        </w:p>
        <w:p>
          <w:pPr>
            <w:pStyle w:val="Contents4"/>
            <w:tabs>
              <w:tab w:val="clear" w:pos="8176"/>
              <w:tab w:val="right" w:pos="9026" w:leader="dot"/>
            </w:tabs>
            <w:rPr/>
          </w:pPr>
          <w:hyperlink w:anchor="__RefHeading___Toc3809955_1067777946">
            <w:r>
              <w:rPr>
                <w:webHidden/>
                <w:rStyle w:val="IndexLink"/>
                <w:rtl w:val="true"/>
              </w:rPr>
              <w:t>دوران امر بين اكل ميته و مال غير</w:t>
            </w:r>
            <w:r>
              <w:rPr>
                <w:rStyle w:val="IndexLink"/>
                <w:rtl w:val="true"/>
              </w:rPr>
              <w:tab/>
            </w:r>
            <w:r>
              <w:rPr>
                <w:rStyle w:val="IndexLink"/>
              </w:rPr>
              <w:t>601</w:t>
            </w:r>
          </w:hyperlink>
        </w:p>
        <w:p>
          <w:pPr>
            <w:pStyle w:val="Contents4"/>
            <w:tabs>
              <w:tab w:val="clear" w:pos="8176"/>
              <w:tab w:val="right" w:pos="9026" w:leader="dot"/>
            </w:tabs>
            <w:rPr/>
          </w:pPr>
          <w:hyperlink w:anchor="__RefHeading___Toc3809957_1067777946">
            <w:r>
              <w:rPr>
                <w:webHidden/>
                <w:rStyle w:val="IndexLink"/>
                <w:rtl w:val="true"/>
              </w:rPr>
              <w:t>اگر مضطر، فقط بتواند با قطعه اى از بدن خودش، سد جوع كند</w:t>
            </w:r>
            <w:r>
              <w:rPr>
                <w:rStyle w:val="IndexLink"/>
                <w:rtl w:val="true"/>
              </w:rPr>
              <w:tab/>
            </w:r>
            <w:r>
              <w:rPr>
                <w:rStyle w:val="IndexLink"/>
              </w:rPr>
              <w:t>602</w:t>
            </w:r>
          </w:hyperlink>
        </w:p>
        <w:p>
          <w:pPr>
            <w:pStyle w:val="Contents4"/>
            <w:tabs>
              <w:tab w:val="clear" w:pos="8176"/>
              <w:tab w:val="right" w:pos="9026" w:leader="dot"/>
            </w:tabs>
            <w:rPr/>
          </w:pPr>
          <w:hyperlink w:anchor="__RefHeading___Toc3809959_1067777946">
            <w:r>
              <w:rPr>
                <w:webHidden/>
                <w:rStyle w:val="IndexLink"/>
                <w:rtl w:val="true"/>
              </w:rPr>
              <w:t>قطع عضو از شخصى ديگرى براى خود يا از خود براى ديگرى</w:t>
            </w:r>
            <w:r>
              <w:rPr>
                <w:rStyle w:val="IndexLink"/>
                <w:rtl w:val="true"/>
              </w:rPr>
              <w:tab/>
            </w:r>
            <w:r>
              <w:rPr>
                <w:rStyle w:val="IndexLink"/>
              </w:rPr>
              <w:t>603</w:t>
            </w:r>
          </w:hyperlink>
        </w:p>
        <w:p>
          <w:pPr>
            <w:pStyle w:val="Contents4"/>
            <w:tabs>
              <w:tab w:val="clear" w:pos="8176"/>
              <w:tab w:val="right" w:pos="9026" w:leader="dot"/>
            </w:tabs>
            <w:rPr/>
          </w:pPr>
          <w:hyperlink w:anchor="__RefHeading___Toc3809961_1067777946">
            <w:r>
              <w:rPr>
                <w:webHidden/>
                <w:rStyle w:val="IndexLink"/>
                <w:rtl w:val="true"/>
              </w:rPr>
              <w:t>اضطرار به شرب بعض مايعات محرّمه</w:t>
            </w:r>
            <w:r>
              <w:rPr>
                <w:rStyle w:val="IndexLink"/>
                <w:rtl w:val="true"/>
              </w:rPr>
              <w:tab/>
            </w:r>
            <w:r>
              <w:rPr>
                <w:rStyle w:val="IndexLink"/>
              </w:rPr>
              <w:t>603</w:t>
            </w:r>
          </w:hyperlink>
        </w:p>
        <w:p>
          <w:pPr>
            <w:pStyle w:val="Contents4"/>
            <w:tabs>
              <w:tab w:val="clear" w:pos="8176"/>
              <w:tab w:val="right" w:pos="9026" w:leader="dot"/>
            </w:tabs>
            <w:rPr/>
          </w:pPr>
          <w:hyperlink w:anchor="__RefHeading___Toc3809963_1067777946">
            <w:r>
              <w:rPr>
                <w:webHidden/>
                <w:rStyle w:val="IndexLink"/>
                <w:rtl w:val="true"/>
              </w:rPr>
              <w:t>دوران بين ميته و حىّ غير مأكول قابل تذكيه</w:t>
            </w:r>
            <w:r>
              <w:rPr>
                <w:rStyle w:val="IndexLink"/>
                <w:rtl w:val="true"/>
              </w:rPr>
              <w:tab/>
            </w:r>
            <w:r>
              <w:rPr>
                <w:rStyle w:val="IndexLink"/>
              </w:rPr>
              <w:t>603</w:t>
            </w:r>
          </w:hyperlink>
        </w:p>
        <w:p>
          <w:pPr>
            <w:pStyle w:val="Contents4"/>
            <w:tabs>
              <w:tab w:val="clear" w:pos="8176"/>
              <w:tab w:val="right" w:pos="9026" w:leader="dot"/>
            </w:tabs>
            <w:rPr/>
          </w:pPr>
          <w:hyperlink w:anchor="__RefHeading___Toc3809965_1067777946">
            <w:r>
              <w:rPr>
                <w:webHidden/>
                <w:rStyle w:val="IndexLink"/>
                <w:rtl w:val="true"/>
              </w:rPr>
              <w:t>تداوى با خمر يا يكى از مسكرات</w:t>
            </w:r>
            <w:r>
              <w:rPr>
                <w:rStyle w:val="IndexLink"/>
                <w:rtl w:val="true"/>
              </w:rPr>
              <w:tab/>
            </w:r>
            <w:r>
              <w:rPr>
                <w:rStyle w:val="IndexLink"/>
              </w:rPr>
              <w:t>604</w:t>
            </w:r>
          </w:hyperlink>
        </w:p>
        <w:p>
          <w:pPr>
            <w:pStyle w:val="Contents3"/>
            <w:tabs>
              <w:tab w:val="clear" w:pos="8459"/>
              <w:tab w:val="right" w:pos="9026" w:leader="dot"/>
            </w:tabs>
            <w:rPr/>
          </w:pPr>
          <w:hyperlink w:anchor="__RefHeading___Toc3809967_1067777946">
            <w:r>
              <w:rPr>
                <w:webHidden/>
                <w:rStyle w:val="IndexLink"/>
                <w:rtl w:val="true"/>
              </w:rPr>
              <w:t>فصل هفتم آداب تناول طعام و شراب</w:t>
            </w:r>
            <w:r>
              <w:rPr>
                <w:rStyle w:val="IndexLink"/>
                <w:rtl w:val="true"/>
              </w:rPr>
              <w:tab/>
            </w:r>
            <w:r>
              <w:rPr>
                <w:rStyle w:val="IndexLink"/>
              </w:rPr>
              <w:t>605</w:t>
            </w:r>
          </w:hyperlink>
        </w:p>
        <w:p>
          <w:pPr>
            <w:pStyle w:val="Contents4"/>
            <w:tabs>
              <w:tab w:val="clear" w:pos="8176"/>
              <w:tab w:val="right" w:pos="9026" w:leader="dot"/>
            </w:tabs>
            <w:rPr/>
          </w:pPr>
          <w:hyperlink w:anchor="__RefHeading___Toc3809969_1067777946">
            <w:r>
              <w:rPr>
                <w:webHidden/>
                <w:rStyle w:val="IndexLink"/>
                <w:rtl w:val="true"/>
              </w:rPr>
              <w:t>مستحبات از أكل و شرب</w:t>
            </w:r>
            <w:r>
              <w:rPr>
                <w:rStyle w:val="IndexLink"/>
                <w:rtl w:val="true"/>
              </w:rPr>
              <w:tab/>
            </w:r>
            <w:r>
              <w:rPr>
                <w:rStyle w:val="IndexLink"/>
              </w:rPr>
              <w:t>605</w:t>
            </w:r>
          </w:hyperlink>
        </w:p>
        <w:p>
          <w:pPr>
            <w:pStyle w:val="Contents4"/>
            <w:tabs>
              <w:tab w:val="clear" w:pos="8176"/>
              <w:tab w:val="right" w:pos="9026" w:leader="dot"/>
            </w:tabs>
            <w:rPr/>
          </w:pPr>
          <w:hyperlink w:anchor="__RefHeading___Toc3809971_1067777946">
            <w:r>
              <w:rPr>
                <w:webHidden/>
                <w:rStyle w:val="IndexLink"/>
                <w:rtl w:val="true"/>
              </w:rPr>
              <w:t>استحباب تسميه و تحميد</w:t>
            </w:r>
            <w:r>
              <w:rPr>
                <w:rStyle w:val="IndexLink"/>
                <w:rtl w:val="true"/>
              </w:rPr>
              <w:tab/>
            </w:r>
            <w:r>
              <w:rPr>
                <w:rStyle w:val="IndexLink"/>
              </w:rPr>
              <w:t>605</w:t>
            </w:r>
          </w:hyperlink>
        </w:p>
        <w:p>
          <w:pPr>
            <w:pStyle w:val="Contents4"/>
            <w:tabs>
              <w:tab w:val="clear" w:pos="8176"/>
              <w:tab w:val="right" w:pos="9026" w:leader="dot"/>
            </w:tabs>
            <w:rPr/>
          </w:pPr>
          <w:hyperlink w:anchor="__RefHeading___Toc3809973_1067777946">
            <w:r>
              <w:rPr>
                <w:webHidden/>
                <w:rStyle w:val="IndexLink"/>
                <w:rtl w:val="true"/>
              </w:rPr>
              <w:t>اكل با دست راست</w:t>
            </w:r>
            <w:r>
              <w:rPr>
                <w:rStyle w:val="IndexLink"/>
                <w:rtl w:val="true"/>
              </w:rPr>
              <w:tab/>
            </w:r>
            <w:r>
              <w:rPr>
                <w:rStyle w:val="IndexLink"/>
              </w:rPr>
              <w:t>606</w:t>
            </w:r>
          </w:hyperlink>
        </w:p>
        <w:p>
          <w:pPr>
            <w:pStyle w:val="Contents4"/>
            <w:tabs>
              <w:tab w:val="clear" w:pos="8176"/>
              <w:tab w:val="right" w:pos="9026" w:leader="dot"/>
            </w:tabs>
            <w:rPr/>
          </w:pPr>
          <w:hyperlink w:anchor="__RefHeading___Toc3809975_1067777946">
            <w:r>
              <w:rPr>
                <w:webHidden/>
                <w:rStyle w:val="IndexLink"/>
                <w:rtl w:val="true"/>
              </w:rPr>
              <w:t>مستحبّات بر صاحب طعام</w:t>
            </w:r>
            <w:r>
              <w:rPr>
                <w:rStyle w:val="IndexLink"/>
                <w:rtl w:val="true"/>
              </w:rPr>
              <w:tab/>
            </w:r>
            <w:r>
              <w:rPr>
                <w:rStyle w:val="IndexLink"/>
              </w:rPr>
              <w:t>606</w:t>
            </w:r>
          </w:hyperlink>
        </w:p>
        <w:p>
          <w:pPr>
            <w:pStyle w:val="Contents4"/>
            <w:tabs>
              <w:tab w:val="clear" w:pos="8176"/>
              <w:tab w:val="right" w:pos="9026" w:leader="dot"/>
            </w:tabs>
            <w:rPr/>
          </w:pPr>
          <w:hyperlink w:anchor="__RefHeading___Toc3809977_1067777946">
            <w:r>
              <w:rPr>
                <w:webHidden/>
                <w:rStyle w:val="IndexLink"/>
                <w:rtl w:val="true"/>
              </w:rPr>
              <w:t>بعض مستحبات ديگر</w:t>
            </w:r>
            <w:r>
              <w:rPr>
                <w:rStyle w:val="IndexLink"/>
                <w:rtl w:val="true"/>
              </w:rPr>
              <w:tab/>
            </w:r>
            <w:r>
              <w:rPr>
                <w:rStyle w:val="IndexLink"/>
              </w:rPr>
              <w:t>606</w:t>
            </w:r>
          </w:hyperlink>
        </w:p>
        <w:p>
          <w:pPr>
            <w:pStyle w:val="Contents4"/>
            <w:tabs>
              <w:tab w:val="clear" w:pos="8176"/>
              <w:tab w:val="right" w:pos="9026" w:leader="dot"/>
            </w:tabs>
            <w:rPr/>
          </w:pPr>
          <w:hyperlink w:anchor="__RefHeading___Toc3809979_1067777946">
            <w:r>
              <w:rPr>
                <w:webHidden/>
                <w:rStyle w:val="IndexLink"/>
                <w:rtl w:val="true"/>
              </w:rPr>
              <w:t>مكروهات در باب أكل و شرب</w:t>
            </w:r>
            <w:r>
              <w:rPr>
                <w:rStyle w:val="IndexLink"/>
                <w:rtl w:val="true"/>
              </w:rPr>
              <w:tab/>
            </w:r>
            <w:r>
              <w:rPr>
                <w:rStyle w:val="IndexLink"/>
              </w:rPr>
              <w:t>607</w:t>
            </w:r>
          </w:hyperlink>
        </w:p>
        <w:p>
          <w:pPr>
            <w:pStyle w:val="Contents4"/>
            <w:tabs>
              <w:tab w:val="clear" w:pos="8176"/>
              <w:tab w:val="right" w:pos="9026" w:leader="dot"/>
            </w:tabs>
            <w:rPr/>
          </w:pPr>
          <w:hyperlink w:anchor="__RefHeading___Toc3809981_1067777946">
            <w:r>
              <w:rPr>
                <w:webHidden/>
                <w:rStyle w:val="IndexLink"/>
                <w:rtl w:val="true"/>
              </w:rPr>
              <w:t>كراهت اتكاى بر غير دست</w:t>
            </w:r>
            <w:r>
              <w:rPr>
                <w:rStyle w:val="IndexLink"/>
                <w:rtl w:val="true"/>
              </w:rPr>
              <w:tab/>
            </w:r>
            <w:r>
              <w:rPr>
                <w:rStyle w:val="IndexLink"/>
              </w:rPr>
              <w:t>607</w:t>
            </w:r>
          </w:hyperlink>
        </w:p>
        <w:p>
          <w:pPr>
            <w:pStyle w:val="Contents4"/>
            <w:tabs>
              <w:tab w:val="clear" w:pos="8176"/>
              <w:tab w:val="right" w:pos="9026" w:leader="dot"/>
            </w:tabs>
            <w:rPr/>
          </w:pPr>
          <w:hyperlink w:anchor="__RefHeading___Toc3809983_1067777946">
            <w:r>
              <w:rPr>
                <w:webHidden/>
                <w:rStyle w:val="IndexLink"/>
                <w:rtl w:val="true"/>
              </w:rPr>
              <w:t>كراهت پر كردن شكم</w:t>
            </w:r>
            <w:r>
              <w:rPr>
                <w:rStyle w:val="IndexLink"/>
                <w:rtl w:val="true"/>
              </w:rPr>
              <w:tab/>
            </w:r>
            <w:r>
              <w:rPr>
                <w:rStyle w:val="IndexLink"/>
              </w:rPr>
              <w:t>607</w:t>
            </w:r>
          </w:hyperlink>
        </w:p>
        <w:p>
          <w:pPr>
            <w:pStyle w:val="Contents4"/>
            <w:tabs>
              <w:tab w:val="clear" w:pos="8176"/>
              <w:tab w:val="right" w:pos="9026" w:leader="dot"/>
            </w:tabs>
            <w:rPr/>
          </w:pPr>
          <w:hyperlink w:anchor="__RefHeading___Toc3809985_1067777946">
            <w:r>
              <w:rPr>
                <w:webHidden/>
                <w:rStyle w:val="IndexLink"/>
                <w:rtl w:val="true"/>
              </w:rPr>
              <w:t>فرق شبع و تملّى</w:t>
            </w:r>
            <w:r>
              <w:rPr>
                <w:rStyle w:val="IndexLink"/>
                <w:rtl w:val="true"/>
              </w:rPr>
              <w:tab/>
            </w:r>
            <w:r>
              <w:rPr>
                <w:rStyle w:val="IndexLink"/>
              </w:rPr>
              <w:t>607</w:t>
            </w:r>
          </w:hyperlink>
        </w:p>
        <w:p>
          <w:pPr>
            <w:pStyle w:val="Contents4"/>
            <w:tabs>
              <w:tab w:val="clear" w:pos="8176"/>
              <w:tab w:val="right" w:pos="9026" w:leader="dot"/>
            </w:tabs>
            <w:rPr/>
          </w:pPr>
          <w:hyperlink w:anchor="__RefHeading___Toc3809987_1067777946">
            <w:r>
              <w:rPr>
                <w:webHidden/>
                <w:rStyle w:val="IndexLink"/>
                <w:rtl w:val="true"/>
              </w:rPr>
              <w:t>حرمت اكل از مائدۀ شرب خمر يا مسكر</w:t>
            </w:r>
            <w:r>
              <w:rPr>
                <w:rStyle w:val="IndexLink"/>
                <w:rtl w:val="true"/>
              </w:rPr>
              <w:tab/>
            </w:r>
            <w:r>
              <w:rPr>
                <w:rStyle w:val="IndexLink"/>
              </w:rPr>
              <w:t>608</w:t>
            </w:r>
          </w:hyperlink>
        </w:p>
        <w:p>
          <w:pPr>
            <w:pStyle w:val="Contents4"/>
            <w:tabs>
              <w:tab w:val="clear" w:pos="8176"/>
              <w:tab w:val="right" w:pos="9026" w:leader="dot"/>
            </w:tabs>
            <w:rPr/>
          </w:pPr>
          <w:hyperlink w:anchor="__RefHeading___Toc3809989_1067777946">
            <w:r>
              <w:rPr>
                <w:webHidden/>
                <w:rStyle w:val="IndexLink"/>
                <w:rtl w:val="true"/>
              </w:rPr>
              <w:t>حرمت اكل از مال مسلمان بدون دعوت و كسى را همراه بردن</w:t>
            </w:r>
            <w:r>
              <w:rPr>
                <w:rStyle w:val="IndexLink"/>
                <w:rtl w:val="true"/>
              </w:rPr>
              <w:tab/>
            </w:r>
            <w:r>
              <w:rPr>
                <w:rStyle w:val="IndexLink"/>
              </w:rPr>
              <w:t>608</w:t>
            </w:r>
          </w:hyperlink>
        </w:p>
        <w:p>
          <w:pPr>
            <w:pStyle w:val="Contents4"/>
            <w:tabs>
              <w:tab w:val="clear" w:pos="8176"/>
              <w:tab w:val="right" w:pos="9026" w:leader="dot"/>
            </w:tabs>
            <w:rPr/>
          </w:pPr>
          <w:hyperlink w:anchor="__RefHeading___Toc3809991_1067777946">
            <w:r>
              <w:rPr>
                <w:webHidden/>
                <w:rStyle w:val="IndexLink"/>
                <w:rtl w:val="true"/>
              </w:rPr>
              <w:t>برخى ديگر از مستحبّات و مكروهات</w:t>
            </w:r>
            <w:r>
              <w:rPr>
                <w:rStyle w:val="IndexLink"/>
                <w:rtl w:val="true"/>
              </w:rPr>
              <w:tab/>
            </w:r>
            <w:r>
              <w:rPr>
                <w:rStyle w:val="IndexLink"/>
              </w:rPr>
              <w:t>608</w:t>
            </w:r>
          </w:hyperlink>
        </w:p>
        <w:p>
          <w:pPr>
            <w:pStyle w:val="Contents2"/>
            <w:tabs>
              <w:tab w:val="clear" w:pos="8743"/>
              <w:tab w:val="right" w:pos="9026" w:leader="dot"/>
            </w:tabs>
            <w:rPr/>
          </w:pPr>
          <w:hyperlink w:anchor="__RefHeading___Toc3809993_1067777946">
            <w:r>
              <w:rPr>
                <w:webHidden/>
                <w:rStyle w:val="IndexLink"/>
                <w:rtl w:val="true"/>
              </w:rPr>
              <w:t>كتاب غصب</w:t>
            </w:r>
            <w:r>
              <w:rPr>
                <w:rStyle w:val="IndexLink"/>
                <w:rtl w:val="true"/>
              </w:rPr>
              <w:tab/>
            </w:r>
            <w:r>
              <w:rPr>
                <w:rStyle w:val="IndexLink"/>
              </w:rPr>
              <w:t>610</w:t>
            </w:r>
          </w:hyperlink>
        </w:p>
        <w:p>
          <w:pPr>
            <w:pStyle w:val="Contents3"/>
            <w:tabs>
              <w:tab w:val="clear" w:pos="8459"/>
              <w:tab w:val="right" w:pos="9026" w:leader="dot"/>
            </w:tabs>
            <w:rPr/>
          </w:pPr>
          <w:hyperlink w:anchor="__RefHeading___Toc3809995_1067777946">
            <w:r>
              <w:rPr>
                <w:webHidden/>
                <w:rStyle w:val="IndexLink"/>
                <w:rtl w:val="true"/>
              </w:rPr>
              <w:t>اشاره</w:t>
            </w:r>
            <w:r>
              <w:rPr>
                <w:rStyle w:val="IndexLink"/>
                <w:rtl w:val="true"/>
              </w:rPr>
              <w:tab/>
            </w:r>
            <w:r>
              <w:rPr>
                <w:rStyle w:val="IndexLink"/>
              </w:rPr>
              <w:t>610</w:t>
            </w:r>
          </w:hyperlink>
        </w:p>
        <w:p>
          <w:pPr>
            <w:pStyle w:val="Contents3"/>
            <w:tabs>
              <w:tab w:val="clear" w:pos="8459"/>
              <w:tab w:val="right" w:pos="9026" w:leader="dot"/>
            </w:tabs>
            <w:rPr/>
          </w:pPr>
          <w:hyperlink w:anchor="__RefHeading___Toc3809997_1067777946">
            <w:r>
              <w:rPr>
                <w:webHidden/>
                <w:rStyle w:val="IndexLink"/>
                <w:rtl w:val="true"/>
              </w:rPr>
              <w:t>فصل اوّل معنى و اسباب غصب</w:t>
            </w:r>
            <w:r>
              <w:rPr>
                <w:rStyle w:val="IndexLink"/>
                <w:rtl w:val="true"/>
              </w:rPr>
              <w:tab/>
            </w:r>
            <w:r>
              <w:rPr>
                <w:rStyle w:val="IndexLink"/>
              </w:rPr>
              <w:t>612</w:t>
            </w:r>
          </w:hyperlink>
        </w:p>
        <w:p>
          <w:pPr>
            <w:pStyle w:val="Contents4"/>
            <w:tabs>
              <w:tab w:val="clear" w:pos="8176"/>
              <w:tab w:val="right" w:pos="9026" w:leader="dot"/>
            </w:tabs>
            <w:rPr/>
          </w:pPr>
          <w:hyperlink w:anchor="__RefHeading___Toc3809999_1067777946">
            <w:r>
              <w:rPr>
                <w:webHidden/>
                <w:rStyle w:val="IndexLink"/>
                <w:rtl w:val="true"/>
              </w:rPr>
              <w:t>اشاره</w:t>
            </w:r>
            <w:r>
              <w:rPr>
                <w:rStyle w:val="IndexLink"/>
                <w:rtl w:val="true"/>
              </w:rPr>
              <w:tab/>
            </w:r>
            <w:r>
              <w:rPr>
                <w:rStyle w:val="IndexLink"/>
              </w:rPr>
              <w:t>612</w:t>
            </w:r>
          </w:hyperlink>
        </w:p>
        <w:p>
          <w:pPr>
            <w:pStyle w:val="Contents4"/>
            <w:tabs>
              <w:tab w:val="clear" w:pos="8176"/>
              <w:tab w:val="right" w:pos="9026" w:leader="dot"/>
            </w:tabs>
            <w:rPr/>
          </w:pPr>
          <w:hyperlink w:anchor="__RefHeading___Toc3810001_1067777946">
            <w:r>
              <w:rPr>
                <w:webHidden/>
                <w:rStyle w:val="IndexLink"/>
                <w:rtl w:val="true"/>
              </w:rPr>
              <w:t>معناى غصب</w:t>
            </w:r>
            <w:r>
              <w:rPr>
                <w:rStyle w:val="IndexLink"/>
                <w:rtl w:val="true"/>
              </w:rPr>
              <w:tab/>
            </w:r>
            <w:r>
              <w:rPr>
                <w:rStyle w:val="IndexLink"/>
              </w:rPr>
              <w:t>612</w:t>
            </w:r>
          </w:hyperlink>
        </w:p>
        <w:p>
          <w:pPr>
            <w:pStyle w:val="Contents4"/>
            <w:tabs>
              <w:tab w:val="clear" w:pos="8176"/>
              <w:tab w:val="right" w:pos="9026" w:leader="dot"/>
            </w:tabs>
            <w:rPr/>
          </w:pPr>
          <w:hyperlink w:anchor="__RefHeading___Toc3810003_1067777946">
            <w:r>
              <w:rPr>
                <w:webHidden/>
                <w:rStyle w:val="IndexLink"/>
                <w:rtl w:val="true"/>
              </w:rPr>
              <w:t>غصب از اعظم محرّمات است</w:t>
            </w:r>
            <w:r>
              <w:rPr>
                <w:rStyle w:val="IndexLink"/>
                <w:rtl w:val="true"/>
              </w:rPr>
              <w:tab/>
            </w:r>
            <w:r>
              <w:rPr>
                <w:rStyle w:val="IndexLink"/>
              </w:rPr>
              <w:t>612</w:t>
            </w:r>
          </w:hyperlink>
        </w:p>
        <w:p>
          <w:pPr>
            <w:pStyle w:val="Contents4"/>
            <w:tabs>
              <w:tab w:val="clear" w:pos="8176"/>
              <w:tab w:val="right" w:pos="9026" w:leader="dot"/>
            </w:tabs>
            <w:rPr/>
          </w:pPr>
          <w:hyperlink w:anchor="__RefHeading___Toc3810005_1067777946">
            <w:r>
              <w:rPr>
                <w:webHidden/>
                <w:rStyle w:val="IndexLink"/>
                <w:rtl w:val="true"/>
              </w:rPr>
              <w:t>اعتبار استيلاء در غصب</w:t>
            </w:r>
            <w:r>
              <w:rPr>
                <w:rStyle w:val="IndexLink"/>
                <w:rtl w:val="true"/>
              </w:rPr>
              <w:tab/>
            </w:r>
            <w:r>
              <w:rPr>
                <w:rStyle w:val="IndexLink"/>
              </w:rPr>
              <w:t>613</w:t>
            </w:r>
          </w:hyperlink>
        </w:p>
        <w:p>
          <w:pPr>
            <w:pStyle w:val="Contents4"/>
            <w:tabs>
              <w:tab w:val="clear" w:pos="8176"/>
              <w:tab w:val="right" w:pos="9026" w:leader="dot"/>
            </w:tabs>
            <w:rPr/>
          </w:pPr>
          <w:hyperlink w:anchor="__RefHeading___Toc3810007_1067777946">
            <w:r>
              <w:rPr>
                <w:webHidden/>
                <w:rStyle w:val="IndexLink"/>
                <w:rtl w:val="true"/>
              </w:rPr>
              <w:t>گونه هاى مختلف غصب عين و منفعت</w:t>
            </w:r>
            <w:r>
              <w:rPr>
                <w:rStyle w:val="IndexLink"/>
                <w:rtl w:val="true"/>
              </w:rPr>
              <w:tab/>
            </w:r>
            <w:r>
              <w:rPr>
                <w:rStyle w:val="IndexLink"/>
              </w:rPr>
              <w:t>613</w:t>
            </w:r>
          </w:hyperlink>
        </w:p>
        <w:p>
          <w:pPr>
            <w:pStyle w:val="Contents4"/>
            <w:tabs>
              <w:tab w:val="clear" w:pos="8176"/>
              <w:tab w:val="right" w:pos="9026" w:leader="dot"/>
            </w:tabs>
            <w:rPr/>
          </w:pPr>
          <w:hyperlink w:anchor="__RefHeading___Toc3810009_1067777946">
            <w:r>
              <w:rPr>
                <w:webHidden/>
                <w:rStyle w:val="IndexLink"/>
                <w:rtl w:val="true"/>
              </w:rPr>
              <w:t>فرض غصب حق</w:t>
            </w:r>
            <w:r>
              <w:rPr>
                <w:rStyle w:val="IndexLink"/>
                <w:rtl w:val="true"/>
              </w:rPr>
              <w:tab/>
            </w:r>
            <w:r>
              <w:rPr>
                <w:rStyle w:val="IndexLink"/>
              </w:rPr>
              <w:t>613</w:t>
            </w:r>
          </w:hyperlink>
        </w:p>
        <w:p>
          <w:pPr>
            <w:pStyle w:val="Contents4"/>
            <w:tabs>
              <w:tab w:val="clear" w:pos="8176"/>
              <w:tab w:val="right" w:pos="9026" w:leader="dot"/>
            </w:tabs>
            <w:rPr/>
          </w:pPr>
          <w:hyperlink w:anchor="__RefHeading___Toc3810011_1067777946">
            <w:r>
              <w:rPr>
                <w:webHidden/>
                <w:rStyle w:val="IndexLink"/>
                <w:rtl w:val="true"/>
              </w:rPr>
              <w:t>عدم عصبيّت اثبات يد بر مال خود</w:t>
            </w:r>
            <w:r>
              <w:rPr>
                <w:rStyle w:val="IndexLink"/>
                <w:rtl w:val="true"/>
              </w:rPr>
              <w:tab/>
            </w:r>
            <w:r>
              <w:rPr>
                <w:rStyle w:val="IndexLink"/>
              </w:rPr>
              <w:t>614</w:t>
            </w:r>
          </w:hyperlink>
        </w:p>
        <w:p>
          <w:pPr>
            <w:pStyle w:val="Contents4"/>
            <w:tabs>
              <w:tab w:val="clear" w:pos="8176"/>
              <w:tab w:val="right" w:pos="9026" w:leader="dot"/>
            </w:tabs>
            <w:rPr/>
          </w:pPr>
          <w:hyperlink w:anchor="__RefHeading___Toc3810013_1067777946">
            <w:r>
              <w:rPr>
                <w:webHidden/>
                <w:rStyle w:val="IndexLink"/>
                <w:rtl w:val="true"/>
              </w:rPr>
              <w:t>فرق بين حكم تكليفى و وضعى غصب</w:t>
            </w:r>
            <w:r>
              <w:rPr>
                <w:rStyle w:val="IndexLink"/>
                <w:rtl w:val="true"/>
              </w:rPr>
              <w:tab/>
            </w:r>
            <w:r>
              <w:rPr>
                <w:rStyle w:val="IndexLink"/>
              </w:rPr>
              <w:t>614</w:t>
            </w:r>
          </w:hyperlink>
        </w:p>
        <w:p>
          <w:pPr>
            <w:pStyle w:val="Contents4"/>
            <w:tabs>
              <w:tab w:val="clear" w:pos="8176"/>
              <w:tab w:val="right" w:pos="9026" w:leader="dot"/>
            </w:tabs>
            <w:rPr/>
          </w:pPr>
          <w:hyperlink w:anchor="__RefHeading___Toc3810015_1067777946">
            <w:r>
              <w:rPr>
                <w:webHidden/>
                <w:rStyle w:val="IndexLink"/>
                <w:rtl w:val="true"/>
              </w:rPr>
              <w:t>اشتراك دو نفر در غصب</w:t>
            </w:r>
            <w:r>
              <w:rPr>
                <w:rStyle w:val="IndexLink"/>
                <w:rtl w:val="true"/>
              </w:rPr>
              <w:tab/>
            </w:r>
            <w:r>
              <w:rPr>
                <w:rStyle w:val="IndexLink"/>
              </w:rPr>
              <w:t>614</w:t>
            </w:r>
          </w:hyperlink>
        </w:p>
        <w:p>
          <w:pPr>
            <w:pStyle w:val="Contents4"/>
            <w:tabs>
              <w:tab w:val="clear" w:pos="8176"/>
              <w:tab w:val="right" w:pos="9026" w:leader="dot"/>
            </w:tabs>
            <w:rPr/>
          </w:pPr>
          <w:hyperlink w:anchor="__RefHeading___Toc3810017_1067777946">
            <w:r>
              <w:rPr>
                <w:webHidden/>
                <w:rStyle w:val="IndexLink"/>
                <w:rtl w:val="true"/>
              </w:rPr>
              <w:t>حكم جاهل به موضوع غصب</w:t>
            </w:r>
            <w:r>
              <w:rPr>
                <w:rStyle w:val="IndexLink"/>
                <w:rtl w:val="true"/>
              </w:rPr>
              <w:tab/>
            </w:r>
            <w:r>
              <w:rPr>
                <w:rStyle w:val="IndexLink"/>
              </w:rPr>
              <w:t>614</w:t>
            </w:r>
          </w:hyperlink>
        </w:p>
        <w:p>
          <w:pPr>
            <w:pStyle w:val="Contents4"/>
            <w:tabs>
              <w:tab w:val="clear" w:pos="8176"/>
              <w:tab w:val="right" w:pos="9026" w:leader="dot"/>
            </w:tabs>
            <w:rPr/>
          </w:pPr>
          <w:hyperlink w:anchor="__RefHeading___Toc3810019_1067777946">
            <w:r>
              <w:rPr>
                <w:webHidden/>
                <w:rStyle w:val="IndexLink"/>
                <w:rtl w:val="true"/>
              </w:rPr>
              <w:t>ضمان بر مستولى بر صغير يا مجنون</w:t>
            </w:r>
            <w:r>
              <w:rPr>
                <w:rStyle w:val="IndexLink"/>
                <w:rtl w:val="true"/>
              </w:rPr>
              <w:tab/>
            </w:r>
            <w:r>
              <w:rPr>
                <w:rStyle w:val="IndexLink"/>
              </w:rPr>
              <w:t>614</w:t>
            </w:r>
          </w:hyperlink>
        </w:p>
        <w:p>
          <w:pPr>
            <w:pStyle w:val="Contents4"/>
            <w:tabs>
              <w:tab w:val="clear" w:pos="8176"/>
              <w:tab w:val="right" w:pos="9026" w:leader="dot"/>
            </w:tabs>
            <w:rPr/>
          </w:pPr>
          <w:hyperlink w:anchor="__RefHeading___Toc3810021_1067777946">
            <w:r>
              <w:rPr>
                <w:webHidden/>
                <w:rStyle w:val="IndexLink"/>
                <w:rtl w:val="true"/>
              </w:rPr>
              <w:t>اعميّت ضمان از تحقق غصب</w:t>
            </w:r>
            <w:r>
              <w:rPr>
                <w:rStyle w:val="IndexLink"/>
                <w:rtl w:val="true"/>
              </w:rPr>
              <w:tab/>
            </w:r>
            <w:r>
              <w:rPr>
                <w:rStyle w:val="IndexLink"/>
              </w:rPr>
              <w:t>615</w:t>
            </w:r>
          </w:hyperlink>
        </w:p>
        <w:p>
          <w:pPr>
            <w:pStyle w:val="Contents4"/>
            <w:tabs>
              <w:tab w:val="clear" w:pos="8176"/>
              <w:tab w:val="right" w:pos="9026" w:leader="dot"/>
            </w:tabs>
            <w:rPr/>
          </w:pPr>
          <w:hyperlink w:anchor="__RefHeading___Toc3810023_1067777946">
            <w:r>
              <w:rPr>
                <w:webHidden/>
                <w:rStyle w:val="IndexLink"/>
                <w:rtl w:val="true"/>
              </w:rPr>
              <w:t>عدم اعتبار با قهر و استعلا در مفهوم غصب</w:t>
            </w:r>
            <w:r>
              <w:rPr>
                <w:rStyle w:val="IndexLink"/>
                <w:rtl w:val="true"/>
              </w:rPr>
              <w:tab/>
            </w:r>
            <w:r>
              <w:rPr>
                <w:rStyle w:val="IndexLink"/>
              </w:rPr>
              <w:t>615</w:t>
            </w:r>
          </w:hyperlink>
        </w:p>
        <w:p>
          <w:pPr>
            <w:pStyle w:val="Contents4"/>
            <w:tabs>
              <w:tab w:val="clear" w:pos="8176"/>
              <w:tab w:val="right" w:pos="9026" w:leader="dot"/>
            </w:tabs>
            <w:rPr/>
          </w:pPr>
          <w:hyperlink w:anchor="__RefHeading___Toc3810025_1067777946">
            <w:r>
              <w:rPr>
                <w:webHidden/>
                <w:rStyle w:val="IndexLink"/>
                <w:rtl w:val="true"/>
              </w:rPr>
              <w:t>منع مالك در مال خودش بدون اثبات يد غاصب</w:t>
            </w:r>
            <w:r>
              <w:rPr>
                <w:rStyle w:val="IndexLink"/>
                <w:rtl w:val="true"/>
              </w:rPr>
              <w:tab/>
            </w:r>
            <w:r>
              <w:rPr>
                <w:rStyle w:val="IndexLink"/>
              </w:rPr>
              <w:t>615</w:t>
            </w:r>
          </w:hyperlink>
        </w:p>
        <w:p>
          <w:pPr>
            <w:pStyle w:val="Contents4"/>
            <w:tabs>
              <w:tab w:val="clear" w:pos="8176"/>
              <w:tab w:val="right" w:pos="9026" w:leader="dot"/>
            </w:tabs>
            <w:rPr/>
          </w:pPr>
          <w:hyperlink w:anchor="__RefHeading___Toc3810027_1067777946">
            <w:r>
              <w:rPr>
                <w:webHidden/>
                <w:rStyle w:val="IndexLink"/>
                <w:rtl w:val="true"/>
              </w:rPr>
              <w:t>منع مالك و اثبات يد بر مال او</w:t>
            </w:r>
            <w:r>
              <w:rPr>
                <w:rStyle w:val="IndexLink"/>
                <w:rtl w:val="true"/>
              </w:rPr>
              <w:tab/>
            </w:r>
            <w:r>
              <w:rPr>
                <w:rStyle w:val="IndexLink"/>
              </w:rPr>
              <w:t>616</w:t>
            </w:r>
          </w:hyperlink>
        </w:p>
        <w:p>
          <w:pPr>
            <w:pStyle w:val="Contents4"/>
            <w:tabs>
              <w:tab w:val="clear" w:pos="8176"/>
              <w:tab w:val="right" w:pos="9026" w:leader="dot"/>
            </w:tabs>
            <w:rPr/>
          </w:pPr>
          <w:hyperlink w:anchor="__RefHeading___Toc3810029_1067777946">
            <w:r>
              <w:rPr>
                <w:webHidden/>
                <w:rStyle w:val="IndexLink"/>
                <w:rtl w:val="true"/>
              </w:rPr>
              <w:t>كفايت استيلا در تحقق غصب</w:t>
            </w:r>
            <w:r>
              <w:rPr>
                <w:rStyle w:val="IndexLink"/>
                <w:rtl w:val="true"/>
              </w:rPr>
              <w:tab/>
            </w:r>
            <w:r>
              <w:rPr>
                <w:rStyle w:val="IndexLink"/>
              </w:rPr>
              <w:t>616</w:t>
            </w:r>
          </w:hyperlink>
        </w:p>
        <w:p>
          <w:pPr>
            <w:pStyle w:val="Contents4"/>
            <w:tabs>
              <w:tab w:val="clear" w:pos="8176"/>
              <w:tab w:val="right" w:pos="9026" w:leader="dot"/>
            </w:tabs>
            <w:rPr/>
          </w:pPr>
          <w:hyperlink w:anchor="__RefHeading___Toc3810031_1067777946">
            <w:r>
              <w:rPr>
                <w:webHidden/>
                <w:rStyle w:val="IndexLink"/>
                <w:rtl w:val="true"/>
              </w:rPr>
              <w:t>عدم اناطۀ ضمان به تحقق غصب</w:t>
            </w:r>
            <w:r>
              <w:rPr>
                <w:rStyle w:val="IndexLink"/>
                <w:rtl w:val="true"/>
              </w:rPr>
              <w:tab/>
            </w:r>
            <w:r>
              <w:rPr>
                <w:rStyle w:val="IndexLink"/>
              </w:rPr>
              <w:t>616</w:t>
            </w:r>
          </w:hyperlink>
        </w:p>
        <w:p>
          <w:pPr>
            <w:pStyle w:val="Contents4"/>
            <w:tabs>
              <w:tab w:val="clear" w:pos="8176"/>
              <w:tab w:val="right" w:pos="9026" w:leader="dot"/>
            </w:tabs>
            <w:rPr/>
          </w:pPr>
          <w:hyperlink w:anchor="__RefHeading___Toc3810033_1067777946">
            <w:r>
              <w:rPr>
                <w:webHidden/>
                <w:rStyle w:val="IndexLink"/>
                <w:rtl w:val="true"/>
              </w:rPr>
              <w:t>در ضمان به يد، فرقى بين قوت و ضعف ساكن، نيست</w:t>
            </w:r>
            <w:r>
              <w:rPr>
                <w:rStyle w:val="IndexLink"/>
                <w:rtl w:val="true"/>
              </w:rPr>
              <w:tab/>
            </w:r>
            <w:r>
              <w:rPr>
                <w:rStyle w:val="IndexLink"/>
              </w:rPr>
              <w:t>617</w:t>
            </w:r>
          </w:hyperlink>
        </w:p>
        <w:p>
          <w:pPr>
            <w:pStyle w:val="Contents4"/>
            <w:tabs>
              <w:tab w:val="clear" w:pos="8176"/>
              <w:tab w:val="right" w:pos="9026" w:leader="dot"/>
            </w:tabs>
            <w:rPr/>
          </w:pPr>
          <w:hyperlink w:anchor="__RefHeading___Toc3810035_1067777946">
            <w:r>
              <w:rPr>
                <w:webHidden/>
                <w:rStyle w:val="IndexLink"/>
                <w:rtl w:val="true"/>
              </w:rPr>
              <w:t>مأخوذ براى نظر</w:t>
            </w:r>
            <w:r>
              <w:rPr>
                <w:rStyle w:val="IndexLink"/>
                <w:rtl w:val="true"/>
              </w:rPr>
              <w:tab/>
            </w:r>
            <w:r>
              <w:rPr>
                <w:rStyle w:val="IndexLink"/>
              </w:rPr>
              <w:t>617</w:t>
            </w:r>
          </w:hyperlink>
        </w:p>
        <w:p>
          <w:pPr>
            <w:pStyle w:val="Contents4"/>
            <w:tabs>
              <w:tab w:val="clear" w:pos="8176"/>
              <w:tab w:val="right" w:pos="9026" w:leader="dot"/>
            </w:tabs>
            <w:rPr/>
          </w:pPr>
          <w:hyperlink w:anchor="__RefHeading___Toc3810037_1067777946">
            <w:r>
              <w:rPr>
                <w:webHidden/>
                <w:rStyle w:val="IndexLink"/>
                <w:rtl w:val="true"/>
              </w:rPr>
              <w:t>اجتماع سه نفر براى غصب دابه</w:t>
            </w:r>
            <w:r>
              <w:rPr>
                <w:rStyle w:val="IndexLink"/>
                <w:rtl w:val="true"/>
              </w:rPr>
              <w:tab/>
            </w:r>
            <w:r>
              <w:rPr>
                <w:rStyle w:val="IndexLink"/>
              </w:rPr>
              <w:t>617</w:t>
            </w:r>
          </w:hyperlink>
        </w:p>
        <w:p>
          <w:pPr>
            <w:pStyle w:val="Contents4"/>
            <w:tabs>
              <w:tab w:val="clear" w:pos="8176"/>
              <w:tab w:val="right" w:pos="9026" w:leader="dot"/>
            </w:tabs>
            <w:rPr/>
          </w:pPr>
          <w:hyperlink w:anchor="__RefHeading___Toc3810039_1067777946">
            <w:r>
              <w:rPr>
                <w:webHidden/>
                <w:rStyle w:val="IndexLink"/>
                <w:rtl w:val="true"/>
              </w:rPr>
              <w:t>غصب امۀ حامل</w:t>
            </w:r>
            <w:r>
              <w:rPr>
                <w:rStyle w:val="IndexLink"/>
                <w:rtl w:val="true"/>
              </w:rPr>
              <w:tab/>
            </w:r>
            <w:r>
              <w:rPr>
                <w:rStyle w:val="IndexLink"/>
              </w:rPr>
              <w:t>618</w:t>
            </w:r>
          </w:hyperlink>
        </w:p>
        <w:p>
          <w:pPr>
            <w:pStyle w:val="Contents4"/>
            <w:tabs>
              <w:tab w:val="clear" w:pos="8176"/>
              <w:tab w:val="right" w:pos="9026" w:leader="dot"/>
            </w:tabs>
            <w:rPr/>
          </w:pPr>
          <w:hyperlink w:anchor="__RefHeading___Toc3810041_1067777946">
            <w:r>
              <w:rPr>
                <w:webHidden/>
                <w:rStyle w:val="IndexLink"/>
                <w:rtl w:val="true"/>
              </w:rPr>
              <w:t>ضمان در حمل امۀ مبتاعه به بيع فاسد</w:t>
            </w:r>
            <w:r>
              <w:rPr>
                <w:rStyle w:val="IndexLink"/>
                <w:rtl w:val="true"/>
              </w:rPr>
              <w:tab/>
            </w:r>
            <w:r>
              <w:rPr>
                <w:rStyle w:val="IndexLink"/>
              </w:rPr>
              <w:t>618</w:t>
            </w:r>
          </w:hyperlink>
        </w:p>
        <w:p>
          <w:pPr>
            <w:pStyle w:val="Contents4"/>
            <w:tabs>
              <w:tab w:val="clear" w:pos="8176"/>
              <w:tab w:val="right" w:pos="9026" w:leader="dot"/>
            </w:tabs>
            <w:rPr/>
          </w:pPr>
          <w:hyperlink w:anchor="__RefHeading___Toc3810043_1067777946">
            <w:r>
              <w:rPr>
                <w:webHidden/>
                <w:rStyle w:val="IndexLink"/>
                <w:rtl w:val="true"/>
              </w:rPr>
              <w:t>حمل مقبوض به سَوم</w:t>
            </w:r>
            <w:r>
              <w:rPr>
                <w:rStyle w:val="IndexLink"/>
                <w:rtl w:val="true"/>
              </w:rPr>
              <w:tab/>
            </w:r>
            <w:r>
              <w:rPr>
                <w:rStyle w:val="IndexLink"/>
              </w:rPr>
              <w:t>619</w:t>
            </w:r>
          </w:hyperlink>
        </w:p>
        <w:p>
          <w:pPr>
            <w:pStyle w:val="Contents4"/>
            <w:tabs>
              <w:tab w:val="clear" w:pos="8176"/>
              <w:tab w:val="right" w:pos="9026" w:leader="dot"/>
            </w:tabs>
            <w:rPr/>
          </w:pPr>
          <w:hyperlink w:anchor="__RefHeading___Toc3810045_1067777946">
            <w:r>
              <w:rPr>
                <w:webHidden/>
                <w:rStyle w:val="IndexLink"/>
                <w:rtl w:val="true"/>
              </w:rPr>
              <w:t>ضمان غصب مسجد و مدرسه</w:t>
            </w:r>
            <w:r>
              <w:rPr>
                <w:rStyle w:val="IndexLink"/>
                <w:rtl w:val="true"/>
              </w:rPr>
              <w:tab/>
            </w:r>
            <w:r>
              <w:rPr>
                <w:rStyle w:val="IndexLink"/>
              </w:rPr>
              <w:t>619</w:t>
            </w:r>
          </w:hyperlink>
        </w:p>
        <w:p>
          <w:pPr>
            <w:pStyle w:val="Contents4"/>
            <w:tabs>
              <w:tab w:val="clear" w:pos="8176"/>
              <w:tab w:val="right" w:pos="9026" w:leader="dot"/>
            </w:tabs>
            <w:rPr/>
          </w:pPr>
          <w:hyperlink w:anchor="__RefHeading___Toc3810047_1067777946">
            <w:r>
              <w:rPr>
                <w:webHidden/>
                <w:rStyle w:val="IndexLink"/>
                <w:rtl w:val="true"/>
              </w:rPr>
              <w:t>تعاقب ايدى بر مغصوب</w:t>
            </w:r>
            <w:r>
              <w:rPr>
                <w:rStyle w:val="IndexLink"/>
                <w:rtl w:val="true"/>
              </w:rPr>
              <w:tab/>
            </w:r>
            <w:r>
              <w:rPr>
                <w:rStyle w:val="IndexLink"/>
              </w:rPr>
              <w:t>619</w:t>
            </w:r>
          </w:hyperlink>
        </w:p>
        <w:p>
          <w:pPr>
            <w:pStyle w:val="Contents4"/>
            <w:tabs>
              <w:tab w:val="clear" w:pos="8176"/>
              <w:tab w:val="right" w:pos="9026" w:leader="dot"/>
            </w:tabs>
            <w:rPr/>
          </w:pPr>
          <w:hyperlink w:anchor="__RefHeading___Toc3810049_1067777946">
            <w:r>
              <w:rPr>
                <w:webHidden/>
                <w:rStyle w:val="IndexLink"/>
                <w:rtl w:val="true"/>
              </w:rPr>
              <w:t>نحوۀ ضمان در حبس انسان</w:t>
            </w:r>
            <w:r>
              <w:rPr>
                <w:rStyle w:val="IndexLink"/>
                <w:rtl w:val="true"/>
              </w:rPr>
              <w:tab/>
            </w:r>
            <w:r>
              <w:rPr>
                <w:rStyle w:val="IndexLink"/>
              </w:rPr>
              <w:t>620</w:t>
            </w:r>
          </w:hyperlink>
        </w:p>
        <w:p>
          <w:pPr>
            <w:pStyle w:val="Contents4"/>
            <w:tabs>
              <w:tab w:val="clear" w:pos="8176"/>
              <w:tab w:val="right" w:pos="9026" w:leader="dot"/>
            </w:tabs>
            <w:rPr/>
          </w:pPr>
          <w:hyperlink w:anchor="__RefHeading___Toc3810051_1067777946">
            <w:r>
              <w:rPr>
                <w:webHidden/>
                <w:rStyle w:val="IndexLink"/>
                <w:rtl w:val="true"/>
              </w:rPr>
              <w:t>لزوم اداء اجرت اجير و لو اكراهى باشد</w:t>
            </w:r>
            <w:r>
              <w:rPr>
                <w:rStyle w:val="IndexLink"/>
                <w:rtl w:val="true"/>
              </w:rPr>
              <w:tab/>
            </w:r>
            <w:r>
              <w:rPr>
                <w:rStyle w:val="IndexLink"/>
              </w:rPr>
              <w:t>620</w:t>
            </w:r>
          </w:hyperlink>
        </w:p>
        <w:p>
          <w:pPr>
            <w:pStyle w:val="Contents4"/>
            <w:tabs>
              <w:tab w:val="clear" w:pos="8176"/>
              <w:tab w:val="right" w:pos="9026" w:leader="dot"/>
            </w:tabs>
            <w:rPr/>
          </w:pPr>
          <w:hyperlink w:anchor="__RefHeading___Toc3810053_1067777946">
            <w:r>
              <w:rPr>
                <w:webHidden/>
                <w:rStyle w:val="IndexLink"/>
                <w:rtl w:val="true"/>
              </w:rPr>
              <w:t>حبس صنعتگر از عمل، بدون استيفاى عمل او</w:t>
            </w:r>
            <w:r>
              <w:rPr>
                <w:rStyle w:val="IndexLink"/>
                <w:rtl w:val="true"/>
              </w:rPr>
              <w:tab/>
            </w:r>
            <w:r>
              <w:rPr>
                <w:rStyle w:val="IndexLink"/>
              </w:rPr>
              <w:t>621</w:t>
            </w:r>
          </w:hyperlink>
        </w:p>
        <w:p>
          <w:pPr>
            <w:pStyle w:val="Contents4"/>
            <w:tabs>
              <w:tab w:val="clear" w:pos="8176"/>
              <w:tab w:val="right" w:pos="9026" w:leader="dot"/>
            </w:tabs>
            <w:rPr/>
          </w:pPr>
          <w:hyperlink w:anchor="__RefHeading___Toc3810055_1067777946">
            <w:r>
              <w:rPr>
                <w:webHidden/>
                <w:rStyle w:val="IndexLink"/>
                <w:rtl w:val="true"/>
              </w:rPr>
              <w:t>حبس اجير از عمل يا عدم سكنى در خانۀ اجاره شده</w:t>
            </w:r>
            <w:r>
              <w:rPr>
                <w:rStyle w:val="IndexLink"/>
                <w:rtl w:val="true"/>
              </w:rPr>
              <w:tab/>
            </w:r>
            <w:r>
              <w:rPr>
                <w:rStyle w:val="IndexLink"/>
              </w:rPr>
              <w:t>621</w:t>
            </w:r>
          </w:hyperlink>
        </w:p>
        <w:p>
          <w:pPr>
            <w:pStyle w:val="Contents4"/>
            <w:tabs>
              <w:tab w:val="clear" w:pos="8176"/>
              <w:tab w:val="right" w:pos="9026" w:leader="dot"/>
            </w:tabs>
            <w:rPr/>
          </w:pPr>
          <w:hyperlink w:anchor="__RefHeading___Toc3810057_1067777946">
            <w:r>
              <w:rPr>
                <w:webHidden/>
                <w:rStyle w:val="IndexLink"/>
                <w:rtl w:val="true"/>
              </w:rPr>
              <w:t>اجاره بر عملى و سپس استيفاى موضع اجاره</w:t>
            </w:r>
            <w:r>
              <w:rPr>
                <w:rStyle w:val="IndexLink"/>
                <w:rtl w:val="true"/>
              </w:rPr>
              <w:tab/>
            </w:r>
            <w:r>
              <w:rPr>
                <w:rStyle w:val="IndexLink"/>
              </w:rPr>
              <w:t>621</w:t>
            </w:r>
          </w:hyperlink>
        </w:p>
        <w:p>
          <w:pPr>
            <w:pStyle w:val="Contents4"/>
            <w:tabs>
              <w:tab w:val="clear" w:pos="8176"/>
              <w:tab w:val="right" w:pos="9026" w:leader="dot"/>
            </w:tabs>
            <w:rPr/>
          </w:pPr>
          <w:hyperlink w:anchor="__RefHeading___Toc3810059_1067777946">
            <w:r>
              <w:rPr>
                <w:webHidden/>
                <w:rStyle w:val="IndexLink"/>
                <w:rtl w:val="true"/>
              </w:rPr>
              <w:t>تأخير مستأجر با بذل موجر در استيفاى منفعت</w:t>
            </w:r>
            <w:r>
              <w:rPr>
                <w:rStyle w:val="IndexLink"/>
                <w:rtl w:val="true"/>
              </w:rPr>
              <w:tab/>
            </w:r>
            <w:r>
              <w:rPr>
                <w:rStyle w:val="IndexLink"/>
              </w:rPr>
              <w:t>621</w:t>
            </w:r>
          </w:hyperlink>
        </w:p>
        <w:p>
          <w:pPr>
            <w:pStyle w:val="Contents4"/>
            <w:tabs>
              <w:tab w:val="clear" w:pos="8176"/>
              <w:tab w:val="right" w:pos="9026" w:leader="dot"/>
            </w:tabs>
            <w:rPr/>
          </w:pPr>
          <w:hyperlink w:anchor="__RefHeading___Toc3810061_1067777946">
            <w:r>
              <w:rPr>
                <w:webHidden/>
                <w:rStyle w:val="IndexLink"/>
                <w:rtl w:val="true"/>
              </w:rPr>
              <w:t>عدم استيفاى منفعت توسط مستأجر در مورد دابه و عبد</w:t>
            </w:r>
            <w:r>
              <w:rPr>
                <w:rStyle w:val="IndexLink"/>
                <w:rtl w:val="true"/>
              </w:rPr>
              <w:tab/>
            </w:r>
            <w:r>
              <w:rPr>
                <w:rStyle w:val="IndexLink"/>
              </w:rPr>
              <w:t>622</w:t>
            </w:r>
          </w:hyperlink>
        </w:p>
        <w:p>
          <w:pPr>
            <w:pStyle w:val="Contents4"/>
            <w:tabs>
              <w:tab w:val="clear" w:pos="8176"/>
              <w:tab w:val="right" w:pos="9026" w:leader="dot"/>
            </w:tabs>
            <w:rPr/>
          </w:pPr>
          <w:hyperlink w:anchor="__RefHeading___Toc3810063_1067777946">
            <w:r>
              <w:rPr>
                <w:webHidden/>
                <w:rStyle w:val="IndexLink"/>
                <w:rtl w:val="true"/>
              </w:rPr>
              <w:t>غصب خمر و خنزير و ضمان در اين دو</w:t>
            </w:r>
            <w:r>
              <w:rPr>
                <w:rStyle w:val="IndexLink"/>
                <w:rtl w:val="true"/>
              </w:rPr>
              <w:tab/>
            </w:r>
            <w:r>
              <w:rPr>
                <w:rStyle w:val="IndexLink"/>
              </w:rPr>
              <w:t>622</w:t>
            </w:r>
          </w:hyperlink>
        </w:p>
        <w:p>
          <w:pPr>
            <w:pStyle w:val="Contents4"/>
            <w:tabs>
              <w:tab w:val="clear" w:pos="8176"/>
              <w:tab w:val="right" w:pos="9026" w:leader="dot"/>
            </w:tabs>
            <w:rPr/>
          </w:pPr>
          <w:hyperlink w:anchor="__RefHeading___Toc3810065_1067777946">
            <w:r>
              <w:rPr>
                <w:webHidden/>
                <w:rStyle w:val="IndexLink"/>
                <w:rtl w:val="true"/>
              </w:rPr>
              <w:t>اسباب ديگرِ ضمان، غير از غصب</w:t>
            </w:r>
            <w:r>
              <w:rPr>
                <w:rStyle w:val="IndexLink"/>
                <w:rtl w:val="true"/>
              </w:rPr>
              <w:tab/>
            </w:r>
            <w:r>
              <w:rPr>
                <w:rStyle w:val="IndexLink"/>
              </w:rPr>
              <w:t>623</w:t>
            </w:r>
          </w:hyperlink>
        </w:p>
        <w:p>
          <w:pPr>
            <w:pStyle w:val="Contents5"/>
            <w:tabs>
              <w:tab w:val="clear" w:pos="7892"/>
              <w:tab w:val="right" w:pos="9026" w:leader="dot"/>
            </w:tabs>
            <w:rPr/>
          </w:pPr>
          <w:hyperlink w:anchor="__RefHeading___Toc3810067_1067777946">
            <w:r>
              <w:rPr>
                <w:webHidden/>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 xml:space="preserve">. </w:t>
            </w:r>
            <w:r>
              <w:rPr>
                <w:rStyle w:val="IndexLink"/>
                <w:rtl w:val="true"/>
              </w:rPr>
              <w:t>مباشرت اتلاف، تسبيب اتلاف</w:t>
            </w:r>
            <w:r>
              <w:rPr>
                <w:rStyle w:val="IndexLink"/>
                <w:rtl w:val="true"/>
              </w:rPr>
              <w:tab/>
            </w:r>
            <w:r>
              <w:rPr>
                <w:rStyle w:val="IndexLink"/>
              </w:rPr>
              <w:t>623</w:t>
            </w:r>
          </w:hyperlink>
        </w:p>
        <w:p>
          <w:pPr>
            <w:pStyle w:val="Contents6"/>
            <w:tabs>
              <w:tab w:val="clear" w:pos="7609"/>
              <w:tab w:val="right" w:pos="9026" w:leader="dot"/>
            </w:tabs>
            <w:rPr/>
          </w:pPr>
          <w:hyperlink w:anchor="__RefHeading___Toc3810069_1067777946">
            <w:r>
              <w:rPr>
                <w:webHidden/>
                <w:rStyle w:val="IndexLink"/>
                <w:rtl w:val="true"/>
              </w:rPr>
              <w:t>اشاره</w:t>
            </w:r>
            <w:r>
              <w:rPr>
                <w:rStyle w:val="IndexLink"/>
                <w:rtl w:val="true"/>
              </w:rPr>
              <w:tab/>
            </w:r>
            <w:r>
              <w:rPr>
                <w:rStyle w:val="IndexLink"/>
              </w:rPr>
              <w:t>623</w:t>
            </w:r>
          </w:hyperlink>
        </w:p>
        <w:p>
          <w:pPr>
            <w:pStyle w:val="Contents6"/>
            <w:tabs>
              <w:tab w:val="clear" w:pos="7609"/>
              <w:tab w:val="right" w:pos="9026" w:leader="dot"/>
            </w:tabs>
            <w:rPr/>
          </w:pPr>
          <w:hyperlink w:anchor="__RefHeading___Toc3810071_1067777946">
            <w:r>
              <w:rPr>
                <w:webHidden/>
                <w:rStyle w:val="IndexLink"/>
                <w:rtl w:val="true"/>
              </w:rPr>
              <w:t>اجتماع سبب و مباشر</w:t>
            </w:r>
            <w:r>
              <w:rPr>
                <w:rStyle w:val="IndexLink"/>
                <w:rtl w:val="true"/>
              </w:rPr>
              <w:tab/>
            </w:r>
            <w:r>
              <w:rPr>
                <w:rStyle w:val="IndexLink"/>
              </w:rPr>
              <w:t>623</w:t>
            </w:r>
          </w:hyperlink>
        </w:p>
        <w:p>
          <w:pPr>
            <w:pStyle w:val="Contents6"/>
            <w:tabs>
              <w:tab w:val="clear" w:pos="7609"/>
              <w:tab w:val="right" w:pos="9026" w:leader="dot"/>
            </w:tabs>
            <w:rPr/>
          </w:pPr>
          <w:hyperlink w:anchor="__RefHeading___Toc3810073_1067777946">
            <w:r>
              <w:rPr>
                <w:webHidden/>
                <w:rStyle w:val="IndexLink"/>
                <w:rtl w:val="true"/>
              </w:rPr>
              <w:t>اجتماع دو سبب</w:t>
            </w:r>
            <w:r>
              <w:rPr>
                <w:rStyle w:val="IndexLink"/>
                <w:rtl w:val="true"/>
              </w:rPr>
              <w:tab/>
            </w:r>
            <w:r>
              <w:rPr>
                <w:rStyle w:val="IndexLink"/>
              </w:rPr>
              <w:t>624</w:t>
            </w:r>
          </w:hyperlink>
        </w:p>
        <w:p>
          <w:pPr>
            <w:pStyle w:val="Contents6"/>
            <w:tabs>
              <w:tab w:val="clear" w:pos="7609"/>
              <w:tab w:val="right" w:pos="9026" w:leader="dot"/>
            </w:tabs>
            <w:rPr/>
          </w:pPr>
          <w:hyperlink w:anchor="__RefHeading___Toc3810075_1067777946">
            <w:r>
              <w:rPr>
                <w:webHidden/>
                <w:rStyle w:val="IndexLink"/>
                <w:rtl w:val="true"/>
              </w:rPr>
              <w:t>ضمان اسبق در جنايت</w:t>
            </w:r>
            <w:r>
              <w:rPr>
                <w:rStyle w:val="IndexLink"/>
                <w:rtl w:val="true"/>
              </w:rPr>
              <w:tab/>
            </w:r>
            <w:r>
              <w:rPr>
                <w:rStyle w:val="IndexLink"/>
              </w:rPr>
              <w:t>624</w:t>
            </w:r>
          </w:hyperlink>
        </w:p>
        <w:p>
          <w:pPr>
            <w:pStyle w:val="Contents6"/>
            <w:tabs>
              <w:tab w:val="clear" w:pos="7609"/>
              <w:tab w:val="right" w:pos="9026" w:leader="dot"/>
            </w:tabs>
            <w:rPr/>
          </w:pPr>
          <w:hyperlink w:anchor="__RefHeading___Toc3810077_1067777946">
            <w:r>
              <w:rPr>
                <w:webHidden/>
                <w:rStyle w:val="IndexLink"/>
                <w:rtl w:val="true"/>
              </w:rPr>
              <w:t>ضمان سبب در صورت ضعف مباشر</w:t>
            </w:r>
            <w:r>
              <w:rPr>
                <w:rStyle w:val="IndexLink"/>
                <w:rtl w:val="true"/>
              </w:rPr>
              <w:tab/>
            </w:r>
            <w:r>
              <w:rPr>
                <w:rStyle w:val="IndexLink"/>
              </w:rPr>
              <w:t>625</w:t>
            </w:r>
          </w:hyperlink>
        </w:p>
        <w:p>
          <w:pPr>
            <w:pStyle w:val="Contents6"/>
            <w:tabs>
              <w:tab w:val="clear" w:pos="7609"/>
              <w:tab w:val="right" w:pos="9026" w:leader="dot"/>
            </w:tabs>
            <w:rPr/>
          </w:pPr>
          <w:hyperlink w:anchor="__RefHeading___Toc3810079_1067777946">
            <w:r>
              <w:rPr>
                <w:webHidden/>
                <w:rStyle w:val="IndexLink"/>
                <w:rtl w:val="true"/>
              </w:rPr>
              <w:t>ضمان مغرور و مكرَه و رجوع او به غارّ و مكرِه</w:t>
            </w:r>
            <w:r>
              <w:rPr>
                <w:rStyle w:val="IndexLink"/>
                <w:rtl w:val="true"/>
              </w:rPr>
              <w:tab/>
            </w:r>
            <w:r>
              <w:rPr>
                <w:rStyle w:val="IndexLink"/>
              </w:rPr>
              <w:t>625</w:t>
            </w:r>
          </w:hyperlink>
        </w:p>
        <w:p>
          <w:pPr>
            <w:pStyle w:val="Contents6"/>
            <w:tabs>
              <w:tab w:val="clear" w:pos="7609"/>
              <w:tab w:val="right" w:pos="9026" w:leader="dot"/>
            </w:tabs>
            <w:rPr/>
          </w:pPr>
          <w:hyperlink w:anchor="__RefHeading___Toc3810081_1067777946">
            <w:r>
              <w:rPr>
                <w:webHidden/>
                <w:rStyle w:val="IndexLink"/>
                <w:rtl w:val="true"/>
              </w:rPr>
              <w:t>انحصار حكم اكراه به اموال</w:t>
            </w:r>
            <w:r>
              <w:rPr>
                <w:rStyle w:val="IndexLink"/>
                <w:rtl w:val="true"/>
              </w:rPr>
              <w:tab/>
            </w:r>
            <w:r>
              <w:rPr>
                <w:rStyle w:val="IndexLink"/>
              </w:rPr>
              <w:t>626</w:t>
            </w:r>
          </w:hyperlink>
        </w:p>
        <w:p>
          <w:pPr>
            <w:pStyle w:val="Contents6"/>
            <w:tabs>
              <w:tab w:val="clear" w:pos="7609"/>
              <w:tab w:val="right" w:pos="9026" w:leader="dot"/>
            </w:tabs>
            <w:rPr/>
          </w:pPr>
          <w:hyperlink w:anchor="__RefHeading___Toc3810083_1067777946">
            <w:r>
              <w:rPr>
                <w:webHidden/>
                <w:rStyle w:val="IndexLink"/>
                <w:rtl w:val="true"/>
              </w:rPr>
              <w:t>اتلاف مال غير به سبب تصرف در مال خويش</w:t>
            </w:r>
            <w:r>
              <w:rPr>
                <w:rStyle w:val="IndexLink"/>
                <w:rtl w:val="true"/>
              </w:rPr>
              <w:tab/>
            </w:r>
            <w:r>
              <w:rPr>
                <w:rStyle w:val="IndexLink"/>
              </w:rPr>
              <w:t>626</w:t>
            </w:r>
          </w:hyperlink>
        </w:p>
        <w:p>
          <w:pPr>
            <w:pStyle w:val="Contents6"/>
            <w:tabs>
              <w:tab w:val="clear" w:pos="7609"/>
              <w:tab w:val="right" w:pos="9026" w:leader="dot"/>
            </w:tabs>
            <w:rPr/>
          </w:pPr>
          <w:hyperlink w:anchor="__RefHeading___Toc3810085_1067777946">
            <w:r>
              <w:rPr>
                <w:webHidden/>
                <w:rStyle w:val="IndexLink"/>
                <w:rtl w:val="true"/>
              </w:rPr>
              <w:t>فروعى از موجب ضمان</w:t>
            </w:r>
            <w:r>
              <w:rPr>
                <w:rStyle w:val="IndexLink"/>
                <w:rtl w:val="true"/>
              </w:rPr>
              <w:tab/>
            </w:r>
            <w:r>
              <w:rPr>
                <w:rStyle w:val="IndexLink"/>
              </w:rPr>
              <w:t>626</w:t>
            </w:r>
          </w:hyperlink>
        </w:p>
        <w:p>
          <w:pPr>
            <w:pStyle w:val="Contents6"/>
            <w:tabs>
              <w:tab w:val="clear" w:pos="7609"/>
              <w:tab w:val="right" w:pos="9026" w:leader="dot"/>
            </w:tabs>
            <w:rPr/>
          </w:pPr>
          <w:hyperlink w:anchor="__RefHeading___Toc3810087_1067777946">
            <w:r>
              <w:rPr>
                <w:webHidden/>
                <w:rStyle w:val="IndexLink"/>
                <w:rtl w:val="true"/>
              </w:rPr>
              <w:t>اناطۀ تحقق ضمان به تحقق اتلاف يا دخول تحت</w:t>
            </w:r>
            <w:r>
              <w:rPr>
                <w:rStyle w:val="IndexLink"/>
                <w:rtl w:val="true"/>
              </w:rPr>
              <w:tab/>
            </w:r>
            <w:r>
              <w:rPr>
                <w:rStyle w:val="IndexLink"/>
              </w:rPr>
              <w:t>626</w:t>
            </w:r>
          </w:hyperlink>
        </w:p>
        <w:p>
          <w:pPr>
            <w:pStyle w:val="Contents6"/>
            <w:tabs>
              <w:tab w:val="clear" w:pos="7609"/>
              <w:tab w:val="right" w:pos="9026" w:leader="dot"/>
            </w:tabs>
            <w:rPr/>
          </w:pPr>
          <w:hyperlink w:anchor="__RefHeading___Toc3810089_1067777946">
            <w:r>
              <w:rPr>
                <w:webHidden/>
                <w:rStyle w:val="IndexLink"/>
                <w:rtl w:val="true"/>
              </w:rPr>
              <w:t>چند مثال اتلاف تسبيبى</w:t>
            </w:r>
            <w:r>
              <w:rPr>
                <w:rStyle w:val="IndexLink"/>
                <w:rtl w:val="true"/>
              </w:rPr>
              <w:tab/>
            </w:r>
            <w:r>
              <w:rPr>
                <w:rStyle w:val="IndexLink"/>
              </w:rPr>
              <w:t>627</w:t>
            </w:r>
          </w:hyperlink>
        </w:p>
        <w:p>
          <w:pPr>
            <w:pStyle w:val="Contents6"/>
            <w:tabs>
              <w:tab w:val="clear" w:pos="7609"/>
              <w:tab w:val="right" w:pos="9026" w:leader="dot"/>
            </w:tabs>
            <w:rPr/>
          </w:pPr>
          <w:hyperlink w:anchor="__RefHeading___Toc3810091_1067777946">
            <w:r>
              <w:rPr>
                <w:webHidden/>
                <w:rStyle w:val="IndexLink"/>
                <w:rtl w:val="true"/>
              </w:rPr>
              <w:t>مسائلى از غصب حيوان</w:t>
            </w:r>
            <w:r>
              <w:rPr>
                <w:rStyle w:val="IndexLink"/>
                <w:rtl w:val="true"/>
              </w:rPr>
              <w:tab/>
            </w:r>
            <w:r>
              <w:rPr>
                <w:rStyle w:val="IndexLink"/>
              </w:rPr>
              <w:t>627</w:t>
            </w:r>
          </w:hyperlink>
        </w:p>
        <w:p>
          <w:pPr>
            <w:pStyle w:val="Contents6"/>
            <w:tabs>
              <w:tab w:val="clear" w:pos="7609"/>
              <w:tab w:val="right" w:pos="9026" w:leader="dot"/>
            </w:tabs>
            <w:rPr/>
          </w:pPr>
          <w:hyperlink w:anchor="__RefHeading___Toc3810093_1067777946">
            <w:r>
              <w:rPr>
                <w:webHidden/>
                <w:rStyle w:val="IndexLink"/>
                <w:rtl w:val="true"/>
              </w:rPr>
              <w:t>رها كردن حيوان و تلف مالى به سبب آن</w:t>
            </w:r>
            <w:r>
              <w:rPr>
                <w:rStyle w:val="IndexLink"/>
                <w:rtl w:val="true"/>
              </w:rPr>
              <w:tab/>
            </w:r>
            <w:r>
              <w:rPr>
                <w:rStyle w:val="IndexLink"/>
              </w:rPr>
              <w:t>628</w:t>
            </w:r>
          </w:hyperlink>
        </w:p>
        <w:p>
          <w:pPr>
            <w:pStyle w:val="Contents6"/>
            <w:tabs>
              <w:tab w:val="clear" w:pos="7609"/>
              <w:tab w:val="right" w:pos="9026" w:leader="dot"/>
            </w:tabs>
            <w:rPr/>
          </w:pPr>
          <w:hyperlink w:anchor="__RefHeading___Toc3810095_1067777946">
            <w:r>
              <w:rPr>
                <w:webHidden/>
                <w:rStyle w:val="IndexLink"/>
                <w:rtl w:val="true"/>
              </w:rPr>
              <w:t>فتح باب و سرقت بخاطر آن، يا فرار مملوك بواسطۀ ازالۀ قيد</w:t>
            </w:r>
            <w:r>
              <w:rPr>
                <w:rStyle w:val="IndexLink"/>
                <w:rtl w:val="true"/>
              </w:rPr>
              <w:tab/>
            </w:r>
            <w:r>
              <w:rPr>
                <w:rStyle w:val="IndexLink"/>
              </w:rPr>
              <w:t>628</w:t>
            </w:r>
          </w:hyperlink>
        </w:p>
        <w:p>
          <w:pPr>
            <w:pStyle w:val="Contents6"/>
            <w:tabs>
              <w:tab w:val="clear" w:pos="7609"/>
              <w:tab w:val="right" w:pos="9026" w:leader="dot"/>
            </w:tabs>
            <w:rPr/>
          </w:pPr>
          <w:hyperlink w:anchor="__RefHeading___Toc3810097_1067777946">
            <w:r>
              <w:rPr>
                <w:webHidden/>
                <w:rStyle w:val="IndexLink"/>
                <w:rtl w:val="true"/>
              </w:rPr>
              <w:t>علامت اتلاف تسبيبى</w:t>
            </w:r>
            <w:r>
              <w:rPr>
                <w:rStyle w:val="IndexLink"/>
                <w:rtl w:val="true"/>
              </w:rPr>
              <w:tab/>
            </w:r>
            <w:r>
              <w:rPr>
                <w:rStyle w:val="IndexLink"/>
              </w:rPr>
              <w:t>629</w:t>
            </w:r>
          </w:hyperlink>
        </w:p>
        <w:p>
          <w:pPr>
            <w:pStyle w:val="Contents6"/>
            <w:tabs>
              <w:tab w:val="clear" w:pos="7609"/>
              <w:tab w:val="right" w:pos="9026" w:leader="dot"/>
            </w:tabs>
            <w:rPr/>
          </w:pPr>
          <w:hyperlink w:anchor="__RefHeading___Toc3810099_1067777946">
            <w:r>
              <w:rPr>
                <w:webHidden/>
                <w:rStyle w:val="IndexLink"/>
                <w:rtl w:val="true"/>
              </w:rPr>
              <w:t>باز كردن بند ظرف و تأمّل در ضمان موارد نادر و غير محتمل</w:t>
            </w:r>
            <w:r>
              <w:rPr>
                <w:rStyle w:val="IndexLink"/>
                <w:rtl w:val="true"/>
              </w:rPr>
              <w:tab/>
            </w:r>
            <w:r>
              <w:rPr>
                <w:rStyle w:val="IndexLink"/>
              </w:rPr>
              <w:t>629</w:t>
            </w:r>
          </w:hyperlink>
        </w:p>
        <w:p>
          <w:pPr>
            <w:pStyle w:val="Contents6"/>
            <w:tabs>
              <w:tab w:val="clear" w:pos="7609"/>
              <w:tab w:val="right" w:pos="9026" w:leader="dot"/>
            </w:tabs>
            <w:rPr/>
          </w:pPr>
          <w:hyperlink w:anchor="__RefHeading___Toc3810101_1067777946">
            <w:r>
              <w:rPr>
                <w:webHidden/>
                <w:rStyle w:val="IndexLink"/>
                <w:rtl w:val="true"/>
              </w:rPr>
              <w:t>اجتماع دو سبب يا انفراد يك سبب به احداث دو نفر</w:t>
            </w:r>
            <w:r>
              <w:rPr>
                <w:rStyle w:val="IndexLink"/>
                <w:rtl w:val="true"/>
              </w:rPr>
              <w:tab/>
            </w:r>
            <w:r>
              <w:rPr>
                <w:rStyle w:val="IndexLink"/>
              </w:rPr>
              <w:t>630</w:t>
            </w:r>
          </w:hyperlink>
        </w:p>
        <w:p>
          <w:pPr>
            <w:pStyle w:val="Contents6"/>
            <w:tabs>
              <w:tab w:val="clear" w:pos="7609"/>
              <w:tab w:val="right" w:pos="9026" w:leader="dot"/>
            </w:tabs>
            <w:rPr/>
          </w:pPr>
          <w:hyperlink w:anchor="__RefHeading___Toc3810103_1067777946">
            <w:r>
              <w:rPr>
                <w:webHidden/>
                <w:rStyle w:val="IndexLink"/>
                <w:rtl w:val="true"/>
              </w:rPr>
              <w:t>ضمان صاحب ديوار مشرف به انهدام</w:t>
            </w:r>
            <w:r>
              <w:rPr>
                <w:rStyle w:val="IndexLink"/>
                <w:rtl w:val="true"/>
              </w:rPr>
              <w:tab/>
            </w:r>
            <w:r>
              <w:rPr>
                <w:rStyle w:val="IndexLink"/>
              </w:rPr>
              <w:t>630</w:t>
            </w:r>
          </w:hyperlink>
        </w:p>
        <w:p>
          <w:pPr>
            <w:pStyle w:val="Contents6"/>
            <w:tabs>
              <w:tab w:val="clear" w:pos="7609"/>
              <w:tab w:val="right" w:pos="9026" w:leader="dot"/>
            </w:tabs>
            <w:rPr/>
          </w:pPr>
          <w:hyperlink w:anchor="__RefHeading___Toc3810105_1067777946">
            <w:r>
              <w:rPr>
                <w:webHidden/>
                <w:rStyle w:val="IndexLink"/>
                <w:rtl w:val="true"/>
              </w:rPr>
              <w:t>ضمان حمّال، نسبت به تخريب ديوارى كه به آن تكيه داده</w:t>
            </w:r>
            <w:r>
              <w:rPr>
                <w:rStyle w:val="IndexLink"/>
                <w:rtl w:val="true"/>
              </w:rPr>
              <w:tab/>
            </w:r>
            <w:r>
              <w:rPr>
                <w:rStyle w:val="IndexLink"/>
              </w:rPr>
              <w:t>631</w:t>
            </w:r>
          </w:hyperlink>
        </w:p>
        <w:p>
          <w:pPr>
            <w:pStyle w:val="Contents6"/>
            <w:tabs>
              <w:tab w:val="clear" w:pos="7609"/>
              <w:tab w:val="right" w:pos="9026" w:leader="dot"/>
            </w:tabs>
            <w:rPr/>
          </w:pPr>
          <w:hyperlink w:anchor="__RefHeading___Toc3810107_1067777946">
            <w:r>
              <w:rPr>
                <w:webHidden/>
                <w:rStyle w:val="IndexLink"/>
                <w:rtl w:val="true"/>
              </w:rPr>
              <w:t>ضمان صاحب حيوان، اموال تلف شده توسط حيوان را</w:t>
            </w:r>
            <w:r>
              <w:rPr>
                <w:rStyle w:val="IndexLink"/>
                <w:rtl w:val="true"/>
              </w:rPr>
              <w:tab/>
            </w:r>
            <w:r>
              <w:rPr>
                <w:rStyle w:val="IndexLink"/>
              </w:rPr>
              <w:t>631</w:t>
            </w:r>
          </w:hyperlink>
        </w:p>
        <w:p>
          <w:pPr>
            <w:pStyle w:val="Contents5"/>
            <w:tabs>
              <w:tab w:val="clear" w:pos="7892"/>
              <w:tab w:val="right" w:pos="9026" w:leader="dot"/>
            </w:tabs>
            <w:rPr/>
          </w:pPr>
          <w:hyperlink w:anchor="__RefHeading___Toc3810109_1067777946">
            <w:r>
              <w:rPr>
                <w:webHidden/>
                <w:rStyle w:val="IndexLink"/>
              </w:rPr>
              <w:t>3</w:t>
            </w:r>
            <w:r>
              <w:rPr>
                <w:rStyle w:val="IndexLink"/>
                <w:rtl w:val="true"/>
              </w:rPr>
              <w:t xml:space="preserve">. </w:t>
            </w:r>
            <w:r>
              <w:rPr>
                <w:rStyle w:val="IndexLink"/>
                <w:rtl w:val="true"/>
              </w:rPr>
              <w:t>قبض به عقد فاسد</w:t>
            </w:r>
            <w:r>
              <w:rPr>
                <w:rStyle w:val="IndexLink"/>
                <w:rtl w:val="true"/>
              </w:rPr>
              <w:tab/>
            </w:r>
            <w:r>
              <w:rPr>
                <w:rStyle w:val="IndexLink"/>
              </w:rPr>
              <w:t>631</w:t>
            </w:r>
          </w:hyperlink>
        </w:p>
        <w:p>
          <w:pPr>
            <w:pStyle w:val="Contents6"/>
            <w:tabs>
              <w:tab w:val="clear" w:pos="7609"/>
              <w:tab w:val="right" w:pos="9026" w:leader="dot"/>
            </w:tabs>
            <w:rPr/>
          </w:pPr>
          <w:hyperlink w:anchor="__RefHeading___Toc3810111_1067777946">
            <w:r>
              <w:rPr>
                <w:webHidden/>
                <w:rStyle w:val="IndexLink"/>
                <w:rtl w:val="true"/>
              </w:rPr>
              <w:t>اشاره</w:t>
            </w:r>
            <w:r>
              <w:rPr>
                <w:rStyle w:val="IndexLink"/>
                <w:rtl w:val="true"/>
              </w:rPr>
              <w:tab/>
            </w:r>
            <w:r>
              <w:rPr>
                <w:rStyle w:val="IndexLink"/>
              </w:rPr>
              <w:t>631</w:t>
            </w:r>
          </w:hyperlink>
        </w:p>
        <w:p>
          <w:pPr>
            <w:pStyle w:val="Contents6"/>
            <w:tabs>
              <w:tab w:val="clear" w:pos="7609"/>
              <w:tab w:val="right" w:pos="9026" w:leader="dot"/>
            </w:tabs>
            <w:rPr/>
          </w:pPr>
          <w:hyperlink w:anchor="__RefHeading___Toc3810113_1067777946">
            <w:r>
              <w:rPr>
                <w:webHidden/>
                <w:rStyle w:val="IndexLink"/>
                <w:rtl w:val="true"/>
              </w:rPr>
              <w:t>حكم مقبوض به سَوم</w:t>
            </w:r>
            <w:r>
              <w:rPr>
                <w:rStyle w:val="IndexLink"/>
                <w:rtl w:val="true"/>
              </w:rPr>
              <w:tab/>
            </w:r>
            <w:r>
              <w:rPr>
                <w:rStyle w:val="IndexLink"/>
              </w:rPr>
              <w:t>632</w:t>
            </w:r>
          </w:hyperlink>
        </w:p>
        <w:p>
          <w:pPr>
            <w:pStyle w:val="Contents5"/>
            <w:tabs>
              <w:tab w:val="clear" w:pos="7892"/>
              <w:tab w:val="right" w:pos="9026" w:leader="dot"/>
            </w:tabs>
            <w:rPr/>
          </w:pPr>
          <w:hyperlink w:anchor="__RefHeading___Toc3810115_1067777946">
            <w:r>
              <w:rPr>
                <w:webHidden/>
                <w:rStyle w:val="IndexLink"/>
              </w:rPr>
              <w:t>4</w:t>
            </w:r>
            <w:r>
              <w:rPr>
                <w:rStyle w:val="IndexLink"/>
                <w:rtl w:val="true"/>
              </w:rPr>
              <w:t xml:space="preserve">. </w:t>
            </w:r>
            <w:r>
              <w:rPr>
                <w:rStyle w:val="IndexLink"/>
                <w:rtl w:val="true"/>
              </w:rPr>
              <w:t>انتفاع به اجارۀ فاسده</w:t>
            </w:r>
            <w:r>
              <w:rPr>
                <w:rStyle w:val="IndexLink"/>
                <w:rtl w:val="true"/>
              </w:rPr>
              <w:tab/>
            </w:r>
            <w:r>
              <w:rPr>
                <w:rStyle w:val="IndexLink"/>
              </w:rPr>
              <w:t>632</w:t>
            </w:r>
          </w:hyperlink>
        </w:p>
        <w:p>
          <w:pPr>
            <w:pStyle w:val="Contents3"/>
            <w:tabs>
              <w:tab w:val="clear" w:pos="8459"/>
              <w:tab w:val="right" w:pos="9026" w:leader="dot"/>
            </w:tabs>
            <w:rPr/>
          </w:pPr>
          <w:hyperlink w:anchor="__RefHeading___Toc3810117_1067777946">
            <w:r>
              <w:rPr>
                <w:webHidden/>
                <w:rStyle w:val="IndexLink"/>
                <w:rtl w:val="true"/>
              </w:rPr>
              <w:t>فصل دوّم حكم غصب</w:t>
            </w:r>
            <w:r>
              <w:rPr>
                <w:rStyle w:val="IndexLink"/>
                <w:rtl w:val="true"/>
              </w:rPr>
              <w:tab/>
            </w:r>
            <w:r>
              <w:rPr>
                <w:rStyle w:val="IndexLink"/>
              </w:rPr>
              <w:t>633</w:t>
            </w:r>
          </w:hyperlink>
        </w:p>
        <w:p>
          <w:pPr>
            <w:pStyle w:val="Contents4"/>
            <w:tabs>
              <w:tab w:val="clear" w:pos="8176"/>
              <w:tab w:val="right" w:pos="9026" w:leader="dot"/>
            </w:tabs>
            <w:rPr/>
          </w:pPr>
          <w:hyperlink w:anchor="__RefHeading___Toc3810119_1067777946">
            <w:r>
              <w:rPr>
                <w:webHidden/>
                <w:rStyle w:val="IndexLink"/>
                <w:rtl w:val="true"/>
              </w:rPr>
              <w:t>وجوب رد مغصوب به مغصوب منه</w:t>
            </w:r>
            <w:r>
              <w:rPr>
                <w:rStyle w:val="IndexLink"/>
                <w:rtl w:val="true"/>
              </w:rPr>
              <w:tab/>
            </w:r>
            <w:r>
              <w:rPr>
                <w:rStyle w:val="IndexLink"/>
              </w:rPr>
              <w:t>633</w:t>
            </w:r>
          </w:hyperlink>
        </w:p>
        <w:p>
          <w:pPr>
            <w:pStyle w:val="Contents4"/>
            <w:tabs>
              <w:tab w:val="clear" w:pos="8176"/>
              <w:tab w:val="right" w:pos="9026" w:leader="dot"/>
            </w:tabs>
            <w:rPr/>
          </w:pPr>
          <w:hyperlink w:anchor="__RefHeading___Toc3810121_1067777946">
            <w:r>
              <w:rPr>
                <w:webHidden/>
                <w:rStyle w:val="IndexLink"/>
                <w:rtl w:val="true"/>
              </w:rPr>
              <w:t>اگر جدا كردن مال مغصوب مشكل يا موجب تلف است</w:t>
            </w:r>
            <w:r>
              <w:rPr>
                <w:rStyle w:val="IndexLink"/>
                <w:rtl w:val="true"/>
              </w:rPr>
              <w:tab/>
            </w:r>
            <w:r>
              <w:rPr>
                <w:rStyle w:val="IndexLink"/>
              </w:rPr>
              <w:t>633</w:t>
            </w:r>
          </w:hyperlink>
        </w:p>
        <w:p>
          <w:pPr>
            <w:pStyle w:val="Contents4"/>
            <w:tabs>
              <w:tab w:val="clear" w:pos="8176"/>
              <w:tab w:val="right" w:pos="9026" w:leader="dot"/>
            </w:tabs>
            <w:rPr/>
          </w:pPr>
          <w:hyperlink w:anchor="__RefHeading___Toc3810123_1067777946">
            <w:r>
              <w:rPr>
                <w:webHidden/>
                <w:rStyle w:val="IndexLink"/>
                <w:rtl w:val="true"/>
              </w:rPr>
              <w:t>استفاده از مغصوب در كشتى و بنا و حكم كندن آن</w:t>
            </w:r>
            <w:r>
              <w:rPr>
                <w:rStyle w:val="IndexLink"/>
                <w:rtl w:val="true"/>
              </w:rPr>
              <w:tab/>
            </w:r>
            <w:r>
              <w:rPr>
                <w:rStyle w:val="IndexLink"/>
              </w:rPr>
              <w:t>634</w:t>
            </w:r>
          </w:hyperlink>
        </w:p>
        <w:p>
          <w:pPr>
            <w:pStyle w:val="Contents4"/>
            <w:tabs>
              <w:tab w:val="clear" w:pos="8176"/>
              <w:tab w:val="right" w:pos="9026" w:leader="dot"/>
            </w:tabs>
            <w:rPr/>
          </w:pPr>
          <w:hyperlink w:anchor="__RefHeading___Toc3810125_1067777946">
            <w:r>
              <w:rPr>
                <w:webHidden/>
                <w:rStyle w:val="IndexLink"/>
                <w:rtl w:val="true"/>
              </w:rPr>
              <w:t>خياطت ثوب يا جراحت، با خيط مغصوب</w:t>
            </w:r>
            <w:r>
              <w:rPr>
                <w:rStyle w:val="IndexLink"/>
                <w:rtl w:val="true"/>
              </w:rPr>
              <w:tab/>
            </w:r>
            <w:r>
              <w:rPr>
                <w:rStyle w:val="IndexLink"/>
              </w:rPr>
              <w:t>635</w:t>
            </w:r>
          </w:hyperlink>
        </w:p>
        <w:p>
          <w:pPr>
            <w:pStyle w:val="Contents4"/>
            <w:tabs>
              <w:tab w:val="clear" w:pos="8176"/>
              <w:tab w:val="right" w:pos="9026" w:leader="dot"/>
            </w:tabs>
            <w:rPr/>
          </w:pPr>
          <w:hyperlink w:anchor="__RefHeading___Toc3810127_1067777946">
            <w:r>
              <w:rPr>
                <w:webHidden/>
                <w:rStyle w:val="IndexLink"/>
                <w:rtl w:val="true"/>
              </w:rPr>
              <w:t>حدوث عيب در مغصوب</w:t>
            </w:r>
            <w:r>
              <w:rPr>
                <w:rStyle w:val="IndexLink"/>
                <w:rtl w:val="true"/>
              </w:rPr>
              <w:tab/>
            </w:r>
            <w:r>
              <w:rPr>
                <w:rStyle w:val="IndexLink"/>
              </w:rPr>
              <w:t>636</w:t>
            </w:r>
          </w:hyperlink>
        </w:p>
        <w:p>
          <w:pPr>
            <w:pStyle w:val="Contents4"/>
            <w:tabs>
              <w:tab w:val="clear" w:pos="8176"/>
              <w:tab w:val="right" w:pos="9026" w:leader="dot"/>
            </w:tabs>
            <w:rPr/>
          </w:pPr>
          <w:hyperlink w:anchor="__RefHeading___Toc3810129_1067777946">
            <w:r>
              <w:rPr>
                <w:webHidden/>
                <w:rStyle w:val="IndexLink"/>
                <w:rtl w:val="true"/>
              </w:rPr>
              <w:t>ضمان به مثل و قيمت</w:t>
            </w:r>
            <w:r>
              <w:rPr>
                <w:rStyle w:val="IndexLink"/>
                <w:rtl w:val="true"/>
              </w:rPr>
              <w:tab/>
            </w:r>
            <w:r>
              <w:rPr>
                <w:rStyle w:val="IndexLink"/>
              </w:rPr>
              <w:t>637</w:t>
            </w:r>
          </w:hyperlink>
        </w:p>
        <w:p>
          <w:pPr>
            <w:pStyle w:val="Contents4"/>
            <w:tabs>
              <w:tab w:val="clear" w:pos="8176"/>
              <w:tab w:val="right" w:pos="9026" w:leader="dot"/>
            </w:tabs>
            <w:rPr/>
          </w:pPr>
          <w:hyperlink w:anchor="__RefHeading___Toc3810131_1067777946">
            <w:r>
              <w:rPr>
                <w:webHidden/>
                <w:rStyle w:val="IndexLink"/>
                <w:rtl w:val="true"/>
              </w:rPr>
              <w:t>اعتبار به قيمت يوم التلف يا غير آن</w:t>
            </w:r>
            <w:r>
              <w:rPr>
                <w:rStyle w:val="IndexLink"/>
                <w:rtl w:val="true"/>
              </w:rPr>
              <w:tab/>
            </w:r>
            <w:r>
              <w:rPr>
                <w:rStyle w:val="IndexLink"/>
              </w:rPr>
              <w:t>637</w:t>
            </w:r>
          </w:hyperlink>
        </w:p>
        <w:p>
          <w:pPr>
            <w:pStyle w:val="Contents4"/>
            <w:tabs>
              <w:tab w:val="clear" w:pos="8176"/>
              <w:tab w:val="right" w:pos="9026" w:leader="dot"/>
            </w:tabs>
            <w:rPr/>
          </w:pPr>
          <w:hyperlink w:anchor="__RefHeading___Toc3810133_1067777946">
            <w:r>
              <w:rPr>
                <w:webHidden/>
                <w:rStyle w:val="IndexLink"/>
                <w:rtl w:val="true"/>
              </w:rPr>
              <w:t>تالف مثلى</w:t>
            </w:r>
            <w:r>
              <w:rPr>
                <w:rStyle w:val="IndexLink"/>
                <w:rtl w:val="true"/>
              </w:rPr>
              <w:tab/>
            </w:r>
            <w:r>
              <w:rPr>
                <w:rStyle w:val="IndexLink"/>
              </w:rPr>
              <w:t>638</w:t>
            </w:r>
          </w:hyperlink>
        </w:p>
        <w:p>
          <w:pPr>
            <w:pStyle w:val="Contents5"/>
            <w:tabs>
              <w:tab w:val="clear" w:pos="7892"/>
              <w:tab w:val="right" w:pos="9026" w:leader="dot"/>
            </w:tabs>
            <w:rPr/>
          </w:pPr>
          <w:hyperlink w:anchor="__RefHeading___Toc3810135_1067777946">
            <w:r>
              <w:rPr>
                <w:webHidden/>
                <w:rStyle w:val="IndexLink"/>
                <w:rtl w:val="true"/>
              </w:rPr>
              <w:t>تبدل مثلى به قيمى و بالعكس</w:t>
            </w:r>
            <w:r>
              <w:rPr>
                <w:rStyle w:val="IndexLink"/>
                <w:rtl w:val="true"/>
              </w:rPr>
              <w:tab/>
            </w:r>
            <w:r>
              <w:rPr>
                <w:rStyle w:val="IndexLink"/>
              </w:rPr>
              <w:t>638</w:t>
            </w:r>
          </w:hyperlink>
        </w:p>
        <w:p>
          <w:pPr>
            <w:pStyle w:val="Contents5"/>
            <w:tabs>
              <w:tab w:val="clear" w:pos="7892"/>
              <w:tab w:val="right" w:pos="9026" w:leader="dot"/>
            </w:tabs>
            <w:rPr/>
          </w:pPr>
          <w:hyperlink w:anchor="__RefHeading___Toc3810137_1067777946">
            <w:r>
              <w:rPr>
                <w:webHidden/>
                <w:rStyle w:val="IndexLink"/>
                <w:rtl w:val="true"/>
              </w:rPr>
              <w:t>از ماليّت خارج شدن تالف مثلى</w:t>
            </w:r>
            <w:r>
              <w:rPr>
                <w:rStyle w:val="IndexLink"/>
                <w:rtl w:val="true"/>
              </w:rPr>
              <w:tab/>
            </w:r>
            <w:r>
              <w:rPr>
                <w:rStyle w:val="IndexLink"/>
              </w:rPr>
              <w:t>638</w:t>
            </w:r>
          </w:hyperlink>
        </w:p>
        <w:p>
          <w:pPr>
            <w:pStyle w:val="Contents4"/>
            <w:tabs>
              <w:tab w:val="clear" w:pos="8176"/>
              <w:tab w:val="right" w:pos="9026" w:leader="dot"/>
            </w:tabs>
            <w:rPr/>
          </w:pPr>
          <w:hyperlink w:anchor="__RefHeading___Toc3810139_1067777946">
            <w:r>
              <w:rPr>
                <w:webHidden/>
                <w:rStyle w:val="IndexLink"/>
                <w:rtl w:val="true"/>
              </w:rPr>
              <w:t>تالف قيمى</w:t>
            </w:r>
            <w:r>
              <w:rPr>
                <w:rStyle w:val="IndexLink"/>
                <w:rtl w:val="true"/>
              </w:rPr>
              <w:tab/>
            </w:r>
            <w:r>
              <w:rPr>
                <w:rStyle w:val="IndexLink"/>
              </w:rPr>
              <w:t>638</w:t>
            </w:r>
          </w:hyperlink>
        </w:p>
        <w:p>
          <w:pPr>
            <w:pStyle w:val="Contents5"/>
            <w:tabs>
              <w:tab w:val="clear" w:pos="7892"/>
              <w:tab w:val="right" w:pos="9026" w:leader="dot"/>
            </w:tabs>
            <w:rPr/>
          </w:pPr>
          <w:hyperlink w:anchor="__RefHeading___Toc3810141_1067777946">
            <w:r>
              <w:rPr>
                <w:webHidden/>
                <w:rStyle w:val="IndexLink"/>
                <w:rtl w:val="true"/>
              </w:rPr>
              <w:t>وقت تحديد قيمت تالف يا ارش معيب</w:t>
            </w:r>
            <w:r>
              <w:rPr>
                <w:rStyle w:val="IndexLink"/>
                <w:rtl w:val="true"/>
              </w:rPr>
              <w:tab/>
            </w:r>
            <w:r>
              <w:rPr>
                <w:rStyle w:val="IndexLink"/>
              </w:rPr>
              <w:t>638</w:t>
            </w:r>
          </w:hyperlink>
        </w:p>
        <w:p>
          <w:pPr>
            <w:pStyle w:val="Contents5"/>
            <w:tabs>
              <w:tab w:val="clear" w:pos="7892"/>
              <w:tab w:val="right" w:pos="9026" w:leader="dot"/>
            </w:tabs>
            <w:rPr/>
          </w:pPr>
          <w:hyperlink w:anchor="__RefHeading___Toc3810143_1067777946">
            <w:r>
              <w:rPr>
                <w:webHidden/>
                <w:rStyle w:val="IndexLink"/>
                <w:rtl w:val="true"/>
              </w:rPr>
              <w:t>اگر در قيمى، مثل پيدا شد</w:t>
            </w:r>
            <w:r>
              <w:rPr>
                <w:rStyle w:val="IndexLink"/>
                <w:rtl w:val="true"/>
              </w:rPr>
              <w:tab/>
            </w:r>
            <w:r>
              <w:rPr>
                <w:rStyle w:val="IndexLink"/>
              </w:rPr>
              <w:t>639</w:t>
            </w:r>
          </w:hyperlink>
        </w:p>
        <w:p>
          <w:pPr>
            <w:pStyle w:val="Contents5"/>
            <w:tabs>
              <w:tab w:val="clear" w:pos="7892"/>
              <w:tab w:val="right" w:pos="9026" w:leader="dot"/>
            </w:tabs>
            <w:rPr/>
          </w:pPr>
          <w:hyperlink w:anchor="__RefHeading___Toc3810145_1067777946">
            <w:r>
              <w:rPr>
                <w:webHidden/>
                <w:rStyle w:val="IndexLink"/>
                <w:rtl w:val="true"/>
              </w:rPr>
              <w:t>ضمان طلا و نقره</w:t>
            </w:r>
            <w:r>
              <w:rPr>
                <w:rStyle w:val="IndexLink"/>
                <w:rtl w:val="true"/>
              </w:rPr>
              <w:tab/>
            </w:r>
            <w:r>
              <w:rPr>
                <w:rStyle w:val="IndexLink"/>
              </w:rPr>
              <w:t>639</w:t>
            </w:r>
          </w:hyperlink>
        </w:p>
        <w:p>
          <w:pPr>
            <w:pStyle w:val="Contents4"/>
            <w:tabs>
              <w:tab w:val="clear" w:pos="8176"/>
              <w:tab w:val="right" w:pos="9026" w:leader="dot"/>
            </w:tabs>
            <w:rPr/>
          </w:pPr>
          <w:hyperlink w:anchor="__RefHeading___Toc3810147_1067777946">
            <w:r>
              <w:rPr>
                <w:webHidden/>
                <w:rStyle w:val="IndexLink"/>
                <w:rtl w:val="true"/>
              </w:rPr>
              <w:t>تلف صفت</w:t>
            </w:r>
            <w:r>
              <w:rPr>
                <w:rStyle w:val="IndexLink"/>
                <w:rtl w:val="true"/>
              </w:rPr>
              <w:tab/>
            </w:r>
            <w:r>
              <w:rPr>
                <w:rStyle w:val="IndexLink"/>
              </w:rPr>
              <w:t>640</w:t>
            </w:r>
          </w:hyperlink>
        </w:p>
        <w:p>
          <w:pPr>
            <w:pStyle w:val="Contents4"/>
            <w:tabs>
              <w:tab w:val="clear" w:pos="8176"/>
              <w:tab w:val="right" w:pos="9026" w:leader="dot"/>
            </w:tabs>
            <w:rPr/>
          </w:pPr>
          <w:hyperlink w:anchor="__RefHeading___Toc3810149_1067777946">
            <w:r>
              <w:rPr>
                <w:webHidden/>
                <w:rStyle w:val="IndexLink"/>
                <w:rtl w:val="true"/>
              </w:rPr>
              <w:t>چند مسأله</w:t>
            </w:r>
            <w:r>
              <w:rPr>
                <w:rStyle w:val="IndexLink"/>
                <w:rtl w:val="true"/>
              </w:rPr>
              <w:tab/>
            </w:r>
            <w:r>
              <w:rPr>
                <w:rStyle w:val="IndexLink"/>
              </w:rPr>
              <w:t>640</w:t>
            </w:r>
          </w:hyperlink>
        </w:p>
        <w:p>
          <w:pPr>
            <w:pStyle w:val="Contents5"/>
            <w:tabs>
              <w:tab w:val="clear" w:pos="7892"/>
              <w:tab w:val="right" w:pos="9026" w:leader="dot"/>
            </w:tabs>
            <w:rPr/>
          </w:pPr>
          <w:hyperlink w:anchor="__RefHeading___Toc3810151_1067777946">
            <w:r>
              <w:rPr>
                <w:webHidden/>
                <w:rStyle w:val="IndexLink"/>
                <w:rtl w:val="true"/>
              </w:rPr>
              <w:t>جنايت وارده بر دابۀ مغصوبه</w:t>
            </w:r>
            <w:r>
              <w:rPr>
                <w:rStyle w:val="IndexLink"/>
                <w:rtl w:val="true"/>
              </w:rPr>
              <w:tab/>
            </w:r>
            <w:r>
              <w:rPr>
                <w:rStyle w:val="IndexLink"/>
              </w:rPr>
              <w:t>640</w:t>
            </w:r>
          </w:hyperlink>
        </w:p>
        <w:p>
          <w:pPr>
            <w:pStyle w:val="Contents5"/>
            <w:tabs>
              <w:tab w:val="clear" w:pos="7892"/>
              <w:tab w:val="right" w:pos="9026" w:leader="dot"/>
            </w:tabs>
            <w:rPr/>
          </w:pPr>
          <w:hyperlink w:anchor="__RefHeading___Toc3810153_1067777946">
            <w:r>
              <w:rPr>
                <w:webHidden/>
                <w:rStyle w:val="IndexLink"/>
                <w:rtl w:val="true"/>
              </w:rPr>
              <w:t>ضمان اموال اختصاص مثل انگشتر و</w:t>
            </w:r>
            <w:r>
              <w:rPr>
                <w:rStyle w:val="IndexLink"/>
                <w:rtl w:val="true"/>
              </w:rPr>
              <w:t>...</w:t>
              <w:tab/>
            </w:r>
            <w:r>
              <w:rPr>
                <w:rStyle w:val="IndexLink"/>
              </w:rPr>
              <w:t>640</w:t>
            </w:r>
          </w:hyperlink>
        </w:p>
        <w:p>
          <w:pPr>
            <w:pStyle w:val="Contents5"/>
            <w:tabs>
              <w:tab w:val="clear" w:pos="7892"/>
              <w:tab w:val="right" w:pos="9026" w:leader="dot"/>
            </w:tabs>
            <w:rPr/>
          </w:pPr>
          <w:hyperlink w:anchor="__RefHeading___Toc3810155_1067777946">
            <w:r>
              <w:rPr>
                <w:webHidden/>
                <w:rStyle w:val="IndexLink"/>
                <w:rtl w:val="true"/>
              </w:rPr>
              <w:t>قتل مملوك مغصوب</w:t>
            </w:r>
            <w:r>
              <w:rPr>
                <w:rStyle w:val="IndexLink"/>
                <w:rtl w:val="true"/>
              </w:rPr>
              <w:tab/>
            </w:r>
            <w:r>
              <w:rPr>
                <w:rStyle w:val="IndexLink"/>
              </w:rPr>
              <w:t>641</w:t>
            </w:r>
          </w:hyperlink>
        </w:p>
        <w:p>
          <w:pPr>
            <w:pStyle w:val="Contents5"/>
            <w:tabs>
              <w:tab w:val="clear" w:pos="7892"/>
              <w:tab w:val="right" w:pos="9026" w:leader="dot"/>
            </w:tabs>
            <w:rPr/>
          </w:pPr>
          <w:hyperlink w:anchor="__RefHeading___Toc3810157_1067777946">
            <w:r>
              <w:rPr>
                <w:webHidden/>
                <w:rStyle w:val="IndexLink"/>
                <w:rtl w:val="true"/>
              </w:rPr>
              <w:t>اگر غاصب، مملوك غير را مثله كند</w:t>
            </w:r>
            <w:r>
              <w:rPr>
                <w:rStyle w:val="IndexLink"/>
                <w:rtl w:val="true"/>
              </w:rPr>
              <w:tab/>
            </w:r>
            <w:r>
              <w:rPr>
                <w:rStyle w:val="IndexLink"/>
              </w:rPr>
              <w:t>641</w:t>
            </w:r>
          </w:hyperlink>
        </w:p>
        <w:p>
          <w:pPr>
            <w:pStyle w:val="Contents5"/>
            <w:tabs>
              <w:tab w:val="clear" w:pos="7892"/>
              <w:tab w:val="right" w:pos="9026" w:leader="dot"/>
            </w:tabs>
            <w:rPr/>
          </w:pPr>
          <w:hyperlink w:anchor="__RefHeading___Toc3810159_1067777946">
            <w:r>
              <w:rPr>
                <w:webHidden/>
                <w:rStyle w:val="IndexLink"/>
                <w:rtl w:val="true"/>
              </w:rPr>
              <w:t>جنايت بر مملوك مغصوب</w:t>
            </w:r>
            <w:r>
              <w:rPr>
                <w:rStyle w:val="IndexLink"/>
                <w:rtl w:val="true"/>
              </w:rPr>
              <w:tab/>
            </w:r>
            <w:r>
              <w:rPr>
                <w:rStyle w:val="IndexLink"/>
              </w:rPr>
              <w:t>641</w:t>
            </w:r>
          </w:hyperlink>
        </w:p>
        <w:p>
          <w:pPr>
            <w:pStyle w:val="Contents5"/>
            <w:tabs>
              <w:tab w:val="clear" w:pos="7892"/>
              <w:tab w:val="right" w:pos="9026" w:leader="dot"/>
            </w:tabs>
            <w:rPr/>
          </w:pPr>
          <w:hyperlink w:anchor="__RefHeading___Toc3810161_1067777946">
            <w:r>
              <w:rPr>
                <w:webHidden/>
                <w:rStyle w:val="IndexLink"/>
                <w:rtl w:val="true"/>
              </w:rPr>
              <w:t>اگر ديه جنايت در اعضاى مملوك مستغرق قيمت او بود</w:t>
            </w:r>
            <w:r>
              <w:rPr>
                <w:rStyle w:val="IndexLink"/>
                <w:rtl w:val="true"/>
              </w:rPr>
              <w:tab/>
            </w:r>
            <w:r>
              <w:rPr>
                <w:rStyle w:val="IndexLink"/>
              </w:rPr>
              <w:t>642</w:t>
            </w:r>
          </w:hyperlink>
        </w:p>
        <w:p>
          <w:pPr>
            <w:pStyle w:val="Contents5"/>
            <w:tabs>
              <w:tab w:val="clear" w:pos="7892"/>
              <w:tab w:val="right" w:pos="9026" w:leader="dot"/>
            </w:tabs>
            <w:rPr/>
          </w:pPr>
          <w:hyperlink w:anchor="__RefHeading___Toc3810163_1067777946">
            <w:r>
              <w:rPr>
                <w:webHidden/>
                <w:rStyle w:val="IndexLink"/>
                <w:rtl w:val="true"/>
              </w:rPr>
              <w:t>جنايتِ مملوك مغصوب</w:t>
            </w:r>
            <w:r>
              <w:rPr>
                <w:rStyle w:val="IndexLink"/>
                <w:rtl w:val="true"/>
              </w:rPr>
              <w:tab/>
            </w:r>
            <w:r>
              <w:rPr>
                <w:rStyle w:val="IndexLink"/>
              </w:rPr>
              <w:t>642</w:t>
            </w:r>
          </w:hyperlink>
        </w:p>
        <w:p>
          <w:pPr>
            <w:pStyle w:val="Contents5"/>
            <w:tabs>
              <w:tab w:val="clear" w:pos="7892"/>
              <w:tab w:val="right" w:pos="9026" w:leader="dot"/>
            </w:tabs>
            <w:rPr/>
          </w:pPr>
          <w:hyperlink w:anchor="__RefHeading___Toc3810165_1067777946">
            <w:r>
              <w:rPr>
                <w:webHidden/>
                <w:rStyle w:val="IndexLink"/>
                <w:rtl w:val="true"/>
              </w:rPr>
              <w:t>حدوث نقص در اعضاى مملوك</w:t>
            </w:r>
            <w:r>
              <w:rPr>
                <w:rStyle w:val="IndexLink"/>
                <w:rtl w:val="true"/>
              </w:rPr>
              <w:tab/>
            </w:r>
            <w:r>
              <w:rPr>
                <w:rStyle w:val="IndexLink"/>
              </w:rPr>
              <w:t>644</w:t>
            </w:r>
          </w:hyperlink>
        </w:p>
        <w:p>
          <w:pPr>
            <w:pStyle w:val="Contents5"/>
            <w:tabs>
              <w:tab w:val="clear" w:pos="7892"/>
              <w:tab w:val="right" w:pos="9026" w:leader="dot"/>
            </w:tabs>
            <w:rPr/>
          </w:pPr>
          <w:hyperlink w:anchor="__RefHeading___Toc3810167_1067777946">
            <w:r>
              <w:rPr>
                <w:webHidden/>
                <w:rStyle w:val="IndexLink"/>
                <w:rtl w:val="true"/>
              </w:rPr>
              <w:t>بدل حيلولت</w:t>
            </w:r>
            <w:r>
              <w:rPr>
                <w:rStyle w:val="IndexLink"/>
                <w:rtl w:val="true"/>
              </w:rPr>
              <w:tab/>
            </w:r>
            <w:r>
              <w:rPr>
                <w:rStyle w:val="IndexLink"/>
              </w:rPr>
              <w:t>644</w:t>
            </w:r>
          </w:hyperlink>
        </w:p>
        <w:p>
          <w:pPr>
            <w:pStyle w:val="Contents6"/>
            <w:tabs>
              <w:tab w:val="clear" w:pos="7609"/>
              <w:tab w:val="right" w:pos="9026" w:leader="dot"/>
            </w:tabs>
            <w:rPr/>
          </w:pPr>
          <w:hyperlink w:anchor="__RefHeading___Toc3810169_1067777946">
            <w:r>
              <w:rPr>
                <w:webHidden/>
                <w:rStyle w:val="IndexLink"/>
                <w:rtl w:val="true"/>
              </w:rPr>
              <w:t>اگر تسليم مغصوب عادتاً ممتنع شود</w:t>
            </w:r>
            <w:r>
              <w:rPr>
                <w:rStyle w:val="IndexLink"/>
                <w:rtl w:val="true"/>
              </w:rPr>
              <w:tab/>
            </w:r>
            <w:r>
              <w:rPr>
                <w:rStyle w:val="IndexLink"/>
              </w:rPr>
              <w:t>644</w:t>
            </w:r>
          </w:hyperlink>
        </w:p>
        <w:p>
          <w:pPr>
            <w:pStyle w:val="Contents6"/>
            <w:tabs>
              <w:tab w:val="clear" w:pos="7609"/>
              <w:tab w:val="right" w:pos="9026" w:leader="dot"/>
            </w:tabs>
            <w:rPr/>
          </w:pPr>
          <w:hyperlink w:anchor="__RefHeading___Toc3810171_1067777946">
            <w:r>
              <w:rPr>
                <w:webHidden/>
                <w:rStyle w:val="IndexLink"/>
                <w:rtl w:val="true"/>
              </w:rPr>
              <w:t>تلف مغصوب و استقرار عوضيّت</w:t>
            </w:r>
            <w:r>
              <w:rPr>
                <w:rStyle w:val="IndexLink"/>
                <w:rtl w:val="true"/>
              </w:rPr>
              <w:tab/>
            </w:r>
            <w:r>
              <w:rPr>
                <w:rStyle w:val="IndexLink"/>
              </w:rPr>
              <w:t>645</w:t>
            </w:r>
          </w:hyperlink>
        </w:p>
        <w:p>
          <w:pPr>
            <w:pStyle w:val="Contents6"/>
            <w:tabs>
              <w:tab w:val="clear" w:pos="7609"/>
              <w:tab w:val="right" w:pos="9026" w:leader="dot"/>
            </w:tabs>
            <w:rPr/>
          </w:pPr>
          <w:hyperlink w:anchor="__RefHeading___Toc3810173_1067777946">
            <w:r>
              <w:rPr>
                <w:webHidden/>
                <w:rStyle w:val="IndexLink"/>
                <w:rtl w:val="true"/>
              </w:rPr>
              <w:t>تعاقب ايدى بر مغصوب و تعقب به حيلولت</w:t>
            </w:r>
            <w:r>
              <w:rPr>
                <w:rStyle w:val="IndexLink"/>
                <w:rtl w:val="true"/>
              </w:rPr>
              <w:tab/>
            </w:r>
            <w:r>
              <w:rPr>
                <w:rStyle w:val="IndexLink"/>
              </w:rPr>
              <w:t>645</w:t>
            </w:r>
          </w:hyperlink>
        </w:p>
        <w:p>
          <w:pPr>
            <w:pStyle w:val="Contents5"/>
            <w:tabs>
              <w:tab w:val="clear" w:pos="7892"/>
              <w:tab w:val="right" w:pos="9026" w:leader="dot"/>
            </w:tabs>
            <w:rPr/>
          </w:pPr>
          <w:hyperlink w:anchor="__RefHeading___Toc3810175_1067777946">
            <w:r>
              <w:rPr>
                <w:webHidden/>
                <w:rStyle w:val="IndexLink"/>
                <w:rtl w:val="true"/>
              </w:rPr>
              <w:t>حكم نمائات متصله و منفصله</w:t>
            </w:r>
            <w:r>
              <w:rPr>
                <w:rStyle w:val="IndexLink"/>
                <w:rtl w:val="true"/>
              </w:rPr>
              <w:tab/>
            </w:r>
            <w:r>
              <w:rPr>
                <w:rStyle w:val="IndexLink"/>
              </w:rPr>
              <w:t>646</w:t>
            </w:r>
          </w:hyperlink>
        </w:p>
        <w:p>
          <w:pPr>
            <w:pStyle w:val="Contents5"/>
            <w:tabs>
              <w:tab w:val="clear" w:pos="7892"/>
              <w:tab w:val="right" w:pos="9026" w:leader="dot"/>
            </w:tabs>
            <w:rPr/>
          </w:pPr>
          <w:hyperlink w:anchor="__RefHeading___Toc3810177_1067777946">
            <w:r>
              <w:rPr>
                <w:webHidden/>
                <w:rStyle w:val="IndexLink"/>
                <w:rtl w:val="true"/>
              </w:rPr>
              <w:t>ضمان لنگه اى از جفت</w:t>
            </w:r>
            <w:r>
              <w:rPr>
                <w:rStyle w:val="IndexLink"/>
                <w:rtl w:val="true"/>
              </w:rPr>
              <w:tab/>
            </w:r>
            <w:r>
              <w:rPr>
                <w:rStyle w:val="IndexLink"/>
              </w:rPr>
              <w:t>646</w:t>
            </w:r>
          </w:hyperlink>
        </w:p>
        <w:p>
          <w:pPr>
            <w:pStyle w:val="Contents5"/>
            <w:tabs>
              <w:tab w:val="clear" w:pos="7892"/>
              <w:tab w:val="right" w:pos="9026" w:leader="dot"/>
            </w:tabs>
            <w:rPr/>
          </w:pPr>
          <w:hyperlink w:anchor="__RefHeading___Toc3810179_1067777946">
            <w:r>
              <w:rPr>
                <w:webHidden/>
                <w:rStyle w:val="IndexLink"/>
                <w:rtl w:val="true"/>
              </w:rPr>
              <w:t>تغييرات در مغصوب</w:t>
            </w:r>
            <w:r>
              <w:rPr>
                <w:rStyle w:val="IndexLink"/>
                <w:rtl w:val="true"/>
              </w:rPr>
              <w:tab/>
            </w:r>
            <w:r>
              <w:rPr>
                <w:rStyle w:val="IndexLink"/>
              </w:rPr>
              <w:t>647</w:t>
            </w:r>
          </w:hyperlink>
        </w:p>
        <w:p>
          <w:pPr>
            <w:pStyle w:val="Contents5"/>
            <w:tabs>
              <w:tab w:val="clear" w:pos="7892"/>
              <w:tab w:val="right" w:pos="9026" w:leader="dot"/>
            </w:tabs>
            <w:rPr/>
          </w:pPr>
          <w:hyperlink w:anchor="__RefHeading___Toc3810181_1067777946">
            <w:r>
              <w:rPr>
                <w:webHidden/>
                <w:rStyle w:val="IndexLink"/>
                <w:rtl w:val="true"/>
              </w:rPr>
              <w:t>در اطعام غاصب، طعام مالك را به او</w:t>
            </w:r>
            <w:r>
              <w:rPr>
                <w:rStyle w:val="IndexLink"/>
                <w:rtl w:val="true"/>
              </w:rPr>
              <w:tab/>
            </w:r>
            <w:r>
              <w:rPr>
                <w:rStyle w:val="IndexLink"/>
              </w:rPr>
              <w:t>647</w:t>
            </w:r>
          </w:hyperlink>
        </w:p>
        <w:p>
          <w:pPr>
            <w:pStyle w:val="Contents5"/>
            <w:tabs>
              <w:tab w:val="clear" w:pos="7892"/>
              <w:tab w:val="right" w:pos="9026" w:leader="dot"/>
            </w:tabs>
            <w:rPr/>
          </w:pPr>
          <w:hyperlink w:anchor="__RefHeading___Toc3810183_1067777946">
            <w:r>
              <w:rPr>
                <w:webHidden/>
                <w:rStyle w:val="IndexLink"/>
                <w:rtl w:val="true"/>
              </w:rPr>
              <w:t>اگر غاصب، شىء مغصوب را، به مالك جاهل، تمليك كند</w:t>
            </w:r>
            <w:r>
              <w:rPr>
                <w:rStyle w:val="IndexLink"/>
                <w:rtl w:val="true"/>
              </w:rPr>
              <w:tab/>
            </w:r>
            <w:r>
              <w:rPr>
                <w:rStyle w:val="IndexLink"/>
              </w:rPr>
              <w:t>647</w:t>
            </w:r>
          </w:hyperlink>
        </w:p>
        <w:p>
          <w:pPr>
            <w:pStyle w:val="Contents5"/>
            <w:tabs>
              <w:tab w:val="clear" w:pos="7892"/>
              <w:tab w:val="right" w:pos="9026" w:leader="dot"/>
            </w:tabs>
            <w:rPr/>
          </w:pPr>
          <w:hyperlink w:anchor="__RefHeading___Toc3810185_1067777946">
            <w:r>
              <w:rPr>
                <w:webHidden/>
                <w:rStyle w:val="IndexLink"/>
                <w:rtl w:val="true"/>
              </w:rPr>
              <w:t>اطعامِ طعامِ مغصوب، به غيرِ مالك</w:t>
            </w:r>
            <w:r>
              <w:rPr>
                <w:rStyle w:val="IndexLink"/>
                <w:rtl w:val="true"/>
              </w:rPr>
              <w:tab/>
            </w:r>
            <w:r>
              <w:rPr>
                <w:rStyle w:val="IndexLink"/>
              </w:rPr>
              <w:t>648</w:t>
            </w:r>
          </w:hyperlink>
        </w:p>
        <w:p>
          <w:pPr>
            <w:pStyle w:val="Contents5"/>
            <w:tabs>
              <w:tab w:val="clear" w:pos="7892"/>
              <w:tab w:val="right" w:pos="9026" w:leader="dot"/>
            </w:tabs>
            <w:rPr/>
          </w:pPr>
          <w:hyperlink w:anchor="__RefHeading___Toc3810187_1067777946">
            <w:r>
              <w:rPr>
                <w:webHidden/>
                <w:rStyle w:val="IndexLink"/>
                <w:rtl w:val="true"/>
              </w:rPr>
              <w:t>غصب فحل ضراب</w:t>
            </w:r>
            <w:r>
              <w:rPr>
                <w:rStyle w:val="IndexLink"/>
                <w:rtl w:val="true"/>
              </w:rPr>
              <w:tab/>
            </w:r>
            <w:r>
              <w:rPr>
                <w:rStyle w:val="IndexLink"/>
              </w:rPr>
              <w:t>649</w:t>
            </w:r>
          </w:hyperlink>
        </w:p>
        <w:p>
          <w:pPr>
            <w:pStyle w:val="Contents5"/>
            <w:tabs>
              <w:tab w:val="clear" w:pos="7892"/>
              <w:tab w:val="right" w:pos="9026" w:leader="dot"/>
            </w:tabs>
            <w:rPr/>
          </w:pPr>
          <w:hyperlink w:anchor="__RefHeading___Toc3810189_1067777946">
            <w:r>
              <w:rPr>
                <w:webHidden/>
                <w:rStyle w:val="IndexLink"/>
                <w:rtl w:val="true"/>
              </w:rPr>
              <w:t>غصب چيزى كه اجرت دارد</w:t>
            </w:r>
            <w:r>
              <w:rPr>
                <w:rStyle w:val="IndexLink"/>
                <w:rtl w:val="true"/>
              </w:rPr>
              <w:tab/>
            </w:r>
            <w:r>
              <w:rPr>
                <w:rStyle w:val="IndexLink"/>
              </w:rPr>
              <w:t>649</w:t>
            </w:r>
          </w:hyperlink>
        </w:p>
        <w:p>
          <w:pPr>
            <w:pStyle w:val="Contents5"/>
            <w:tabs>
              <w:tab w:val="clear" w:pos="7892"/>
              <w:tab w:val="right" w:pos="9026" w:leader="dot"/>
            </w:tabs>
            <w:rPr/>
          </w:pPr>
          <w:hyperlink w:anchor="__RefHeading___Toc3810191_1067777946">
            <w:r>
              <w:rPr>
                <w:webHidden/>
                <w:rStyle w:val="IndexLink"/>
                <w:rtl w:val="true"/>
              </w:rPr>
              <w:t>جوشاندن روغن يا عصير مغصوب</w:t>
            </w:r>
            <w:r>
              <w:rPr>
                <w:rStyle w:val="IndexLink"/>
                <w:rtl w:val="true"/>
              </w:rPr>
              <w:tab/>
            </w:r>
            <w:r>
              <w:rPr>
                <w:rStyle w:val="IndexLink"/>
              </w:rPr>
              <w:t>649</w:t>
            </w:r>
          </w:hyperlink>
        </w:p>
        <w:p>
          <w:pPr>
            <w:pStyle w:val="Contents5"/>
            <w:tabs>
              <w:tab w:val="clear" w:pos="7892"/>
              <w:tab w:val="right" w:pos="9026" w:leader="dot"/>
            </w:tabs>
            <w:rPr/>
          </w:pPr>
          <w:hyperlink w:anchor="__RefHeading___Toc3810193_1067777946">
            <w:r>
              <w:rPr>
                <w:webHidden/>
                <w:rStyle w:val="IndexLink"/>
                <w:rtl w:val="true"/>
              </w:rPr>
              <w:t>متبدّل شدن مغصوب</w:t>
            </w:r>
            <w:r>
              <w:rPr>
                <w:rStyle w:val="IndexLink"/>
                <w:rtl w:val="true"/>
              </w:rPr>
              <w:tab/>
            </w:r>
            <w:r>
              <w:rPr>
                <w:rStyle w:val="IndexLink"/>
              </w:rPr>
              <w:t>650</w:t>
            </w:r>
          </w:hyperlink>
        </w:p>
        <w:p>
          <w:pPr>
            <w:pStyle w:val="Contents3"/>
            <w:tabs>
              <w:tab w:val="clear" w:pos="8459"/>
              <w:tab w:val="right" w:pos="9026" w:leader="dot"/>
            </w:tabs>
            <w:rPr/>
          </w:pPr>
          <w:hyperlink w:anchor="__RefHeading___Toc3810195_1067777946">
            <w:r>
              <w:rPr>
                <w:webHidden/>
                <w:rStyle w:val="IndexLink"/>
                <w:rtl w:val="true"/>
              </w:rPr>
              <w:t>فصل سوّم لواحق غصب</w:t>
            </w:r>
            <w:r>
              <w:rPr>
                <w:rStyle w:val="IndexLink"/>
                <w:rtl w:val="true"/>
              </w:rPr>
              <w:tab/>
            </w:r>
            <w:r>
              <w:rPr>
                <w:rStyle w:val="IndexLink"/>
              </w:rPr>
              <w:t>651</w:t>
            </w:r>
          </w:hyperlink>
        </w:p>
        <w:p>
          <w:pPr>
            <w:pStyle w:val="Contents4"/>
            <w:tabs>
              <w:tab w:val="clear" w:pos="8176"/>
              <w:tab w:val="right" w:pos="9026" w:leader="dot"/>
            </w:tabs>
            <w:rPr/>
          </w:pPr>
          <w:hyperlink w:anchor="__RefHeading___Toc3810197_1067777946">
            <w:r>
              <w:rPr>
                <w:webHidden/>
                <w:rStyle w:val="IndexLink"/>
                <w:rtl w:val="true"/>
              </w:rPr>
              <w:t>زيادتى يا نقصان قيمت مغصوب به سبب فعل غاصب يا غير او</w:t>
            </w:r>
            <w:r>
              <w:rPr>
                <w:rStyle w:val="IndexLink"/>
                <w:rtl w:val="true"/>
              </w:rPr>
              <w:tab/>
            </w:r>
            <w:r>
              <w:rPr>
                <w:rStyle w:val="IndexLink"/>
              </w:rPr>
              <w:t>651</w:t>
            </w:r>
          </w:hyperlink>
        </w:p>
        <w:p>
          <w:pPr>
            <w:pStyle w:val="Contents5"/>
            <w:tabs>
              <w:tab w:val="clear" w:pos="7892"/>
              <w:tab w:val="right" w:pos="9026" w:leader="dot"/>
            </w:tabs>
            <w:rPr/>
          </w:pPr>
          <w:hyperlink w:anchor="__RefHeading___Toc3810199_1067777946">
            <w:r>
              <w:rPr>
                <w:webHidden/>
                <w:rStyle w:val="IndexLink"/>
                <w:rtl w:val="true"/>
              </w:rPr>
              <w:t>اشاره</w:t>
            </w:r>
            <w:r>
              <w:rPr>
                <w:rStyle w:val="IndexLink"/>
                <w:rtl w:val="true"/>
              </w:rPr>
              <w:tab/>
            </w:r>
            <w:r>
              <w:rPr>
                <w:rStyle w:val="IndexLink"/>
              </w:rPr>
              <w:t>651</w:t>
            </w:r>
          </w:hyperlink>
        </w:p>
        <w:p>
          <w:pPr>
            <w:pStyle w:val="Contents5"/>
            <w:tabs>
              <w:tab w:val="clear" w:pos="7892"/>
              <w:tab w:val="right" w:pos="9026" w:leader="dot"/>
            </w:tabs>
            <w:rPr/>
          </w:pPr>
          <w:hyperlink w:anchor="__RefHeading___Toc3810201_1067777946">
            <w:r>
              <w:rPr>
                <w:webHidden/>
                <w:rStyle w:val="IndexLink"/>
                <w:rtl w:val="true"/>
              </w:rPr>
              <w:t>حاصل شدن زيادتى عينيّه در مغصوب به وسيلۀ فعل غاصب</w:t>
            </w:r>
            <w:r>
              <w:rPr>
                <w:rStyle w:val="IndexLink"/>
                <w:rtl w:val="true"/>
              </w:rPr>
              <w:tab/>
            </w:r>
            <w:r>
              <w:rPr>
                <w:rStyle w:val="IndexLink"/>
              </w:rPr>
              <w:t>652</w:t>
            </w:r>
          </w:hyperlink>
        </w:p>
        <w:p>
          <w:pPr>
            <w:pStyle w:val="Contents5"/>
            <w:tabs>
              <w:tab w:val="clear" w:pos="7892"/>
              <w:tab w:val="right" w:pos="9026" w:leader="dot"/>
            </w:tabs>
            <w:rPr/>
          </w:pPr>
          <w:hyperlink w:anchor="__RefHeading___Toc3810203_1067777946">
            <w:r>
              <w:rPr>
                <w:webHidden/>
                <w:rStyle w:val="IndexLink"/>
                <w:rtl w:val="true"/>
              </w:rPr>
              <w:t>فروعى راجع به رنگ كردن جامۀ مغصوب، توسط غاصب</w:t>
            </w:r>
            <w:r>
              <w:rPr>
                <w:rStyle w:val="IndexLink"/>
                <w:rtl w:val="true"/>
              </w:rPr>
              <w:tab/>
            </w:r>
            <w:r>
              <w:rPr>
                <w:rStyle w:val="IndexLink"/>
              </w:rPr>
              <w:t>652</w:t>
            </w:r>
          </w:hyperlink>
        </w:p>
        <w:p>
          <w:pPr>
            <w:pStyle w:val="Contents5"/>
            <w:tabs>
              <w:tab w:val="clear" w:pos="7892"/>
              <w:tab w:val="right" w:pos="9026" w:leader="dot"/>
            </w:tabs>
            <w:rPr/>
          </w:pPr>
          <w:hyperlink w:anchor="__RefHeading___Toc3810205_1067777946">
            <w:r>
              <w:rPr>
                <w:webHidden/>
                <w:rStyle w:val="IndexLink"/>
                <w:rtl w:val="true"/>
              </w:rPr>
              <w:t>بقاى جامه با رنگ آن با رضاى مالك و غاصب</w:t>
            </w:r>
            <w:r>
              <w:rPr>
                <w:rStyle w:val="IndexLink"/>
                <w:rtl w:val="true"/>
              </w:rPr>
              <w:tab/>
            </w:r>
            <w:r>
              <w:rPr>
                <w:rStyle w:val="IndexLink"/>
              </w:rPr>
              <w:t>653</w:t>
            </w:r>
          </w:hyperlink>
        </w:p>
        <w:p>
          <w:pPr>
            <w:pStyle w:val="Contents5"/>
            <w:tabs>
              <w:tab w:val="clear" w:pos="7892"/>
              <w:tab w:val="right" w:pos="9026" w:leader="dot"/>
            </w:tabs>
            <w:rPr/>
          </w:pPr>
          <w:hyperlink w:anchor="__RefHeading___Toc3810207_1067777946">
            <w:r>
              <w:rPr>
                <w:webHidden/>
                <w:rStyle w:val="IndexLink"/>
                <w:rtl w:val="true"/>
              </w:rPr>
              <w:t>حصول نقصان در قيمت جامه و در قيمت صبغ</w:t>
            </w:r>
            <w:r>
              <w:rPr>
                <w:rStyle w:val="IndexLink"/>
                <w:rtl w:val="true"/>
              </w:rPr>
              <w:tab/>
            </w:r>
            <w:r>
              <w:rPr>
                <w:rStyle w:val="IndexLink"/>
              </w:rPr>
              <w:t>653</w:t>
            </w:r>
          </w:hyperlink>
        </w:p>
        <w:p>
          <w:pPr>
            <w:pStyle w:val="Contents5"/>
            <w:tabs>
              <w:tab w:val="clear" w:pos="7892"/>
              <w:tab w:val="right" w:pos="9026" w:leader="dot"/>
            </w:tabs>
            <w:rPr/>
          </w:pPr>
          <w:hyperlink w:anchor="__RefHeading___Toc3810209_1067777946">
            <w:r>
              <w:rPr>
                <w:webHidden/>
                <w:rStyle w:val="IndexLink"/>
                <w:rtl w:val="true"/>
              </w:rPr>
              <w:t>اگر رنگ از غاصب نباشد</w:t>
            </w:r>
            <w:r>
              <w:rPr>
                <w:rStyle w:val="IndexLink"/>
                <w:rtl w:val="true"/>
              </w:rPr>
              <w:tab/>
            </w:r>
            <w:r>
              <w:rPr>
                <w:rStyle w:val="IndexLink"/>
              </w:rPr>
              <w:t>654</w:t>
            </w:r>
          </w:hyperlink>
        </w:p>
        <w:p>
          <w:pPr>
            <w:pStyle w:val="Contents5"/>
            <w:tabs>
              <w:tab w:val="clear" w:pos="7892"/>
              <w:tab w:val="right" w:pos="9026" w:leader="dot"/>
            </w:tabs>
            <w:rPr/>
          </w:pPr>
          <w:hyperlink w:anchor="__RefHeading___Toc3810211_1067777946">
            <w:r>
              <w:rPr>
                <w:webHidden/>
                <w:rStyle w:val="IndexLink"/>
                <w:rtl w:val="true"/>
              </w:rPr>
              <w:t>اگر رنگ هم از مالك جامه، غصب شده بود</w:t>
            </w:r>
            <w:r>
              <w:rPr>
                <w:rStyle w:val="IndexLink"/>
                <w:rtl w:val="true"/>
              </w:rPr>
              <w:tab/>
            </w:r>
            <w:r>
              <w:rPr>
                <w:rStyle w:val="IndexLink"/>
              </w:rPr>
              <w:t>655</w:t>
            </w:r>
          </w:hyperlink>
        </w:p>
        <w:p>
          <w:pPr>
            <w:pStyle w:val="Contents4"/>
            <w:tabs>
              <w:tab w:val="clear" w:pos="8176"/>
              <w:tab w:val="right" w:pos="9026" w:leader="dot"/>
            </w:tabs>
            <w:rPr/>
          </w:pPr>
          <w:hyperlink w:anchor="__RefHeading___Toc3810213_1067777946">
            <w:r>
              <w:rPr>
                <w:webHidden/>
                <w:rStyle w:val="IndexLink"/>
                <w:rtl w:val="true"/>
              </w:rPr>
              <w:t>مخلوط كردن روغن مغصوب با روغن خود</w:t>
            </w:r>
            <w:r>
              <w:rPr>
                <w:rStyle w:val="IndexLink"/>
                <w:rtl w:val="true"/>
              </w:rPr>
              <w:tab/>
            </w:r>
            <w:r>
              <w:rPr>
                <w:rStyle w:val="IndexLink"/>
              </w:rPr>
              <w:t>655</w:t>
            </w:r>
          </w:hyperlink>
        </w:p>
        <w:p>
          <w:pPr>
            <w:pStyle w:val="Contents5"/>
            <w:tabs>
              <w:tab w:val="clear" w:pos="7892"/>
              <w:tab w:val="right" w:pos="9026" w:leader="dot"/>
            </w:tabs>
            <w:rPr/>
          </w:pPr>
          <w:hyperlink w:anchor="__RefHeading___Toc3810215_1067777946">
            <w:r>
              <w:rPr>
                <w:webHidden/>
                <w:rStyle w:val="IndexLink"/>
                <w:rtl w:val="true"/>
              </w:rPr>
              <w:t>اشاره</w:t>
            </w:r>
            <w:r>
              <w:rPr>
                <w:rStyle w:val="IndexLink"/>
                <w:rtl w:val="true"/>
              </w:rPr>
              <w:tab/>
            </w:r>
            <w:r>
              <w:rPr>
                <w:rStyle w:val="IndexLink"/>
              </w:rPr>
              <w:t>655</w:t>
            </w:r>
          </w:hyperlink>
        </w:p>
        <w:p>
          <w:pPr>
            <w:pStyle w:val="Contents5"/>
            <w:tabs>
              <w:tab w:val="clear" w:pos="7892"/>
              <w:tab w:val="right" w:pos="9026" w:leader="dot"/>
            </w:tabs>
            <w:rPr/>
          </w:pPr>
          <w:hyperlink w:anchor="__RefHeading___Toc3810217_1067777946">
            <w:r>
              <w:rPr>
                <w:webHidden/>
                <w:rStyle w:val="IndexLink"/>
                <w:rtl w:val="true"/>
              </w:rPr>
              <w:t>ممزوج كردن مغصوب با غير جنس</w:t>
            </w:r>
            <w:r>
              <w:rPr>
                <w:rStyle w:val="IndexLink"/>
                <w:rtl w:val="true"/>
              </w:rPr>
              <w:tab/>
            </w:r>
            <w:r>
              <w:rPr>
                <w:rStyle w:val="IndexLink"/>
              </w:rPr>
              <w:t>656</w:t>
            </w:r>
          </w:hyperlink>
        </w:p>
        <w:p>
          <w:pPr>
            <w:pStyle w:val="Contents4"/>
            <w:tabs>
              <w:tab w:val="clear" w:pos="8176"/>
              <w:tab w:val="right" w:pos="9026" w:leader="dot"/>
            </w:tabs>
            <w:rPr/>
          </w:pPr>
          <w:hyperlink w:anchor="__RefHeading___Toc3810219_1067777946">
            <w:r>
              <w:rPr>
                <w:webHidden/>
                <w:rStyle w:val="IndexLink"/>
                <w:rtl w:val="true"/>
              </w:rPr>
              <w:t>ضمان فوائد مغصوب</w:t>
            </w:r>
            <w:r>
              <w:rPr>
                <w:rStyle w:val="IndexLink"/>
                <w:rtl w:val="true"/>
              </w:rPr>
              <w:tab/>
            </w:r>
            <w:r>
              <w:rPr>
                <w:rStyle w:val="IndexLink"/>
              </w:rPr>
              <w:t>657</w:t>
            </w:r>
          </w:hyperlink>
        </w:p>
        <w:p>
          <w:pPr>
            <w:pStyle w:val="Contents5"/>
            <w:tabs>
              <w:tab w:val="clear" w:pos="7892"/>
              <w:tab w:val="right" w:pos="9026" w:leader="dot"/>
            </w:tabs>
            <w:rPr/>
          </w:pPr>
          <w:hyperlink w:anchor="__RefHeading___Toc3810221_1067777946">
            <w:r>
              <w:rPr>
                <w:webHidden/>
                <w:rStyle w:val="IndexLink"/>
                <w:rtl w:val="true"/>
              </w:rPr>
              <w:t>اشاره</w:t>
            </w:r>
            <w:r>
              <w:rPr>
                <w:rStyle w:val="IndexLink"/>
                <w:rtl w:val="true"/>
              </w:rPr>
              <w:tab/>
            </w:r>
            <w:r>
              <w:rPr>
                <w:rStyle w:val="IndexLink"/>
              </w:rPr>
              <w:t>657</w:t>
            </w:r>
          </w:hyperlink>
        </w:p>
        <w:p>
          <w:pPr>
            <w:pStyle w:val="Contents5"/>
            <w:tabs>
              <w:tab w:val="clear" w:pos="7892"/>
              <w:tab w:val="right" w:pos="9026" w:leader="dot"/>
            </w:tabs>
            <w:rPr/>
          </w:pPr>
          <w:hyperlink w:anchor="__RefHeading___Toc3810223_1067777946">
            <w:r>
              <w:rPr>
                <w:webHidden/>
                <w:rStyle w:val="IndexLink"/>
                <w:rtl w:val="true"/>
              </w:rPr>
              <w:t>ضمان غاصب به اعلى المنافع</w:t>
            </w:r>
            <w:r>
              <w:rPr>
                <w:rStyle w:val="IndexLink"/>
                <w:rtl w:val="true"/>
              </w:rPr>
              <w:tab/>
            </w:r>
            <w:r>
              <w:rPr>
                <w:rStyle w:val="IndexLink"/>
              </w:rPr>
              <w:t>657</w:t>
            </w:r>
          </w:hyperlink>
        </w:p>
        <w:p>
          <w:pPr>
            <w:pStyle w:val="Contents5"/>
            <w:tabs>
              <w:tab w:val="clear" w:pos="7892"/>
              <w:tab w:val="right" w:pos="9026" w:leader="dot"/>
            </w:tabs>
            <w:rPr/>
          </w:pPr>
          <w:hyperlink w:anchor="__RefHeading___Toc3810225_1067777946">
            <w:r>
              <w:rPr>
                <w:webHidden/>
                <w:rStyle w:val="IndexLink"/>
                <w:rtl w:val="true"/>
              </w:rPr>
              <w:t>پيدايش منفعت در دست غاصب و از بين رفتن آن</w:t>
            </w:r>
            <w:r>
              <w:rPr>
                <w:rStyle w:val="IndexLink"/>
                <w:rtl w:val="true"/>
              </w:rPr>
              <w:tab/>
            </w:r>
            <w:r>
              <w:rPr>
                <w:rStyle w:val="IndexLink"/>
              </w:rPr>
              <w:t>658</w:t>
            </w:r>
          </w:hyperlink>
        </w:p>
        <w:p>
          <w:pPr>
            <w:pStyle w:val="Contents6"/>
            <w:tabs>
              <w:tab w:val="clear" w:pos="7609"/>
              <w:tab w:val="right" w:pos="9026" w:leader="dot"/>
            </w:tabs>
            <w:rPr/>
          </w:pPr>
          <w:hyperlink w:anchor="__RefHeading___Toc3810227_1067777946">
            <w:r>
              <w:rPr>
                <w:webHidden/>
                <w:rStyle w:val="IndexLink"/>
                <w:rtl w:val="true"/>
              </w:rPr>
              <w:t>اشاره</w:t>
            </w:r>
            <w:r>
              <w:rPr>
                <w:rStyle w:val="IndexLink"/>
                <w:rtl w:val="true"/>
              </w:rPr>
              <w:tab/>
            </w:r>
            <w:r>
              <w:rPr>
                <w:rStyle w:val="IndexLink"/>
              </w:rPr>
              <w:t>658</w:t>
            </w:r>
          </w:hyperlink>
        </w:p>
        <w:p>
          <w:pPr>
            <w:pStyle w:val="Contents6"/>
            <w:tabs>
              <w:tab w:val="clear" w:pos="7609"/>
              <w:tab w:val="right" w:pos="9026" w:leader="dot"/>
            </w:tabs>
            <w:rPr/>
          </w:pPr>
          <w:hyperlink w:anchor="__RefHeading___Toc3810229_1067777946">
            <w:r>
              <w:rPr>
                <w:webHidden/>
                <w:rStyle w:val="IndexLink"/>
                <w:rtl w:val="true"/>
              </w:rPr>
              <w:t>بالا رفتن قيمت و نقص آن و عود قيمت سابقه</w:t>
            </w:r>
            <w:r>
              <w:rPr>
                <w:rStyle w:val="IndexLink"/>
                <w:rtl w:val="true"/>
              </w:rPr>
              <w:tab/>
            </w:r>
            <w:r>
              <w:rPr>
                <w:rStyle w:val="IndexLink"/>
              </w:rPr>
              <w:t>658</w:t>
            </w:r>
          </w:hyperlink>
        </w:p>
        <w:p>
          <w:pPr>
            <w:pStyle w:val="Contents6"/>
            <w:tabs>
              <w:tab w:val="clear" w:pos="7609"/>
              <w:tab w:val="right" w:pos="9026" w:leader="dot"/>
            </w:tabs>
            <w:rPr/>
          </w:pPr>
          <w:hyperlink w:anchor="__RefHeading___Toc3810231_1067777946">
            <w:r>
              <w:rPr>
                <w:webHidden/>
                <w:rStyle w:val="IndexLink"/>
                <w:rtl w:val="true"/>
              </w:rPr>
              <w:t>اشاره</w:t>
            </w:r>
            <w:r>
              <w:rPr>
                <w:rStyle w:val="IndexLink"/>
                <w:rtl w:val="true"/>
              </w:rPr>
              <w:tab/>
            </w:r>
            <w:r>
              <w:rPr>
                <w:rStyle w:val="IndexLink"/>
              </w:rPr>
              <w:t>658</w:t>
            </w:r>
          </w:hyperlink>
        </w:p>
        <w:p>
          <w:pPr>
            <w:pStyle w:val="Contents6"/>
            <w:tabs>
              <w:tab w:val="clear" w:pos="7609"/>
              <w:tab w:val="right" w:pos="9026" w:leader="dot"/>
            </w:tabs>
            <w:rPr/>
          </w:pPr>
          <w:hyperlink w:anchor="__RefHeading___Toc3810233_1067777946">
            <w:r>
              <w:rPr>
                <w:webHidden/>
                <w:rStyle w:val="IndexLink"/>
                <w:rtl w:val="true"/>
              </w:rPr>
              <w:t>مختار در مسأله</w:t>
            </w:r>
            <w:r>
              <w:rPr>
                <w:rStyle w:val="IndexLink"/>
                <w:rtl w:val="true"/>
              </w:rPr>
              <w:tab/>
            </w:r>
            <w:r>
              <w:rPr>
                <w:rStyle w:val="IndexLink"/>
              </w:rPr>
              <w:t>658</w:t>
            </w:r>
          </w:hyperlink>
        </w:p>
        <w:p>
          <w:pPr>
            <w:pStyle w:val="Contents6"/>
            <w:tabs>
              <w:tab w:val="clear" w:pos="7609"/>
              <w:tab w:val="right" w:pos="9026" w:leader="dot"/>
            </w:tabs>
            <w:rPr/>
          </w:pPr>
          <w:hyperlink w:anchor="__RefHeading___Toc3810235_1067777946">
            <w:r>
              <w:rPr>
                <w:webHidden/>
                <w:rStyle w:val="IndexLink"/>
                <w:rtl w:val="true"/>
              </w:rPr>
              <w:t>عود مثل زائله يا تجدّد صفت بالاتر</w:t>
            </w:r>
            <w:r>
              <w:rPr>
                <w:rStyle w:val="IndexLink"/>
                <w:rtl w:val="true"/>
              </w:rPr>
              <w:tab/>
            </w:r>
            <w:r>
              <w:rPr>
                <w:rStyle w:val="IndexLink"/>
              </w:rPr>
              <w:t>659</w:t>
            </w:r>
          </w:hyperlink>
        </w:p>
        <w:p>
          <w:pPr>
            <w:pStyle w:val="Contents6"/>
            <w:tabs>
              <w:tab w:val="clear" w:pos="7609"/>
              <w:tab w:val="right" w:pos="9026" w:leader="dot"/>
            </w:tabs>
            <w:rPr/>
          </w:pPr>
          <w:hyperlink w:anchor="__RefHeading___Toc3810237_1067777946">
            <w:r>
              <w:rPr>
                <w:webHidden/>
                <w:rStyle w:val="IndexLink"/>
                <w:rtl w:val="true"/>
              </w:rPr>
              <w:t>تكرر ذهاب و عود يك صفت</w:t>
            </w:r>
            <w:r>
              <w:rPr>
                <w:rStyle w:val="IndexLink"/>
                <w:rtl w:val="true"/>
              </w:rPr>
              <w:tab/>
            </w:r>
            <w:r>
              <w:rPr>
                <w:rStyle w:val="IndexLink"/>
              </w:rPr>
              <w:t>659</w:t>
            </w:r>
          </w:hyperlink>
        </w:p>
        <w:p>
          <w:pPr>
            <w:pStyle w:val="Contents6"/>
            <w:tabs>
              <w:tab w:val="clear" w:pos="7609"/>
              <w:tab w:val="right" w:pos="9026" w:leader="dot"/>
            </w:tabs>
            <w:rPr/>
          </w:pPr>
          <w:hyperlink w:anchor="__RefHeading___Toc3810239_1067777946">
            <w:r>
              <w:rPr>
                <w:webHidden/>
                <w:rStyle w:val="IndexLink"/>
                <w:rtl w:val="true"/>
              </w:rPr>
              <w:t>ازدياد قيمت مملوك به سبب تعلم صنعت محرّمه</w:t>
            </w:r>
            <w:r>
              <w:rPr>
                <w:rStyle w:val="IndexLink"/>
                <w:rtl w:val="true"/>
              </w:rPr>
              <w:tab/>
            </w:r>
            <w:r>
              <w:rPr>
                <w:rStyle w:val="IndexLink"/>
              </w:rPr>
              <w:t>660</w:t>
            </w:r>
          </w:hyperlink>
        </w:p>
        <w:p>
          <w:pPr>
            <w:pStyle w:val="Contents6"/>
            <w:tabs>
              <w:tab w:val="clear" w:pos="7609"/>
              <w:tab w:val="right" w:pos="9026" w:leader="dot"/>
            </w:tabs>
            <w:rPr/>
          </w:pPr>
          <w:hyperlink w:anchor="__RefHeading___Toc3810241_1067777946">
            <w:r>
              <w:rPr>
                <w:webHidden/>
                <w:rStyle w:val="IndexLink"/>
                <w:rtl w:val="true"/>
              </w:rPr>
              <w:t>ضمان چاقى مفرط و عدم آن</w:t>
            </w:r>
            <w:r>
              <w:rPr>
                <w:rStyle w:val="IndexLink"/>
                <w:rtl w:val="true"/>
              </w:rPr>
              <w:tab/>
            </w:r>
            <w:r>
              <w:rPr>
                <w:rStyle w:val="IndexLink"/>
              </w:rPr>
              <w:t>660</w:t>
            </w:r>
          </w:hyperlink>
        </w:p>
        <w:p>
          <w:pPr>
            <w:pStyle w:val="Contents5"/>
            <w:tabs>
              <w:tab w:val="clear" w:pos="7892"/>
              <w:tab w:val="right" w:pos="9026" w:leader="dot"/>
            </w:tabs>
            <w:rPr/>
          </w:pPr>
          <w:hyperlink w:anchor="__RefHeading___Toc3810243_1067777946">
            <w:r>
              <w:rPr>
                <w:webHidden/>
                <w:rStyle w:val="IndexLink"/>
                <w:rtl w:val="true"/>
              </w:rPr>
              <w:t>ميزان در ايجاب نقص قيمت يا عدم آن</w:t>
            </w:r>
            <w:r>
              <w:rPr>
                <w:rStyle w:val="IndexLink"/>
                <w:rtl w:val="true"/>
              </w:rPr>
              <w:tab/>
            </w:r>
            <w:r>
              <w:rPr>
                <w:rStyle w:val="IndexLink"/>
              </w:rPr>
              <w:t>660</w:t>
            </w:r>
          </w:hyperlink>
        </w:p>
        <w:p>
          <w:pPr>
            <w:pStyle w:val="Contents4"/>
            <w:tabs>
              <w:tab w:val="clear" w:pos="8176"/>
              <w:tab w:val="right" w:pos="9026" w:leader="dot"/>
            </w:tabs>
            <w:rPr/>
          </w:pPr>
          <w:hyperlink w:anchor="__RefHeading___Toc3810245_1067777946">
            <w:r>
              <w:rPr>
                <w:webHidden/>
                <w:rStyle w:val="IndexLink"/>
                <w:rtl w:val="true"/>
              </w:rPr>
              <w:t>ضمان مبيع به بيع فاسد</w:t>
            </w:r>
            <w:r>
              <w:rPr>
                <w:rStyle w:val="IndexLink"/>
                <w:rtl w:val="true"/>
              </w:rPr>
              <w:tab/>
            </w:r>
            <w:r>
              <w:rPr>
                <w:rStyle w:val="IndexLink"/>
              </w:rPr>
              <w:t>661</w:t>
            </w:r>
          </w:hyperlink>
        </w:p>
        <w:p>
          <w:pPr>
            <w:pStyle w:val="Contents5"/>
            <w:tabs>
              <w:tab w:val="clear" w:pos="7892"/>
              <w:tab w:val="right" w:pos="9026" w:leader="dot"/>
            </w:tabs>
            <w:rPr/>
          </w:pPr>
          <w:hyperlink w:anchor="__RefHeading___Toc3810247_1067777946">
            <w:r>
              <w:rPr>
                <w:webHidden/>
                <w:rStyle w:val="IndexLink"/>
                <w:rtl w:val="true"/>
              </w:rPr>
              <w:t>اشاره</w:t>
            </w:r>
            <w:r>
              <w:rPr>
                <w:rStyle w:val="IndexLink"/>
                <w:rtl w:val="true"/>
              </w:rPr>
              <w:tab/>
            </w:r>
            <w:r>
              <w:rPr>
                <w:rStyle w:val="IndexLink"/>
              </w:rPr>
              <w:t>661</w:t>
            </w:r>
          </w:hyperlink>
        </w:p>
        <w:p>
          <w:pPr>
            <w:pStyle w:val="Contents5"/>
            <w:tabs>
              <w:tab w:val="clear" w:pos="7892"/>
              <w:tab w:val="right" w:pos="9026" w:leader="dot"/>
            </w:tabs>
            <w:rPr/>
          </w:pPr>
          <w:hyperlink w:anchor="__RefHeading___Toc3810249_1067777946">
            <w:r>
              <w:rPr>
                <w:webHidden/>
                <w:rStyle w:val="IndexLink"/>
                <w:rtl w:val="true"/>
              </w:rPr>
              <w:t>تعاقب ايدى بر مغصوب</w:t>
            </w:r>
            <w:r>
              <w:rPr>
                <w:rStyle w:val="IndexLink"/>
                <w:rtl w:val="true"/>
              </w:rPr>
              <w:tab/>
            </w:r>
            <w:r>
              <w:rPr>
                <w:rStyle w:val="IndexLink"/>
              </w:rPr>
              <w:t>661</w:t>
            </w:r>
          </w:hyperlink>
        </w:p>
        <w:p>
          <w:pPr>
            <w:pStyle w:val="Contents6"/>
            <w:tabs>
              <w:tab w:val="clear" w:pos="7609"/>
              <w:tab w:val="right" w:pos="9026" w:leader="dot"/>
            </w:tabs>
            <w:rPr/>
          </w:pPr>
          <w:hyperlink w:anchor="__RefHeading___Toc3810251_1067777946">
            <w:r>
              <w:rPr>
                <w:webHidden/>
                <w:rStyle w:val="IndexLink"/>
                <w:rtl w:val="true"/>
              </w:rPr>
              <w:t>ضمان خريدارِ از غاصب</w:t>
            </w:r>
            <w:r>
              <w:rPr>
                <w:rStyle w:val="IndexLink"/>
                <w:rtl w:val="true"/>
              </w:rPr>
              <w:tab/>
            </w:r>
            <w:r>
              <w:rPr>
                <w:rStyle w:val="IndexLink"/>
              </w:rPr>
              <w:t>661</w:t>
            </w:r>
          </w:hyperlink>
        </w:p>
        <w:p>
          <w:pPr>
            <w:pStyle w:val="Contents6"/>
            <w:tabs>
              <w:tab w:val="clear" w:pos="7609"/>
              <w:tab w:val="right" w:pos="9026" w:leader="dot"/>
            </w:tabs>
            <w:rPr/>
          </w:pPr>
          <w:hyperlink w:anchor="__RefHeading___Toc3810253_1067777946">
            <w:r>
              <w:rPr>
                <w:webHidden/>
                <w:rStyle w:val="IndexLink"/>
                <w:rtl w:val="true"/>
              </w:rPr>
              <w:t>فرض جهل مشترى به غصب</w:t>
            </w:r>
            <w:r>
              <w:rPr>
                <w:rStyle w:val="IndexLink"/>
                <w:rtl w:val="true"/>
              </w:rPr>
              <w:tab/>
            </w:r>
            <w:r>
              <w:rPr>
                <w:rStyle w:val="IndexLink"/>
              </w:rPr>
              <w:t>662</w:t>
            </w:r>
          </w:hyperlink>
        </w:p>
        <w:p>
          <w:pPr>
            <w:pStyle w:val="Contents6"/>
            <w:tabs>
              <w:tab w:val="clear" w:pos="7609"/>
              <w:tab w:val="right" w:pos="9026" w:leader="dot"/>
            </w:tabs>
            <w:rPr/>
          </w:pPr>
          <w:hyperlink w:anchor="__RefHeading___Toc3810255_1067777946">
            <w:r>
              <w:rPr>
                <w:webHidden/>
                <w:rStyle w:val="IndexLink"/>
                <w:rtl w:val="true"/>
              </w:rPr>
              <w:t>استيلاد از كنيز مغصوبه با جهل</w:t>
            </w:r>
            <w:r>
              <w:rPr>
                <w:rStyle w:val="IndexLink"/>
                <w:rtl w:val="true"/>
              </w:rPr>
              <w:tab/>
            </w:r>
            <w:r>
              <w:rPr>
                <w:rStyle w:val="IndexLink"/>
              </w:rPr>
              <w:t>663</w:t>
            </w:r>
          </w:hyperlink>
        </w:p>
        <w:p>
          <w:pPr>
            <w:pStyle w:val="Contents6"/>
            <w:tabs>
              <w:tab w:val="clear" w:pos="7609"/>
              <w:tab w:val="right" w:pos="9026" w:leader="dot"/>
            </w:tabs>
            <w:rPr/>
          </w:pPr>
          <w:hyperlink w:anchor="__RefHeading___Toc3810257_1067777946">
            <w:r>
              <w:rPr>
                <w:webHidden/>
                <w:rStyle w:val="IndexLink"/>
                <w:rtl w:val="true"/>
              </w:rPr>
              <w:t>ضمان منافع مستوفاة مغصوب</w:t>
            </w:r>
            <w:r>
              <w:rPr>
                <w:rStyle w:val="IndexLink"/>
                <w:rtl w:val="true"/>
              </w:rPr>
              <w:tab/>
            </w:r>
            <w:r>
              <w:rPr>
                <w:rStyle w:val="IndexLink"/>
              </w:rPr>
              <w:t>663</w:t>
            </w:r>
          </w:hyperlink>
        </w:p>
        <w:p>
          <w:pPr>
            <w:pStyle w:val="Contents4"/>
            <w:tabs>
              <w:tab w:val="clear" w:pos="8176"/>
              <w:tab w:val="right" w:pos="9026" w:leader="dot"/>
            </w:tabs>
            <w:rPr/>
          </w:pPr>
          <w:hyperlink w:anchor="__RefHeading___Toc3810259_1067777946">
            <w:r>
              <w:rPr>
                <w:webHidden/>
                <w:rStyle w:val="IndexLink"/>
                <w:rtl w:val="true"/>
              </w:rPr>
              <w:t>ازالۀ بكارت امۀ مغصوبه، به وطى يا غير آن</w:t>
            </w:r>
            <w:r>
              <w:rPr>
                <w:rStyle w:val="IndexLink"/>
                <w:rtl w:val="true"/>
              </w:rPr>
              <w:tab/>
            </w:r>
            <w:r>
              <w:rPr>
                <w:rStyle w:val="IndexLink"/>
              </w:rPr>
              <w:t>663</w:t>
            </w:r>
          </w:hyperlink>
        </w:p>
        <w:p>
          <w:pPr>
            <w:pStyle w:val="Contents5"/>
            <w:tabs>
              <w:tab w:val="clear" w:pos="7892"/>
              <w:tab w:val="right" w:pos="9026" w:leader="dot"/>
            </w:tabs>
            <w:rPr/>
          </w:pPr>
          <w:hyperlink w:anchor="__RefHeading___Toc3810261_1067777946">
            <w:r>
              <w:rPr>
                <w:webHidden/>
                <w:rStyle w:val="IndexLink"/>
                <w:rtl w:val="true"/>
              </w:rPr>
              <w:t>اشاره</w:t>
            </w:r>
            <w:r>
              <w:rPr>
                <w:rStyle w:val="IndexLink"/>
                <w:rtl w:val="true"/>
              </w:rPr>
              <w:tab/>
            </w:r>
            <w:r>
              <w:rPr>
                <w:rStyle w:val="IndexLink"/>
              </w:rPr>
              <w:t>663</w:t>
            </w:r>
          </w:hyperlink>
        </w:p>
        <w:p>
          <w:pPr>
            <w:pStyle w:val="Contents5"/>
            <w:tabs>
              <w:tab w:val="clear" w:pos="7892"/>
              <w:tab w:val="right" w:pos="9026" w:leader="dot"/>
            </w:tabs>
            <w:rPr/>
          </w:pPr>
          <w:hyperlink w:anchor="__RefHeading___Toc3810263_1067777946">
            <w:r>
              <w:rPr>
                <w:webHidden/>
                <w:rStyle w:val="IndexLink"/>
                <w:rtl w:val="true"/>
              </w:rPr>
              <w:t>حكم ولد متولد از امۀ مغصوبه در فرض استيلاء غاصب، أمه را</w:t>
            </w:r>
            <w:r>
              <w:rPr>
                <w:rStyle w:val="IndexLink"/>
                <w:rtl w:val="true"/>
              </w:rPr>
              <w:tab/>
            </w:r>
            <w:r>
              <w:rPr>
                <w:rStyle w:val="IndexLink"/>
              </w:rPr>
              <w:t>664</w:t>
            </w:r>
          </w:hyperlink>
        </w:p>
        <w:p>
          <w:pPr>
            <w:pStyle w:val="Contents5"/>
            <w:tabs>
              <w:tab w:val="clear" w:pos="7892"/>
              <w:tab w:val="right" w:pos="9026" w:leader="dot"/>
            </w:tabs>
            <w:rPr/>
          </w:pPr>
          <w:hyperlink w:anchor="__RefHeading___Toc3810265_1067777946">
            <w:r>
              <w:rPr>
                <w:webHidden/>
                <w:rStyle w:val="IndexLink"/>
                <w:rtl w:val="true"/>
              </w:rPr>
              <w:t>اگر واطى و موطوئه، عالم به حرمت بودند</w:t>
            </w:r>
            <w:r>
              <w:rPr>
                <w:rStyle w:val="IndexLink"/>
                <w:rtl w:val="true"/>
              </w:rPr>
              <w:tab/>
            </w:r>
            <w:r>
              <w:rPr>
                <w:rStyle w:val="IndexLink"/>
              </w:rPr>
              <w:t>665</w:t>
            </w:r>
          </w:hyperlink>
        </w:p>
        <w:p>
          <w:pPr>
            <w:pStyle w:val="Contents4"/>
            <w:tabs>
              <w:tab w:val="clear" w:pos="8176"/>
              <w:tab w:val="right" w:pos="9026" w:leader="dot"/>
            </w:tabs>
            <w:rPr/>
          </w:pPr>
          <w:hyperlink w:anchor="__RefHeading___Toc3810267_1067777946">
            <w:r>
              <w:rPr>
                <w:webHidden/>
                <w:rStyle w:val="IndexLink"/>
                <w:rtl w:val="true"/>
              </w:rPr>
              <w:t>غصب دانه و تخم مرغ و تبديل به زرع و جوجه</w:t>
            </w:r>
            <w:r>
              <w:rPr>
                <w:rStyle w:val="IndexLink"/>
                <w:rtl w:val="true"/>
              </w:rPr>
              <w:tab/>
            </w:r>
            <w:r>
              <w:rPr>
                <w:rStyle w:val="IndexLink"/>
              </w:rPr>
              <w:t>665</w:t>
            </w:r>
          </w:hyperlink>
        </w:p>
        <w:p>
          <w:pPr>
            <w:pStyle w:val="Contents5"/>
            <w:tabs>
              <w:tab w:val="clear" w:pos="7892"/>
              <w:tab w:val="right" w:pos="9026" w:leader="dot"/>
            </w:tabs>
            <w:rPr/>
          </w:pPr>
          <w:hyperlink w:anchor="__RefHeading___Toc3810269_1067777946">
            <w:r>
              <w:rPr>
                <w:webHidden/>
                <w:rStyle w:val="IndexLink"/>
                <w:rtl w:val="true"/>
              </w:rPr>
              <w:t>اشاره</w:t>
            </w:r>
            <w:r>
              <w:rPr>
                <w:rStyle w:val="IndexLink"/>
                <w:rtl w:val="true"/>
              </w:rPr>
              <w:tab/>
            </w:r>
            <w:r>
              <w:rPr>
                <w:rStyle w:val="IndexLink"/>
              </w:rPr>
              <w:t>665</w:t>
            </w:r>
          </w:hyperlink>
        </w:p>
        <w:p>
          <w:pPr>
            <w:pStyle w:val="Contents5"/>
            <w:tabs>
              <w:tab w:val="clear" w:pos="7892"/>
              <w:tab w:val="right" w:pos="9026" w:leader="dot"/>
            </w:tabs>
            <w:rPr/>
          </w:pPr>
          <w:hyperlink w:anchor="__RefHeading___Toc3810271_1067777946">
            <w:r>
              <w:rPr>
                <w:webHidden/>
                <w:rStyle w:val="IndexLink"/>
                <w:rtl w:val="true"/>
              </w:rPr>
              <w:t>غصب عصير و انقلاب آن به خَلّ يا عكس</w:t>
            </w:r>
            <w:r>
              <w:rPr>
                <w:rStyle w:val="IndexLink"/>
                <w:rtl w:val="true"/>
              </w:rPr>
              <w:tab/>
            </w:r>
            <w:r>
              <w:rPr>
                <w:rStyle w:val="IndexLink"/>
              </w:rPr>
              <w:t>665</w:t>
            </w:r>
          </w:hyperlink>
        </w:p>
        <w:p>
          <w:pPr>
            <w:pStyle w:val="Contents4"/>
            <w:tabs>
              <w:tab w:val="clear" w:pos="8176"/>
              <w:tab w:val="right" w:pos="9026" w:leader="dot"/>
            </w:tabs>
            <w:rPr/>
          </w:pPr>
          <w:hyperlink w:anchor="__RefHeading___Toc3810273_1067777946">
            <w:r>
              <w:rPr>
                <w:webHidden/>
                <w:rStyle w:val="IndexLink"/>
                <w:rtl w:val="true"/>
              </w:rPr>
              <w:t>غصب زمين و زراعت در آن</w:t>
            </w:r>
            <w:r>
              <w:rPr>
                <w:rStyle w:val="IndexLink"/>
                <w:rtl w:val="true"/>
              </w:rPr>
              <w:tab/>
            </w:r>
            <w:r>
              <w:rPr>
                <w:rStyle w:val="IndexLink"/>
              </w:rPr>
              <w:t>666</w:t>
            </w:r>
          </w:hyperlink>
        </w:p>
        <w:p>
          <w:pPr>
            <w:pStyle w:val="Contents5"/>
            <w:tabs>
              <w:tab w:val="clear" w:pos="7892"/>
              <w:tab w:val="right" w:pos="9026" w:leader="dot"/>
            </w:tabs>
            <w:rPr/>
          </w:pPr>
          <w:hyperlink w:anchor="__RefHeading___Toc3810275_1067777946">
            <w:r>
              <w:rPr>
                <w:webHidden/>
                <w:rStyle w:val="IndexLink"/>
                <w:rtl w:val="true"/>
              </w:rPr>
              <w:t>اشاره</w:t>
            </w:r>
            <w:r>
              <w:rPr>
                <w:rStyle w:val="IndexLink"/>
                <w:rtl w:val="true"/>
              </w:rPr>
              <w:tab/>
            </w:r>
            <w:r>
              <w:rPr>
                <w:rStyle w:val="IndexLink"/>
              </w:rPr>
              <w:t>666</w:t>
            </w:r>
          </w:hyperlink>
        </w:p>
        <w:p>
          <w:pPr>
            <w:pStyle w:val="Contents5"/>
            <w:tabs>
              <w:tab w:val="clear" w:pos="7892"/>
              <w:tab w:val="right" w:pos="9026" w:leader="dot"/>
            </w:tabs>
            <w:rPr/>
          </w:pPr>
          <w:hyperlink w:anchor="__RefHeading___Toc3810277_1067777946">
            <w:r>
              <w:rPr>
                <w:webHidden/>
                <w:rStyle w:val="IndexLink"/>
                <w:rtl w:val="true"/>
              </w:rPr>
              <w:t>حفر چاه در زمين غصبى</w:t>
            </w:r>
            <w:r>
              <w:rPr>
                <w:rStyle w:val="IndexLink"/>
                <w:rtl w:val="true"/>
              </w:rPr>
              <w:tab/>
            </w:r>
            <w:r>
              <w:rPr>
                <w:rStyle w:val="IndexLink"/>
              </w:rPr>
              <w:t>666</w:t>
            </w:r>
          </w:hyperlink>
        </w:p>
        <w:p>
          <w:pPr>
            <w:pStyle w:val="Contents4"/>
            <w:tabs>
              <w:tab w:val="clear" w:pos="8176"/>
              <w:tab w:val="right" w:pos="9026" w:leader="dot"/>
            </w:tabs>
            <w:rPr/>
          </w:pPr>
          <w:hyperlink w:anchor="__RefHeading___Toc3810279_1067777946">
            <w:r>
              <w:rPr>
                <w:webHidden/>
                <w:rStyle w:val="IndexLink"/>
                <w:rtl w:val="true"/>
              </w:rPr>
              <w:t>فرض عدم امكان اخراج دابه مگر با هدم خانه</w:t>
            </w:r>
            <w:r>
              <w:rPr>
                <w:rStyle w:val="IndexLink"/>
                <w:rtl w:val="true"/>
              </w:rPr>
              <w:tab/>
            </w:r>
            <w:r>
              <w:rPr>
                <w:rStyle w:val="IndexLink"/>
              </w:rPr>
              <w:t>667</w:t>
            </w:r>
          </w:hyperlink>
        </w:p>
        <w:p>
          <w:pPr>
            <w:pStyle w:val="Contents5"/>
            <w:tabs>
              <w:tab w:val="clear" w:pos="7892"/>
              <w:tab w:val="right" w:pos="9026" w:leader="dot"/>
            </w:tabs>
            <w:rPr/>
          </w:pPr>
          <w:hyperlink w:anchor="__RefHeading___Toc3810281_1067777946">
            <w:r>
              <w:rPr>
                <w:webHidden/>
                <w:rStyle w:val="IndexLink"/>
                <w:rtl w:val="true"/>
              </w:rPr>
              <w:t>اشاره</w:t>
            </w:r>
            <w:r>
              <w:rPr>
                <w:rStyle w:val="IndexLink"/>
                <w:rtl w:val="true"/>
              </w:rPr>
              <w:tab/>
            </w:r>
            <w:r>
              <w:rPr>
                <w:rStyle w:val="IndexLink"/>
              </w:rPr>
              <w:t>667</w:t>
            </w:r>
          </w:hyperlink>
        </w:p>
        <w:p>
          <w:pPr>
            <w:pStyle w:val="Contents5"/>
            <w:tabs>
              <w:tab w:val="clear" w:pos="7892"/>
              <w:tab w:val="right" w:pos="9026" w:leader="dot"/>
            </w:tabs>
            <w:rPr/>
          </w:pPr>
          <w:hyperlink w:anchor="__RefHeading___Toc3810283_1067777946">
            <w:r>
              <w:rPr>
                <w:webHidden/>
                <w:rStyle w:val="IndexLink"/>
                <w:rtl w:val="true"/>
              </w:rPr>
              <w:t>ادخال دابه، راس خود را در ظرف ديگرى</w:t>
            </w:r>
            <w:r>
              <w:rPr>
                <w:rStyle w:val="IndexLink"/>
                <w:rtl w:val="true"/>
              </w:rPr>
              <w:tab/>
            </w:r>
            <w:r>
              <w:rPr>
                <w:rStyle w:val="IndexLink"/>
              </w:rPr>
              <w:t>668</w:t>
            </w:r>
          </w:hyperlink>
        </w:p>
        <w:p>
          <w:pPr>
            <w:pStyle w:val="Contents4"/>
            <w:tabs>
              <w:tab w:val="clear" w:pos="8176"/>
              <w:tab w:val="right" w:pos="9026" w:leader="dot"/>
            </w:tabs>
            <w:rPr/>
          </w:pPr>
          <w:hyperlink w:anchor="__RefHeading___Toc3810285_1067777946">
            <w:r>
              <w:rPr>
                <w:webHidden/>
                <w:rStyle w:val="IndexLink"/>
                <w:rtl w:val="true"/>
              </w:rPr>
              <w:t>تصرف در مال غير بدون اذن مالك به جهت خوف ضرر</w:t>
            </w:r>
            <w:r>
              <w:rPr>
                <w:rStyle w:val="IndexLink"/>
                <w:rtl w:val="true"/>
              </w:rPr>
              <w:tab/>
            </w:r>
            <w:r>
              <w:rPr>
                <w:rStyle w:val="IndexLink"/>
              </w:rPr>
              <w:t>668</w:t>
            </w:r>
          </w:hyperlink>
        </w:p>
        <w:p>
          <w:pPr>
            <w:pStyle w:val="Contents4"/>
            <w:tabs>
              <w:tab w:val="clear" w:pos="8176"/>
              <w:tab w:val="right" w:pos="9026" w:leader="dot"/>
            </w:tabs>
            <w:rPr/>
          </w:pPr>
          <w:hyperlink w:anchor="__RefHeading___Toc3810287_1067777946">
            <w:r>
              <w:rPr>
                <w:webHidden/>
                <w:rStyle w:val="IndexLink"/>
                <w:rtl w:val="true"/>
              </w:rPr>
              <w:t>جنايت عمديۀ عبد مغصوب</w:t>
            </w:r>
            <w:r>
              <w:rPr>
                <w:rStyle w:val="IndexLink"/>
                <w:rtl w:val="true"/>
              </w:rPr>
              <w:tab/>
            </w:r>
            <w:r>
              <w:rPr>
                <w:rStyle w:val="IndexLink"/>
              </w:rPr>
              <w:t>669</w:t>
            </w:r>
          </w:hyperlink>
        </w:p>
        <w:p>
          <w:pPr>
            <w:pStyle w:val="Contents5"/>
            <w:tabs>
              <w:tab w:val="clear" w:pos="7892"/>
              <w:tab w:val="right" w:pos="9026" w:leader="dot"/>
            </w:tabs>
            <w:rPr/>
          </w:pPr>
          <w:hyperlink w:anchor="__RefHeading___Toc3810289_1067777946">
            <w:r>
              <w:rPr>
                <w:webHidden/>
                <w:rStyle w:val="IndexLink"/>
                <w:rtl w:val="true"/>
              </w:rPr>
              <w:t>اشاره</w:t>
            </w:r>
            <w:r>
              <w:rPr>
                <w:rStyle w:val="IndexLink"/>
                <w:rtl w:val="true"/>
              </w:rPr>
              <w:tab/>
            </w:r>
            <w:r>
              <w:rPr>
                <w:rStyle w:val="IndexLink"/>
              </w:rPr>
              <w:t>669</w:t>
            </w:r>
          </w:hyperlink>
        </w:p>
        <w:p>
          <w:pPr>
            <w:pStyle w:val="Contents5"/>
            <w:tabs>
              <w:tab w:val="clear" w:pos="7892"/>
              <w:tab w:val="right" w:pos="9026" w:leader="dot"/>
            </w:tabs>
            <w:rPr/>
          </w:pPr>
          <w:hyperlink w:anchor="__RefHeading___Toc3810291_1067777946">
            <w:r>
              <w:rPr>
                <w:webHidden/>
                <w:rStyle w:val="IndexLink"/>
                <w:rtl w:val="true"/>
              </w:rPr>
              <w:t>وفات عبد مغصوب جانى</w:t>
            </w:r>
            <w:r>
              <w:rPr>
                <w:rStyle w:val="IndexLink"/>
                <w:rtl w:val="true"/>
              </w:rPr>
              <w:tab/>
            </w:r>
            <w:r>
              <w:rPr>
                <w:rStyle w:val="IndexLink"/>
              </w:rPr>
              <w:t>669</w:t>
            </w:r>
          </w:hyperlink>
        </w:p>
        <w:p>
          <w:pPr>
            <w:pStyle w:val="Contents5"/>
            <w:tabs>
              <w:tab w:val="clear" w:pos="7892"/>
              <w:tab w:val="right" w:pos="9026" w:leader="dot"/>
            </w:tabs>
            <w:rPr/>
          </w:pPr>
          <w:hyperlink w:anchor="__RefHeading___Toc3810293_1067777946">
            <w:r>
              <w:rPr>
                <w:webHidden/>
                <w:rStyle w:val="IndexLink"/>
                <w:rtl w:val="true"/>
              </w:rPr>
              <w:t>جنايت عبد در يد مالك و جنايت دوم او پس از غصب</w:t>
            </w:r>
            <w:r>
              <w:rPr>
                <w:rStyle w:val="IndexLink"/>
                <w:rtl w:val="true"/>
              </w:rPr>
              <w:tab/>
            </w:r>
            <w:r>
              <w:rPr>
                <w:rStyle w:val="IndexLink"/>
              </w:rPr>
              <w:t>670</w:t>
            </w:r>
          </w:hyperlink>
        </w:p>
        <w:p>
          <w:pPr>
            <w:pStyle w:val="Contents5"/>
            <w:tabs>
              <w:tab w:val="clear" w:pos="7892"/>
              <w:tab w:val="right" w:pos="9026" w:leader="dot"/>
            </w:tabs>
            <w:rPr/>
          </w:pPr>
          <w:hyperlink w:anchor="__RefHeading___Toc3810295_1067777946">
            <w:r>
              <w:rPr>
                <w:webHidden/>
                <w:rStyle w:val="IndexLink"/>
                <w:rtl w:val="true"/>
              </w:rPr>
              <w:t>وفات عبد در يد غاصب بعد از دو جنايت</w:t>
            </w:r>
            <w:r>
              <w:rPr>
                <w:rStyle w:val="IndexLink"/>
                <w:rtl w:val="true"/>
              </w:rPr>
              <w:tab/>
            </w:r>
            <w:r>
              <w:rPr>
                <w:rStyle w:val="IndexLink"/>
              </w:rPr>
              <w:t>670</w:t>
            </w:r>
          </w:hyperlink>
        </w:p>
        <w:p>
          <w:pPr>
            <w:pStyle w:val="Contents5"/>
            <w:tabs>
              <w:tab w:val="clear" w:pos="7892"/>
              <w:tab w:val="right" w:pos="9026" w:leader="dot"/>
            </w:tabs>
            <w:rPr/>
          </w:pPr>
          <w:hyperlink w:anchor="__RefHeading___Toc3810297_1067777946">
            <w:r>
              <w:rPr>
                <w:webHidden/>
                <w:rStyle w:val="IndexLink"/>
                <w:rtl w:val="true"/>
              </w:rPr>
              <w:t>اگر عبد در يد غاصب، جنايتى بر مالك مرتكب شد</w:t>
            </w:r>
            <w:r>
              <w:rPr>
                <w:rStyle w:val="IndexLink"/>
                <w:rtl w:val="true"/>
              </w:rPr>
              <w:tab/>
            </w:r>
            <w:r>
              <w:rPr>
                <w:rStyle w:val="IndexLink"/>
              </w:rPr>
              <w:t>671</w:t>
            </w:r>
          </w:hyperlink>
        </w:p>
        <w:p>
          <w:pPr>
            <w:pStyle w:val="Contents4"/>
            <w:tabs>
              <w:tab w:val="clear" w:pos="8176"/>
              <w:tab w:val="right" w:pos="9026" w:leader="dot"/>
            </w:tabs>
            <w:rPr/>
          </w:pPr>
          <w:hyperlink w:anchor="__RefHeading___Toc3810299_1067777946">
            <w:r>
              <w:rPr>
                <w:webHidden/>
                <w:rStyle w:val="IndexLink"/>
                <w:rtl w:val="true"/>
              </w:rPr>
              <w:t>لزوم اعاده مغصوب به بلد غصب</w:t>
            </w:r>
            <w:r>
              <w:rPr>
                <w:rStyle w:val="IndexLink"/>
                <w:rtl w:val="true"/>
              </w:rPr>
              <w:tab/>
            </w:r>
            <w:r>
              <w:rPr>
                <w:rStyle w:val="IndexLink"/>
              </w:rPr>
              <w:t>671</w:t>
            </w:r>
          </w:hyperlink>
        </w:p>
        <w:p>
          <w:pPr>
            <w:pStyle w:val="Contents3"/>
            <w:tabs>
              <w:tab w:val="clear" w:pos="8459"/>
              <w:tab w:val="right" w:pos="9026" w:leader="dot"/>
            </w:tabs>
            <w:rPr/>
          </w:pPr>
          <w:hyperlink w:anchor="__RefHeading___Toc3810301_1067777946">
            <w:r>
              <w:rPr>
                <w:webHidden/>
                <w:rStyle w:val="IndexLink"/>
                <w:rtl w:val="true"/>
              </w:rPr>
              <w:t>فصل چهارم تنازع در غصب</w:t>
            </w:r>
            <w:r>
              <w:rPr>
                <w:rStyle w:val="IndexLink"/>
                <w:rtl w:val="true"/>
              </w:rPr>
              <w:tab/>
            </w:r>
            <w:r>
              <w:rPr>
                <w:rStyle w:val="IndexLink"/>
              </w:rPr>
              <w:t>673</w:t>
            </w:r>
          </w:hyperlink>
        </w:p>
        <w:p>
          <w:pPr>
            <w:pStyle w:val="Contents4"/>
            <w:tabs>
              <w:tab w:val="clear" w:pos="8176"/>
              <w:tab w:val="right" w:pos="9026" w:leader="dot"/>
            </w:tabs>
            <w:rPr/>
          </w:pPr>
          <w:hyperlink w:anchor="__RefHeading___Toc3810303_1067777946">
            <w:r>
              <w:rPr>
                <w:webHidden/>
                <w:rStyle w:val="IndexLink"/>
                <w:rtl w:val="true"/>
              </w:rPr>
              <w:t>تلف مغصوب و اختلاف طرفين در قيمت آن</w:t>
            </w:r>
            <w:r>
              <w:rPr>
                <w:rStyle w:val="IndexLink"/>
                <w:rtl w:val="true"/>
              </w:rPr>
              <w:tab/>
            </w:r>
            <w:r>
              <w:rPr>
                <w:rStyle w:val="IndexLink"/>
              </w:rPr>
              <w:t>673</w:t>
            </w:r>
          </w:hyperlink>
        </w:p>
        <w:p>
          <w:pPr>
            <w:pStyle w:val="Contents4"/>
            <w:tabs>
              <w:tab w:val="clear" w:pos="8176"/>
              <w:tab w:val="right" w:pos="9026" w:leader="dot"/>
            </w:tabs>
            <w:rPr/>
          </w:pPr>
          <w:hyperlink w:anchor="__RefHeading___Toc3810305_1067777946">
            <w:r>
              <w:rPr>
                <w:webHidden/>
                <w:rStyle w:val="IndexLink"/>
                <w:rtl w:val="true"/>
              </w:rPr>
              <w:t>اختلاف در حدوث صفت كمال يا صفت نقص</w:t>
            </w:r>
            <w:r>
              <w:rPr>
                <w:rStyle w:val="IndexLink"/>
                <w:rtl w:val="true"/>
              </w:rPr>
              <w:tab/>
            </w:r>
            <w:r>
              <w:rPr>
                <w:rStyle w:val="IndexLink"/>
              </w:rPr>
              <w:t>674</w:t>
            </w:r>
          </w:hyperlink>
        </w:p>
        <w:p>
          <w:pPr>
            <w:pStyle w:val="Contents4"/>
            <w:tabs>
              <w:tab w:val="clear" w:pos="8176"/>
              <w:tab w:val="right" w:pos="9026" w:leader="dot"/>
            </w:tabs>
            <w:rPr/>
          </w:pPr>
          <w:hyperlink w:anchor="__RefHeading___Toc3810307_1067777946">
            <w:r>
              <w:rPr>
                <w:webHidden/>
                <w:rStyle w:val="IndexLink"/>
                <w:rtl w:val="true"/>
              </w:rPr>
              <w:t>ادعاى غاصب، معيب بودن عبد را نزد مالك</w:t>
            </w:r>
            <w:r>
              <w:rPr>
                <w:rStyle w:val="IndexLink"/>
                <w:rtl w:val="true"/>
              </w:rPr>
              <w:tab/>
            </w:r>
            <w:r>
              <w:rPr>
                <w:rStyle w:val="IndexLink"/>
              </w:rPr>
              <w:t>674</w:t>
            </w:r>
          </w:hyperlink>
        </w:p>
        <w:p>
          <w:pPr>
            <w:pStyle w:val="Contents4"/>
            <w:tabs>
              <w:tab w:val="clear" w:pos="8176"/>
              <w:tab w:val="right" w:pos="9026" w:leader="dot"/>
            </w:tabs>
            <w:rPr/>
          </w:pPr>
          <w:hyperlink w:anchor="__RefHeading___Toc3810309_1067777946">
            <w:r>
              <w:rPr>
                <w:webHidden/>
                <w:rStyle w:val="IndexLink"/>
                <w:rtl w:val="true"/>
              </w:rPr>
              <w:t>فرض تملّك عين مغصوبه بعد از بيع آن</w:t>
            </w:r>
            <w:r>
              <w:rPr>
                <w:rStyle w:val="IndexLink"/>
                <w:rtl w:val="true"/>
              </w:rPr>
              <w:tab/>
            </w:r>
            <w:r>
              <w:rPr>
                <w:rStyle w:val="IndexLink"/>
              </w:rPr>
              <w:t>675</w:t>
            </w:r>
          </w:hyperlink>
        </w:p>
        <w:p>
          <w:pPr>
            <w:pStyle w:val="Contents4"/>
            <w:tabs>
              <w:tab w:val="clear" w:pos="8176"/>
              <w:tab w:val="right" w:pos="9026" w:leader="dot"/>
            </w:tabs>
            <w:rPr/>
          </w:pPr>
          <w:hyperlink w:anchor="__RefHeading___Toc3810311_1067777946">
            <w:r>
              <w:rPr>
                <w:webHidden/>
                <w:rStyle w:val="IndexLink"/>
                <w:rtl w:val="true"/>
              </w:rPr>
              <w:t>ادعاى غصبيت مبيع بعد از بيع، و انكار مشترى</w:t>
            </w:r>
            <w:r>
              <w:rPr>
                <w:rStyle w:val="IndexLink"/>
                <w:rtl w:val="true"/>
              </w:rPr>
              <w:tab/>
            </w:r>
            <w:r>
              <w:rPr>
                <w:rStyle w:val="IndexLink"/>
              </w:rPr>
              <w:t>675</w:t>
            </w:r>
          </w:hyperlink>
        </w:p>
        <w:p>
          <w:pPr>
            <w:pStyle w:val="Contents4"/>
            <w:tabs>
              <w:tab w:val="clear" w:pos="8176"/>
              <w:tab w:val="right" w:pos="9026" w:leader="dot"/>
            </w:tabs>
            <w:rPr/>
          </w:pPr>
          <w:hyperlink w:anchor="__RefHeading___Toc3810313_1067777946">
            <w:r>
              <w:rPr>
                <w:webHidden/>
                <w:rStyle w:val="IndexLink"/>
                <w:rtl w:val="true"/>
              </w:rPr>
              <w:t>عود مبيع به بايع در فرض اقرار بايع به غصبيت مبيع</w:t>
            </w:r>
            <w:r>
              <w:rPr>
                <w:rStyle w:val="IndexLink"/>
                <w:rtl w:val="true"/>
              </w:rPr>
              <w:tab/>
            </w:r>
            <w:r>
              <w:rPr>
                <w:rStyle w:val="IndexLink"/>
              </w:rPr>
              <w:t>675</w:t>
            </w:r>
          </w:hyperlink>
        </w:p>
        <w:p>
          <w:pPr>
            <w:pStyle w:val="Contents4"/>
            <w:tabs>
              <w:tab w:val="clear" w:pos="8176"/>
              <w:tab w:val="right" w:pos="9026" w:leader="dot"/>
            </w:tabs>
            <w:rPr/>
          </w:pPr>
          <w:hyperlink w:anchor="__RefHeading___Toc3810315_1067777946">
            <w:r>
              <w:rPr>
                <w:webHidden/>
                <w:rStyle w:val="IndexLink"/>
                <w:rtl w:val="true"/>
              </w:rPr>
              <w:t>اگر مقر به غصبيت مبيع، خصوص مشترى باشد</w:t>
            </w:r>
            <w:r>
              <w:rPr>
                <w:rStyle w:val="IndexLink"/>
                <w:rtl w:val="true"/>
              </w:rPr>
              <w:tab/>
            </w:r>
            <w:r>
              <w:rPr>
                <w:rStyle w:val="IndexLink"/>
              </w:rPr>
              <w:t>676</w:t>
            </w:r>
          </w:hyperlink>
        </w:p>
        <w:p>
          <w:pPr>
            <w:pStyle w:val="Contents4"/>
            <w:tabs>
              <w:tab w:val="clear" w:pos="8176"/>
              <w:tab w:val="right" w:pos="9026" w:leader="dot"/>
            </w:tabs>
            <w:rPr/>
          </w:pPr>
          <w:hyperlink w:anchor="__RefHeading___Toc3810317_1067777946">
            <w:r>
              <w:rPr>
                <w:webHidden/>
                <w:rStyle w:val="IndexLink"/>
                <w:rtl w:val="true"/>
              </w:rPr>
              <w:t>عتق مشترى، مملوك مبيع مغصوب را</w:t>
            </w:r>
            <w:r>
              <w:rPr>
                <w:rStyle w:val="IndexLink"/>
                <w:rtl w:val="true"/>
              </w:rPr>
              <w:tab/>
            </w:r>
            <w:r>
              <w:rPr>
                <w:rStyle w:val="IndexLink"/>
              </w:rPr>
              <w:t>676</w:t>
            </w:r>
          </w:hyperlink>
        </w:p>
        <w:p>
          <w:pPr>
            <w:pStyle w:val="Contents4"/>
            <w:tabs>
              <w:tab w:val="clear" w:pos="8176"/>
              <w:tab w:val="right" w:pos="9026" w:leader="dot"/>
            </w:tabs>
            <w:rPr/>
          </w:pPr>
          <w:hyperlink w:anchor="__RefHeading___Toc3810319_1067777946">
            <w:r>
              <w:rPr>
                <w:webHidden/>
                <w:rStyle w:val="IndexLink"/>
                <w:rtl w:val="true"/>
              </w:rPr>
              <w:t>اختلاف در رد مغصوب يا موت مغصوب</w:t>
            </w:r>
            <w:r>
              <w:rPr>
                <w:rStyle w:val="IndexLink"/>
                <w:rtl w:val="true"/>
              </w:rPr>
              <w:tab/>
            </w:r>
            <w:r>
              <w:rPr>
                <w:rStyle w:val="IndexLink"/>
              </w:rPr>
              <w:t>676</w:t>
            </w:r>
          </w:hyperlink>
        </w:p>
        <w:p>
          <w:pPr>
            <w:pStyle w:val="Contents2"/>
            <w:tabs>
              <w:tab w:val="clear" w:pos="8743"/>
              <w:tab w:val="right" w:pos="9026" w:leader="dot"/>
            </w:tabs>
            <w:rPr/>
          </w:pPr>
          <w:hyperlink w:anchor="__RefHeading___Toc3810321_1067777946">
            <w:r>
              <w:rPr>
                <w:webHidden/>
                <w:rStyle w:val="IndexLink"/>
                <w:rtl w:val="true"/>
              </w:rPr>
              <w:t>فهرست تفصيلى مطالب</w:t>
            </w:r>
            <w:r>
              <w:rPr>
                <w:rStyle w:val="IndexLink"/>
                <w:rtl w:val="true"/>
              </w:rPr>
              <w:tab/>
            </w:r>
            <w:r>
              <w:rPr>
                <w:rStyle w:val="IndexLink"/>
              </w:rPr>
              <w:t>678</w:t>
            </w:r>
          </w:hyperlink>
        </w:p>
        <w:p>
          <w:pPr>
            <w:pStyle w:val="Contents3"/>
            <w:tabs>
              <w:tab w:val="clear" w:pos="8459"/>
              <w:tab w:val="right" w:pos="9026" w:leader="dot"/>
            </w:tabs>
            <w:rPr/>
          </w:pPr>
          <w:hyperlink w:anchor="__RefHeading___Toc3810323_1067777946">
            <w:r>
              <w:rPr>
                <w:webHidden/>
                <w:rStyle w:val="IndexLink"/>
                <w:rtl w:val="true"/>
              </w:rPr>
              <w:t>ادامه كتاب نكاح</w:t>
            </w:r>
            <w:r>
              <w:rPr>
                <w:rStyle w:val="IndexLink"/>
                <w:rtl w:val="true"/>
              </w:rPr>
              <w:tab/>
            </w:r>
            <w:r>
              <w:rPr>
                <w:rStyle w:val="IndexLink"/>
              </w:rPr>
              <w:t>678</w:t>
            </w:r>
          </w:hyperlink>
        </w:p>
        <w:p>
          <w:pPr>
            <w:pStyle w:val="Contents3"/>
            <w:tabs>
              <w:tab w:val="clear" w:pos="8459"/>
              <w:tab w:val="right" w:pos="9026" w:leader="dot"/>
            </w:tabs>
            <w:rPr/>
          </w:pPr>
          <w:hyperlink w:anchor="__RefHeading___Toc3810325_1067777946">
            <w:r>
              <w:rPr>
                <w:webHidden/>
                <w:rStyle w:val="IndexLink"/>
                <w:rtl w:val="true"/>
              </w:rPr>
              <w:t>كتاب طلاق</w:t>
            </w:r>
            <w:r>
              <w:rPr>
                <w:rStyle w:val="IndexLink"/>
                <w:rtl w:val="true"/>
              </w:rPr>
              <w:tab/>
            </w:r>
            <w:r>
              <w:rPr>
                <w:rStyle w:val="IndexLink"/>
              </w:rPr>
              <w:t>692</w:t>
            </w:r>
          </w:hyperlink>
        </w:p>
        <w:p>
          <w:pPr>
            <w:pStyle w:val="Contents3"/>
            <w:tabs>
              <w:tab w:val="clear" w:pos="8459"/>
              <w:tab w:val="right" w:pos="9026" w:leader="dot"/>
            </w:tabs>
            <w:rPr/>
          </w:pPr>
          <w:hyperlink w:anchor="__RefHeading___Toc3810327_1067777946">
            <w:r>
              <w:rPr>
                <w:webHidden/>
                <w:rStyle w:val="IndexLink"/>
                <w:rtl w:val="true"/>
              </w:rPr>
              <w:t>كتاب خُلع</w:t>
            </w:r>
            <w:r>
              <w:rPr>
                <w:rStyle w:val="IndexLink"/>
                <w:rtl w:val="true"/>
              </w:rPr>
              <w:tab/>
            </w:r>
            <w:r>
              <w:rPr>
                <w:rStyle w:val="IndexLink"/>
              </w:rPr>
              <w:t>699</w:t>
            </w:r>
          </w:hyperlink>
        </w:p>
        <w:p>
          <w:pPr>
            <w:pStyle w:val="Contents3"/>
            <w:tabs>
              <w:tab w:val="clear" w:pos="8459"/>
              <w:tab w:val="right" w:pos="9026" w:leader="dot"/>
            </w:tabs>
            <w:rPr/>
          </w:pPr>
          <w:hyperlink w:anchor="__RefHeading___Toc3810329_1067777946">
            <w:r>
              <w:rPr>
                <w:webHidden/>
                <w:rStyle w:val="IndexLink"/>
                <w:rtl w:val="true"/>
              </w:rPr>
              <w:t>كتاب ظهار</w:t>
            </w:r>
            <w:r>
              <w:rPr>
                <w:rStyle w:val="IndexLink"/>
                <w:rtl w:val="true"/>
              </w:rPr>
              <w:tab/>
            </w:r>
            <w:r>
              <w:rPr>
                <w:rStyle w:val="IndexLink"/>
              </w:rPr>
              <w:t>701</w:t>
            </w:r>
          </w:hyperlink>
        </w:p>
        <w:p>
          <w:pPr>
            <w:pStyle w:val="Contents3"/>
            <w:tabs>
              <w:tab w:val="clear" w:pos="8459"/>
              <w:tab w:val="right" w:pos="9026" w:leader="dot"/>
            </w:tabs>
            <w:rPr/>
          </w:pPr>
          <w:hyperlink w:anchor="__RefHeading___Toc3810331_1067777946">
            <w:r>
              <w:rPr>
                <w:webHidden/>
                <w:rStyle w:val="IndexLink"/>
                <w:rtl w:val="true"/>
              </w:rPr>
              <w:t>كتاب ايلاء</w:t>
            </w:r>
            <w:r>
              <w:rPr>
                <w:rStyle w:val="IndexLink"/>
                <w:rtl w:val="true"/>
              </w:rPr>
              <w:tab/>
            </w:r>
            <w:r>
              <w:rPr>
                <w:rStyle w:val="IndexLink"/>
              </w:rPr>
              <w:t>704</w:t>
            </w:r>
          </w:hyperlink>
        </w:p>
        <w:p>
          <w:pPr>
            <w:pStyle w:val="Contents3"/>
            <w:tabs>
              <w:tab w:val="clear" w:pos="8459"/>
              <w:tab w:val="right" w:pos="9026" w:leader="dot"/>
            </w:tabs>
            <w:rPr/>
          </w:pPr>
          <w:hyperlink w:anchor="__RefHeading___Toc3810333_1067777946">
            <w:r>
              <w:rPr>
                <w:webHidden/>
                <w:rStyle w:val="IndexLink"/>
                <w:rtl w:val="true"/>
              </w:rPr>
              <w:t>كتاب لعان</w:t>
            </w:r>
            <w:r>
              <w:rPr>
                <w:rStyle w:val="IndexLink"/>
                <w:rtl w:val="true"/>
              </w:rPr>
              <w:tab/>
            </w:r>
            <w:r>
              <w:rPr>
                <w:rStyle w:val="IndexLink"/>
              </w:rPr>
              <w:t>705</w:t>
            </w:r>
          </w:hyperlink>
        </w:p>
        <w:p>
          <w:pPr>
            <w:pStyle w:val="Contents3"/>
            <w:tabs>
              <w:tab w:val="clear" w:pos="8459"/>
              <w:tab w:val="right" w:pos="9026" w:leader="dot"/>
            </w:tabs>
            <w:rPr/>
          </w:pPr>
          <w:hyperlink w:anchor="__RefHeading___Toc3810335_1067777946">
            <w:r>
              <w:rPr>
                <w:webHidden/>
                <w:rStyle w:val="IndexLink"/>
                <w:rtl w:val="true"/>
              </w:rPr>
              <w:t>كتاب عتق</w:t>
            </w:r>
            <w:r>
              <w:rPr>
                <w:rStyle w:val="IndexLink"/>
                <w:rtl w:val="true"/>
              </w:rPr>
              <w:tab/>
            </w:r>
            <w:r>
              <w:rPr>
                <w:rStyle w:val="IndexLink"/>
              </w:rPr>
              <w:t>708</w:t>
            </w:r>
          </w:hyperlink>
        </w:p>
        <w:p>
          <w:pPr>
            <w:pStyle w:val="Contents3"/>
            <w:tabs>
              <w:tab w:val="clear" w:pos="8459"/>
              <w:tab w:val="right" w:pos="9026" w:leader="dot"/>
            </w:tabs>
            <w:rPr/>
          </w:pPr>
          <w:hyperlink w:anchor="__RefHeading___Toc3810337_1067777946">
            <w:r>
              <w:rPr>
                <w:webHidden/>
                <w:rStyle w:val="IndexLink"/>
                <w:rtl w:val="true"/>
              </w:rPr>
              <w:t>كتاب اقرار</w:t>
            </w:r>
            <w:r>
              <w:rPr>
                <w:rStyle w:val="IndexLink"/>
                <w:rtl w:val="true"/>
              </w:rPr>
              <w:tab/>
            </w:r>
            <w:r>
              <w:rPr>
                <w:rStyle w:val="IndexLink"/>
              </w:rPr>
              <w:t>712</w:t>
            </w:r>
          </w:hyperlink>
        </w:p>
        <w:p>
          <w:pPr>
            <w:pStyle w:val="Contents3"/>
            <w:tabs>
              <w:tab w:val="clear" w:pos="8459"/>
              <w:tab w:val="right" w:pos="9026" w:leader="dot"/>
            </w:tabs>
            <w:rPr/>
          </w:pPr>
          <w:hyperlink w:anchor="__RefHeading___Toc3810339_1067777946">
            <w:r>
              <w:rPr>
                <w:webHidden/>
                <w:rStyle w:val="IndexLink"/>
                <w:rtl w:val="true"/>
              </w:rPr>
              <w:t>كتاب جعاله</w:t>
            </w:r>
            <w:r>
              <w:rPr>
                <w:rStyle w:val="IndexLink"/>
                <w:rtl w:val="true"/>
              </w:rPr>
              <w:tab/>
            </w:r>
            <w:r>
              <w:rPr>
                <w:rStyle w:val="IndexLink"/>
              </w:rPr>
              <w:t>718</w:t>
            </w:r>
          </w:hyperlink>
        </w:p>
        <w:p>
          <w:pPr>
            <w:pStyle w:val="Contents3"/>
            <w:tabs>
              <w:tab w:val="clear" w:pos="8459"/>
              <w:tab w:val="right" w:pos="9026" w:leader="dot"/>
            </w:tabs>
            <w:rPr/>
          </w:pPr>
          <w:hyperlink w:anchor="__RefHeading___Toc3810341_1067777946">
            <w:r>
              <w:rPr>
                <w:webHidden/>
                <w:rStyle w:val="IndexLink"/>
                <w:rtl w:val="true"/>
              </w:rPr>
              <w:t>كتاب يمين</w:t>
            </w:r>
            <w:r>
              <w:rPr>
                <w:rStyle w:val="IndexLink"/>
                <w:rtl w:val="true"/>
              </w:rPr>
              <w:tab/>
            </w:r>
            <w:r>
              <w:rPr>
                <w:rStyle w:val="IndexLink"/>
              </w:rPr>
              <w:t>720</w:t>
            </w:r>
          </w:hyperlink>
        </w:p>
        <w:p>
          <w:pPr>
            <w:pStyle w:val="Contents3"/>
            <w:tabs>
              <w:tab w:val="clear" w:pos="8459"/>
              <w:tab w:val="right" w:pos="9026" w:leader="dot"/>
            </w:tabs>
            <w:rPr/>
          </w:pPr>
          <w:hyperlink w:anchor="__RefHeading___Toc3810343_1067777946">
            <w:r>
              <w:rPr>
                <w:webHidden/>
                <w:rStyle w:val="IndexLink"/>
                <w:rtl w:val="true"/>
              </w:rPr>
              <w:t>كتاب نذر</w:t>
            </w:r>
            <w:r>
              <w:rPr>
                <w:rStyle w:val="IndexLink"/>
                <w:rtl w:val="true"/>
              </w:rPr>
              <w:tab/>
            </w:r>
            <w:r>
              <w:rPr>
                <w:rStyle w:val="IndexLink"/>
              </w:rPr>
              <w:t>723</w:t>
            </w:r>
          </w:hyperlink>
        </w:p>
        <w:p>
          <w:pPr>
            <w:pStyle w:val="Contents3"/>
            <w:tabs>
              <w:tab w:val="clear" w:pos="8459"/>
              <w:tab w:val="right" w:pos="9026" w:leader="dot"/>
            </w:tabs>
            <w:rPr/>
          </w:pPr>
          <w:hyperlink w:anchor="__RefHeading___Toc3810345_1067777946">
            <w:r>
              <w:rPr>
                <w:webHidden/>
                <w:rStyle w:val="IndexLink"/>
                <w:rtl w:val="true"/>
              </w:rPr>
              <w:t>كتاب صيد و ذباحه</w:t>
            </w:r>
            <w:r>
              <w:rPr>
                <w:rStyle w:val="IndexLink"/>
                <w:rtl w:val="true"/>
              </w:rPr>
              <w:tab/>
            </w:r>
            <w:r>
              <w:rPr>
                <w:rStyle w:val="IndexLink"/>
              </w:rPr>
              <w:t>726</w:t>
            </w:r>
          </w:hyperlink>
        </w:p>
        <w:p>
          <w:pPr>
            <w:pStyle w:val="Contents3"/>
            <w:tabs>
              <w:tab w:val="clear" w:pos="8459"/>
              <w:tab w:val="right" w:pos="9026" w:leader="dot"/>
            </w:tabs>
            <w:rPr/>
          </w:pPr>
          <w:hyperlink w:anchor="__RefHeading___Toc3810347_1067777946">
            <w:r>
              <w:rPr>
                <w:webHidden/>
                <w:rStyle w:val="IndexLink"/>
                <w:rtl w:val="true"/>
              </w:rPr>
              <w:t>كتاب اطعمه و اشربه</w:t>
            </w:r>
            <w:r>
              <w:rPr>
                <w:rStyle w:val="IndexLink"/>
                <w:rtl w:val="true"/>
              </w:rPr>
              <w:tab/>
            </w:r>
            <w:r>
              <w:rPr>
                <w:rStyle w:val="IndexLink"/>
              </w:rPr>
              <w:t>730</w:t>
            </w:r>
          </w:hyperlink>
        </w:p>
        <w:p>
          <w:pPr>
            <w:pStyle w:val="Contents3"/>
            <w:tabs>
              <w:tab w:val="clear" w:pos="8459"/>
              <w:tab w:val="right" w:pos="9026" w:leader="dot"/>
            </w:tabs>
            <w:rPr/>
          </w:pPr>
          <w:hyperlink w:anchor="__RefHeading___Toc3810349_1067777946">
            <w:r>
              <w:rPr>
                <w:webHidden/>
                <w:rStyle w:val="IndexLink"/>
                <w:rtl w:val="true"/>
              </w:rPr>
              <w:t>كتاب غصب</w:t>
            </w:r>
            <w:r>
              <w:rPr>
                <w:rStyle w:val="IndexLink"/>
                <w:rtl w:val="true"/>
              </w:rPr>
              <w:tab/>
            </w:r>
            <w:r>
              <w:rPr>
                <w:rStyle w:val="IndexLink"/>
              </w:rPr>
              <w:t>734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65_89790"/>
      <w:bookmarkStart w:id="1" w:name="pg10265_89790"/>
      <w:bookmarkEnd w:id="1"/>
    </w:p>
    <w:p>
      <w:pPr>
        <w:pStyle w:val="Heading2"/>
        <w:numPr>
          <w:ilvl w:val="1"/>
          <w:numId w:val="1"/>
        </w:numPr>
        <w:rPr/>
      </w:pPr>
      <w:bookmarkStart w:id="2" w:name="pg10265_89790"/>
      <w:bookmarkStart w:id="3" w:name="__RefHeading___Toc3806977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م‍ح‍م‍دت‍ق‍ی‌، ‏</w:t>
      </w:r>
      <w:r>
        <w:rPr>
          <w:rFonts w:ascii="IRNazanin" w:hAnsi="IRNazanin" w:eastAsia="IRNazanin"/>
          <w:color w:val="111111"/>
          <w:sz w:val="28"/>
          <w:sz w:val="28"/>
          <w:szCs w:val="28"/>
          <w:lang w:bidi="fa-IR"/>
        </w:rPr>
        <w:t>‫۱۲۹۴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و شرح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علامه محقق شیخ محمدحسین غروی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تکمیل آن تا پایان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محمدتقی بهجت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حضرت آیه‌الله‌العظمی محمدتقی بهجت‏</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 ‏</w:t>
      </w:r>
      <w:r>
        <w:rPr>
          <w:rFonts w:eastAsia="IRNazanin" w:cs="IRNazanin"/>
          <w:color w:val="111111"/>
          <w:sz w:val="28"/>
          <w:szCs w:val="28"/>
          <w:lang w:bidi="fa-IR"/>
        </w:rPr>
        <w:t xml:space="preserve">‫‬‭964-90359-0-7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964-96942-0</w:t>
      </w:r>
      <w:r>
        <w:rPr>
          <w:rFonts w:eastAsia="Times New Roman" w:cs="Times New Roman" w:ascii="Times New Roman" w:hAnsi="Times New Roman"/>
          <w:color w:val="111111"/>
          <w:sz w:val="28"/>
          <w:szCs w:val="28"/>
          <w:lang w:val="en-US" w:bidi="en-US"/>
        </w:rPr>
        <w:t>X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ذخیرة‌العباد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تعلیق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غروی اصفهانی، 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ذخیرة‌العباد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غروی اصفهانی، 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ذخیرة‌العباد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حضرت آیت الله العظمی محمد تقی بهجت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۹‭‬ </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غ۴ذ۳۲ ۱۳۸۴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۱‎۲‎۱‎۲‎۸‎۷‎۲</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06979_106777794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0265_89792"/>
    </w:p>
    <w:p>
      <w:pPr>
        <w:pStyle w:val="Heading2"/>
        <w:numPr>
          <w:ilvl w:val="1"/>
          <w:numId w:val="1"/>
        </w:numPr>
        <w:rPr/>
      </w:pPr>
      <w:bookmarkStart w:id="8" w:name="__RefHeading___Toc3806981_1067777946"/>
      <w:bookmarkStart w:id="9" w:name="_Toc3"/>
      <w:bookmarkEnd w:id="7"/>
      <w:bookmarkEnd w:id="8"/>
      <w:r>
        <w:rPr>
          <w:rtl w:val="true"/>
        </w:rPr>
        <w:t>تذكر</w:t>
      </w:r>
      <w:bookmarkEnd w:id="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حاضر جلد چهارم از دورۀ فقه فتوايى تخصّصى حضرت آيت اللّٰه العظمى بهجت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العالى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از آغاز تا پايان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اجتهاد و 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تعليقه، شرح و اضافات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نوشتۀ علامۀ محقق شيخ محمد حسين غروى اصفهانى قدس سرّه و از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اعتكاف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فقه به صورت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معظّم له به نگارش درآمده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عناوين فرعى كه با علامت مشخص شده است و نيز مواردى كه در 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از سوى گروه تحقيق آثار معظّمٌ له افزوده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جامع المسائل</w:t>
      </w:r>
    </w:p>
    <w:p>
      <w:pPr>
        <w:pStyle w:val="BookText"/>
        <w:rPr/>
      </w:pPr>
      <w:r>
        <w:rPr>
          <w:rFonts w:ascii="IRNazanin" w:hAnsi="IRNazanin" w:eastAsia="IRNazanin"/>
          <w:color w:val="111111"/>
          <w:sz w:val="28"/>
          <w:sz w:val="28"/>
          <w:szCs w:val="28"/>
          <w:rtl w:val="true"/>
          <w:lang w:bidi="fa-IR"/>
        </w:rPr>
        <w:t>جلد چهارم</w:t>
      </w:r>
    </w:p>
    <w:p>
      <w:pPr>
        <w:pStyle w:val="BookText"/>
        <w:rPr/>
      </w:pPr>
      <w:r>
        <w:rPr>
          <w:rFonts w:ascii="Amiri" w:hAnsi="Amiri" w:eastAsia="Amiri" w:cs="Amiri"/>
          <w:color w:val="111111"/>
          <w:sz w:val="28"/>
          <w:sz w:val="28"/>
          <w:szCs w:val="28"/>
          <w:rtl w:val="true"/>
          <w:lang w:bidi="ar-SA"/>
        </w:rPr>
        <w:t>تأليف</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العبد محمد تقى بهجت </w:t>
      </w:r>
      <w:bookmarkStart w:id="10" w:name="pg10265_89794"/>
    </w:p>
    <w:p>
      <w:pPr>
        <w:pStyle w:val="Heading2"/>
        <w:numPr>
          <w:ilvl w:val="1"/>
          <w:numId w:val="1"/>
        </w:numPr>
        <w:rPr/>
      </w:pPr>
      <w:bookmarkStart w:id="11" w:name="__RefHeading___Toc3806983_1067777946"/>
      <w:bookmarkStart w:id="12" w:name="_Toc4"/>
      <w:bookmarkEnd w:id="10"/>
      <w:bookmarkEnd w:id="11"/>
      <w:r>
        <w:rPr>
          <w:rtl w:val="true"/>
        </w:rPr>
        <w:t>ادامۀ كتاب نكاح</w:t>
      </w:r>
      <w:bookmarkEnd w:id="12"/>
    </w:p>
    <w:p>
      <w:pPr>
        <w:pStyle w:val="Heading3"/>
        <w:numPr>
          <w:ilvl w:val="2"/>
          <w:numId w:val="1"/>
        </w:numPr>
        <w:rPr/>
      </w:pPr>
      <w:bookmarkStart w:id="13" w:name="__RefHeading___Toc3806985_1067777946"/>
      <w:bookmarkStart w:id="14" w:name="_Toc5"/>
      <w:bookmarkEnd w:id="13"/>
      <w:r>
        <w:rPr>
          <w:rtl w:val="true"/>
        </w:rPr>
        <w:t>فصل پنجم نكاح منقطع</w:t>
      </w:r>
      <w:bookmarkEnd w:id="14"/>
    </w:p>
    <w:p>
      <w:pPr>
        <w:pStyle w:val="Heading4"/>
        <w:numPr>
          <w:ilvl w:val="3"/>
          <w:numId w:val="1"/>
        </w:numPr>
        <w:rPr/>
      </w:pPr>
      <w:bookmarkStart w:id="15" w:name="__RefHeading___Toc3806987_1067777946"/>
      <w:bookmarkStart w:id="16" w:name="_Toc6"/>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 xml:space="preserve">شرعيّت آن در صدر اسلام، مسلّم فريقين است، و بقاى آن مسلّم است نزد اماميّه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مدّعى نسخ، بر او اثبات ناسخ است يا حجت غير معارضه به اقوى از آن، با آنكه ثابت نيست؛ و بر فرض ثبوت، معارض به اقوى است؛ و بر فرض تكافؤِ موجب شك، مقتضاى استصحاب، عدم نسخ آن است</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3806989_1067777946"/>
      <w:bookmarkStart w:id="18" w:name="_Toc7"/>
      <w:bookmarkEnd w:id="17"/>
      <w:r>
        <w:rPr>
          <w:rtl w:val="true"/>
        </w:rPr>
        <w:t>و اركان اين قسم از نكاح، چهار است</w:t>
      </w:r>
      <w:r>
        <w:rPr>
          <w:rtl w:val="true"/>
        </w:rPr>
        <w:t xml:space="preserve">: </w:t>
      </w:r>
      <w:r>
        <w:rPr>
          <w:rtl w:val="true"/>
        </w:rPr>
        <w:t>صيغه و محل و اَجَل و مهر</w:t>
      </w:r>
      <w:r>
        <w:rPr>
          <w:rtl w:val="true"/>
        </w:rPr>
        <w:t>.</w:t>
      </w:r>
      <w:bookmarkEnd w:id="18"/>
    </w:p>
    <w:p>
      <w:pPr>
        <w:pStyle w:val="Heading5"/>
        <w:numPr>
          <w:ilvl w:val="4"/>
          <w:numId w:val="1"/>
        </w:numPr>
        <w:rPr/>
      </w:pPr>
      <w:bookmarkStart w:id="19" w:name="__RefHeading___Toc3806991_1067777946"/>
      <w:bookmarkStart w:id="20" w:name="_Toc8"/>
      <w:bookmarkEnd w:id="19"/>
      <w:r>
        <w:rPr/>
        <w:t>1</w:t>
      </w:r>
      <w:r>
        <w:rPr>
          <w:rtl w:val="true"/>
        </w:rPr>
        <w:t xml:space="preserve">. </w:t>
      </w:r>
      <w:r>
        <w:rPr>
          <w:rtl w:val="true"/>
        </w:rPr>
        <w:t>صيغۀ عقد منقطع</w:t>
      </w:r>
      <w:bookmarkEnd w:id="20"/>
    </w:p>
    <w:p>
      <w:pPr>
        <w:pStyle w:val="BookText"/>
        <w:rPr/>
      </w:pPr>
      <w:r>
        <w:rPr>
          <w:rFonts w:ascii="IRNazanin" w:hAnsi="IRNazanin" w:eastAsia="IRNazanin"/>
          <w:color w:val="111111"/>
          <w:sz w:val="28"/>
          <w:sz w:val="28"/>
          <w:szCs w:val="28"/>
          <w:rtl w:val="true"/>
          <w:lang w:bidi="fa-IR"/>
        </w:rPr>
        <w:t>لازم است لفظ دال بر تزويج خاص به سبب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كفايت دلالت با قرينه،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اقتصار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ايجاب است، با ذكر متعلقات 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ذكر متعلق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ذكر كند تزويج يا متعه را چنانكه مذكور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بدون آن،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اظهر جواز تقديم قبول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غير اين نحو، آنچه در دائم ذكر شد، در اينجا هم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در اعتبار ماضويت در لفظ ايجاب و قبول و عدم اعتبار، فرقى بين دائم و منقطع نيست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چنين در اعتبار عربيت و تعدد مُجرى صيغه و عدم آن، فرقى بين دو قسم نكاح نيست</w:t>
      </w:r>
      <w:r>
        <w:rPr>
          <w:rFonts w:eastAsia="IRNazanin" w:cs="IRNazanin"/>
          <w:color w:val="111111"/>
          <w:sz w:val="28"/>
          <w:szCs w:val="28"/>
          <w:rtl w:val="true"/>
          <w:lang w:bidi="fa-IR"/>
        </w:rPr>
        <w:t xml:space="preserve">. </w:t>
      </w:r>
      <w:bookmarkStart w:id="21" w:name="pg10265_89795"/>
    </w:p>
    <w:p>
      <w:pPr>
        <w:pStyle w:val="Heading5"/>
        <w:numPr>
          <w:ilvl w:val="4"/>
          <w:numId w:val="1"/>
        </w:numPr>
        <w:rPr/>
      </w:pPr>
      <w:bookmarkStart w:id="22" w:name="__RefHeading___Toc3806993_1067777946"/>
      <w:bookmarkStart w:id="23" w:name="_Toc9"/>
      <w:bookmarkEnd w:id="21"/>
      <w:bookmarkEnd w:id="22"/>
      <w:r>
        <w:rPr/>
        <w:t>2</w:t>
      </w:r>
      <w:r>
        <w:rPr>
          <w:rtl w:val="true"/>
        </w:rPr>
        <w:t xml:space="preserve">. </w:t>
      </w:r>
      <w:r>
        <w:rPr>
          <w:rtl w:val="true"/>
        </w:rPr>
        <w:t>محل</w:t>
      </w:r>
      <w:bookmarkEnd w:id="23"/>
    </w:p>
    <w:p>
      <w:pPr>
        <w:pStyle w:val="Heading6"/>
        <w:numPr>
          <w:ilvl w:val="5"/>
          <w:numId w:val="1"/>
        </w:numPr>
        <w:rPr/>
      </w:pPr>
      <w:bookmarkStart w:id="24" w:name="__RefHeading___Toc3806995_1067777946"/>
      <w:bookmarkStart w:id="25" w:name="_Toc10"/>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 xml:space="preserve">و معتبر است در محل، در صورتى كه زوجْ مسلمان است، كه زوجهْ مسلمان يا كتابيه،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يهوديه يا نصرانيه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مجوسيه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نكاح كتابيه، مى تواند منع نمايد او را از منافيات استمتاع و منفّرات حتى خوردن گوشت خوك و آشاميدن مسكرات، اگر چه منفّرِ غير مسلمان نباشد</w:t>
      </w:r>
      <w:r>
        <w:rPr>
          <w:rFonts w:eastAsia="IRNazanin" w:cs="IRNazanin"/>
          <w:color w:val="111111"/>
          <w:sz w:val="28"/>
          <w:szCs w:val="28"/>
          <w:rtl w:val="true"/>
          <w:lang w:bidi="fa-IR"/>
        </w:rPr>
        <w:t>.</w:t>
      </w:r>
    </w:p>
    <w:p>
      <w:pPr>
        <w:pStyle w:val="Heading6"/>
        <w:numPr>
          <w:ilvl w:val="5"/>
          <w:numId w:val="1"/>
        </w:numPr>
        <w:rPr/>
      </w:pPr>
      <w:bookmarkStart w:id="26" w:name="__RefHeading___Toc3806997_1067777946"/>
      <w:bookmarkStart w:id="27" w:name="_Toc11"/>
      <w:bookmarkEnd w:id="26"/>
      <w:r>
        <w:rPr>
          <w:rtl w:val="true"/>
        </w:rPr>
        <w:t>عدم جواز مناكحۀ مؤمنه با غير مسلم</w:t>
      </w:r>
      <w:bookmarkEnd w:id="27"/>
    </w:p>
    <w:p>
      <w:pPr>
        <w:pStyle w:val="BookText"/>
        <w:rPr/>
      </w:pPr>
      <w:r>
        <w:rPr>
          <w:rFonts w:ascii="IRNazanin" w:hAnsi="IRNazanin" w:eastAsia="IRNazanin"/>
          <w:color w:val="111111"/>
          <w:sz w:val="28"/>
          <w:sz w:val="28"/>
          <w:szCs w:val="28"/>
          <w:rtl w:val="true"/>
          <w:lang w:bidi="fa-IR"/>
        </w:rPr>
        <w:t>زن مسلمان فقط مى تواند تمتع نمايد با مرد مسلمان، چه مؤمن باشد به معنى اخص آن، چه غير مؤمن بنابر جواز مناكحۀ او با غير مؤمن به نحو 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مسلمان نمى تواند با غير مسلمان اگر چه كتابى باشد تمتع نمايد مثل 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تمتع از غير مؤمن، صحيح است اگر مسلمان باشد، اگر چه حرام باشد به عقيدۀ خودش</w:t>
      </w:r>
      <w:r>
        <w:rPr>
          <w:rFonts w:eastAsia="IRNazanin" w:cs="IRNazanin"/>
          <w:color w:val="111111"/>
          <w:sz w:val="28"/>
          <w:szCs w:val="28"/>
          <w:rtl w:val="true"/>
          <w:lang w:bidi="fa-IR"/>
        </w:rPr>
        <w:t>.</w:t>
      </w:r>
    </w:p>
    <w:p>
      <w:pPr>
        <w:pStyle w:val="Heading6"/>
        <w:numPr>
          <w:ilvl w:val="5"/>
          <w:numId w:val="1"/>
        </w:numPr>
        <w:rPr/>
      </w:pPr>
      <w:bookmarkStart w:id="28" w:name="__RefHeading___Toc3806999_1067777946"/>
      <w:bookmarkStart w:id="29" w:name="_Toc12"/>
      <w:bookmarkEnd w:id="28"/>
      <w:r>
        <w:rPr>
          <w:rtl w:val="true"/>
        </w:rPr>
        <w:t>حكم تمتّع مسلمان با كافره</w:t>
      </w:r>
      <w:bookmarkEnd w:id="29"/>
    </w:p>
    <w:p>
      <w:pPr>
        <w:pStyle w:val="BookText"/>
        <w:rPr/>
      </w:pPr>
      <w:r>
        <w:rPr>
          <w:rFonts w:ascii="IRNazanin" w:hAnsi="IRNazanin" w:eastAsia="IRNazanin"/>
          <w:color w:val="111111"/>
          <w:sz w:val="28"/>
          <w:sz w:val="28"/>
          <w:szCs w:val="28"/>
          <w:rtl w:val="true"/>
          <w:lang w:bidi="fa-IR"/>
        </w:rPr>
        <w:t>و مسلمان بودن طرف، در مسلمان معتبر است؛ و اما نكاح كافر، پس اگر طرفش در متعۀ كافر باشد، مثل دوام، مانع وضعى ندارد، و بر آن اقرار مى شود در صورت موافقت با عقيدۀ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مسلم، تمتع با وثنى و مثل او، و دشمن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خوارج و امثال آنها، جايز نيست</w:t>
      </w:r>
      <w:r>
        <w:rPr>
          <w:rFonts w:eastAsia="IRNazanin" w:cs="IRNazanin"/>
          <w:color w:val="111111"/>
          <w:sz w:val="28"/>
          <w:szCs w:val="28"/>
          <w:rtl w:val="true"/>
          <w:lang w:bidi="fa-IR"/>
        </w:rPr>
        <w:t>.</w:t>
      </w:r>
    </w:p>
    <w:p>
      <w:pPr>
        <w:pStyle w:val="Heading6"/>
        <w:numPr>
          <w:ilvl w:val="5"/>
          <w:numId w:val="1"/>
        </w:numPr>
        <w:rPr/>
      </w:pPr>
      <w:bookmarkStart w:id="30" w:name="__RefHeading___Toc3807001_1067777946"/>
      <w:bookmarkStart w:id="31" w:name="_Toc13"/>
      <w:bookmarkEnd w:id="30"/>
      <w:r>
        <w:rPr>
          <w:rtl w:val="true"/>
        </w:rPr>
        <w:t>حكم تمتّع با كنيز و</w:t>
      </w:r>
      <w:r>
        <w:rPr>
          <w:rtl w:val="true"/>
        </w:rPr>
        <w:t>...</w:t>
      </w:r>
      <w:bookmarkEnd w:id="31"/>
    </w:p>
    <w:p>
      <w:pPr>
        <w:pStyle w:val="BookText"/>
        <w:rPr/>
      </w:pPr>
      <w:r>
        <w:rPr>
          <w:rFonts w:ascii="IRNazanin" w:hAnsi="IRNazanin" w:eastAsia="IRNazanin"/>
          <w:color w:val="111111"/>
          <w:sz w:val="28"/>
          <w:sz w:val="28"/>
          <w:szCs w:val="28"/>
          <w:rtl w:val="true"/>
          <w:lang w:bidi="fa-IR"/>
        </w:rPr>
        <w:t>و تمتع با كنيز، در صورتى كه منكوحۀ آزاد دارد، جايز نيست مگر با اذن از او، چنانكه در دوام گذشت بطلان آن بدون اذن، به معنى موقوف بودن بر اذن آزاد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ازدواج دختر برادر يا خواهر، با وجود عمه يا خاله در نكاح، كه بدون اذن سابقه، باطل و موقوف است</w:t>
      </w:r>
      <w:r>
        <w:rPr>
          <w:rFonts w:eastAsia="IRNazanin" w:cs="IRNazanin"/>
          <w:color w:val="111111"/>
          <w:sz w:val="28"/>
          <w:szCs w:val="28"/>
          <w:rtl w:val="true"/>
          <w:lang w:bidi="fa-IR"/>
        </w:rPr>
        <w:t>.</w:t>
      </w:r>
    </w:p>
    <w:p>
      <w:pPr>
        <w:pStyle w:val="Heading6"/>
        <w:numPr>
          <w:ilvl w:val="5"/>
          <w:numId w:val="1"/>
        </w:numPr>
        <w:rPr/>
      </w:pPr>
      <w:bookmarkStart w:id="32" w:name="__RefHeading___Toc3807003_1067777946"/>
      <w:bookmarkStart w:id="33" w:name="_Toc14"/>
      <w:bookmarkEnd w:id="32"/>
      <w:r>
        <w:rPr>
          <w:rtl w:val="true"/>
        </w:rPr>
        <w:t>جريان برخى احكام نكاح دائم در متعه</w:t>
      </w:r>
      <w:bookmarkEnd w:id="3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ساير احكام نكاح از حيث حرمت عينى و جمعى، آنچه در دوام، اختيار و ذكر </w:t>
      </w:r>
      <w:bookmarkStart w:id="34" w:name="pg10265_89796"/>
    </w:p>
    <w:p>
      <w:pPr>
        <w:pStyle w:val="BookText"/>
        <w:rPr/>
      </w:pPr>
      <w:bookmarkEnd w:id="34"/>
      <w:r>
        <w:rPr>
          <w:rFonts w:ascii="IRNazanin" w:hAnsi="IRNazanin" w:eastAsia="IRNazanin"/>
          <w:color w:val="111111"/>
          <w:sz w:val="28"/>
          <w:sz w:val="28"/>
          <w:szCs w:val="28"/>
          <w:rtl w:val="true"/>
          <w:lang w:bidi="fa-IR"/>
        </w:rPr>
        <w:t>شد، جارى در منقطع است، مگر آنچه به آن اشاره مى شود از احكام زوجيّت، مثل نبودن ارث و نفقه و قسمت و محدوديت به چهار زن، كه انقطاع با دوام، در آنها موافقت ندارد</w:t>
      </w:r>
      <w:r>
        <w:rPr>
          <w:rFonts w:eastAsia="IRNazanin" w:cs="IRNazanin"/>
          <w:color w:val="111111"/>
          <w:sz w:val="28"/>
          <w:szCs w:val="28"/>
          <w:rtl w:val="true"/>
          <w:lang w:bidi="fa-IR"/>
        </w:rPr>
        <w:t>.</w:t>
      </w:r>
    </w:p>
    <w:p>
      <w:pPr>
        <w:pStyle w:val="Heading6"/>
        <w:numPr>
          <w:ilvl w:val="5"/>
          <w:numId w:val="1"/>
        </w:numPr>
        <w:rPr/>
      </w:pPr>
      <w:bookmarkStart w:id="35" w:name="__RefHeading___Toc3807005_1067777946"/>
      <w:bookmarkStart w:id="36" w:name="_Toc15"/>
      <w:bookmarkEnd w:id="35"/>
      <w:r>
        <w:rPr>
          <w:rtl w:val="true"/>
        </w:rPr>
        <w:t>حكم تمتُّع با متّهمه و زانيه</w:t>
      </w:r>
      <w:bookmarkEnd w:id="36"/>
    </w:p>
    <w:p>
      <w:pPr>
        <w:pStyle w:val="BookText"/>
        <w:rPr/>
      </w:pPr>
      <w:r>
        <w:rPr>
          <w:rFonts w:ascii="IRNazanin" w:hAnsi="IRNazanin" w:eastAsia="IRNazanin"/>
          <w:color w:val="111111"/>
          <w:sz w:val="28"/>
          <w:sz w:val="28"/>
          <w:szCs w:val="28"/>
          <w:rtl w:val="true"/>
          <w:lang w:bidi="fa-IR"/>
        </w:rPr>
        <w:t>مستحب است كه منكوحه به انقطاع، مؤمنۀ عفيفه باشد؛ و با اتهام، استعلام عفت او نمايد، اگر چه بدون سؤال، عقد بر او صحيح باشد، چون تصديق مى شود در اخبارش به اينكه شوهر ندارد و عفيفه است؛ پس سؤال و استعلام از غير، شرط نيست و واجب نيست، بلكه بعد از حصول علم به خلاف، عمل به وظيفه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تمتع با زانيه صحيح است و جايز است؛ و نهى از منكر، لازم است، و شرط زوجيّت نيست در حدوث يا بقا، و در موارد عدم وجوب نهى، مستحب است زوجه را منع از زنا نمايد، و اگر در اثنا اختلاطى حاصل شود، حكم استيلاد مربوط است شرعاً به زوج نه زانى</w:t>
      </w:r>
      <w:r>
        <w:rPr>
          <w:rFonts w:eastAsia="IRNazanin" w:cs="IRNazanin"/>
          <w:color w:val="111111"/>
          <w:sz w:val="28"/>
          <w:szCs w:val="28"/>
          <w:rtl w:val="true"/>
          <w:lang w:bidi="fa-IR"/>
        </w:rPr>
        <w:t>.</w:t>
      </w:r>
    </w:p>
    <w:p>
      <w:pPr>
        <w:pStyle w:val="Heading6"/>
        <w:numPr>
          <w:ilvl w:val="5"/>
          <w:numId w:val="1"/>
        </w:numPr>
        <w:rPr/>
      </w:pPr>
      <w:bookmarkStart w:id="37" w:name="__RefHeading___Toc3807007_1067777946"/>
      <w:bookmarkStart w:id="38" w:name="_Toc16"/>
      <w:bookmarkEnd w:id="37"/>
      <w:r>
        <w:rPr>
          <w:rtl w:val="true"/>
        </w:rPr>
        <w:t>كراهت تمتع از غير ثيّب</w:t>
      </w:r>
      <w:bookmarkEnd w:id="38"/>
    </w:p>
    <w:p>
      <w:pPr>
        <w:pStyle w:val="BookText"/>
        <w:rPr/>
      </w:pPr>
      <w:r>
        <w:rPr>
          <w:rFonts w:ascii="IRNazanin" w:hAnsi="IRNazanin" w:eastAsia="IRNazanin"/>
          <w:color w:val="111111"/>
          <w:sz w:val="28"/>
          <w:sz w:val="28"/>
          <w:szCs w:val="28"/>
          <w:rtl w:val="true"/>
          <w:lang w:bidi="fa-IR"/>
        </w:rPr>
        <w:t>و تمتع با بكر مكروه است؛ و در صورت ايقاع عقد به نحو مشروع، مكروه است به كراهت شديده ازالۀ بكارت او به وطى، اگر چه خودش راضى باشد</w:t>
      </w:r>
      <w:r>
        <w:rPr>
          <w:rFonts w:eastAsia="IRNazanin" w:cs="IRNazanin"/>
          <w:color w:val="111111"/>
          <w:sz w:val="28"/>
          <w:szCs w:val="28"/>
          <w:rtl w:val="true"/>
          <w:lang w:bidi="fa-IR"/>
        </w:rPr>
        <w:t>.</w:t>
      </w:r>
    </w:p>
    <w:p>
      <w:pPr>
        <w:pStyle w:val="Heading6"/>
        <w:numPr>
          <w:ilvl w:val="5"/>
          <w:numId w:val="1"/>
        </w:numPr>
        <w:rPr/>
      </w:pPr>
      <w:bookmarkStart w:id="39" w:name="__RefHeading___Toc3807009_1067777946"/>
      <w:bookmarkStart w:id="40" w:name="_Toc17"/>
      <w:bookmarkEnd w:id="39"/>
      <w:r>
        <w:rPr>
          <w:rtl w:val="true"/>
        </w:rPr>
        <w:t>حكم عقد انقطاعى بعد از اختيار اسلام توسّط يكى از زوجين</w:t>
      </w:r>
      <w:bookmarkEnd w:id="40"/>
    </w:p>
    <w:p>
      <w:pPr>
        <w:pStyle w:val="BookText"/>
        <w:rPr/>
      </w:pPr>
      <w:r>
        <w:rPr>
          <w:rFonts w:ascii="IRNazanin" w:hAnsi="IRNazanin" w:eastAsia="IRNazanin"/>
          <w:color w:val="111111"/>
          <w:sz w:val="28"/>
          <w:sz w:val="28"/>
          <w:szCs w:val="28"/>
          <w:rtl w:val="true"/>
          <w:lang w:bidi="fa-IR"/>
        </w:rPr>
        <w:t>اگر مشركْ اسلام اختيار كرد در حالى كه كتابيه به عقد انقطاع با او بود، عقدش باقى است؛ و هم چنين اگر بيش از يك زن كتابيه باشد، بلكه بيش از چهار منقطعۀ كتابيه باشد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زن سبقت به اسلام بگيرد، موقوف است بر انقضاى عده از زمان اسلام او؛ پس اگر عدۀ او بعد از دخولْ منقضى شد و شوهرْ اسلام نياورد، عقد باطل است، يعنى منكشف مى شود بطلان آن از زمان اسلام زن كافره، چه كتابيه بوده و چه غير </w:t>
      </w:r>
      <w:bookmarkStart w:id="41" w:name="pg10265_89797"/>
    </w:p>
    <w:p>
      <w:pPr>
        <w:pStyle w:val="BookText"/>
        <w:rPr/>
      </w:pPr>
      <w:bookmarkEnd w:id="41"/>
      <w:r>
        <w:rPr>
          <w:rFonts w:ascii="IRNazanin" w:hAnsi="IRNazanin" w:eastAsia="IRNazanin"/>
          <w:color w:val="111111"/>
          <w:sz w:val="28"/>
          <w:sz w:val="28"/>
          <w:szCs w:val="28"/>
          <w:rtl w:val="true"/>
          <w:lang w:bidi="fa-IR"/>
        </w:rPr>
        <w:t>كتابيه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ملحق شد به زن در اسلام در عده، نكاح باقى است تا اجل معيّن؛ و اگر اجل منقضى شده بود قبل از اسلامِ شوهر، بينونت به انقضاى اجل قبل از انقضاى عده، حاصل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اسلام اختيار كرد درحالى كه در نكاح او آزادى و كنيزى بود كه هر دو كتابيه بودند، عقد آزاد باقى است؛ و عقد كنيز، موقوف به رضاى آزاد است، بنابر لحوق استدامه به ابتدا در اين حكم</w:t>
      </w:r>
      <w:r>
        <w:rPr>
          <w:rFonts w:eastAsia="IRNazanin" w:cs="IRNazanin"/>
          <w:color w:val="111111"/>
          <w:sz w:val="28"/>
          <w:szCs w:val="28"/>
          <w:rtl w:val="true"/>
          <w:lang w:bidi="fa-IR"/>
        </w:rPr>
        <w:t>.</w:t>
      </w:r>
    </w:p>
    <w:p>
      <w:pPr>
        <w:pStyle w:val="Heading5"/>
        <w:numPr>
          <w:ilvl w:val="4"/>
          <w:numId w:val="1"/>
        </w:numPr>
        <w:rPr/>
      </w:pPr>
      <w:bookmarkStart w:id="42" w:name="__RefHeading___Toc3807011_1067777946"/>
      <w:bookmarkStart w:id="43" w:name="_Toc18"/>
      <w:bookmarkEnd w:id="42"/>
      <w:r>
        <w:rPr/>
        <w:t>3</w:t>
      </w:r>
      <w:r>
        <w:rPr>
          <w:rtl w:val="true"/>
        </w:rPr>
        <w:t xml:space="preserve">. </w:t>
      </w:r>
      <w:r>
        <w:rPr>
          <w:rtl w:val="true"/>
        </w:rPr>
        <w:t>مهر در نكاح منقطع</w:t>
      </w:r>
      <w:bookmarkEnd w:id="43"/>
    </w:p>
    <w:p>
      <w:pPr>
        <w:pStyle w:val="Heading6"/>
        <w:numPr>
          <w:ilvl w:val="5"/>
          <w:numId w:val="1"/>
        </w:numPr>
        <w:rPr/>
      </w:pPr>
      <w:bookmarkStart w:id="44" w:name="__RefHeading___Toc3807013_1067777946"/>
      <w:bookmarkStart w:id="45" w:name="_Toc19"/>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مهر در نكاح منقطع شرط صحّت است، و به فوات او با ساير شروط، عقد باطل است، چه عمداً اخلال نمايد يا از روى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بايد مهرْ ماليّت داشته باشد، چه عين خارجيه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كلى در ذمّه باشد، و چه منفعت عين باشد، و چه عمل محلَّلِ قابلِ عوضيت باشد، و چه حق مالى باشد مثل حق تحجير و نحو آن</w:t>
      </w:r>
      <w:r>
        <w:rPr>
          <w:rFonts w:eastAsia="IRNazanin" w:cs="IRNazanin"/>
          <w:color w:val="111111"/>
          <w:sz w:val="28"/>
          <w:szCs w:val="28"/>
          <w:rtl w:val="true"/>
          <w:lang w:bidi="fa-IR"/>
        </w:rPr>
        <w:t>.</w:t>
      </w:r>
    </w:p>
    <w:p>
      <w:pPr>
        <w:pStyle w:val="Heading6"/>
        <w:numPr>
          <w:ilvl w:val="5"/>
          <w:numId w:val="1"/>
        </w:numPr>
        <w:rPr/>
      </w:pPr>
      <w:bookmarkStart w:id="46" w:name="__RefHeading___Toc3807015_1067777946"/>
      <w:bookmarkStart w:id="47" w:name="_Toc20"/>
      <w:bookmarkEnd w:id="46"/>
      <w:r>
        <w:rPr>
          <w:rtl w:val="true"/>
        </w:rPr>
        <w:t>لزوم مملوك شدن مهر توسط زن</w:t>
      </w:r>
      <w:bookmarkEnd w:id="47"/>
    </w:p>
    <w:p>
      <w:pPr>
        <w:pStyle w:val="BookText"/>
        <w:rPr/>
      </w:pPr>
      <w:r>
        <w:rPr>
          <w:rFonts w:ascii="IRNazanin" w:hAnsi="IRNazanin" w:eastAsia="IRNazanin"/>
          <w:color w:val="111111"/>
          <w:sz w:val="28"/>
          <w:sz w:val="28"/>
          <w:szCs w:val="28"/>
          <w:rtl w:val="true"/>
          <w:lang w:bidi="fa-IR"/>
        </w:rPr>
        <w:t xml:space="preserve">و بايد مملوك زن بشود به سبب قرار مهر اگر چه به كشف رضاى متأخّر، از مالك سابق باشد بنابر اظهر، در صورت كشف اجازه از رضا به تملك قبل از تمليك، مثل رضا به تمليك قبل از عتق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عبدك 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تقدّم و تاخّر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قابل ملكيت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خمر و خنزير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باطل است</w:t>
      </w:r>
      <w:r>
        <w:rPr>
          <w:rFonts w:eastAsia="IRNazanin" w:cs="IRNazanin"/>
          <w:color w:val="111111"/>
          <w:sz w:val="28"/>
          <w:szCs w:val="28"/>
          <w:rtl w:val="true"/>
          <w:lang w:bidi="fa-IR"/>
        </w:rPr>
        <w:t>.</w:t>
      </w:r>
    </w:p>
    <w:p>
      <w:pPr>
        <w:pStyle w:val="Heading6"/>
        <w:numPr>
          <w:ilvl w:val="5"/>
          <w:numId w:val="1"/>
        </w:numPr>
        <w:rPr/>
      </w:pPr>
      <w:bookmarkStart w:id="48" w:name="__RefHeading___Toc3807017_1067777946"/>
      <w:bookmarkStart w:id="49" w:name="_Toc21"/>
      <w:bookmarkEnd w:id="48"/>
      <w:r>
        <w:rPr>
          <w:rtl w:val="true"/>
        </w:rPr>
        <w:t>لزوم علم به مقدار مهر</w:t>
      </w:r>
      <w:bookmarkEnd w:id="49"/>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معتبر است علم به مقدار مهر به كيل يا وزن يا مشاهده يا توصيف غايب؛ و در آنچه به لمس و ذوق مرتفع مى شود جهالت، لازم است حصول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حيث مقدار، قليلى هم كافى است، مثل يك قبضه از گندم و نحو آن</w:t>
      </w:r>
      <w:r>
        <w:rPr>
          <w:rFonts w:eastAsia="IRNazanin" w:cs="IRNazanin"/>
          <w:color w:val="111111"/>
          <w:sz w:val="28"/>
          <w:szCs w:val="28"/>
          <w:rtl w:val="true"/>
          <w:lang w:bidi="fa-IR"/>
        </w:rPr>
        <w:t xml:space="preserve">. </w:t>
      </w:r>
      <w:bookmarkStart w:id="50" w:name="pg10265_89798"/>
    </w:p>
    <w:p>
      <w:pPr>
        <w:pStyle w:val="Heading6"/>
        <w:numPr>
          <w:ilvl w:val="5"/>
          <w:numId w:val="1"/>
        </w:numPr>
        <w:rPr/>
      </w:pPr>
      <w:bookmarkStart w:id="51" w:name="__RefHeading___Toc3807019_1067777946"/>
      <w:bookmarkStart w:id="52" w:name="_Toc22"/>
      <w:bookmarkEnd w:id="50"/>
      <w:bookmarkEnd w:id="51"/>
      <w:r>
        <w:rPr>
          <w:rtl w:val="true"/>
        </w:rPr>
        <w:t>لزوم دفع مهر بعد از عقد</w:t>
      </w:r>
      <w:bookmarkEnd w:id="52"/>
    </w:p>
    <w:p>
      <w:pPr>
        <w:pStyle w:val="BookText"/>
        <w:rPr/>
      </w:pPr>
      <w:r>
        <w:rPr>
          <w:rFonts w:ascii="IRNazanin" w:hAnsi="IRNazanin" w:eastAsia="IRNazanin"/>
          <w:color w:val="111111"/>
          <w:sz w:val="28"/>
          <w:sz w:val="28"/>
          <w:szCs w:val="28"/>
          <w:rtl w:val="true"/>
          <w:lang w:bidi="fa-IR"/>
        </w:rPr>
        <w:t>لازم است دفع مهر بعد از عقد، مراعىٰ به دخول و وفاى به مدت به نحوى كه ذكر مى شود؛ پس اگر ابراء كرد مدت را يا آنچه به منزلۀ ابراء است، نصف مهر بر شوهر است</w:t>
      </w:r>
      <w:r>
        <w:rPr>
          <w:rFonts w:eastAsia="IRNazanin" w:cs="IRNazanin"/>
          <w:color w:val="111111"/>
          <w:sz w:val="28"/>
          <w:szCs w:val="28"/>
          <w:rtl w:val="true"/>
          <w:lang w:bidi="fa-IR"/>
        </w:rPr>
        <w:t>.</w:t>
      </w:r>
    </w:p>
    <w:p>
      <w:pPr>
        <w:pStyle w:val="Heading6"/>
        <w:numPr>
          <w:ilvl w:val="5"/>
          <w:numId w:val="1"/>
        </w:numPr>
        <w:rPr/>
      </w:pPr>
      <w:bookmarkStart w:id="53" w:name="__RefHeading___Toc3807021_1067777946"/>
      <w:bookmarkStart w:id="54" w:name="_Toc23"/>
      <w:bookmarkEnd w:id="53"/>
      <w:r>
        <w:rPr>
          <w:rtl w:val="true"/>
        </w:rPr>
        <w:t>ابراء موجب تنصيف مهر</w:t>
      </w:r>
      <w:bookmarkEnd w:id="54"/>
    </w:p>
    <w:p>
      <w:pPr>
        <w:pStyle w:val="BookText"/>
        <w:rPr/>
      </w:pPr>
      <w:r>
        <w:rPr>
          <w:rFonts w:ascii="IRNazanin" w:hAnsi="IRNazanin" w:eastAsia="IRNazanin"/>
          <w:color w:val="111111"/>
          <w:sz w:val="28"/>
          <w:sz w:val="28"/>
          <w:szCs w:val="28"/>
          <w:rtl w:val="true"/>
          <w:lang w:bidi="fa-IR"/>
        </w:rPr>
        <w:t>و ابرايى كه موجب تنصيف مهر است، حاصل مى شود به ابراء بقيۀ مدت قبل از 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افتراق و حصول بينونت قبل از دخول، موجب تنصيف مى شود اگر چه تمكين بوده است، يا آنكه بايد ابراءِ بقيه مدت هم باشد، پس اگر ابراء بعض كرد و در بعض ديگر دخول واقع نشد، يا آنكه بينونت به مضىّ تمام مدت بدون دخول حاصل شد، تنصيف نيست و بايد مجموعْ ادا شود؟ احوط بلكه اظهر عدم تنصيف است</w:t>
      </w:r>
      <w:r>
        <w:rPr>
          <w:rFonts w:eastAsia="IRNazanin" w:cs="IRNazanin"/>
          <w:color w:val="111111"/>
          <w:sz w:val="28"/>
          <w:szCs w:val="28"/>
          <w:rtl w:val="true"/>
          <w:lang w:bidi="fa-IR"/>
        </w:rPr>
        <w:t>.</w:t>
      </w:r>
    </w:p>
    <w:p>
      <w:pPr>
        <w:pStyle w:val="Heading6"/>
        <w:numPr>
          <w:ilvl w:val="5"/>
          <w:numId w:val="1"/>
        </w:numPr>
        <w:rPr/>
      </w:pPr>
      <w:bookmarkStart w:id="55" w:name="__RefHeading___Toc3807023_1067777946"/>
      <w:bookmarkStart w:id="56" w:name="_Toc24"/>
      <w:bookmarkEnd w:id="55"/>
      <w:r>
        <w:rPr>
          <w:rtl w:val="true"/>
        </w:rPr>
        <w:t>فرض استقرار تمام مهر</w:t>
      </w:r>
      <w:bookmarkEnd w:id="56"/>
    </w:p>
    <w:p>
      <w:pPr>
        <w:pStyle w:val="BookText"/>
        <w:rPr/>
      </w:pPr>
      <w:r>
        <w:rPr>
          <w:rFonts w:ascii="IRNazanin" w:hAnsi="IRNazanin" w:eastAsia="IRNazanin"/>
          <w:color w:val="111111"/>
          <w:sz w:val="28"/>
          <w:sz w:val="28"/>
          <w:szCs w:val="28"/>
          <w:rtl w:val="true"/>
          <w:lang w:bidi="fa-IR"/>
        </w:rPr>
        <w:t>اگر دخول واقع شد، تمام مهر مستقر است به شرط وفاى زن در بقيۀ مدت با تمكين، مگر آنكه مرد، بقيۀ را هبه نمايد بعد از دخول، كه تمام بر او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بعض باقى را هبه نمايد، در بعض غير موهوب، تمكين لازم است</w:t>
      </w:r>
      <w:r>
        <w:rPr>
          <w:rFonts w:eastAsia="IRNazanin" w:cs="IRNazanin"/>
          <w:color w:val="111111"/>
          <w:sz w:val="28"/>
          <w:szCs w:val="28"/>
          <w:rtl w:val="true"/>
          <w:lang w:bidi="fa-IR"/>
        </w:rPr>
        <w:t>.</w:t>
      </w:r>
    </w:p>
    <w:p>
      <w:pPr>
        <w:pStyle w:val="Heading6"/>
        <w:numPr>
          <w:ilvl w:val="5"/>
          <w:numId w:val="1"/>
        </w:numPr>
        <w:rPr/>
      </w:pPr>
      <w:bookmarkStart w:id="57" w:name="__RefHeading___Toc3807025_1067777946"/>
      <w:bookmarkStart w:id="58" w:name="_Toc25"/>
      <w:bookmarkEnd w:id="57"/>
      <w:r>
        <w:rPr>
          <w:rtl w:val="true"/>
        </w:rPr>
        <w:t>اخلال زن به تمكين در بعض مدت</w:t>
      </w:r>
      <w:bookmarkEnd w:id="58"/>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اخلال كرد زن به بعض مدت و در آن بعض تمكين نكرد، مى تواند شوهر به نسبت آن بعض، اسقاط مهر نمايد، مثل نصف مهر در اخلال به نصف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ايام حيض و مثل آن از اعذار، چه شرعيّه باشد چه عقليه، خواه متوقعه باشد يا اتفاقيه، محسوب از ايام اخلال نمى شود، پس به ملاحظۀ آنها، اسقاط مهر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موت زوجه، كه از قبيل انهدام دار است، اقرب انفساخ است از آن زمان و سقوط مهر است در بقيۀ مدت به نسبتِ باقى از مجموع</w:t>
      </w:r>
      <w:r>
        <w:rPr>
          <w:rFonts w:eastAsia="IRNazanin" w:cs="IRNazanin"/>
          <w:color w:val="111111"/>
          <w:sz w:val="28"/>
          <w:szCs w:val="28"/>
          <w:rtl w:val="true"/>
          <w:lang w:bidi="fa-IR"/>
        </w:rPr>
        <w:t xml:space="preserve">. </w:t>
      </w:r>
      <w:bookmarkStart w:id="59" w:name="pg10265_89799"/>
    </w:p>
    <w:p>
      <w:pPr>
        <w:pStyle w:val="Heading6"/>
        <w:numPr>
          <w:ilvl w:val="5"/>
          <w:numId w:val="1"/>
        </w:numPr>
        <w:rPr/>
      </w:pPr>
      <w:bookmarkStart w:id="60" w:name="__RefHeading___Toc3807027_1067777946"/>
      <w:bookmarkStart w:id="61" w:name="_Toc26"/>
      <w:bookmarkEnd w:id="59"/>
      <w:bookmarkEnd w:id="60"/>
      <w:r>
        <w:rPr>
          <w:rtl w:val="true"/>
        </w:rPr>
        <w:t>حكم استحقاق مهر بر فرض بطلان عقد منقطع</w:t>
      </w:r>
      <w:bookmarkEnd w:id="61"/>
    </w:p>
    <w:p>
      <w:pPr>
        <w:pStyle w:val="BookText"/>
        <w:rPr/>
      </w:pPr>
      <w:r>
        <w:rPr>
          <w:rFonts w:ascii="IRNazanin" w:hAnsi="IRNazanin" w:eastAsia="IRNazanin"/>
          <w:color w:val="111111"/>
          <w:sz w:val="28"/>
          <w:sz w:val="28"/>
          <w:szCs w:val="28"/>
          <w:rtl w:val="true"/>
          <w:lang w:bidi="fa-IR"/>
        </w:rPr>
        <w:t>اگر معلوم شد بطلان عقد به مثل وقوع بر اخت زوجه، استحقاق مهر قبل از دخول منتفى است؛ و اگر قبض كرده، استرجاع مى شود؛ و اگر تلف شده، مثل يا قيمت آن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دخول معلوم شد، به غير مثل علم به آنكه صاحب شوهر بوده است و زنا كرده بوده است كه استحقاق مهر ندارد، اقرب رجوع به مهر المثل است براى وطى به شبهه، به همان نحو كه در موارد وطى به شبهه، استحقاق ثابت است؛ و اعتقادِ نكاح مؤثر است، نه اعتقاد خصوصيّت نكاح</w:t>
      </w:r>
      <w:r>
        <w:rPr>
          <w:rFonts w:eastAsia="IRNazanin" w:cs="IRNazanin"/>
          <w:color w:val="111111"/>
          <w:sz w:val="28"/>
          <w:szCs w:val="28"/>
          <w:rtl w:val="true"/>
          <w:lang w:bidi="fa-IR"/>
        </w:rPr>
        <w:t>.</w:t>
      </w:r>
    </w:p>
    <w:p>
      <w:pPr>
        <w:pStyle w:val="Heading5"/>
        <w:numPr>
          <w:ilvl w:val="4"/>
          <w:numId w:val="1"/>
        </w:numPr>
        <w:rPr/>
      </w:pPr>
      <w:bookmarkStart w:id="62" w:name="__RefHeading___Toc3807029_1067777946"/>
      <w:bookmarkStart w:id="63" w:name="_Toc27"/>
      <w:bookmarkEnd w:id="62"/>
      <w:r>
        <w:rPr/>
        <w:t>4</w:t>
      </w:r>
      <w:r>
        <w:rPr>
          <w:rtl w:val="true"/>
        </w:rPr>
        <w:t xml:space="preserve">. </w:t>
      </w:r>
      <w:r>
        <w:rPr>
          <w:rtl w:val="true"/>
        </w:rPr>
        <w:t>تعيين زمان در عقد منقطع</w:t>
      </w:r>
      <w:bookmarkEnd w:id="63"/>
    </w:p>
    <w:p>
      <w:pPr>
        <w:pStyle w:val="Heading6"/>
        <w:numPr>
          <w:ilvl w:val="5"/>
          <w:numId w:val="1"/>
        </w:numPr>
        <w:rPr/>
      </w:pPr>
      <w:bookmarkStart w:id="64" w:name="__RefHeading___Toc3807031_1067777946"/>
      <w:bookmarkStart w:id="65" w:name="_Toc28"/>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و اجل يعنى مدت، شرط صحّت نكاح منقطع است؛ پس اگر تركِ ذكر اجل كرد، متعه واقع نمى شود</w:t>
      </w:r>
      <w:r>
        <w:rPr>
          <w:rFonts w:eastAsia="IRNazanin" w:cs="IRNazanin"/>
          <w:color w:val="111111"/>
          <w:sz w:val="28"/>
          <w:szCs w:val="28"/>
          <w:rtl w:val="true"/>
          <w:lang w:bidi="fa-IR"/>
        </w:rPr>
        <w:t>.</w:t>
      </w:r>
    </w:p>
    <w:p>
      <w:pPr>
        <w:pStyle w:val="Heading6"/>
        <w:numPr>
          <w:ilvl w:val="5"/>
          <w:numId w:val="1"/>
        </w:numPr>
        <w:rPr/>
      </w:pPr>
      <w:bookmarkStart w:id="66" w:name="__RefHeading___Toc3807033_1067777946"/>
      <w:bookmarkStart w:id="67" w:name="_Toc29"/>
      <w:bookmarkEnd w:id="66"/>
      <w:r>
        <w:rPr>
          <w:rtl w:val="true"/>
        </w:rPr>
        <w:t>فرض انقلاب به عقد دائم</w:t>
      </w:r>
      <w:bookmarkEnd w:id="67"/>
    </w:p>
    <w:p>
      <w:pPr>
        <w:pStyle w:val="BookText"/>
        <w:rPr/>
      </w:pPr>
      <w:r>
        <w:rPr>
          <w:rFonts w:ascii="IRNazanin" w:hAnsi="IRNazanin" w:eastAsia="IRNazanin"/>
          <w:color w:val="111111"/>
          <w:sz w:val="28"/>
          <w:sz w:val="28"/>
          <w:szCs w:val="28"/>
          <w:rtl w:val="true"/>
          <w:lang w:bidi="fa-IR"/>
        </w:rPr>
        <w:t>و اگر قصد نكاح از صيغه داشته و قصد خلاف از او محقّق نشد تا انجام صيغه و از لفظْ قصد خصوصيت متعه نداشته و با آن لفظ هر دو قسم واقع مى شد، منقلب مى شود به نكاح دائم، در صورتى كه از روى جهل يا نسيان و نحو اينها ترك ذكر اجل نمايد؛ و احوط تجديد عقد است بعد از طلاق</w:t>
      </w:r>
      <w:r>
        <w:rPr>
          <w:rFonts w:eastAsia="IRNazanin" w:cs="IRNazanin"/>
          <w:color w:val="111111"/>
          <w:sz w:val="28"/>
          <w:szCs w:val="28"/>
          <w:rtl w:val="true"/>
          <w:lang w:bidi="fa-IR"/>
        </w:rPr>
        <w:t>.</w:t>
      </w:r>
    </w:p>
    <w:p>
      <w:pPr>
        <w:pStyle w:val="Heading6"/>
        <w:numPr>
          <w:ilvl w:val="5"/>
          <w:numId w:val="1"/>
        </w:numPr>
        <w:rPr/>
      </w:pPr>
      <w:bookmarkStart w:id="68" w:name="__RefHeading___Toc3807035_1067777946"/>
      <w:bookmarkStart w:id="69" w:name="_Toc30"/>
      <w:bookmarkEnd w:id="68"/>
      <w:r>
        <w:rPr>
          <w:rtl w:val="true"/>
        </w:rPr>
        <w:t>مقدار مدّت</w:t>
      </w:r>
      <w:bookmarkEnd w:id="69"/>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مقدار مدت منوط به تراضى است، و فرقى بين اينكه طويل يا قصير باشد نيست؛ پس در طرف طول، زمانى كه مظنون است عدم بقاى تا آن زمان تا به سفاهت نرسد، و در طرف قصر، به لحظۀ معينه با قابليّت استمتاع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غير جماع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فعليّت جماع و قابليت آن و فعليّت استمتاع شرط نيست، و احكام مصاهره به قابليّت زمان فى نفسه براى استمتاع، مرتّب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bookmarkStart w:id="70" w:name="pg10265_89800"/>
    </w:p>
    <w:p>
      <w:pPr>
        <w:pStyle w:val="BookText"/>
        <w:rPr/>
      </w:pPr>
      <w:bookmarkEnd w:id="70"/>
      <w:r>
        <w:rPr>
          <w:rFonts w:ascii="IRNazanin" w:hAnsi="IRNazanin" w:eastAsia="IRNazanin"/>
          <w:color w:val="111111"/>
          <w:sz w:val="28"/>
          <w:sz w:val="28"/>
          <w:szCs w:val="28"/>
          <w:rtl w:val="true"/>
          <w:lang w:bidi="fa-IR"/>
        </w:rPr>
        <w:t>صغيرين، احوط ادخال مقدار زمان قابليت اصل استمتاع است اگر چه غرضْ احكام مصاهره باشد</w:t>
      </w:r>
      <w:r>
        <w:rPr>
          <w:rFonts w:eastAsia="IRNazanin" w:cs="IRNazanin"/>
          <w:color w:val="111111"/>
          <w:sz w:val="28"/>
          <w:szCs w:val="28"/>
          <w:rtl w:val="true"/>
          <w:lang w:bidi="fa-IR"/>
        </w:rPr>
        <w:t>.</w:t>
      </w:r>
    </w:p>
    <w:p>
      <w:pPr>
        <w:pStyle w:val="Heading6"/>
        <w:numPr>
          <w:ilvl w:val="5"/>
          <w:numId w:val="1"/>
        </w:numPr>
        <w:rPr/>
      </w:pPr>
      <w:bookmarkStart w:id="71" w:name="__RefHeading___Toc3807037_1067777946"/>
      <w:bookmarkStart w:id="72" w:name="_Toc31"/>
      <w:bookmarkEnd w:id="71"/>
      <w:r>
        <w:rPr>
          <w:rtl w:val="true"/>
        </w:rPr>
        <w:t>لزوم تشخّص و تعيّن در مدت</w:t>
      </w:r>
      <w:bookmarkEnd w:id="72"/>
    </w:p>
    <w:p>
      <w:pPr>
        <w:pStyle w:val="BookText"/>
        <w:rPr/>
      </w:pPr>
      <w:r>
        <w:rPr>
          <w:rFonts w:ascii="IRNazanin" w:hAnsi="IRNazanin" w:eastAsia="IRNazanin"/>
          <w:color w:val="111111"/>
          <w:sz w:val="28"/>
          <w:sz w:val="28"/>
          <w:szCs w:val="28"/>
          <w:rtl w:val="true"/>
          <w:lang w:bidi="fa-IR"/>
        </w:rPr>
        <w:t>بايد مدت، شخصى و معيّن و محفوظ از زياده و نقصان باشد در واقع و به حسب احتمال؛ و اگر بعض روز، مدت باشد، مانعى ندارد با تعيّن از حيث اوّل و آخر، مثل غروب و زوال يا نصف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اختلاف، به قول اهل خبره كه مظنون باشد صدق او، رجوع مى شود؛ و اعتبار عدالت و تعدّد احوط است، يا آنكه احتياط مى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مورد جريان استصحاب بقاى مدّت معيّنه، مى تواند موافق آن، عمل به استصحاب نمايد تا ثابت شود خلاف، يا اثبات نمايند خلاف آن را</w:t>
      </w:r>
      <w:r>
        <w:rPr>
          <w:rFonts w:eastAsia="Amiri" w:cs="Amiri" w:ascii="Amiri" w:hAnsi="Amiri"/>
          <w:color w:val="111111"/>
          <w:sz w:val="28"/>
          <w:szCs w:val="28"/>
          <w:rtl w:val="true"/>
          <w:lang w:bidi="ar-SA"/>
        </w:rPr>
        <w:t>.</w:t>
      </w:r>
    </w:p>
    <w:p>
      <w:pPr>
        <w:pStyle w:val="Heading6"/>
        <w:numPr>
          <w:ilvl w:val="5"/>
          <w:numId w:val="1"/>
        </w:numPr>
        <w:rPr/>
      </w:pPr>
      <w:bookmarkStart w:id="73" w:name="__RefHeading___Toc3807039_1067777946"/>
      <w:bookmarkStart w:id="74" w:name="_Toc32"/>
      <w:bookmarkEnd w:id="73"/>
      <w:r>
        <w:rPr>
          <w:rtl w:val="true"/>
        </w:rPr>
        <w:t>جواز تعيين مدّت متّصله و منفصله در عقد منقطع</w:t>
      </w:r>
      <w:bookmarkEnd w:id="74"/>
    </w:p>
    <w:p>
      <w:pPr>
        <w:pStyle w:val="BookText"/>
        <w:rPr/>
      </w:pPr>
      <w:r>
        <w:rPr>
          <w:rFonts w:ascii="IRNazanin" w:hAnsi="IRNazanin" w:eastAsia="IRNazanin"/>
          <w:color w:val="111111"/>
          <w:sz w:val="28"/>
          <w:sz w:val="28"/>
          <w:szCs w:val="28"/>
          <w:rtl w:val="true"/>
          <w:lang w:bidi="fa-IR"/>
        </w:rPr>
        <w:t>و با عدم ذكر ابتدا، محمول بر اتصال به عقد است؛ و جهالت به باقى مانده از روز يا ماه يا سال، اگر چه ممكن نباشد علم فعلى به آن، مغتفر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جايز است در منقطع تعيين مدت منفصله از عقد؟ اظهر جواز آن است؛ و با فرض تحقق به وجه صحيح، منافى آن جايز نيست و واقع نمى شود، مثل صورت عدم وفاى ما بين به اجل و عدّه، براى تزويج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ثبوت حرمت مصاهرت در بين عقد و ابتداى مدت يا عدم ثبوت آن، و جواز تزويج در بين اگر مستلزم منافيات نباشد،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زوج فيما بين وفات نمايد، محتمل است ثبوت آثار ثابتۀ زوجيّت در مدت، نه در بين عقد و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كلام، غير صورت اطلاق زوجيّت و تقييد مدت استمتاع است، بنابر صحّت چنين عقدى با چنين شرطى، كه بر اين تقدير زوجيّت با موت زوج، كشفِ بطلان آن نمى شود، بلكه مثل موت زوج در دائم است در احكام مناسبه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ذكر نكرد مبدء مدت معينه از حيث آخر را، محمول مى شود بر زمان متصل به عقد؛ پس اگر استيفاى منفعت به استمتاع نكرد در تمام مدتى كه متصل به عقد </w:t>
      </w:r>
      <w:bookmarkStart w:id="75" w:name="pg10265_89801"/>
    </w:p>
    <w:p>
      <w:pPr>
        <w:pStyle w:val="BookText"/>
        <w:rPr/>
      </w:pPr>
      <w:bookmarkEnd w:id="75"/>
      <w:r>
        <w:rPr>
          <w:rFonts w:ascii="IRNazanin" w:hAnsi="IRNazanin" w:eastAsia="IRNazanin"/>
          <w:color w:val="111111"/>
          <w:sz w:val="28"/>
          <w:sz w:val="28"/>
          <w:szCs w:val="28"/>
          <w:rtl w:val="true"/>
          <w:lang w:bidi="fa-IR"/>
        </w:rPr>
        <w:t>است، به حسب حمل مطلق بر آن، مستحق تمام مهر است، مثل صورت تصريح به 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تنصيف مهر با بينونت قبل از دخول، مخصوص به هبۀ مدت و ابراء و نحو اينها است، چنانكه گذشت</w:t>
      </w:r>
      <w:r>
        <w:rPr>
          <w:rFonts w:eastAsia="IRNazanin" w:cs="IRNazanin"/>
          <w:color w:val="111111"/>
          <w:sz w:val="28"/>
          <w:szCs w:val="28"/>
          <w:rtl w:val="true"/>
          <w:lang w:bidi="fa-IR"/>
        </w:rPr>
        <w:t>.</w:t>
      </w:r>
    </w:p>
    <w:p>
      <w:pPr>
        <w:pStyle w:val="Heading6"/>
        <w:numPr>
          <w:ilvl w:val="5"/>
          <w:numId w:val="1"/>
        </w:numPr>
        <w:rPr/>
      </w:pPr>
      <w:bookmarkStart w:id="76" w:name="__RefHeading___Toc3807041_1067777946"/>
      <w:bookmarkStart w:id="77" w:name="_Toc33"/>
      <w:bookmarkEnd w:id="76"/>
      <w:r>
        <w:rPr>
          <w:rtl w:val="true"/>
        </w:rPr>
        <w:t>عدم وقوع متعه با تعيين دفعه و بدون تعيين مدت</w:t>
      </w:r>
      <w:bookmarkEnd w:id="77"/>
    </w:p>
    <w:p>
      <w:pPr>
        <w:pStyle w:val="BookText"/>
        <w:rPr/>
      </w:pPr>
      <w:r>
        <w:rPr>
          <w:rFonts w:ascii="IRNazanin" w:hAnsi="IRNazanin" w:eastAsia="IRNazanin"/>
          <w:color w:val="111111"/>
          <w:sz w:val="28"/>
          <w:sz w:val="28"/>
          <w:szCs w:val="28"/>
          <w:rtl w:val="true"/>
          <w:lang w:bidi="fa-IR"/>
        </w:rPr>
        <w:t>و اگر تعيين مدت نكرد و تعيين دفعه نمود، متعه واقع نمى شود و دائم واقع مى شود به شرطى كه سابقاً ذكر شد در نسيان اجل؛ و روايات مخالفه، محمول بر حصول تعيين زمان به قراين غير لفظيّه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مانعى از شرط دفعه نيست با تعيين مدت و ضبط آن؛ و در مدت معيّنه، استحقاق بيش از دفعۀ مشروطه ندارد مگر با اذن جديد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اگر عدد را مقيّد به وقت معيّن نمود و مقيّد را اجل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آنكه قيد را و دفعه را شرط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حكم عدم تعيين اجل است، مگر بنابر فرق بين عدم ذكر اجل و ذكر اجلِ قابل براى زياده و نقصان و التزام به بطلان نكاح در دوّم</w:t>
      </w:r>
      <w:r>
        <w:rPr>
          <w:rFonts w:eastAsia="IRNazanin" w:cs="IRNazanin"/>
          <w:color w:val="111111"/>
          <w:sz w:val="28"/>
          <w:szCs w:val="28"/>
          <w:rtl w:val="true"/>
          <w:lang w:bidi="fa-IR"/>
        </w:rPr>
        <w:t>.</w:t>
      </w:r>
    </w:p>
    <w:p>
      <w:pPr>
        <w:pStyle w:val="Heading4"/>
        <w:numPr>
          <w:ilvl w:val="3"/>
          <w:numId w:val="1"/>
        </w:numPr>
        <w:rPr/>
      </w:pPr>
      <w:bookmarkStart w:id="78" w:name="__RefHeading___Toc3807043_1067777946"/>
      <w:bookmarkStart w:id="79" w:name="_Toc34"/>
      <w:bookmarkEnd w:id="78"/>
      <w:r>
        <w:rPr>
          <w:rtl w:val="true"/>
        </w:rPr>
        <w:t>احكام نكاح منقطع</w:t>
      </w:r>
      <w:bookmarkEnd w:id="79"/>
    </w:p>
    <w:p>
      <w:pPr>
        <w:pStyle w:val="Heading5"/>
        <w:numPr>
          <w:ilvl w:val="4"/>
          <w:numId w:val="1"/>
        </w:numPr>
        <w:rPr/>
      </w:pPr>
      <w:bookmarkStart w:id="80" w:name="__RefHeading___Toc3807045_1067777946"/>
      <w:bookmarkStart w:id="81" w:name="_Toc35"/>
      <w:bookmarkEnd w:id="80"/>
      <w:r>
        <w:rPr>
          <w:rtl w:val="true"/>
        </w:rPr>
        <w:t>لزوم ذكر مهر</w:t>
      </w:r>
      <w:bookmarkEnd w:id="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 كه ذكر مهر در متعه شرط صحّت است و به فوات او عقد باطل مى شود، به خلاف اجل كه با عدم ذكر آن منقلب به دوام مى شود، به نحوى كه سابقاً ذكر شد</w:t>
      </w:r>
      <w:r>
        <w:rPr>
          <w:rFonts w:eastAsia="IRNazanin" w:cs="IRNazanin"/>
          <w:color w:val="111111"/>
          <w:sz w:val="28"/>
          <w:szCs w:val="28"/>
          <w:rtl w:val="true"/>
          <w:lang w:bidi="fa-IR"/>
        </w:rPr>
        <w:t>.</w:t>
      </w:r>
    </w:p>
    <w:p>
      <w:pPr>
        <w:pStyle w:val="Heading5"/>
        <w:numPr>
          <w:ilvl w:val="4"/>
          <w:numId w:val="1"/>
        </w:numPr>
        <w:rPr/>
      </w:pPr>
      <w:bookmarkStart w:id="82" w:name="__RefHeading___Toc3807047_1067777946"/>
      <w:bookmarkStart w:id="83" w:name="_Toc36"/>
      <w:bookmarkEnd w:id="82"/>
      <w:r>
        <w:rPr>
          <w:rtl w:val="true"/>
        </w:rPr>
        <w:t>لزوم شرايط ضمن عقد</w:t>
      </w:r>
      <w:bookmarkEnd w:id="8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شروط جايزه در نكاح، مطلقاً لازم الوفاء است در صورتى كه در متن عقد ذكر شود، يا آنكه سابقاً مذكور باشد و با قراين معلومه نزد طرفين، عقد با تبانى بر آنها واقع شده باشد، كه به منزلۀ اعادۀ شروط سابقه در متن عقد باشد؛ پس مجرد سبق ذكر، مؤثر در حكم شرط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بالغۀ رشيده مى تواند خود را تزويج نمايد به عقد انقطاع مثل دوام، با حفظ </w:t>
      </w:r>
      <w:bookmarkStart w:id="84" w:name="pg10265_89802"/>
    </w:p>
    <w:p>
      <w:pPr>
        <w:pStyle w:val="BookText"/>
        <w:rPr/>
      </w:pPr>
      <w:bookmarkEnd w:id="84"/>
      <w:r>
        <w:rPr>
          <w:rFonts w:ascii="IRNazanin" w:hAnsi="IRNazanin" w:eastAsia="IRNazanin"/>
          <w:color w:val="111111"/>
          <w:sz w:val="28"/>
          <w:sz w:val="28"/>
          <w:szCs w:val="28"/>
          <w:rtl w:val="true"/>
          <w:lang w:bidi="fa-IR"/>
        </w:rPr>
        <w:t>سفهى نبودن نكاح، و احتياجى به اذن ولى ندارد، چنانچه گذشت</w:t>
      </w:r>
      <w:r>
        <w:rPr>
          <w:rFonts w:eastAsia="IRNazanin" w:cs="IRNazanin"/>
          <w:color w:val="111111"/>
          <w:sz w:val="28"/>
          <w:szCs w:val="28"/>
          <w:rtl w:val="true"/>
          <w:lang w:bidi="fa-IR"/>
        </w:rPr>
        <w:t>.</w:t>
      </w:r>
      <w:r>
        <w:rPr>
          <w:rStyle w:val="FootnoteAnchor"/>
          <w:rtl w:val="true"/>
        </w:rPr>
        <w:footnoteReference w:id="2"/>
      </w:r>
    </w:p>
    <w:p>
      <w:pPr>
        <w:pStyle w:val="Heading5"/>
        <w:numPr>
          <w:ilvl w:val="4"/>
          <w:numId w:val="1"/>
        </w:numPr>
        <w:rPr/>
      </w:pPr>
      <w:bookmarkStart w:id="85" w:name="__RefHeading___Toc3807049_1067777946"/>
      <w:bookmarkStart w:id="86" w:name="_Toc37"/>
      <w:bookmarkEnd w:id="85"/>
      <w:r>
        <w:rPr>
          <w:rtl w:val="true"/>
        </w:rPr>
        <w:t>صحّت اشتراط عدم دخول و يا اشتراط دفعات با تعيين زمان</w:t>
      </w:r>
      <w:bookmarkEnd w:id="8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اشتراط اتيان منقطعه در شب يا روز، و اشتراط دفعه و دفعات در زمان معيّن با امكان،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شرط عدم دخول، و شرط عدم ازالۀ بكارت، لازم است وفاى به آنها؛ و در صورت تخلّف، شوهر آثم است؛ و در لحوق ولد به حكم فراش و زوجيّت، مانند زمان حيض است اگر چه بگوييم استحقاق مهر براى وطى مستحَق العدم به شرط دارد و با رضايت بعدى و اسقاط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ساقط مى شود</w:t>
      </w:r>
      <w:r>
        <w:rPr>
          <w:rFonts w:eastAsia="IRNazanin" w:cs="IRNazanin"/>
          <w:color w:val="111111"/>
          <w:sz w:val="28"/>
          <w:szCs w:val="28"/>
          <w:rtl w:val="true"/>
          <w:lang w:bidi="fa-IR"/>
        </w:rPr>
        <w:t>].</w:t>
      </w:r>
    </w:p>
    <w:p>
      <w:pPr>
        <w:pStyle w:val="Heading5"/>
        <w:numPr>
          <w:ilvl w:val="4"/>
          <w:numId w:val="1"/>
        </w:numPr>
        <w:rPr/>
      </w:pPr>
      <w:bookmarkStart w:id="87" w:name="__RefHeading___Toc3807051_1067777946"/>
      <w:bookmarkStart w:id="88" w:name="_Toc38"/>
      <w:bookmarkEnd w:id="87"/>
      <w:r>
        <w:rPr>
          <w:rtl w:val="true"/>
        </w:rPr>
        <w:t>حكم جواز و عدم جواز امتناع از تمتع در مدّت مقرّره</w:t>
      </w:r>
      <w:bookmarkEnd w:id="88"/>
    </w:p>
    <w:p>
      <w:pPr>
        <w:pStyle w:val="BookText"/>
        <w:rPr/>
      </w:pPr>
      <w:r>
        <w:rPr>
          <w:rFonts w:ascii="IRNazanin" w:hAnsi="IRNazanin" w:eastAsia="IRNazanin"/>
          <w:color w:val="111111"/>
          <w:sz w:val="28"/>
          <w:sz w:val="28"/>
          <w:szCs w:val="28"/>
          <w:rtl w:val="true"/>
          <w:lang w:bidi="fa-IR"/>
        </w:rPr>
        <w:t>حق حاصل به شرط، مانعى شرعاً در اتيان به آنچه شرطِ عدم آن كرده بوده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 عدم اشتراط، منقطعه حق امتناع از هيچ گونه تمتع در مدت مقرّره ندارد بدون عذر شرعى اگر چه اختيار بشود كه شوهر حق منع از خروج از خانه، در غير اوقات استمتاع،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در اين حكم مثل دائميه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89" w:name="__RefHeading___Toc3807053_1067777946"/>
      <w:bookmarkStart w:id="90" w:name="_Toc39"/>
      <w:bookmarkEnd w:id="89"/>
      <w:r>
        <w:rPr>
          <w:rtl w:val="true"/>
        </w:rPr>
        <w:t>جواز عزل</w:t>
      </w:r>
      <w:bookmarkEnd w:id="9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جايز است عزل از منقطعه، و منوط به اذن زن نيست، اگر چه اولى براى اين مطلب، اشتراط است در عقد انقطاعى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حملى حاصل شد بعد از اين مقاربت با عزل، ملحق مى شود ولد به زوج اگر چه عزل كرده باشد، و هم چنين در هر وطى صحيح با شبهۀ آن</w:t>
      </w:r>
      <w:r>
        <w:rPr>
          <w:rFonts w:eastAsia="IRNazanin" w:cs="IRNazanin"/>
          <w:color w:val="111111"/>
          <w:sz w:val="28"/>
          <w:szCs w:val="28"/>
          <w:rtl w:val="true"/>
          <w:lang w:bidi="fa-IR"/>
        </w:rPr>
        <w:t>.</w:t>
      </w:r>
    </w:p>
    <w:p>
      <w:pPr>
        <w:pStyle w:val="Heading5"/>
        <w:numPr>
          <w:ilvl w:val="4"/>
          <w:numId w:val="1"/>
        </w:numPr>
        <w:rPr/>
      </w:pPr>
      <w:bookmarkStart w:id="91" w:name="__RefHeading___Toc3807055_1067777946"/>
      <w:bookmarkStart w:id="92" w:name="_Toc40"/>
      <w:bookmarkEnd w:id="91"/>
      <w:r>
        <w:rPr>
          <w:rtl w:val="true"/>
        </w:rPr>
        <w:t>احكام نفى ولد در عقد انقطاعى</w:t>
      </w:r>
      <w:bookmarkEnd w:id="9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متمتّع از خود نفى كرد ولد را، منتفى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عزل نكرده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احكام ظاهريّه، و احتياج به لعان ندارد؛ اگر چه نفى تكليفاً، جايز نيست </w:t>
      </w:r>
      <w:bookmarkStart w:id="93" w:name="pg10265_89803"/>
    </w:p>
    <w:p>
      <w:pPr>
        <w:pStyle w:val="BookText"/>
        <w:rPr/>
      </w:pPr>
      <w:bookmarkEnd w:id="93"/>
      <w:r>
        <w:rPr>
          <w:rFonts w:ascii="IRNazanin" w:hAnsi="IRNazanin" w:eastAsia="IRNazanin"/>
          <w:color w:val="111111"/>
          <w:sz w:val="28"/>
          <w:sz w:val="28"/>
          <w:szCs w:val="28"/>
          <w:rtl w:val="true"/>
          <w:lang w:bidi="fa-IR"/>
        </w:rPr>
        <w:t>بدون علم اگر چه عزل نمايد يا ظنّ به انتفا داشته باشد يا زن را متّهَمه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نفى، در صورتى است كه معلوم نباشد آثم بودن شوهر و اينكه به مجرّد احتمال يا ظنّ نفى كرده، وگرنه لغو است و منتفى نمى شود ولد به سبب آن</w:t>
      </w:r>
      <w:r>
        <w:rPr>
          <w:rFonts w:eastAsia="IRNazanin" w:cs="IRNazanin"/>
          <w:color w:val="111111"/>
          <w:sz w:val="28"/>
          <w:szCs w:val="28"/>
          <w:rtl w:val="true"/>
          <w:lang w:bidi="fa-IR"/>
        </w:rPr>
        <w:t>.</w:t>
      </w:r>
    </w:p>
    <w:p>
      <w:pPr>
        <w:pStyle w:val="Heading5"/>
        <w:numPr>
          <w:ilvl w:val="4"/>
          <w:numId w:val="1"/>
        </w:numPr>
        <w:rPr/>
      </w:pPr>
      <w:bookmarkStart w:id="94" w:name="__RefHeading___Toc3807057_1067777946"/>
      <w:bookmarkStart w:id="95" w:name="_Toc41"/>
      <w:bookmarkEnd w:id="94"/>
      <w:r>
        <w:rPr>
          <w:rtl w:val="true"/>
        </w:rPr>
        <w:t>عدم وجود طلاق در نكاح منقطع و بيان نحوۀ حصول جدايى در آن</w:t>
      </w:r>
      <w:bookmarkEnd w:id="9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عقد انقطاعى طلاق نيست، بلكه به مجرّد انقضاى مدت، بينونت حاصل مى شود بدون حاجت به سبب ديگر؛ و هم چنين با هبۀ مدت، جدايى مى شود؛ و در عده، رجوع جايز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هبه طلاق نيست، اگر چه عمل اختيارى بينونت آور است و به آن طلاق اطلاق شده است</w:t>
      </w:r>
      <w:r>
        <w:rPr>
          <w:rFonts w:eastAsia="IRNazanin" w:cs="IRNazanin"/>
          <w:color w:val="111111"/>
          <w:sz w:val="28"/>
          <w:szCs w:val="28"/>
          <w:rtl w:val="true"/>
          <w:lang w:bidi="fa-IR"/>
        </w:rPr>
        <w:t>.</w:t>
      </w:r>
    </w:p>
    <w:p>
      <w:pPr>
        <w:pStyle w:val="Heading5"/>
        <w:numPr>
          <w:ilvl w:val="4"/>
          <w:numId w:val="1"/>
        </w:numPr>
        <w:rPr/>
      </w:pPr>
      <w:bookmarkStart w:id="96" w:name="__RefHeading___Toc3807059_1067777946"/>
      <w:bookmarkStart w:id="97" w:name="_Toc42"/>
      <w:bookmarkEnd w:id="96"/>
      <w:r>
        <w:rPr>
          <w:rtl w:val="true"/>
        </w:rPr>
        <w:t>عدم حصول ايلاء و لعان در عقد منقطع و حكم وقوع ظهار</w:t>
      </w:r>
      <w:bookmarkEnd w:id="97"/>
    </w:p>
    <w:p>
      <w:pPr>
        <w:pStyle w:val="BookText"/>
        <w:rPr/>
      </w:pPr>
      <w:r>
        <w:rPr>
          <w:rFonts w:ascii="Amiri" w:hAnsi="Amiri" w:eastAsia="Amiri" w:cs="Amiri"/>
          <w:color w:val="111111"/>
          <w:sz w:val="28"/>
          <w:sz w:val="28"/>
          <w:szCs w:val="28"/>
          <w:rtl w:val="true"/>
          <w:lang w:bidi="ar-SA"/>
        </w:rPr>
        <w:t xml:space="preserve">و ايلاء با عقد انقطاعى محقّق نمى شود بنابر اظهر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تحليل كه عقد محلِّل بايد دائم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فقط احكام يمين ثابت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لعان هم با عقد انقطاعى محقّق نمى شود، نه براى نفى ولد، چنانكه گذشت، و نه براى قذف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 به عدم وقوع ظهار به آن، مرجوح است، و لذا واقع شدن، منسوب به اكثر است</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3807061_1067777946"/>
      <w:bookmarkStart w:id="99" w:name="_Toc43"/>
      <w:bookmarkEnd w:id="98"/>
      <w:r>
        <w:rPr>
          <w:rtl w:val="true"/>
        </w:rPr>
        <w:t>عدم توارث بين زوجين در متعه</w:t>
      </w:r>
      <w:bookmarkEnd w:id="99"/>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توارث بين زوجين در متعه نيست بنابر اظهر و مشهور، چه آنكه شرط سقوط نمايند يا مطلق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اقرب در صورت شرطِ ثبوت ارث، عدم ارث است؛ و اگر شرط مقدار ارث كرد، لازم مى شود وفاى به آن از ثلث، مثل وصيت بنابر احوط</w:t>
      </w:r>
      <w:r>
        <w:rPr>
          <w:rFonts w:eastAsia="IRNazanin" w:cs="IRNazanin"/>
          <w:color w:val="111111"/>
          <w:sz w:val="28"/>
          <w:szCs w:val="28"/>
          <w:rtl w:val="true"/>
          <w:lang w:bidi="fa-IR"/>
        </w:rPr>
        <w:t>.</w:t>
      </w:r>
    </w:p>
    <w:p>
      <w:pPr>
        <w:pStyle w:val="Heading5"/>
        <w:numPr>
          <w:ilvl w:val="4"/>
          <w:numId w:val="1"/>
        </w:numPr>
        <w:rPr/>
      </w:pPr>
      <w:bookmarkStart w:id="100" w:name="__RefHeading___Toc3807063_1067777946"/>
      <w:bookmarkStart w:id="101" w:name="_Toc44"/>
      <w:bookmarkEnd w:id="100"/>
      <w:r>
        <w:rPr>
          <w:rtl w:val="true"/>
        </w:rPr>
        <w:t>عدۀ متعه</w:t>
      </w:r>
      <w:bookmarkEnd w:id="101"/>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سر آمدن مدّت منقطعه اگر چه با هبۀ بقيّۀ مدت باشد، عدۀ متعه براى غير</w:t>
      </w:r>
      <w:bookmarkStart w:id="102" w:name="pg10265_89804"/>
    </w:p>
    <w:p>
      <w:pPr>
        <w:pStyle w:val="BookText"/>
        <w:rPr/>
      </w:pPr>
      <w:bookmarkEnd w:id="102"/>
      <w:r>
        <w:rPr>
          <w:rFonts w:ascii="IRNazanin" w:hAnsi="IRNazanin" w:eastAsia="IRNazanin"/>
          <w:color w:val="111111"/>
          <w:sz w:val="28"/>
          <w:sz w:val="28"/>
          <w:szCs w:val="28"/>
          <w:rtl w:val="true"/>
          <w:lang w:bidi="fa-IR"/>
        </w:rPr>
        <w:t xml:space="preserve">شوهر، از غير وفات شوهر، در صورت دخول و عدم يأس،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حيضۀ كامله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 اشهر و احوط، چه آنكه آزاد باشد يا كنيز؛ و اگر غير حايض و غير يائسه باشد، عدۀ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و پنج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مستقيمة الحيض نباشد و در سن من تحيض بوده باشد، عدۀ او اسبق از چهل و پنج روز و دو حيضه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عدۀ منقطعۀ آزاد، از وفات زوج در مدت معينه، چهار ماه و ده روز است در صورتى كه حامل نباشد؛ و اگر حامل باشد، به ابعد الاجلين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مدت مذكوره و وضع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كنيز، عدۀ او چهار ماه و ده روز است اگر صاحب ولد باشد؛ وگرنه دو ماه و پنج روز است؛ و اگر حامل باشد، مطلقاً ابعد الاجلين عدۀ او است</w:t>
      </w:r>
      <w:r>
        <w:rPr>
          <w:rFonts w:eastAsia="IRNazanin" w:cs="IRNazanin"/>
          <w:color w:val="111111"/>
          <w:sz w:val="28"/>
          <w:szCs w:val="28"/>
          <w:rtl w:val="true"/>
          <w:lang w:bidi="fa-IR"/>
        </w:rPr>
        <w:t>.</w:t>
      </w:r>
    </w:p>
    <w:p>
      <w:pPr>
        <w:pStyle w:val="Heading5"/>
        <w:numPr>
          <w:ilvl w:val="4"/>
          <w:numId w:val="1"/>
        </w:numPr>
        <w:rPr/>
      </w:pPr>
      <w:bookmarkStart w:id="103" w:name="__RefHeading___Toc3807065_1067777946"/>
      <w:bookmarkStart w:id="104" w:name="_Toc45"/>
      <w:bookmarkEnd w:id="103"/>
      <w:r>
        <w:rPr>
          <w:rtl w:val="true"/>
        </w:rPr>
        <w:t>عدم جواز تجديد عقد قبل از تمام شدن مدّت</w:t>
      </w:r>
      <w:bookmarkEnd w:id="104"/>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انقضاى مدت، تجديد عقد بر منقطعه جايز نيست، بلكه اگر خواست نكاح او را، در عده بعد از انقضاى اجل، او را ازدواج مى نمايد؛ و هم چنين مى تواند بذل نمايد بقيّۀ مدت را، بعد با اجل اطولى او را ازدواج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غير، ازدواج جايز نيست مگر بعد از عده</w:t>
      </w:r>
      <w:r>
        <w:rPr>
          <w:rFonts w:eastAsia="IRNazanin" w:cs="IRNazanin"/>
          <w:color w:val="111111"/>
          <w:sz w:val="28"/>
          <w:szCs w:val="28"/>
          <w:rtl w:val="true"/>
          <w:lang w:bidi="fa-IR"/>
        </w:rPr>
        <w:t>.</w:t>
      </w:r>
      <w:bookmarkStart w:id="105" w:name="pg10265_89805"/>
    </w:p>
    <w:p>
      <w:pPr>
        <w:pStyle w:val="Heading3"/>
        <w:numPr>
          <w:ilvl w:val="2"/>
          <w:numId w:val="1"/>
        </w:numPr>
        <w:rPr/>
      </w:pPr>
      <w:bookmarkStart w:id="106" w:name="__RefHeading___Toc3807067_1067777946"/>
      <w:bookmarkStart w:id="107" w:name="_Toc46"/>
      <w:bookmarkEnd w:id="105"/>
      <w:bookmarkEnd w:id="106"/>
      <w:r>
        <w:rPr>
          <w:rtl w:val="true"/>
        </w:rPr>
        <w:t>فصل ششم نكاح عبيد و اماء</w:t>
      </w:r>
      <w:bookmarkEnd w:id="107"/>
    </w:p>
    <w:p>
      <w:pPr>
        <w:pStyle w:val="Heading4"/>
        <w:numPr>
          <w:ilvl w:val="3"/>
          <w:numId w:val="1"/>
        </w:numPr>
        <w:rPr/>
      </w:pPr>
      <w:bookmarkStart w:id="108" w:name="__RefHeading___Toc3807069_1067777946"/>
      <w:bookmarkStart w:id="109" w:name="_Toc47"/>
      <w:bookmarkEnd w:id="108"/>
      <w:r>
        <w:rPr>
          <w:rtl w:val="true"/>
        </w:rPr>
        <w:t>الف</w:t>
      </w:r>
      <w:r>
        <w:rPr>
          <w:rtl w:val="true"/>
        </w:rPr>
        <w:t xml:space="preserve">: </w:t>
      </w:r>
      <w:r>
        <w:rPr>
          <w:rtl w:val="true"/>
        </w:rPr>
        <w:t>نكاح اماء به عقد</w:t>
      </w:r>
      <w:bookmarkEnd w:id="109"/>
    </w:p>
    <w:p>
      <w:pPr>
        <w:pStyle w:val="Heading5"/>
        <w:numPr>
          <w:ilvl w:val="4"/>
          <w:numId w:val="1"/>
        </w:numPr>
        <w:rPr/>
      </w:pPr>
      <w:bookmarkStart w:id="110" w:name="__RefHeading___Toc3807071_1067777946"/>
      <w:bookmarkStart w:id="111" w:name="_Toc48"/>
      <w:bookmarkEnd w:id="110"/>
      <w:r>
        <w:rPr>
          <w:rtl w:val="true"/>
        </w:rPr>
        <w:t>لزوم اذن در عقد غير حرّه</w:t>
      </w:r>
      <w:bookmarkEnd w:id="1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جايز نيست براى مملوك و مملوكه، عقد نكاح براى خود، مگر با اذن مالك؛ و اگر عقد كرد بدون اذن او، موقوف به اجازه مالك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اجازۀ مالك، كشف صحّت عقد از حين حدوث آن مى شود، چه عاقد زوج باشد يا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اذن يا اجازۀ مالك عبد، مهر و نفقه در ذمّۀ مالك است براى زن اگر حرّه است، و براى مالك او اگر مملوكه است</w:t>
      </w:r>
      <w:r>
        <w:rPr>
          <w:rFonts w:eastAsia="IRNazanin" w:cs="IRNazanin"/>
          <w:color w:val="111111"/>
          <w:sz w:val="28"/>
          <w:szCs w:val="28"/>
          <w:rtl w:val="true"/>
          <w:lang w:bidi="fa-IR"/>
        </w:rPr>
        <w:t>.</w:t>
      </w:r>
    </w:p>
    <w:p>
      <w:pPr>
        <w:pStyle w:val="Heading5"/>
        <w:numPr>
          <w:ilvl w:val="4"/>
          <w:numId w:val="1"/>
        </w:numPr>
        <w:rPr/>
      </w:pPr>
      <w:bookmarkStart w:id="112" w:name="__RefHeading___Toc3807073_1067777946"/>
      <w:bookmarkStart w:id="113" w:name="_Toc49"/>
      <w:bookmarkEnd w:id="112"/>
      <w:r>
        <w:rPr>
          <w:rtl w:val="true"/>
        </w:rPr>
        <w:t>حكم ولد در صورت عدم اجازه در عقد عبد</w:t>
      </w:r>
      <w:bookmarkEnd w:id="11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ازدواج كرد عبدى با كنيزِ غير مولاى خود، پس اذن ندادند يا آنكه با هم اذن دادند، پس وطى حاصل شد با جهل به فساد در صورت عدم اذن و اجازه، پس ولدى حاصل شد، ولدْ مملوكِ دو مالك است به تنصيف، مگر آنكه يكى از دو مالك شرط بيش از نصف نمايد كه شرط او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بعضى اذن دادند، منسوب به اصحاب، اختصاص ولد به غير آذن است، لكن محتمل است لحوق به شبهۀ ملحق به اذن در اين حكم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زناى عبد با امۀ مالك ديگرى، لحوق به مادر در ملك، منسوب به اصحاب </w:t>
      </w:r>
      <w:bookmarkStart w:id="114" w:name="pg10265_89806"/>
    </w:p>
    <w:p>
      <w:pPr>
        <w:pStyle w:val="BookText"/>
        <w:rPr/>
      </w:pPr>
      <w:bookmarkEnd w:id="114"/>
      <w:r>
        <w:rPr>
          <w:rFonts w:ascii="IRNazanin" w:hAnsi="IRNazanin" w:eastAsia="IRNazanin"/>
          <w:color w:val="111111"/>
          <w:sz w:val="28"/>
          <w:sz w:val="28"/>
          <w:szCs w:val="28"/>
          <w:rtl w:val="true"/>
          <w:lang w:bidi="fa-IR"/>
        </w:rPr>
        <w:t>است؛ و با حرّه، لحوق نيست، بلكه مقتضاى اصل، حريت است مگر آنكه نسبت به عبد، شبهه باشد به واسطۀ عقد بدون اذن، كه از فرض خارج است</w:t>
      </w:r>
      <w:r>
        <w:rPr>
          <w:rFonts w:eastAsia="IRNazanin" w:cs="IRNazanin"/>
          <w:color w:val="111111"/>
          <w:sz w:val="28"/>
          <w:szCs w:val="28"/>
          <w:rtl w:val="true"/>
          <w:lang w:bidi="fa-IR"/>
        </w:rPr>
        <w:t>.</w:t>
      </w:r>
    </w:p>
    <w:p>
      <w:pPr>
        <w:pStyle w:val="Heading5"/>
        <w:numPr>
          <w:ilvl w:val="4"/>
          <w:numId w:val="1"/>
        </w:numPr>
        <w:rPr/>
      </w:pPr>
      <w:bookmarkStart w:id="115" w:name="__RefHeading___Toc3807075_1067777946"/>
      <w:bookmarkStart w:id="116" w:name="_Toc50"/>
      <w:bookmarkEnd w:id="115"/>
      <w:r>
        <w:rPr>
          <w:rtl w:val="true"/>
        </w:rPr>
        <w:t>ازدواج امه بدون اذن</w:t>
      </w:r>
      <w:bookmarkEnd w:id="11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ازدواج كرد 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حرّى بدون اذن مالك، و حرّ عالم بود، لحوق به حرّ نيست، و شبهۀ موجب لحوق به مالك 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عقد بدون اذن از مالك عبد و امه، با علم به آن از طرفين، جريان حكم زنا متجه است؛ و بدون علم، جريان شبهه و تنصيف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 در صورت علم حرّ به اينكه نكاحِ امه بدون اذن بوده، لاحقْ به مالك امه است، چه آنكه امه جهل داشته يا آنكه عالم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 زنا به مجرّد دخول، بر عالم ثابت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مهر بر زانى در صورت جهل امه هست، بلكه در صورت علم امه با تدليس يا بدون آن؛ لكن در ثبوت مهر المثل يا عُشر و نصف عُشر در بكر و ثيّب، تأمل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صورت جهل به حكم يا موضوع، شبهه است و حدّ ساقط است، و مهرْ ثابت، و ولدْ حرّ است و ملحق به واطىِ حرّ است، و بر او است قيمت ولد در روز ولادت با حيات، براى مالك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اجازۀ كاشفۀ مالك، ملحق شد، پس ولدْ لاحق به زوج است، و حدّ از او ساقط است، و تعزير ثابت است در صورت علم و حرمت وطى، و مهر مسمّى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يكى از ابوين حر باشد، ولد حر است در معقوده و در محلّله بنابر اقوى</w:t>
      </w:r>
      <w:r>
        <w:rPr>
          <w:rFonts w:eastAsia="IRNazanin" w:cs="IRNazanin"/>
          <w:color w:val="111111"/>
          <w:sz w:val="28"/>
          <w:szCs w:val="28"/>
          <w:rtl w:val="true"/>
          <w:lang w:bidi="fa-IR"/>
        </w:rPr>
        <w:t>.</w:t>
      </w:r>
    </w:p>
    <w:p>
      <w:pPr>
        <w:pStyle w:val="Heading5"/>
        <w:numPr>
          <w:ilvl w:val="4"/>
          <w:numId w:val="1"/>
        </w:numPr>
        <w:rPr/>
      </w:pPr>
      <w:bookmarkStart w:id="117" w:name="__RefHeading___Toc3807077_1067777946"/>
      <w:bookmarkStart w:id="118" w:name="_Toc51"/>
      <w:bookmarkEnd w:id="117"/>
      <w:r>
        <w:rPr>
          <w:rtl w:val="true"/>
        </w:rPr>
        <w:t>اشتراط رقيّت ولد</w:t>
      </w:r>
      <w:bookmarkEnd w:id="11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شرط كرد مولاى مملوكه بر حر، رقّيت ولد را، يا آنكه شرط كرد مولاى مملوك بر حره، رقيت ولد را، اظهر عدم تاثير شرط مذكور است، و اظهر صحّت عقد است با فساد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تحليل مشروط به اين شرط، تأمل است در صورت عدم رجوع </w:t>
      </w:r>
      <w:bookmarkStart w:id="119" w:name="pg10265_89807"/>
    </w:p>
    <w:p>
      <w:pPr>
        <w:pStyle w:val="BookText"/>
        <w:rPr/>
      </w:pPr>
      <w:bookmarkEnd w:id="119"/>
      <w:r>
        <w:rPr>
          <w:rFonts w:ascii="IRNazanin" w:hAnsi="IRNazanin" w:eastAsia="IRNazanin"/>
          <w:color w:val="111111"/>
          <w:sz w:val="28"/>
          <w:sz w:val="28"/>
          <w:szCs w:val="28"/>
          <w:rtl w:val="true"/>
          <w:lang w:bidi="fa-IR"/>
        </w:rPr>
        <w:t>آن به عقد؛ و در تقدير فساد شرط با دخول با علم طرفين، ملحق به زناى طرفين، در حكم ولد است، يعنى حكم به رقّيّت به سبب تبعيت نما براى ملك عين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عدم علم، شبهه، و ملحق به عقد صحيح است در حكم آن، كه حريت است، مثل نكاح صحيح در صورتى كه قايل به صحّت عقد و بطلان شرط باشيم، چنانچه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در تقدير صحّت، قابل اسقاط است بنابر اظهر</w:t>
      </w:r>
      <w:r>
        <w:rPr>
          <w:rFonts w:eastAsia="IRNazanin" w:cs="IRNazanin"/>
          <w:color w:val="111111"/>
          <w:sz w:val="28"/>
          <w:szCs w:val="28"/>
          <w:rtl w:val="true"/>
          <w:lang w:bidi="fa-IR"/>
        </w:rPr>
        <w:t>.</w:t>
      </w:r>
    </w:p>
    <w:p>
      <w:pPr>
        <w:pStyle w:val="Heading5"/>
        <w:numPr>
          <w:ilvl w:val="4"/>
          <w:numId w:val="1"/>
        </w:numPr>
        <w:rPr/>
      </w:pPr>
      <w:bookmarkStart w:id="120" w:name="__RefHeading___Toc3807079_1067777946"/>
      <w:bookmarkStart w:id="121" w:name="_Toc52"/>
      <w:bookmarkEnd w:id="120"/>
      <w:r>
        <w:rPr>
          <w:rtl w:val="true"/>
        </w:rPr>
        <w:t>ظهور مملوكيّت</w:t>
      </w:r>
      <w:bookmarkEnd w:id="121"/>
    </w:p>
    <w:p>
      <w:pPr>
        <w:pStyle w:val="BookText"/>
        <w:rPr/>
      </w:pPr>
      <w:r>
        <w:rPr>
          <w:rFonts w:ascii="IRNazanin" w:hAnsi="IRNazanin" w:eastAsia="IRNazanin"/>
          <w:color w:val="111111"/>
          <w:sz w:val="28"/>
          <w:sz w:val="28"/>
          <w:szCs w:val="28"/>
          <w:rtl w:val="true"/>
          <w:lang w:bidi="fa-IR"/>
        </w:rPr>
        <w:t>اگر مملوكه را با ادّعاى حريت و اعتقاد آن ازدواج نمود و از او صاحب اولاد شد، بعد ظاهر شد مملوكيت او، ثبوت مهر المثل يا عشر و نصف آن و سقوط حد و لحوق ولد و حرّيت او در تقدير شبهۀ ملحقۀ به نكاح صحيح، مثل صورت اقامۀ بينۀ بر حرّيت او، ظاهر است، و بر پدر اداى قيمت اولاد، و بر مالك قبول آن است</w:t>
      </w:r>
      <w:r>
        <w:rPr>
          <w:rFonts w:eastAsia="IRNazanin" w:cs="IRNazanin"/>
          <w:color w:val="111111"/>
          <w:sz w:val="28"/>
          <w:szCs w:val="28"/>
          <w:rtl w:val="true"/>
          <w:lang w:bidi="fa-IR"/>
        </w:rPr>
        <w:t>.</w:t>
      </w:r>
    </w:p>
    <w:p>
      <w:pPr>
        <w:pStyle w:val="Heading5"/>
        <w:numPr>
          <w:ilvl w:val="4"/>
          <w:numId w:val="1"/>
        </w:numPr>
        <w:rPr/>
      </w:pPr>
      <w:bookmarkStart w:id="122" w:name="__RefHeading___Toc3807081_1067777946"/>
      <w:bookmarkStart w:id="123" w:name="_Toc53"/>
      <w:bookmarkEnd w:id="122"/>
      <w:r>
        <w:rPr>
          <w:rtl w:val="true"/>
        </w:rPr>
        <w:t>ازدواج حرّه با عبد بدون اذن مالك</w:t>
      </w:r>
      <w:bookmarkEnd w:id="12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زن آزاد با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نمود بدون اذن مالك، با علم زن به حال و حكم، مهر براى او ثابت نيست، دخول بشود يا نه؛ و هم چنين نفقه و لحوق به حره نيست و ولد رق مولاى 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زن جاهل به موضوع يا حكم باشد، ولد حرّ است، و بر زن قيمت ولد نيست؛ و بر عبد مهر المثل يا عشر و نصف آن با دخول ثابت است در صورت عدم مأذونيّت، و بعد از عتق اتباع به آن مى شود؛ و با اجازۀ لاحقه، مسمّى ثابت است در هر دو صورت؛ و هم چنين حد با اجازه ساقط، و ولد لاحق است</w:t>
      </w:r>
      <w:r>
        <w:rPr>
          <w:rFonts w:eastAsia="IRNazanin" w:cs="IRNazanin"/>
          <w:color w:val="111111"/>
          <w:sz w:val="28"/>
          <w:szCs w:val="28"/>
          <w:rtl w:val="true"/>
          <w:lang w:bidi="fa-IR"/>
        </w:rPr>
        <w:t>.</w:t>
      </w:r>
    </w:p>
    <w:p>
      <w:pPr>
        <w:pStyle w:val="Heading5"/>
        <w:numPr>
          <w:ilvl w:val="4"/>
          <w:numId w:val="1"/>
        </w:numPr>
        <w:rPr/>
      </w:pPr>
      <w:bookmarkStart w:id="124" w:name="__RefHeading___Toc3807083_1067777946"/>
      <w:bookmarkStart w:id="125" w:name="_Toc54"/>
      <w:bookmarkEnd w:id="124"/>
      <w:r>
        <w:rPr>
          <w:rtl w:val="true"/>
        </w:rPr>
        <w:t>عدم مهر در صورت بغى</w:t>
      </w:r>
      <w:bookmarkEnd w:id="12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 مملوك با هم زنا كردند مهر ثابت نيست، و ولد، رق مالك امه است؛ و هم چنين اگر حر زنا كرد با مملوكه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ثبوت چيزى بر حرّ تأمل است، و احوط تحصيل رضايت مالك امه است به اداى مال، عوض مهر و نحو آن</w:t>
      </w:r>
      <w:r>
        <w:rPr>
          <w:rFonts w:eastAsia="IRNazanin" w:cs="IRNazanin"/>
          <w:color w:val="111111"/>
          <w:sz w:val="28"/>
          <w:szCs w:val="28"/>
          <w:rtl w:val="true"/>
          <w:lang w:bidi="fa-IR"/>
        </w:rPr>
        <w:t>.</w:t>
      </w:r>
      <w:bookmarkStart w:id="126" w:name="pg10265_89808"/>
    </w:p>
    <w:p>
      <w:pPr>
        <w:pStyle w:val="Heading5"/>
        <w:numPr>
          <w:ilvl w:val="4"/>
          <w:numId w:val="1"/>
        </w:numPr>
        <w:rPr/>
      </w:pPr>
      <w:bookmarkStart w:id="127" w:name="__RefHeading___Toc3807085_1067777946"/>
      <w:bookmarkStart w:id="128" w:name="_Toc55"/>
      <w:bookmarkEnd w:id="126"/>
      <w:bookmarkEnd w:id="127"/>
      <w:r>
        <w:rPr>
          <w:rtl w:val="true"/>
        </w:rPr>
        <w:t>فرض شراكت</w:t>
      </w:r>
      <w:bookmarkEnd w:id="12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حرّى كه زوجه اش مملوك دو شريك بوده خريدارى نمايد حصۀ يكى از آن دو را، عقد نكاحِ او باطل است، و امضاى شريكْ عقد را تاثيرى ندارد، و وطى او تصرف در ملك غير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تحليل كرد شريك براى شريك، بعد از بطلان عقد، وطى امه اى را كه ملك او در آن ثابت است، اظهر حليت وطى است، چنانچه منسوب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جماعتى كه از ايشان شهيد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طريقى ديگر براى حلّ وطى مبعّضه نيست، مگر در صورت مهايات و اختصاص روزى به امه، كه مولىٰ مى تواند در روز اختصاصى به امه، به عقد انقطاع با رضايت امه، تحليل وطى او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جواز عقد انقطاع در اين روز براى غير مالك است با اذن مالك، اگر چه احوط ترك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مولاى زوجين كه تزويج نموده آنها را با يكديگر، وفات نمايد، ورثه مالك آنها مى شوند و اختيار فسخ و اجازۀ نكاح را دارند، و خود عبد و امه اختيار فسخ ندارند</w:t>
      </w:r>
      <w:r>
        <w:rPr>
          <w:rFonts w:eastAsia="IRNazanin" w:cs="IRNazanin"/>
          <w:color w:val="111111"/>
          <w:sz w:val="28"/>
          <w:szCs w:val="28"/>
          <w:rtl w:val="true"/>
          <w:lang w:bidi="fa-IR"/>
        </w:rPr>
        <w:t>.</w:t>
      </w:r>
    </w:p>
    <w:p>
      <w:pPr>
        <w:pStyle w:val="Heading5"/>
        <w:numPr>
          <w:ilvl w:val="4"/>
          <w:numId w:val="1"/>
        </w:numPr>
        <w:rPr/>
      </w:pPr>
      <w:bookmarkStart w:id="129" w:name="__RefHeading___Toc3807087_1067777946"/>
      <w:bookmarkStart w:id="130" w:name="_Toc56"/>
      <w:bookmarkEnd w:id="129"/>
      <w:r>
        <w:rPr>
          <w:rtl w:val="true"/>
        </w:rPr>
        <w:t>طوارى عقد اماء</w:t>
      </w:r>
      <w:bookmarkEnd w:id="130"/>
    </w:p>
    <w:p>
      <w:pPr>
        <w:pStyle w:val="Heading6"/>
        <w:numPr>
          <w:ilvl w:val="5"/>
          <w:numId w:val="1"/>
        </w:numPr>
        <w:rPr/>
      </w:pPr>
      <w:bookmarkStart w:id="131" w:name="__RefHeading___Toc3807089_1067777946"/>
      <w:bookmarkStart w:id="132" w:name="_Toc57"/>
      <w:bookmarkEnd w:id="131"/>
      <w:r>
        <w:rPr>
          <w:rtl w:val="true"/>
        </w:rPr>
        <w:t>اشاره</w:t>
      </w:r>
      <w:bookmarkEnd w:id="132"/>
    </w:p>
    <w:p>
      <w:pPr>
        <w:pStyle w:val="BookText"/>
        <w:rPr/>
      </w:pPr>
      <w:r>
        <w:rPr>
          <w:rFonts w:ascii="Amiri" w:hAnsi="Amiri" w:eastAsia="Amiri" w:cs="Amiri"/>
          <w:color w:val="111111"/>
          <w:sz w:val="28"/>
          <w:sz w:val="28"/>
          <w:szCs w:val="28"/>
          <w:rtl w:val="true"/>
          <w:lang w:bidi="ar-SA"/>
        </w:rPr>
        <w:t>كلام در طوارى و مفسدات نكاح مماليك است و آنها سه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3807091_1067777946"/>
      <w:bookmarkStart w:id="134" w:name="_Toc58"/>
      <w:bookmarkEnd w:id="133"/>
      <w:r>
        <w:rPr/>
        <w:t>1</w:t>
      </w:r>
      <w:r>
        <w:rPr>
          <w:rtl w:val="true"/>
        </w:rPr>
        <w:t xml:space="preserve">. </w:t>
      </w:r>
      <w:r>
        <w:rPr>
          <w:rtl w:val="true"/>
        </w:rPr>
        <w:t>عتق</w:t>
      </w:r>
      <w:bookmarkEnd w:id="134"/>
    </w:p>
    <w:p>
      <w:pPr>
        <w:pStyle w:val="Heading6"/>
        <w:numPr>
          <w:ilvl w:val="5"/>
          <w:numId w:val="1"/>
        </w:numPr>
        <w:rPr/>
      </w:pPr>
      <w:bookmarkStart w:id="135" w:name="__RefHeading___Toc3807093_1067777946"/>
      <w:bookmarkStart w:id="136" w:name="_Toc59"/>
      <w:bookmarkEnd w:id="135"/>
      <w:r>
        <w:rPr>
          <w:rtl w:val="true"/>
        </w:rPr>
        <w:t>ثبوت خيار بعد از عتق امه و فوريت خيار</w:t>
      </w:r>
      <w:bookmarkEnd w:id="136"/>
    </w:p>
    <w:p>
      <w:pPr>
        <w:pStyle w:val="BookText"/>
        <w:rPr/>
      </w:pPr>
      <w:r>
        <w:rPr>
          <w:rFonts w:ascii="IRNazanin" w:hAnsi="IRNazanin" w:eastAsia="IRNazanin"/>
          <w:color w:val="111111"/>
          <w:sz w:val="28"/>
          <w:sz w:val="28"/>
          <w:szCs w:val="28"/>
          <w:rtl w:val="true"/>
          <w:lang w:bidi="fa-IR"/>
        </w:rPr>
        <w:t>اگر امه اى عتق شد بعد از نكاح صحيح، مخيّر است در فسخ نكاح خودش با عبد، چه قبل از دخول باشد يا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ثبوت خيار است در تزويج او قبل از كمال عتق، به حرّ</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اظهر فوريت خيار است؛ و جهل به عتق يا خيار، عذر واقعى در ترك فسخ </w:t>
      </w:r>
      <w:bookmarkStart w:id="137" w:name="pg10265_89809"/>
    </w:p>
    <w:p>
      <w:pPr>
        <w:pStyle w:val="BookText"/>
        <w:rPr/>
      </w:pPr>
      <w:bookmarkEnd w:id="137"/>
      <w:r>
        <w:rPr>
          <w:rFonts w:ascii="Amiri" w:hAnsi="Amiri" w:eastAsia="Amiri" w:cs="Amiri"/>
          <w:color w:val="111111"/>
          <w:sz w:val="28"/>
          <w:sz w:val="28"/>
          <w:szCs w:val="28"/>
          <w:rtl w:val="true"/>
          <w:lang w:bidi="ar-SA"/>
        </w:rPr>
        <w:t>است؛ و در جهل به فوريت، يا نسيان عتق يا خيار يا فوريت، عذر بودن محتمل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ادّعاى جهلْ مسموع است در ترك فور با يمين و امكان بنابر اظهر؛ و در ادّعاى نسيان يا جهل به فوريّت، محتمل است مسموع بودن؛ و در عتقِ بعض، خيار نيست بنابر اظهر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در حال عتق، صغيره يا مجنونه بود، خيار بعد از كمال ثابت است؛ و قبل از كمالْ احكام زوجيّت ثابت است؛ و هم چنين قبل از فسخ بعد از كمال، به نحوى كه منافى فوريت نباشد، مثل صورت عدم علم او به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فسخ، طلاق نيست، و معدود از سه طلاق نمى شود؛ و بعد از فسخ متأخر از طلاق رجعى، رجوع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تقوّم جاريه به ثلث مال، و تزويج او به ثلث ديگرى با مالكيّت ثلث، اگر عتق در مرض موت كرد و بنابر خروج از ثلث شد، حتى در اين صورت كه ثلث در حين عتق با ثلث بعد از فسخ مغايرت دارد، يا در صورت ايصا نمودن، خيار نيست، زيرا فسخْ مستلزم تبعيض عتق است، و با تبعيضْ خيار نيست</w:t>
      </w:r>
      <w:r>
        <w:rPr>
          <w:rFonts w:eastAsia="IRNazanin" w:cs="IRNazanin"/>
          <w:color w:val="111111"/>
          <w:sz w:val="28"/>
          <w:szCs w:val="28"/>
          <w:rtl w:val="true"/>
          <w:lang w:bidi="fa-IR"/>
        </w:rPr>
        <w:t>.</w:t>
      </w:r>
    </w:p>
    <w:p>
      <w:pPr>
        <w:pStyle w:val="Heading6"/>
        <w:numPr>
          <w:ilvl w:val="5"/>
          <w:numId w:val="1"/>
        </w:numPr>
        <w:rPr/>
      </w:pPr>
      <w:bookmarkStart w:id="138" w:name="__RefHeading___Toc3807095_1067777946"/>
      <w:bookmarkStart w:id="139" w:name="_Toc60"/>
      <w:bookmarkEnd w:id="138"/>
      <w:r>
        <w:rPr>
          <w:rtl w:val="true"/>
        </w:rPr>
        <w:t>عدم خيار براى عبد در صورت عتق</w:t>
      </w:r>
      <w:bookmarkEnd w:id="139"/>
    </w:p>
    <w:p>
      <w:pPr>
        <w:pStyle w:val="BookText"/>
        <w:rPr/>
      </w:pPr>
      <w:r>
        <w:rPr>
          <w:rFonts w:ascii="IRNazanin" w:hAnsi="IRNazanin" w:eastAsia="IRNazanin"/>
          <w:color w:val="111111"/>
          <w:sz w:val="28"/>
          <w:sz w:val="28"/>
          <w:szCs w:val="28"/>
          <w:rtl w:val="true"/>
          <w:lang w:bidi="fa-IR"/>
        </w:rPr>
        <w:t>و خيار براى عبد در صورت عتق بعد از تزويج، صحيح نيست بنابر اظهر؛ و زوجۀ عبد معتَق، خيار فسخ ندارد بعد از عتق او اگر چه حره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اختيار فسخ براى كنيز، بعد از عتق هست، در صورتى كه با زوجش مملوك بوده اند براى يك مالك يا بيش از آن پس هر دو آزاد بشوند، با هم ديگر يا به تعاقب</w:t>
      </w:r>
      <w:r>
        <w:rPr>
          <w:rFonts w:eastAsia="IRNazanin" w:cs="IRNazanin"/>
          <w:color w:val="111111"/>
          <w:sz w:val="28"/>
          <w:szCs w:val="28"/>
          <w:rtl w:val="true"/>
          <w:lang w:bidi="fa-IR"/>
        </w:rPr>
        <w:t>.</w:t>
      </w:r>
    </w:p>
    <w:p>
      <w:pPr>
        <w:pStyle w:val="Heading6"/>
        <w:numPr>
          <w:ilvl w:val="5"/>
          <w:numId w:val="1"/>
        </w:numPr>
        <w:rPr/>
      </w:pPr>
      <w:bookmarkStart w:id="140" w:name="__RefHeading___Toc3807097_1067777946"/>
      <w:bookmarkStart w:id="141" w:name="_Toc61"/>
      <w:bookmarkEnd w:id="140"/>
      <w:r>
        <w:rPr>
          <w:rtl w:val="true"/>
        </w:rPr>
        <w:t>حكم مهر در صورت اختيار فسخ</w:t>
      </w:r>
      <w:bookmarkEnd w:id="14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اختيار فسخ، اگر قبل از دخول واقع شد، اظهر سقوط مهر است؛ و اگر عتق بعد از دخول بوده، فسخ بعد از آن، تغييرى در مستحِق مهر نمى دهد، بلكه مهر مسمّى، ملك مولى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اگر عتق قبل از دخول بوده و معلوم نبوده تا </w:t>
      </w:r>
      <w:bookmarkStart w:id="142" w:name="pg10265_89810"/>
    </w:p>
    <w:p>
      <w:pPr>
        <w:pStyle w:val="BookText"/>
        <w:rPr/>
      </w:pPr>
      <w:bookmarkEnd w:id="142"/>
      <w:r>
        <w:rPr>
          <w:rFonts w:ascii="IRNazanin" w:hAnsi="IRNazanin" w:eastAsia="IRNazanin"/>
          <w:color w:val="111111"/>
          <w:sz w:val="28"/>
          <w:sz w:val="28"/>
          <w:szCs w:val="28"/>
          <w:rtl w:val="true"/>
          <w:lang w:bidi="fa-IR"/>
        </w:rPr>
        <w:t>بعد از دخول، مستحقّ مهر مسمّى، مولى است بنابر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اختيار بقاى نكاح نموده و عتق قبل از دخول بوده، مهر مستحَق مالك سابق است؛ و هم چنين اگر عتق بعد از دخول بوده، در تقدير اختيار بقاى نكاح، مستحق مهر، مالك در حال دخول است</w:t>
      </w:r>
      <w:r>
        <w:rPr>
          <w:rFonts w:eastAsia="IRNazanin" w:cs="IRNazanin"/>
          <w:color w:val="111111"/>
          <w:sz w:val="28"/>
          <w:szCs w:val="28"/>
          <w:rtl w:val="true"/>
          <w:lang w:bidi="fa-IR"/>
        </w:rPr>
        <w:t>.</w:t>
      </w:r>
    </w:p>
    <w:p>
      <w:pPr>
        <w:pStyle w:val="Heading6"/>
        <w:numPr>
          <w:ilvl w:val="5"/>
          <w:numId w:val="1"/>
        </w:numPr>
        <w:rPr/>
      </w:pPr>
      <w:bookmarkStart w:id="143" w:name="__RefHeading___Toc3807099_1067777946"/>
      <w:bookmarkStart w:id="144" w:name="_Toc62"/>
      <w:bookmarkEnd w:id="143"/>
      <w:r>
        <w:rPr>
          <w:rtl w:val="true"/>
        </w:rPr>
        <w:t>تساوى نكاحين در خيار فسخ در فرض مسأله</w:t>
      </w:r>
      <w:bookmarkEnd w:id="144"/>
    </w:p>
    <w:p>
      <w:pPr>
        <w:pStyle w:val="BookText"/>
        <w:rPr/>
      </w:pPr>
      <w:r>
        <w:rPr>
          <w:rFonts w:ascii="Amiri" w:hAnsi="Amiri" w:eastAsia="Amiri" w:cs="Amiri"/>
          <w:color w:val="111111"/>
          <w:sz w:val="28"/>
          <w:sz w:val="28"/>
          <w:szCs w:val="28"/>
          <w:rtl w:val="true"/>
          <w:lang w:bidi="ar-SA"/>
        </w:rPr>
        <w:t>و فرقى بين نكاح دائم و منقطع، در خيار فسخ بعد از عتق نيست؛ و در صورت وقوع عتق بعد از دخول در انقطاع، مستحِق مهر، مولى است و در استحقاق جميع يا توزيع به مدت، تأمل است</w:t>
      </w:r>
      <w:r>
        <w:rPr>
          <w:rFonts w:eastAsia="Amiri" w:cs="Amiri" w:ascii="Amiri" w:hAnsi="Amiri"/>
          <w:color w:val="111111"/>
          <w:sz w:val="28"/>
          <w:szCs w:val="28"/>
          <w:rtl w:val="true"/>
          <w:lang w:bidi="ar-SA"/>
        </w:rPr>
        <w:t>.</w:t>
      </w:r>
    </w:p>
    <w:p>
      <w:pPr>
        <w:pStyle w:val="Heading6"/>
        <w:numPr>
          <w:ilvl w:val="5"/>
          <w:numId w:val="1"/>
        </w:numPr>
        <w:rPr/>
      </w:pPr>
      <w:bookmarkStart w:id="145" w:name="__RefHeading___Toc3807101_1067777946"/>
      <w:bookmarkStart w:id="146" w:name="_Toc63"/>
      <w:bookmarkEnd w:id="145"/>
      <w:r>
        <w:rPr>
          <w:rtl w:val="true"/>
        </w:rPr>
        <w:t>وقوع عتق در عدّۀ رجعيه</w:t>
      </w:r>
      <w:bookmarkEnd w:id="146"/>
    </w:p>
    <w:p>
      <w:pPr>
        <w:pStyle w:val="BookText"/>
        <w:rPr/>
      </w:pPr>
      <w:r>
        <w:rPr>
          <w:rFonts w:ascii="IRNazanin" w:hAnsi="IRNazanin" w:eastAsia="IRNazanin"/>
          <w:color w:val="111111"/>
          <w:sz w:val="28"/>
          <w:sz w:val="28"/>
          <w:szCs w:val="28"/>
          <w:rtl w:val="true"/>
          <w:lang w:bidi="fa-IR"/>
        </w:rPr>
        <w:t>اگر عتق در عدۀ رجعيه واقع شد، اختيار فسخ ثابت است، و رجوع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اتمام عدۀ طلاق حرّه كافى است، يا تداخل بين دو عدّه نيست‌؟ محل تأمل است</w:t>
      </w:r>
      <w:r>
        <w:rPr>
          <w:rFonts w:eastAsia="IRNazanin" w:cs="IRNazanin"/>
          <w:color w:val="111111"/>
          <w:sz w:val="28"/>
          <w:szCs w:val="28"/>
          <w:rtl w:val="true"/>
          <w:lang w:bidi="fa-IR"/>
        </w:rPr>
        <w:t>.</w:t>
      </w:r>
    </w:p>
    <w:p>
      <w:pPr>
        <w:pStyle w:val="Heading6"/>
        <w:numPr>
          <w:ilvl w:val="5"/>
          <w:numId w:val="1"/>
        </w:numPr>
        <w:rPr/>
      </w:pPr>
      <w:bookmarkStart w:id="147" w:name="__RefHeading___Toc3807103_1067777946"/>
      <w:bookmarkStart w:id="148" w:name="_Toc64"/>
      <w:bookmarkEnd w:id="147"/>
      <w:r>
        <w:rPr>
          <w:rtl w:val="true"/>
        </w:rPr>
        <w:t>فرض اختيار بقاى زوجيّت</w:t>
      </w:r>
      <w:bookmarkEnd w:id="148"/>
    </w:p>
    <w:p>
      <w:pPr>
        <w:pStyle w:val="BookText"/>
        <w:rPr/>
      </w:pPr>
      <w:r>
        <w:rPr>
          <w:rFonts w:ascii="IRNazanin" w:hAnsi="IRNazanin" w:eastAsia="IRNazanin"/>
          <w:color w:val="111111"/>
          <w:sz w:val="28"/>
          <w:sz w:val="28"/>
          <w:szCs w:val="28"/>
          <w:rtl w:val="true"/>
          <w:lang w:bidi="fa-IR"/>
        </w:rPr>
        <w:t>و اگر اختيار بقا كرد، تاثيرى جز سقوط اختيار زوجه بر تقدير رجوع در عده ندارد بنابر اظهر، و هم چنين در صورت سكوت كاشف از رضا به بقاى 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عتق بعد از طلاق بائن بود، محلى براى خيار فسخ و ابقا نيست</w:t>
      </w:r>
      <w:r>
        <w:rPr>
          <w:rFonts w:eastAsia="IRNazanin" w:cs="IRNazanin"/>
          <w:color w:val="111111"/>
          <w:sz w:val="28"/>
          <w:szCs w:val="28"/>
          <w:rtl w:val="true"/>
          <w:lang w:bidi="fa-IR"/>
        </w:rPr>
        <w:t>.</w:t>
      </w:r>
    </w:p>
    <w:p>
      <w:pPr>
        <w:pStyle w:val="Heading6"/>
        <w:numPr>
          <w:ilvl w:val="5"/>
          <w:numId w:val="1"/>
        </w:numPr>
        <w:rPr/>
      </w:pPr>
      <w:bookmarkStart w:id="149" w:name="__RefHeading___Toc3807105_1067777946"/>
      <w:bookmarkStart w:id="150" w:name="_Toc65"/>
      <w:bookmarkEnd w:id="149"/>
      <w:r>
        <w:rPr>
          <w:rtl w:val="true"/>
        </w:rPr>
        <w:t>عدم ثبوت خيار با عتق بعض</w:t>
      </w:r>
      <w:bookmarkEnd w:id="150"/>
    </w:p>
    <w:p>
      <w:pPr>
        <w:pStyle w:val="BookText"/>
        <w:rPr/>
      </w:pPr>
      <w:r>
        <w:rPr>
          <w:rFonts w:ascii="IRNazanin" w:hAnsi="IRNazanin" w:eastAsia="IRNazanin"/>
          <w:color w:val="111111"/>
          <w:sz w:val="28"/>
          <w:sz w:val="28"/>
          <w:szCs w:val="28"/>
          <w:rtl w:val="true"/>
          <w:lang w:bidi="fa-IR"/>
        </w:rPr>
        <w:t>و عتق بعض، موجب خيار نيست، مگر متعقِّب به كمال عتق بشود كه در حين كمالْ خيار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اختيار نكرد تا آنكه عبد هم منعتق شد، و فوريت زايل نشد، خيار باقى است</w:t>
      </w:r>
      <w:r>
        <w:rPr>
          <w:rFonts w:eastAsia="IRNazanin" w:cs="IRNazanin"/>
          <w:color w:val="111111"/>
          <w:sz w:val="28"/>
          <w:szCs w:val="28"/>
          <w:rtl w:val="true"/>
          <w:lang w:bidi="fa-IR"/>
        </w:rPr>
        <w:t>.</w:t>
      </w:r>
    </w:p>
    <w:p>
      <w:pPr>
        <w:pStyle w:val="Heading6"/>
        <w:numPr>
          <w:ilvl w:val="5"/>
          <w:numId w:val="1"/>
        </w:numPr>
        <w:rPr/>
      </w:pPr>
      <w:bookmarkStart w:id="151" w:name="__RefHeading___Toc3807107_1067777946"/>
      <w:bookmarkStart w:id="152" w:name="_Toc66"/>
      <w:bookmarkEnd w:id="151"/>
      <w:r>
        <w:rPr>
          <w:rtl w:val="true"/>
        </w:rPr>
        <w:t>جواز جعل عتق امه به عنوان مهر</w:t>
      </w:r>
      <w:bookmarkEnd w:id="15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جايز است نزد ما، قرار دادن مالك، عتق امۀ خود را مهر او، كه با يك سبب در وقت </w:t>
      </w:r>
      <w:bookmarkStart w:id="153" w:name="pg10265_89811"/>
    </w:p>
    <w:p>
      <w:pPr>
        <w:pStyle w:val="BookText"/>
        <w:rPr/>
      </w:pPr>
      <w:bookmarkEnd w:id="153"/>
      <w:r>
        <w:rPr>
          <w:rFonts w:ascii="IRNazanin" w:hAnsi="IRNazanin" w:eastAsia="IRNazanin"/>
          <w:color w:val="111111"/>
          <w:sz w:val="28"/>
          <w:sz w:val="28"/>
          <w:szCs w:val="28"/>
          <w:rtl w:val="true"/>
          <w:lang w:bidi="fa-IR"/>
        </w:rPr>
        <w:t>تمام آن، تزويج و امهار عتق و اعتاق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نيست تقديم تزويج بر عتق، بلكه تقديم هر كدام با وحدت مقصود مذكور، جايز است، اگر چه احوط تقديم تزويج است، و احوط اعتبار قبول است از جاريه، يا از مالك به نيابت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مدلول آن اكتفا مى شود بدون احتياج به صيغۀ عتق در ضمن عبارت مذكوره بنابر اظهر</w:t>
      </w:r>
      <w:r>
        <w:rPr>
          <w:rFonts w:eastAsia="IRNazanin" w:cs="IRNazanin"/>
          <w:color w:val="111111"/>
          <w:sz w:val="28"/>
          <w:szCs w:val="28"/>
          <w:rtl w:val="true"/>
          <w:lang w:bidi="fa-IR"/>
        </w:rPr>
        <w:t>.</w:t>
      </w:r>
    </w:p>
    <w:p>
      <w:pPr>
        <w:pStyle w:val="Heading6"/>
        <w:numPr>
          <w:ilvl w:val="5"/>
          <w:numId w:val="1"/>
        </w:numPr>
        <w:rPr/>
      </w:pPr>
      <w:bookmarkStart w:id="154" w:name="__RefHeading___Toc3807109_1067777946"/>
      <w:bookmarkStart w:id="155" w:name="_Toc67"/>
      <w:bookmarkEnd w:id="154"/>
      <w:r>
        <w:rPr>
          <w:rtl w:val="true"/>
        </w:rPr>
        <w:t>احكام انعتاق ام ولد</w:t>
      </w:r>
      <w:bookmarkEnd w:id="155"/>
    </w:p>
    <w:p>
      <w:pPr>
        <w:pStyle w:val="BookText"/>
        <w:rPr/>
      </w:pPr>
      <w:r>
        <w:rPr>
          <w:rFonts w:ascii="IRNazanin" w:hAnsi="IRNazanin" w:eastAsia="IRNazanin"/>
          <w:color w:val="111111"/>
          <w:sz w:val="28"/>
          <w:sz w:val="28"/>
          <w:szCs w:val="28"/>
          <w:rtl w:val="true"/>
          <w:lang w:bidi="fa-IR"/>
        </w:rPr>
        <w:t xml:space="preserve">ام ولد منعتق نمى شود مگر بعد از وفات مولىٰ از نصيب ولد حى از ميراث، و اگر نصيب او كمتر از تمام قيمت مادرش باشد، سعى مى نمايد مادر در باقى، و بر ولد چيزى نيست، بنابر آنچه در محلش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ولد وفات نمايد در زمان حيات پدر، حال ام ولد حال ساير اماء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بيع او در ثمن خودش در حال حيات ولدش، جايز است در صورتى كه غير او را نداشته باشد، بر حسب مذكور در بيع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ثمن ام ولدْ دين بود و مالك ازدواج نمود با او و مهر او را عتق قرارداد، پس از آن استيلاد كرد و امّ ولد شد و مفلس شد و اداى ثمن را نكرده وفات كرد، بيع مى شود در دين، و ولد او به حريت خود باقى است بنابر اظهر</w:t>
      </w:r>
      <w:r>
        <w:rPr>
          <w:rFonts w:eastAsia="IRNazanin" w:cs="IRNazanin"/>
          <w:color w:val="111111"/>
          <w:sz w:val="28"/>
          <w:szCs w:val="28"/>
          <w:rtl w:val="true"/>
          <w:lang w:bidi="fa-IR"/>
        </w:rPr>
        <w:t>.</w:t>
      </w:r>
    </w:p>
    <w:p>
      <w:pPr>
        <w:pStyle w:val="Heading6"/>
        <w:numPr>
          <w:ilvl w:val="5"/>
          <w:numId w:val="1"/>
        </w:numPr>
        <w:rPr/>
      </w:pPr>
      <w:bookmarkStart w:id="156" w:name="__RefHeading___Toc3807111_1067777946"/>
      <w:bookmarkStart w:id="157" w:name="_Toc68"/>
      <w:bookmarkEnd w:id="156"/>
      <w:r>
        <w:rPr/>
        <w:t>2</w:t>
      </w:r>
      <w:r>
        <w:rPr>
          <w:rtl w:val="true"/>
        </w:rPr>
        <w:t xml:space="preserve">. </w:t>
      </w:r>
      <w:r>
        <w:rPr>
          <w:rtl w:val="true"/>
        </w:rPr>
        <w:t>بيع</w:t>
      </w:r>
      <w:bookmarkEnd w:id="157"/>
    </w:p>
    <w:p>
      <w:pPr>
        <w:pStyle w:val="Heading6"/>
        <w:numPr>
          <w:ilvl w:val="5"/>
          <w:numId w:val="1"/>
        </w:numPr>
        <w:rPr/>
      </w:pPr>
      <w:bookmarkStart w:id="158" w:name="__RefHeading___Toc3807113_1067777946"/>
      <w:bookmarkStart w:id="159" w:name="_Toc69"/>
      <w:bookmarkEnd w:id="158"/>
      <w:r>
        <w:rPr>
          <w:rtl w:val="true"/>
        </w:rPr>
        <w:t>اشاره</w:t>
      </w:r>
      <w:bookmarkEnd w:id="159"/>
    </w:p>
    <w:p>
      <w:pPr>
        <w:pStyle w:val="BookText"/>
        <w:rPr/>
      </w:pPr>
      <w:r>
        <w:rPr>
          <w:rFonts w:ascii="Amiri" w:hAnsi="Amiri" w:eastAsia="Amiri" w:cs="Amiri"/>
          <w:color w:val="111111"/>
          <w:sz w:val="28"/>
          <w:sz w:val="28"/>
          <w:szCs w:val="28"/>
          <w:rtl w:val="true"/>
          <w:lang w:bidi="ar-SA"/>
        </w:rPr>
        <w:t>بيع كه يكى از طوارى است به اين تفصيل است</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3807115_1067777946"/>
      <w:bookmarkStart w:id="161" w:name="_Toc70"/>
      <w:bookmarkEnd w:id="160"/>
      <w:r>
        <w:rPr>
          <w:rtl w:val="true"/>
        </w:rPr>
        <w:t>بيع امۀ مزوّجه موجب خيار در عقد نكاح است</w:t>
      </w:r>
      <w:bookmarkEnd w:id="16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امۀ مزوّجه را بيع كرد مالك او، مشترى اختيار فسخ و امضاى عقد نكاح دارد، و فسخ او به منزلۀ طلاق است، و تا فسخ نكرده احكام زوجيّت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اظهر لحوق ساير انحاى نقل و انتقال حتى ارث و عود به مالك به اقاله يا فسخ، به بيع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آنكه اقاله فسخ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ايجاب خيار براى منتقل اليه</w:t>
      </w:r>
      <w:r>
        <w:rPr>
          <w:rFonts w:eastAsia="IRNazanin" w:cs="IRNazanin"/>
          <w:color w:val="111111"/>
          <w:sz w:val="28"/>
          <w:szCs w:val="28"/>
          <w:rtl w:val="true"/>
          <w:lang w:bidi="fa-IR"/>
        </w:rPr>
        <w:t xml:space="preserve">. </w:t>
      </w:r>
      <w:bookmarkStart w:id="162" w:name="pg10265_89812"/>
    </w:p>
    <w:p>
      <w:pPr>
        <w:pStyle w:val="Heading6"/>
        <w:numPr>
          <w:ilvl w:val="5"/>
          <w:numId w:val="1"/>
        </w:numPr>
        <w:rPr/>
      </w:pPr>
      <w:bookmarkStart w:id="163" w:name="__RefHeading___Toc3807117_1067777946"/>
      <w:bookmarkStart w:id="164" w:name="_Toc71"/>
      <w:bookmarkEnd w:id="162"/>
      <w:bookmarkEnd w:id="163"/>
      <w:r>
        <w:rPr>
          <w:rtl w:val="true"/>
        </w:rPr>
        <w:t>حكم خيار در وقف عبد متزوّج يا اعطاى او به عنوان خمس يا زكات</w:t>
      </w:r>
      <w:bookmarkEnd w:id="164"/>
    </w:p>
    <w:p>
      <w:pPr>
        <w:pStyle w:val="BookText"/>
        <w:rPr/>
      </w:pPr>
      <w:r>
        <w:rPr>
          <w:rFonts w:ascii="IRNazanin" w:hAnsi="IRNazanin" w:eastAsia="IRNazanin"/>
          <w:color w:val="111111"/>
          <w:sz w:val="28"/>
          <w:sz w:val="28"/>
          <w:szCs w:val="28"/>
          <w:rtl w:val="true"/>
          <w:lang w:bidi="fa-IR"/>
        </w:rPr>
        <w:t>و اگر وقف كرد عبد متزوّج را بر فقرا يا بر جهت عامه، پس بنابر انتقال ملك به صاحبان جهت به مجرّد دفع به حاكم، خيار حاكم خالى از وجه نيست؛ و هم چنين اگر به عنوان خمس يا زكات فقرا، دفع به حاكم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مالكيّت بعد از دفع به فقير يا صرف در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براى مالك خيار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دفع حاكم ملك نوع محقّق است و به دفع به فقير مثلاً ملك شخص محقّق مى شود، احتمال خيار براى شخص مالك، ثابت است در صورت عدم خيار حاكم يا امضاى او نكاح را</w:t>
      </w:r>
      <w:r>
        <w:rPr>
          <w:rFonts w:eastAsia="IRNazanin" w:cs="IRNazanin"/>
          <w:color w:val="111111"/>
          <w:sz w:val="28"/>
          <w:szCs w:val="28"/>
          <w:rtl w:val="true"/>
          <w:lang w:bidi="fa-IR"/>
        </w:rPr>
        <w:t>.</w:t>
      </w:r>
    </w:p>
    <w:p>
      <w:pPr>
        <w:pStyle w:val="Heading6"/>
        <w:numPr>
          <w:ilvl w:val="5"/>
          <w:numId w:val="1"/>
        </w:numPr>
        <w:rPr/>
      </w:pPr>
      <w:bookmarkStart w:id="165" w:name="__RefHeading___Toc3807119_1067777946"/>
      <w:bookmarkStart w:id="166" w:name="_Toc72"/>
      <w:bookmarkEnd w:id="165"/>
      <w:r>
        <w:rPr>
          <w:rtl w:val="true"/>
        </w:rPr>
        <w:t>حكم نكاح منقطع و تحليل در فرض مسأله</w:t>
      </w:r>
      <w:bookmarkEnd w:id="166"/>
    </w:p>
    <w:p>
      <w:pPr>
        <w:pStyle w:val="BookText"/>
        <w:rPr/>
      </w:pPr>
      <w:r>
        <w:rPr>
          <w:rFonts w:ascii="IRNazanin" w:hAnsi="IRNazanin" w:eastAsia="IRNazanin"/>
          <w:color w:val="111111"/>
          <w:sz w:val="28"/>
          <w:sz w:val="28"/>
          <w:szCs w:val="28"/>
          <w:rtl w:val="true"/>
          <w:lang w:bidi="fa-IR"/>
        </w:rPr>
        <w:t>و فرقى در حكم بيع مملوك، بين نكاح دائم و منقطع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تحليل اگر اذن محض باشد منقطع به بيع است و موجب خيار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بيع وارد بر نكاح منقطع، احتمال رجوع بر بايع به بقيۀ مهر است، اگر فسخ مشترى قبل از انقضاى مدت بوده</w:t>
      </w:r>
      <w:r>
        <w:rPr>
          <w:rFonts w:eastAsia="IRNazanin" w:cs="IRNazanin"/>
          <w:color w:val="111111"/>
          <w:sz w:val="28"/>
          <w:szCs w:val="28"/>
          <w:rtl w:val="true"/>
          <w:lang w:bidi="fa-IR"/>
        </w:rPr>
        <w:t>.</w:t>
      </w:r>
    </w:p>
    <w:p>
      <w:pPr>
        <w:pStyle w:val="Heading6"/>
        <w:numPr>
          <w:ilvl w:val="5"/>
          <w:numId w:val="1"/>
        </w:numPr>
        <w:rPr/>
      </w:pPr>
      <w:bookmarkStart w:id="167" w:name="__RefHeading___Toc3807121_1067777946"/>
      <w:bookmarkStart w:id="168" w:name="_Toc73"/>
      <w:bookmarkEnd w:id="167"/>
      <w:r>
        <w:rPr>
          <w:rtl w:val="true"/>
        </w:rPr>
        <w:t>فوريّت خيار ثابت براى مشترى</w:t>
      </w:r>
      <w:bookmarkEnd w:id="168"/>
    </w:p>
    <w:p>
      <w:pPr>
        <w:pStyle w:val="BookText"/>
        <w:rPr/>
      </w:pPr>
      <w:r>
        <w:rPr>
          <w:rFonts w:ascii="IRNazanin" w:hAnsi="IRNazanin" w:eastAsia="IRNazanin"/>
          <w:color w:val="111111"/>
          <w:sz w:val="28"/>
          <w:sz w:val="28"/>
          <w:szCs w:val="28"/>
          <w:rtl w:val="true"/>
          <w:lang w:bidi="fa-IR"/>
        </w:rPr>
        <w:t>خيار ثابت براى مشترىِ مملوك، از عبد و امه، فورى است، و بعد از امضا يا گذشتن زمان فوريت عرفيۀ مناسبه بدون عذر، خيار ثابت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از سكوت مولاىِ عالم به تزويج، فى الجمله انتزاع امضا و اسقاط حق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در مملوك مبيع و ايجاب خيار، بين آزاد بودن طرف و مملوك بودن او، و تعدد مالك و وحدت آن نيست</w:t>
      </w:r>
      <w:r>
        <w:rPr>
          <w:rFonts w:eastAsia="IRNazanin" w:cs="IRNazanin"/>
          <w:color w:val="111111"/>
          <w:sz w:val="28"/>
          <w:szCs w:val="28"/>
          <w:rtl w:val="true"/>
          <w:lang w:bidi="fa-IR"/>
        </w:rPr>
        <w:t>.</w:t>
      </w:r>
    </w:p>
    <w:p>
      <w:pPr>
        <w:pStyle w:val="Heading6"/>
        <w:numPr>
          <w:ilvl w:val="5"/>
          <w:numId w:val="1"/>
        </w:numPr>
        <w:rPr/>
      </w:pPr>
      <w:bookmarkStart w:id="169" w:name="__RefHeading___Toc3807123_1067777946"/>
      <w:bookmarkStart w:id="170" w:name="_Toc74"/>
      <w:bookmarkEnd w:id="169"/>
      <w:r>
        <w:rPr>
          <w:rtl w:val="true"/>
        </w:rPr>
        <w:t>خيار در بيع دو زوج مملوك به دو نفر</w:t>
      </w:r>
      <w:bookmarkEnd w:id="17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 زوج مملوك، مال مالك واحد بود، و فروخت به دو نفر هر دو را، با تشريك يا انفراد، هركدام خيار دارد و بقاى نكاح داير مدار ابقاى هر دو است به نحوى كه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مشترى هر دو يكى باشد، خيار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يكى را فروخت، </w:t>
      </w:r>
      <w:bookmarkStart w:id="171" w:name="pg10265_89813"/>
    </w:p>
    <w:p>
      <w:pPr>
        <w:pStyle w:val="BookText"/>
        <w:rPr/>
      </w:pPr>
      <w:bookmarkEnd w:id="171"/>
      <w:r>
        <w:rPr>
          <w:rFonts w:ascii="IRNazanin" w:hAnsi="IRNazanin" w:eastAsia="IRNazanin"/>
          <w:color w:val="111111"/>
          <w:sz w:val="28"/>
          <w:sz w:val="28"/>
          <w:szCs w:val="28"/>
          <w:rtl w:val="true"/>
          <w:lang w:bidi="fa-IR"/>
        </w:rPr>
        <w:t>مشترى خيار دارد، نه بايع كه مالك ديگرى است بنابر اظهر</w:t>
      </w:r>
      <w:r>
        <w:rPr>
          <w:rFonts w:eastAsia="IRNazanin" w:cs="IRNazanin"/>
          <w:color w:val="111111"/>
          <w:sz w:val="28"/>
          <w:szCs w:val="28"/>
          <w:rtl w:val="true"/>
          <w:lang w:bidi="fa-IR"/>
        </w:rPr>
        <w:t>.</w:t>
      </w:r>
    </w:p>
    <w:p>
      <w:pPr>
        <w:pStyle w:val="Heading6"/>
        <w:numPr>
          <w:ilvl w:val="5"/>
          <w:numId w:val="1"/>
        </w:numPr>
        <w:rPr/>
      </w:pPr>
      <w:bookmarkStart w:id="172" w:name="__RefHeading___Toc3807125_1067777946"/>
      <w:bookmarkStart w:id="173" w:name="_Toc75"/>
      <w:bookmarkEnd w:id="172"/>
      <w:r>
        <w:rPr>
          <w:rtl w:val="true"/>
        </w:rPr>
        <w:t>سببيّت تزويج امه براى مالكيّت مهر</w:t>
      </w:r>
      <w:bookmarkEnd w:id="173"/>
    </w:p>
    <w:p>
      <w:pPr>
        <w:pStyle w:val="BookText"/>
        <w:rPr/>
      </w:pPr>
      <w:r>
        <w:rPr>
          <w:rFonts w:ascii="IRNazanin" w:hAnsi="IRNazanin" w:eastAsia="IRNazanin"/>
          <w:color w:val="111111"/>
          <w:sz w:val="28"/>
          <w:sz w:val="28"/>
          <w:szCs w:val="28"/>
          <w:rtl w:val="true"/>
          <w:lang w:bidi="fa-IR"/>
        </w:rPr>
        <w:t>اگر مالك تزويج كرد امۀ خود را، مالك مهر مى شود؛ و اگر فروخت آن را قبل از دخول، مهر ساقط است به فسخ مشترى؛ و اگر مشترى اجازۀ نكاح كرد، اظهر مالكيّت مالك اوّل است مهر را، و در منقطعْ احتمال توزيع بر 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بيع قبل از دخول بوده، مهر براى مالك قبل از بيع است، و در منقطعْ احتمال توزيع بر مدت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عبد خود را تزويج كرد به آزادى، پس از آن بيع كرد عبد را بعد از دخول، مهر بر سيّد اوّل مستقر است؛ و اگر قبل از دخول بيع كرد، مشترى مى تواند فسخ نمايد، و بعد از فسخ او، بر مالك اوّل نصف مهر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بيع كرد كنيز خود را، و ادّعا كرد كه حمل او از بايع است،</w:t>
      </w:r>
      <w:r>
        <w:rPr>
          <w:rStyle w:val="FootnoteAnchor"/>
          <w:rtl w:val="true"/>
        </w:rPr>
        <w:footnoteReference w:id="3"/>
      </w:r>
      <w:r>
        <w:rPr>
          <w:rFonts w:ascii="IRNazanin" w:hAnsi="IRNazanin" w:eastAsia="IRNazanin"/>
          <w:color w:val="111111"/>
          <w:sz w:val="28"/>
          <w:sz w:val="28"/>
          <w:szCs w:val="28"/>
          <w:rtl w:val="true"/>
          <w:lang w:bidi="fa-IR"/>
        </w:rPr>
        <w:t>و مشترى انكار كرد، حكم به صحت بيع و مملوكيت ولد براى مشترى در صورت امكان و لحوق شرعى ولد به بايع مى شود، پس اقرار به لحوق مسموع، و دعواى فساد بيعْ غير مسموع است بدون اثبات</w:t>
      </w:r>
      <w:r>
        <w:rPr>
          <w:rFonts w:eastAsia="IRNazanin" w:cs="IRNazanin"/>
          <w:color w:val="111111"/>
          <w:sz w:val="28"/>
          <w:szCs w:val="28"/>
          <w:rtl w:val="true"/>
          <w:lang w:bidi="fa-IR"/>
        </w:rPr>
        <w:t>.</w:t>
      </w:r>
    </w:p>
    <w:p>
      <w:pPr>
        <w:pStyle w:val="Heading6"/>
        <w:numPr>
          <w:ilvl w:val="5"/>
          <w:numId w:val="1"/>
        </w:numPr>
        <w:rPr/>
      </w:pPr>
      <w:bookmarkStart w:id="174" w:name="__RefHeading___Toc3807127_1067777946"/>
      <w:bookmarkStart w:id="175" w:name="_Toc76"/>
      <w:bookmarkEnd w:id="174"/>
      <w:r>
        <w:rPr/>
        <w:t>3</w:t>
      </w:r>
      <w:r>
        <w:rPr>
          <w:rtl w:val="true"/>
        </w:rPr>
        <w:t xml:space="preserve">. </w:t>
      </w:r>
      <w:r>
        <w:rPr>
          <w:rtl w:val="true"/>
        </w:rPr>
        <w:t>طلاق</w:t>
      </w:r>
      <w:bookmarkEnd w:id="175"/>
    </w:p>
    <w:p>
      <w:pPr>
        <w:pStyle w:val="Heading6"/>
        <w:numPr>
          <w:ilvl w:val="5"/>
          <w:numId w:val="1"/>
        </w:numPr>
        <w:rPr/>
      </w:pPr>
      <w:bookmarkStart w:id="176" w:name="__RefHeading___Toc3807129_1067777946"/>
      <w:bookmarkStart w:id="177" w:name="_Toc77"/>
      <w:bookmarkEnd w:id="176"/>
      <w:r>
        <w:rPr>
          <w:rtl w:val="true"/>
        </w:rPr>
        <w:t>اختيار طلاق در نكاح عبد</w:t>
      </w:r>
      <w:bookmarkEnd w:id="17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تزويج كرد عبد را به امۀ غير يا به حرّه، در اينكه طلاق به اختيار سيد است يا عبد، خلاف است؛ مشهور بر تفصيل بين صورت مذكوره و صورت تزويج به مملوكۀ خودش است؛ پس اختيار طلاق در اوّل، با زوجِ مملوك است؛ و اين قولْ اظهر است، و احوط استيذان است در جميع صور از مالك، و اجازۀ طلاق مالك يا </w:t>
      </w:r>
      <w:bookmarkStart w:id="178" w:name="pg10265_89814"/>
    </w:p>
    <w:p>
      <w:pPr>
        <w:pStyle w:val="BookText"/>
        <w:rPr/>
      </w:pPr>
      <w:bookmarkEnd w:id="178"/>
      <w:r>
        <w:rPr>
          <w:rFonts w:ascii="Amiri" w:hAnsi="Amiri" w:eastAsia="Amiri" w:cs="Amiri"/>
          <w:color w:val="111111"/>
          <w:sz w:val="28"/>
          <w:sz w:val="28"/>
          <w:szCs w:val="28"/>
          <w:rtl w:val="true"/>
          <w:lang w:bidi="ar-SA"/>
        </w:rPr>
        <w:t>تجديد طلاق است از 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نكاح كرد امۀ خود را براى عبد خود، احوط اعتبار عقد نكاح، و اظهر وقوع ازالۀ آن است به هر يك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با شروط، و فسخ به آنچه دلالت بر آن نمايد اگر چه امر به اعتزال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طلاق، رعايت شروط، و معدود از سه طلاق مى شود با مسبوقيّت به عقد نكاح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فسخ، احكام خاصۀ طلاق، جارى نيست بنابر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امه را، به طلاق صحيح، زوج او طلاق داد، پس از آن مالك امهْ بيع كرد او را، عدۀ طلاق ساقط نمى شود و بايد اتمام شود، و استبرا بر مشترى لازم نيست بنابر اظهر</w:t>
      </w:r>
      <w:r>
        <w:rPr>
          <w:rFonts w:eastAsia="IRNazanin" w:cs="IRNazanin"/>
          <w:color w:val="111111"/>
          <w:sz w:val="28"/>
          <w:szCs w:val="28"/>
          <w:rtl w:val="true"/>
          <w:lang w:bidi="fa-IR"/>
        </w:rPr>
        <w:t>.</w:t>
      </w:r>
    </w:p>
    <w:p>
      <w:pPr>
        <w:pStyle w:val="Heading4"/>
        <w:numPr>
          <w:ilvl w:val="3"/>
          <w:numId w:val="1"/>
        </w:numPr>
        <w:rPr/>
      </w:pPr>
      <w:bookmarkStart w:id="179" w:name="__RefHeading___Toc3807131_1067777946"/>
      <w:bookmarkStart w:id="180" w:name="_Toc78"/>
      <w:bookmarkEnd w:id="179"/>
      <w:r>
        <w:rPr>
          <w:rtl w:val="true"/>
        </w:rPr>
        <w:t>ب</w:t>
      </w:r>
      <w:r>
        <w:rPr>
          <w:rtl w:val="true"/>
        </w:rPr>
        <w:t xml:space="preserve">: </w:t>
      </w:r>
      <w:r>
        <w:rPr>
          <w:rtl w:val="true"/>
        </w:rPr>
        <w:t>نكاح اماء به ملك</w:t>
      </w:r>
      <w:bookmarkEnd w:id="180"/>
    </w:p>
    <w:p>
      <w:pPr>
        <w:pStyle w:val="Heading5"/>
        <w:numPr>
          <w:ilvl w:val="4"/>
          <w:numId w:val="1"/>
        </w:numPr>
        <w:rPr/>
      </w:pPr>
      <w:bookmarkStart w:id="181" w:name="__RefHeading___Toc3807133_1067777946"/>
      <w:bookmarkStart w:id="182" w:name="_Toc79"/>
      <w:bookmarkEnd w:id="181"/>
      <w:r>
        <w:rPr/>
        <w:t>1</w:t>
      </w:r>
      <w:r>
        <w:rPr>
          <w:rtl w:val="true"/>
        </w:rPr>
        <w:t xml:space="preserve">. </w:t>
      </w:r>
      <w:r>
        <w:rPr>
          <w:rtl w:val="true"/>
        </w:rPr>
        <w:t>ملك رقبه</w:t>
      </w:r>
      <w:bookmarkEnd w:id="182"/>
    </w:p>
    <w:p>
      <w:pPr>
        <w:pStyle w:val="Heading6"/>
        <w:numPr>
          <w:ilvl w:val="5"/>
          <w:numId w:val="1"/>
        </w:numPr>
        <w:rPr/>
      </w:pPr>
      <w:bookmarkStart w:id="183" w:name="__RefHeading___Toc3807135_1067777946"/>
      <w:bookmarkStart w:id="184" w:name="_Toc80"/>
      <w:bookmarkEnd w:id="183"/>
      <w:r>
        <w:rPr>
          <w:rtl w:val="true"/>
        </w:rPr>
        <w:t>عدم حصر عددى در ملك يمين</w:t>
      </w:r>
      <w:bookmarkEnd w:id="184"/>
    </w:p>
    <w:p>
      <w:pPr>
        <w:pStyle w:val="BookText"/>
        <w:rPr/>
      </w:pPr>
      <w:r>
        <w:rPr>
          <w:rFonts w:ascii="IRNazanin" w:hAnsi="IRNazanin" w:eastAsia="IRNazanin"/>
          <w:color w:val="111111"/>
          <w:sz w:val="28"/>
          <w:sz w:val="28"/>
          <w:szCs w:val="28"/>
          <w:rtl w:val="true"/>
          <w:lang w:bidi="fa-IR"/>
        </w:rPr>
        <w:t>در ملك يمينْ حصر عددى نيست، پس زايد بر چهار را هم مى تواند شخصْ تملك نمايد در زمان واحد؛ و مى تواند با همه مقاربت نمايد؛ و مى تواند مالك دختر و مادر او باشد در زمان واحد؛ لكن اگر وطى كرد يكى را، ديگرى حرام عينى مى شود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تواند بين كنيز و خواهر او جمعِ در ملك نمايد؛ و اگر يكى را وطى كرد، وطى ديگرى حرمتِ جمعى دارد؛ پس اگر اولى از ملكش خارج شد، ديگرى بر او حلال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مى تواند شخص، مالك موطوئۀ اب بشود؛ و مى تواند شخص، مالك موطوئۀ ابن بشود؛ و حرام بر هركدام، وطى موطوئۀ ديگرى يا منكوحۀ اب يا حليلۀ ابن است</w:t>
      </w:r>
      <w:r>
        <w:rPr>
          <w:rFonts w:eastAsia="IRNazanin" w:cs="IRNazanin"/>
          <w:color w:val="111111"/>
          <w:sz w:val="28"/>
          <w:szCs w:val="28"/>
          <w:rtl w:val="true"/>
          <w:lang w:bidi="fa-IR"/>
        </w:rPr>
        <w:t xml:space="preserve">. </w:t>
      </w:r>
      <w:bookmarkStart w:id="185" w:name="pg10265_89815"/>
    </w:p>
    <w:p>
      <w:pPr>
        <w:pStyle w:val="Heading6"/>
        <w:numPr>
          <w:ilvl w:val="5"/>
          <w:numId w:val="1"/>
        </w:numPr>
        <w:rPr/>
      </w:pPr>
      <w:bookmarkStart w:id="186" w:name="__RefHeading___Toc3807137_1067777946"/>
      <w:bookmarkStart w:id="187" w:name="_Toc81"/>
      <w:bookmarkEnd w:id="185"/>
      <w:bookmarkEnd w:id="186"/>
      <w:r>
        <w:rPr>
          <w:rtl w:val="true"/>
        </w:rPr>
        <w:t>ديگر احكام ملك يمين</w:t>
      </w:r>
      <w:bookmarkEnd w:id="187"/>
    </w:p>
    <w:p>
      <w:pPr>
        <w:pStyle w:val="BookText"/>
        <w:rPr/>
      </w:pPr>
      <w:r>
        <w:rPr>
          <w:rFonts w:ascii="IRNazanin" w:hAnsi="IRNazanin" w:eastAsia="IRNazanin"/>
          <w:color w:val="111111"/>
          <w:sz w:val="28"/>
          <w:sz w:val="28"/>
          <w:szCs w:val="28"/>
          <w:rtl w:val="true"/>
          <w:lang w:bidi="fa-IR"/>
        </w:rPr>
        <w:t>حرام است بر مالك، وطى مملوكۀ خود، بعد از تزويج او به غير، اگر چه عبد خودش باشد، تا آنكه جدايى حاصل شود و عدّه اش منقضى شود اگر صاحب 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مالك امه نمى تواند فسخ نمايد نكاح امه را در صورتى كه زوج او عبدش نباشد مگر آنكه بيع نمايد امه را، و مشترى، به خيارْ فسخ نمايد، چنانچه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مملوكۀ خود را بعد از تزويج به غير، جايز نيست نظر نمايد به نحوى كه براى غير مالك جايز نيست، تا زمان انقضاى عده اگر چه بائن باشد، بنابر 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احتياط در محلّله جارى است حتى قبل از وطى محلّل له؛ و هم چنين ساير انحاى استمتاعات شهوتيّه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عدۀ وطىِ شبهه در استمتاعات غير وطى، احتياط خوب است، اگر چه اظهر عدم لزوم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جايز نيست وطى امۀ مشتركه، به ملك؛ و گذشت حكم تحليل شريك براى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جايز نيست وطى امۀ خريدارى شده كه واجب باشد استبراى او، مگر بعد از استبرا؛ و جواز غير وطى خالى از 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خريدارى كرد امۀ مزوجه را، پس اجازه كرد مشترىْ تزويج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بقا، جايز نيست براى او فسخ بعد ابقاى به اجازه؛ و هم چنين اگر بعد از علم اعتراض نكرد به طورى كه انتزاع اجازه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خيار فسخ فورى است، پس از گذشتن زمان بدون عذر، اختيارى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مشترى فسخ كرد، احوط لزوم عدّه است و در غير صاحبۀ زوج كه خريده شود، استبرا لازم و كافى است</w:t>
      </w:r>
      <w:r>
        <w:rPr>
          <w:rFonts w:eastAsia="IRNazanin" w:cs="IRNazanin"/>
          <w:color w:val="111111"/>
          <w:sz w:val="28"/>
          <w:szCs w:val="28"/>
          <w:rtl w:val="true"/>
          <w:lang w:bidi="fa-IR"/>
        </w:rPr>
        <w:t>.</w:t>
      </w:r>
    </w:p>
    <w:p>
      <w:pPr>
        <w:pStyle w:val="Heading6"/>
        <w:numPr>
          <w:ilvl w:val="5"/>
          <w:numId w:val="1"/>
        </w:numPr>
        <w:rPr/>
      </w:pPr>
      <w:bookmarkStart w:id="188" w:name="__RefHeading___Toc3807139_1067777946"/>
      <w:bookmarkStart w:id="189" w:name="_Toc82"/>
      <w:bookmarkEnd w:id="188"/>
      <w:r>
        <w:rPr>
          <w:rtl w:val="true"/>
        </w:rPr>
        <w:t>جواز استنقاذ اماى ذات بعل</w:t>
      </w:r>
      <w:bookmarkEnd w:id="18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استنقاذ امايى كه ازواج داشته باشند، از اهل حرب، و دخترهاى ايشان، به شراء و نحو آن،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تملك سباياى آنها به توسّط غير ائمۀ عدل، در مقدار خمس و غير آن، جايز است به نحوى كه از سباياى ائمۀ عدل جايز است</w:t>
      </w:r>
      <w:r>
        <w:rPr>
          <w:rFonts w:eastAsia="IRNazanin" w:cs="IRNazanin"/>
          <w:color w:val="111111"/>
          <w:sz w:val="28"/>
          <w:szCs w:val="28"/>
          <w:rtl w:val="true"/>
          <w:lang w:bidi="fa-IR"/>
        </w:rPr>
        <w:t xml:space="preserve">. </w:t>
      </w:r>
      <w:bookmarkStart w:id="190" w:name="pg10265_89816"/>
    </w:p>
    <w:p>
      <w:pPr>
        <w:pStyle w:val="Heading6"/>
        <w:numPr>
          <w:ilvl w:val="5"/>
          <w:numId w:val="1"/>
        </w:numPr>
        <w:rPr/>
      </w:pPr>
      <w:bookmarkStart w:id="191" w:name="__RefHeading___Toc3807141_1067777946"/>
      <w:bookmarkStart w:id="192" w:name="_Toc83"/>
      <w:bookmarkEnd w:id="190"/>
      <w:bookmarkEnd w:id="191"/>
      <w:r>
        <w:rPr>
          <w:rtl w:val="true"/>
        </w:rPr>
        <w:t>دو مسأله</w:t>
      </w:r>
      <w:bookmarkEnd w:id="192"/>
    </w:p>
    <w:p>
      <w:pPr>
        <w:pStyle w:val="Heading6"/>
        <w:numPr>
          <w:ilvl w:val="5"/>
          <w:numId w:val="1"/>
        </w:numPr>
        <w:rPr/>
      </w:pPr>
      <w:bookmarkStart w:id="193" w:name="__RefHeading___Toc3807143_1067777946"/>
      <w:bookmarkStart w:id="194" w:name="_Toc84"/>
      <w:bookmarkEnd w:id="193"/>
      <w:r>
        <w:rPr>
          <w:rtl w:val="true"/>
        </w:rPr>
        <w:t>لزوم استبرا</w:t>
      </w:r>
      <w:bookmarkEnd w:id="1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مالك امه، به هر سببى كه باشد، لازم است استبرا نمايد امه را، به يك 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حيضْ متأخر شد در سن حايض، استبرا به چهل و پنج روز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مقدار از روزها كافى است بنابر اظهر، يعنى در وسط روز، تلفيق مى شود؛ و اما در شب احوط عدم تلفيق است؛ و در صورت تلفيق يا عدم، ليالى متوسطه داخل است و ليلۀ اُولى و اخيره، خارج از 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حايض در وقت تملك، ساقط است، جز اينكه انتهاى آن حيض، لازم در حليت وطى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كفايت حيض شرعى است و لازم نيست حيض واقعى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عدل يا مأمون و مورد اطمينان خريد و اخبار به استبرا كرد، جايز است اعتماد به اخبار او، و وطى او بنابر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از زن خريدارى نمود، كه او مالك بود و مالكيّت غير زن سابقاً تاثيرى نداشت؛ يا آنكه امه يائسه بود كه برائت رحم، محل اطمينان است؛ يا آنكه صغيره اى باشد كه كمتر از نه سال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بيشتر باشد، عبرت به استبرا به يك حيض، يا عدد است اگر حيض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استبرا لازم نيست اگر بلوغ نه سال در ملك مشترى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در حامل در حال تملك، استبرا نيست؛ اگر چه جواز وطى او در حال حمل، و وقت جواز، محل خلاف است</w:t>
      </w:r>
      <w:r>
        <w:rPr>
          <w:rFonts w:eastAsia="IRNazanin" w:cs="IRNazanin"/>
          <w:color w:val="111111"/>
          <w:sz w:val="28"/>
          <w:szCs w:val="28"/>
          <w:rtl w:val="true"/>
          <w:lang w:bidi="fa-IR"/>
        </w:rPr>
        <w:t>.</w:t>
      </w:r>
    </w:p>
    <w:p>
      <w:pPr>
        <w:pStyle w:val="Heading6"/>
        <w:numPr>
          <w:ilvl w:val="5"/>
          <w:numId w:val="1"/>
        </w:numPr>
        <w:rPr/>
      </w:pPr>
      <w:bookmarkStart w:id="195" w:name="__RefHeading___Toc3807145_1067777946"/>
      <w:bookmarkStart w:id="196" w:name="_Toc85"/>
      <w:bookmarkEnd w:id="195"/>
      <w:r>
        <w:rPr>
          <w:rtl w:val="true"/>
        </w:rPr>
        <w:t>فرض جواز عقد بدون استبرا</w:t>
      </w:r>
      <w:bookmarkEnd w:id="19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مالك 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پس از آن عتق كرد او را، مى تواند عقد نكاح نمايد او را بدون استبرا اگر نداند وطى محترم را، وگرنه استبرا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صاحب زوج بوده و فسخ شده، عدّه از آن مى گيرد، و جمع بين عدّه و استبرا لازم نيست بنابر اظهر؛ و احتياط به استبرا، در موارد سقوط آن،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معتِق بايد بعد از عدّه ازدواج نمايد با علم به وطى معتِق؛ و اما در صورت احتمال، پس احتياط در تأخير ازدواج تا انقضاى عدّه است</w:t>
      </w:r>
      <w:r>
        <w:rPr>
          <w:rFonts w:eastAsia="IRNazanin" w:cs="IRNazanin"/>
          <w:color w:val="111111"/>
          <w:sz w:val="28"/>
          <w:szCs w:val="28"/>
          <w:rtl w:val="true"/>
          <w:lang w:bidi="fa-IR"/>
        </w:rPr>
        <w:t>.</w:t>
      </w:r>
      <w:bookmarkStart w:id="197" w:name="pg10265_89817"/>
    </w:p>
    <w:p>
      <w:pPr>
        <w:pStyle w:val="Heading5"/>
        <w:numPr>
          <w:ilvl w:val="4"/>
          <w:numId w:val="1"/>
        </w:numPr>
        <w:rPr/>
      </w:pPr>
      <w:bookmarkStart w:id="198" w:name="__RefHeading___Toc3807147_1067777946"/>
      <w:bookmarkStart w:id="199" w:name="_Toc86"/>
      <w:bookmarkEnd w:id="197"/>
      <w:bookmarkEnd w:id="198"/>
      <w:r>
        <w:rPr/>
        <w:t>2</w:t>
      </w:r>
      <w:r>
        <w:rPr>
          <w:rtl w:val="true"/>
        </w:rPr>
        <w:t xml:space="preserve">. </w:t>
      </w:r>
      <w:r>
        <w:rPr>
          <w:rtl w:val="true"/>
        </w:rPr>
        <w:t>ملك منفعت</w:t>
      </w:r>
      <w:bookmarkEnd w:id="199"/>
    </w:p>
    <w:p>
      <w:pPr>
        <w:pStyle w:val="Heading6"/>
        <w:numPr>
          <w:ilvl w:val="5"/>
          <w:numId w:val="1"/>
        </w:numPr>
        <w:rPr/>
      </w:pPr>
      <w:bookmarkStart w:id="200" w:name="__RefHeading___Toc3807149_1067777946"/>
      <w:bookmarkStart w:id="201" w:name="_Toc87"/>
      <w:bookmarkEnd w:id="200"/>
      <w:r>
        <w:rPr>
          <w:rtl w:val="true"/>
        </w:rPr>
        <w:t>اناطۀ تحليل براى غير به صيغه</w:t>
      </w:r>
      <w:bookmarkEnd w:id="201"/>
    </w:p>
    <w:p>
      <w:pPr>
        <w:pStyle w:val="BookText"/>
        <w:rPr/>
      </w:pPr>
      <w:r>
        <w:rPr>
          <w:rFonts w:ascii="IRNazanin" w:hAnsi="IRNazanin" w:eastAsia="IRNazanin"/>
          <w:color w:val="111111"/>
          <w:sz w:val="28"/>
          <w:sz w:val="28"/>
          <w:szCs w:val="28"/>
          <w:rtl w:val="true"/>
          <w:lang w:bidi="fa-IR"/>
        </w:rPr>
        <w:t>معتبر است در تحليل مملوكه براى غير، صيغه، به نحوى كه در عقد نكاح معتبر است، از لفظ و عربيّت و ماضويّت؛ كه مقتضاى احتياط، محافظت بر همه است، يعنى عربيت و ماضويت؛ و اما لفظ در حال اختيار، مسلم است اعتبار آن، به اين نحو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احللت لك وطيها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جعلتك فى حِلّ من وطيها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ترك تعبير در صيغه به لفظ عاريت است اگر چه مقصودْ تحليل باشد و قرينه بر آن باشد؛ 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آجرتك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قصد تمليك انتفاع و قرينه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اقتصار بر تحليل، نه ساير مرادفات آن اگر چه قرينه بر آن باشد، مثل اباحه و اذن و تسويغ كه متعلق به خصوصيّات مذكوره در تحليل باشد، موافق احتياط است</w:t>
      </w:r>
      <w:r>
        <w:rPr>
          <w:rFonts w:eastAsia="IRNazanin" w:cs="IRNazanin"/>
          <w:color w:val="111111"/>
          <w:sz w:val="28"/>
          <w:szCs w:val="28"/>
          <w:rtl w:val="true"/>
          <w:lang w:bidi="fa-IR"/>
        </w:rPr>
        <w:t>.</w:t>
      </w:r>
    </w:p>
    <w:p>
      <w:pPr>
        <w:pStyle w:val="Heading6"/>
        <w:numPr>
          <w:ilvl w:val="5"/>
          <w:numId w:val="1"/>
        </w:numPr>
        <w:rPr/>
      </w:pPr>
      <w:bookmarkStart w:id="202" w:name="__RefHeading___Toc3807151_1067777946"/>
      <w:bookmarkStart w:id="203" w:name="_Toc88"/>
      <w:bookmarkEnd w:id="202"/>
      <w:r>
        <w:rPr>
          <w:rtl w:val="true"/>
        </w:rPr>
        <w:t>ملك يمين بودن ملك منفعت و</w:t>
      </w:r>
      <w:r>
        <w:rPr>
          <w:rtl w:val="true"/>
        </w:rPr>
        <w:t>...</w:t>
      </w:r>
      <w:bookmarkEnd w:id="203"/>
    </w:p>
    <w:p>
      <w:pPr>
        <w:pStyle w:val="BookText"/>
        <w:rPr/>
      </w:pPr>
      <w:r>
        <w:rPr>
          <w:rFonts w:ascii="IRNazanin" w:hAnsi="IRNazanin" w:eastAsia="IRNazanin"/>
          <w:color w:val="111111"/>
          <w:sz w:val="28"/>
          <w:sz w:val="28"/>
          <w:szCs w:val="28"/>
          <w:rtl w:val="true"/>
          <w:lang w:bidi="fa-IR"/>
        </w:rPr>
        <w:t>و آيا تحليل، عقد نكاح است، يا ملك يمين به معنى ملك منفعت است مثل اجاره، يا قسم ثالث است كه محض تسليط بر انتفاع است مثل عاريه اگر چه در اسباب، توسعۀ لفظيه نيست‌؟ وجوهى است، اظهر دوّم است، و احكام آن مرتّب است، مگر به دليل صارف يا انصراف دليل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اظهر جواز تحليل امۀ مملوكۀ خود براى عبدِ مملوك خود است؛ و اقتضاى تحليل، تمليك منفعت را در مورد قابل، منافى نيست با اينكه در غير مورد قابل، اباحۀ انتفاع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احوط قبول است از محلّل له، براى محافظت بر عقديّت 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حرّه راهى براى حليت وطى او جز اقسام تزويج نيست</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مدبّره و ام ولد، مانعى از تحليل آنها نيست، به خلاف مكاتبه كه بعض او مملوك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امه اى كه بين شريكين باشد، مى توانند به اتفاق، تحليل نمايند براى ثالث، در صورتى كه شخص ديگرى با اذن دو مالك اجراى صيغۀ تحليل در كل مملوكه نمايد، يا نحو اين عمل</w:t>
      </w:r>
      <w:r>
        <w:rPr>
          <w:rFonts w:eastAsia="IRNazanin" w:cs="IRNazanin"/>
          <w:color w:val="111111"/>
          <w:sz w:val="28"/>
          <w:szCs w:val="28"/>
          <w:rtl w:val="true"/>
          <w:lang w:bidi="fa-IR"/>
        </w:rPr>
        <w:t xml:space="preserve">. </w:t>
      </w:r>
      <w:bookmarkStart w:id="204" w:name="pg10265_89818"/>
    </w:p>
    <w:p>
      <w:pPr>
        <w:pStyle w:val="Heading6"/>
        <w:numPr>
          <w:ilvl w:val="5"/>
          <w:numId w:val="1"/>
        </w:numPr>
        <w:rPr/>
      </w:pPr>
      <w:bookmarkStart w:id="205" w:name="__RefHeading___Toc3807153_1067777946"/>
      <w:bookmarkStart w:id="206" w:name="_Toc89"/>
      <w:bookmarkEnd w:id="204"/>
      <w:bookmarkEnd w:id="205"/>
      <w:r>
        <w:rPr>
          <w:rtl w:val="true"/>
        </w:rPr>
        <w:t>چند مسأله</w:t>
      </w:r>
      <w:bookmarkEnd w:id="206"/>
    </w:p>
    <w:p>
      <w:pPr>
        <w:pStyle w:val="Heading6"/>
        <w:numPr>
          <w:ilvl w:val="5"/>
          <w:numId w:val="1"/>
        </w:numPr>
        <w:rPr/>
      </w:pPr>
      <w:bookmarkStart w:id="207" w:name="__RefHeading___Toc3807155_1067777946"/>
      <w:bookmarkStart w:id="208" w:name="_Toc90"/>
      <w:bookmarkEnd w:id="207"/>
      <w:r>
        <w:rPr>
          <w:rtl w:val="true"/>
        </w:rPr>
        <w:t>اقتصار بر مدلول لفظ در صورت تحليل</w:t>
      </w:r>
      <w:bookmarkEnd w:id="2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صورت صحّت تحليل، اقتصار مى شود به مدلول لفظ محلّل و مفهوم آن اگر چه به قراين حاليّه و عقليه باشد؛ پس تحليل قُبله، افادۀ تحليل لمس مى نمايد در موضع قُبله، و امثال آن، و در عكس تأمل است؛ و در هر صورت وطى حلال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تحليل وطى، كه منع از قُبله و لمس، محتاج به بيان است، بلكه مفهوم مى شود پايين تر از وطى، اگر چه موقوف عليه وطى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تعلّق تحليل به خدمت، وطى حلال نمى شود، و 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وطىْ عصيان است در صورت اوّل، و لزوم عشر قيمت يا نصف آن و ارش بكارت، مطلقا يا با جهل يا اكراه زن، و رقّيّت ولد براى مولاى امه، مورد فتاوى و نقل عدم خلاف است، و تفصيلش در محل ديگر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جواز تحليل خدمت براى دو نفر مثلاً، كه نظر هر دو در زمانواحد جايز باشد، تأمل است، و هم چنين تحليل لمس مثلاً براى يكى و تحليل نظر براى ديگرى در يك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خواهد آمد اشاره به قول اينكه استمتاع براى دو نفر در زمان واحد، حلال نمى شود، چه تزويج و چه تحليل باشد، حتى بالنسبه به مالك و محلَّل له نظر و لمس مثلاً حلال نمى شود</w:t>
      </w:r>
      <w:r>
        <w:rPr>
          <w:rFonts w:eastAsia="IRNazanin" w:cs="IRNazanin"/>
          <w:color w:val="111111"/>
          <w:sz w:val="28"/>
          <w:szCs w:val="28"/>
          <w:rtl w:val="true"/>
          <w:lang w:bidi="fa-IR"/>
        </w:rPr>
        <w:t>.</w:t>
      </w:r>
    </w:p>
    <w:p>
      <w:pPr>
        <w:pStyle w:val="Heading6"/>
        <w:numPr>
          <w:ilvl w:val="5"/>
          <w:numId w:val="1"/>
        </w:numPr>
        <w:rPr/>
      </w:pPr>
      <w:bookmarkStart w:id="209" w:name="__RefHeading___Toc3807157_1067777946"/>
      <w:bookmarkStart w:id="210" w:name="_Toc91"/>
      <w:bookmarkEnd w:id="209"/>
      <w:r>
        <w:rPr>
          <w:rtl w:val="true"/>
        </w:rPr>
        <w:t>حريت ولد محلّلۀ براى حرّ</w:t>
      </w:r>
      <w:bookmarkEnd w:id="21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ولد محلّلۀ براى حرّ، محكوم به حريت است اگر چه شرط حريت ننمايد بنابر اقوى و مشهور</w:t>
      </w:r>
      <w:r>
        <w:rPr>
          <w:rFonts w:eastAsia="IRNazanin" w:cs="IRNazanin"/>
          <w:color w:val="111111"/>
          <w:sz w:val="28"/>
          <w:szCs w:val="28"/>
          <w:rtl w:val="true"/>
          <w:lang w:bidi="fa-IR"/>
        </w:rPr>
        <w:t>.</w:t>
      </w:r>
    </w:p>
    <w:p>
      <w:pPr>
        <w:pStyle w:val="Heading6"/>
        <w:numPr>
          <w:ilvl w:val="5"/>
          <w:numId w:val="1"/>
        </w:numPr>
        <w:rPr/>
      </w:pPr>
      <w:bookmarkStart w:id="211" w:name="__RefHeading___Toc3807159_1067777946"/>
      <w:bookmarkStart w:id="212" w:name="_Toc92"/>
      <w:bookmarkEnd w:id="211"/>
      <w:r>
        <w:rPr>
          <w:rtl w:val="true"/>
        </w:rPr>
        <w:t>عدم لزوم تعيين مدت در تحليل</w:t>
      </w:r>
      <w:bookmarkEnd w:id="21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تحليل، تعيين مدت لازم نيست، بلكه به اطلاق عمل مى شود؛ و اگر ظاهر</w:t>
      </w:r>
    </w:p>
    <w:p>
      <w:pPr>
        <w:pStyle w:val="BookText"/>
        <w:rPr/>
      </w:pPr>
      <w:r>
        <w:rPr>
          <w:rFonts w:ascii="IRNazanin" w:hAnsi="IRNazanin" w:eastAsia="IRNazanin"/>
          <w:color w:val="111111"/>
          <w:sz w:val="28"/>
          <w:sz w:val="28"/>
          <w:szCs w:val="28"/>
          <w:rtl w:val="true"/>
          <w:lang w:bidi="fa-IR"/>
        </w:rPr>
        <w:t>نبود به متيقن اقتصار مى شود؛ و هم چنين مهر و نفقه، داخل تحليل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تحليل بضع است به منزلۀ ازدواج است؛ استخدام و نحو آن، باقى است براى مالك؛ فقط شب مستحق طرف، و روز مربوط به مالك است؛ و به عكس در تحليل استخدام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جواز منع امۀ مزوجه در غير شب، از بودن نزد زوج، تأمل است؛ و هم چنين جواز مسافرت مالك با امه در روز بدون زوج؛ و هم چنين منع مالك زوج را از مسافرت با زوجه در روز؛ و اقرب عدم جواز، و تقديم حق زوج است حتى در روز؛ بلى غير منافى با استمتاعات مقصودۀ زوج جايز است براى مالك، چنانچه جايز است براى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مسافرت زوجه با زوج بدون اذن مالك جايز است، و با مالك بدون اذن زوج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تمكين امه در بعض شبانه روز، مثل تمكين مبعّض حرّه است در كيفيّت استحقاق نفقه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قتل سيد امه را قبل از وطى، يا غير سيد، موجب سقوط مهر نيست، مگر بر تقدير التزام به سقوط در موت قبل از دخول</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213" w:name="pg10265_89820"/>
    </w:p>
    <w:p>
      <w:pPr>
        <w:pStyle w:val="Heading3"/>
        <w:numPr>
          <w:ilvl w:val="2"/>
          <w:numId w:val="1"/>
        </w:numPr>
        <w:rPr/>
      </w:pPr>
      <w:bookmarkStart w:id="214" w:name="__RefHeading___Toc3807161_1067777946"/>
      <w:bookmarkStart w:id="215" w:name="_Toc93"/>
      <w:bookmarkEnd w:id="213"/>
      <w:bookmarkEnd w:id="214"/>
      <w:r>
        <w:rPr>
          <w:rtl w:val="true"/>
        </w:rPr>
        <w:t>فصل هفتم امورى كه با آنها رد نكاح مى شود</w:t>
      </w:r>
      <w:bookmarkEnd w:id="215"/>
    </w:p>
    <w:p>
      <w:pPr>
        <w:pStyle w:val="Heading4"/>
        <w:numPr>
          <w:ilvl w:val="3"/>
          <w:numId w:val="1"/>
        </w:numPr>
        <w:rPr/>
      </w:pPr>
      <w:bookmarkStart w:id="216" w:name="__RefHeading___Toc3807163_1067777946"/>
      <w:bookmarkStart w:id="217" w:name="_Toc94"/>
      <w:bookmarkEnd w:id="216"/>
      <w:r>
        <w:rPr>
          <w:rtl w:val="true"/>
        </w:rPr>
        <w:t>اشاره</w:t>
      </w:r>
      <w:bookmarkEnd w:id="217"/>
    </w:p>
    <w:p>
      <w:pPr>
        <w:pStyle w:val="BookText"/>
        <w:rPr/>
      </w:pPr>
      <w:r>
        <w:rPr>
          <w:rFonts w:ascii="Amiri" w:hAnsi="Amiri" w:eastAsia="Amiri" w:cs="Amiri"/>
          <w:color w:val="111111"/>
          <w:sz w:val="28"/>
          <w:sz w:val="28"/>
          <w:szCs w:val="28"/>
          <w:rtl w:val="true"/>
          <w:lang w:bidi="ar-SA"/>
        </w:rPr>
        <w:t xml:space="preserve">از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عيب يا در مرد است يا در زن</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3807165_1067777946"/>
      <w:bookmarkStart w:id="219" w:name="_Toc95"/>
      <w:bookmarkEnd w:id="218"/>
      <w:r>
        <w:rPr>
          <w:rtl w:val="true"/>
        </w:rPr>
        <w:t>عيوب مرد</w:t>
      </w:r>
      <w:bookmarkEnd w:id="219"/>
    </w:p>
    <w:p>
      <w:pPr>
        <w:pStyle w:val="Heading5"/>
        <w:numPr>
          <w:ilvl w:val="4"/>
          <w:numId w:val="1"/>
        </w:numPr>
        <w:rPr/>
      </w:pPr>
      <w:bookmarkStart w:id="220" w:name="__RefHeading___Toc3807167_1067777946"/>
      <w:bookmarkStart w:id="221" w:name="_Toc96"/>
      <w:bookmarkEnd w:id="220"/>
      <w:r>
        <w:rPr>
          <w:rtl w:val="true"/>
        </w:rPr>
        <w:t>اشاره</w:t>
      </w:r>
      <w:bookmarkEnd w:id="221"/>
    </w:p>
    <w:p>
      <w:pPr>
        <w:pStyle w:val="BookText"/>
        <w:rPr/>
      </w:pPr>
      <w:r>
        <w:rPr>
          <w:rFonts w:ascii="Amiri" w:hAnsi="Amiri" w:eastAsia="Amiri" w:cs="Amiri"/>
          <w:color w:val="111111"/>
          <w:sz w:val="28"/>
          <w:sz w:val="28"/>
          <w:szCs w:val="28"/>
          <w:rtl w:val="true"/>
          <w:lang w:bidi="ar-SA"/>
        </w:rPr>
        <w:t>عيوب مرد كه اتفاقاً با آنها فسخ نكاح مى شود، سه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عنن</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3807169_1067777946"/>
      <w:bookmarkStart w:id="223" w:name="_Toc97"/>
      <w:bookmarkEnd w:id="222"/>
      <w:r>
        <w:rPr>
          <w:rtl w:val="true"/>
        </w:rPr>
        <w:t>جنون</w:t>
      </w:r>
      <w:bookmarkEnd w:id="223"/>
    </w:p>
    <w:p>
      <w:pPr>
        <w:pStyle w:val="BookText"/>
        <w:rPr/>
      </w:pPr>
      <w:r>
        <w:rPr>
          <w:rFonts w:ascii="IRNazanin" w:hAnsi="IRNazanin" w:eastAsia="IRNazanin"/>
          <w:color w:val="111111"/>
          <w:sz w:val="28"/>
          <w:sz w:val="28"/>
          <w:szCs w:val="28"/>
          <w:rtl w:val="true"/>
          <w:lang w:bidi="fa-IR"/>
        </w:rPr>
        <w:t>جنون هر قسمى باشد، چه دائمى باشد يا ادوارى، سبب تسلط زن جاهلۀ به عيب بر فسخ نكاح است در صورت صحّت اصل نكاح به وقوع آن از ولى، يا از زوج در زمان افاقۀ جنون ادوارى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اغما و صرع معهود، از افراد جنون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بين سابق بر عقد يا مقارن نيست در خيار مذكور، و هم چنين است جنون متجدّد بعد از عقد قبل از وطى يا بعد از آن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آيا در متجدّد فرق است بين معرفت اوقات نماز و عدم آن، و خيار منحصر به قسم دوّم است يا نه‌؟ خلاف است؛ و دور نيست كه عبارت نصّ و فتاوى ارشاد به تحقق موضوع در قسم اوّل، و عدم آن در قسم دوّم است؛ و از اين جهت، قول به تفصيل در جنون سابق هم هست؛ بلكه كسى كه اوقات نماز را بشناسد، مجنون </w:t>
      </w:r>
      <w:bookmarkStart w:id="224" w:name="pg10265_89821"/>
    </w:p>
    <w:p>
      <w:pPr>
        <w:pStyle w:val="BookText"/>
        <w:rPr/>
      </w:pPr>
      <w:bookmarkEnd w:id="224"/>
      <w:r>
        <w:rPr>
          <w:rFonts w:ascii="IRNazanin" w:hAnsi="IRNazanin" w:eastAsia="IRNazanin"/>
          <w:color w:val="111111"/>
          <w:sz w:val="28"/>
          <w:sz w:val="28"/>
          <w:szCs w:val="28"/>
          <w:rtl w:val="true"/>
          <w:lang w:bidi="fa-IR"/>
        </w:rPr>
        <w:t>نيست به جنون مسقط تكليف، و اين با محافظت بر خصوصيات اوقات مختلفۀ نماز واضح است؛ پس در جنون محقّق، فرقى بين ادوارى و غير آن نيست، و بين سابق و مقارن و متجدد بعد از عقد قبل از وطى و بعد آن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فرقى در حكم جنون و موارد آن، بين نكاح دائم و منقطع نيست</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3807171_1067777946"/>
      <w:bookmarkStart w:id="226" w:name="_Toc98"/>
      <w:bookmarkEnd w:id="225"/>
      <w:r>
        <w:rPr>
          <w:rtl w:val="true"/>
        </w:rPr>
        <w:t>خصاء</w:t>
      </w:r>
      <w:bookmarkEnd w:id="226"/>
    </w:p>
    <w:p>
      <w:pPr>
        <w:pStyle w:val="Heading6"/>
        <w:numPr>
          <w:ilvl w:val="5"/>
          <w:numId w:val="1"/>
        </w:numPr>
        <w:rPr/>
      </w:pPr>
      <w:bookmarkStart w:id="227" w:name="__RefHeading___Toc3807173_1067777946"/>
      <w:bookmarkStart w:id="228" w:name="_Toc99"/>
      <w:bookmarkEnd w:id="227"/>
      <w:r>
        <w:rPr>
          <w:rtl w:val="true"/>
        </w:rPr>
        <w:t>اشاره</w:t>
      </w:r>
      <w:bookmarkEnd w:id="228"/>
    </w:p>
    <w:p>
      <w:pPr>
        <w:pStyle w:val="BookText"/>
        <w:rPr/>
      </w:pPr>
      <w:r>
        <w:rPr>
          <w:rFonts w:ascii="Amiri" w:hAnsi="Amiri" w:eastAsia="Amiri" w:cs="Amiri"/>
          <w:color w:val="111111"/>
          <w:sz w:val="28"/>
          <w:sz w:val="28"/>
          <w:szCs w:val="28"/>
          <w:rtl w:val="true"/>
          <w:lang w:bidi="ar-SA"/>
        </w:rPr>
        <w:t>خصاء كه عبارت از كشيده شدن بيضتين باشد، يا اعم از كوبيده شدن آنها، موجب تسلط زن است بر خيار فسخ با جهل او و تدليس شوهر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دخول بدون انزال، كه از او ميسور است، موجب استحقاق مهر است، و به مدلّس رجوع مى شود</w:t>
      </w:r>
      <w:r>
        <w:rPr>
          <w:rFonts w:eastAsia="Amiri" w:cs="Amiri" w:ascii="Amiri" w:hAnsi="Amiri"/>
          <w:color w:val="111111"/>
          <w:sz w:val="28"/>
          <w:szCs w:val="28"/>
          <w:rtl w:val="true"/>
          <w:lang w:bidi="ar-SA"/>
        </w:rPr>
        <w:t>.</w:t>
      </w:r>
    </w:p>
    <w:p>
      <w:pPr>
        <w:pStyle w:val="Heading6"/>
        <w:numPr>
          <w:ilvl w:val="5"/>
          <w:numId w:val="1"/>
        </w:numPr>
        <w:rPr/>
      </w:pPr>
      <w:bookmarkStart w:id="229" w:name="__RefHeading___Toc3807175_1067777946"/>
      <w:bookmarkStart w:id="230" w:name="_Toc100"/>
      <w:bookmarkEnd w:id="229"/>
      <w:r>
        <w:rPr>
          <w:rtl w:val="true"/>
        </w:rPr>
        <w:t>الحاق و جاء به خصاء</w:t>
      </w:r>
      <w:bookmarkEnd w:id="230"/>
    </w:p>
    <w:p>
      <w:pPr>
        <w:pStyle w:val="BookText"/>
        <w:rPr/>
      </w:pPr>
      <w:r>
        <w:rPr>
          <w:rFonts w:ascii="IRNazanin" w:hAnsi="IRNazanin" w:eastAsia="IRNazanin"/>
          <w:color w:val="111111"/>
          <w:sz w:val="28"/>
          <w:sz w:val="28"/>
          <w:szCs w:val="28"/>
          <w:rtl w:val="true"/>
          <w:lang w:bidi="fa-IR"/>
        </w:rPr>
        <w:t xml:space="preserve">و دور نيست الحاق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كوبيده شدن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خصاء، اگر موضوعاً از افراد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بين اينكه اين دو به اختيار حاصل شده باشند يا آنكه به حسب خلقت چنين باشند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متيقن از مورد خيار، سبق اين عيبها بر عقد است؛ و در ثبوت خيار در مقارن با عقد يا لاحق قبل از وطى، تأمل است، اظهر عدم ثبوت است در موارد عدم تدليس</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3807177_1067777946"/>
      <w:bookmarkStart w:id="232" w:name="_Toc101"/>
      <w:bookmarkEnd w:id="231"/>
      <w:r>
        <w:rPr>
          <w:rtl w:val="true"/>
        </w:rPr>
        <w:t>عنن</w:t>
      </w:r>
      <w:bookmarkEnd w:id="232"/>
    </w:p>
    <w:p>
      <w:pPr>
        <w:pStyle w:val="BookText"/>
        <w:rPr/>
      </w:pPr>
      <w:r>
        <w:rPr>
          <w:rFonts w:ascii="IRNazanin" w:hAnsi="IRNazanin" w:eastAsia="IRNazanin"/>
          <w:color w:val="111111"/>
          <w:sz w:val="28"/>
          <w:sz w:val="28"/>
          <w:szCs w:val="28"/>
          <w:rtl w:val="true"/>
          <w:lang w:bidi="fa-IR"/>
        </w:rPr>
        <w:t xml:space="preserve">عنن كه مانع از ادخال است موجب خيار فسخ است در صورتى كه عجز مخصوص به يك زن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معلوم يا محتمل حصول خصوصيت مانعۀ در زن باشد، يا از مرد نسبت به 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ادخال حاصل نشود اگر چه يك دفعه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بين سابق بر عقد و متجدد نيست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اظهر عدم اختصاص در نفى اين عيب در مرد است نسبت به زنها، پس تردّد در آن قابل زوال است قبل از عرض بر زنهاى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كسى كه قادر بر وطى در دُبُر است، صاحب اين عيب نيست بنابر اظهر؛ و بنابر عدم جواز، حكم عجز از </w:t>
      </w:r>
      <w:bookmarkStart w:id="233" w:name="pg10265_89822"/>
    </w:p>
    <w:p>
      <w:pPr>
        <w:pStyle w:val="BookText"/>
        <w:rPr/>
      </w:pPr>
      <w:bookmarkEnd w:id="233"/>
      <w:r>
        <w:rPr>
          <w:rFonts w:ascii="IRNazanin" w:hAnsi="IRNazanin" w:eastAsia="IRNazanin"/>
          <w:color w:val="111111"/>
          <w:sz w:val="28"/>
          <w:sz w:val="28"/>
          <w:szCs w:val="28"/>
          <w:rtl w:val="true"/>
          <w:lang w:bidi="fa-IR"/>
        </w:rPr>
        <w:t>وطى در قُبُل، حكم عجز از وطى است به سبب عوارض خاصۀ ديگر از منفّرات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عارض شد بعد از عقد، درحالى كه بعد از عقد، زن ديگرى را وطى نموده بوده و نتوانست معقوده را وطى نمايد اگر چه يك مرتبه باشد، اظهر ثبوت خيار است براى معقوده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 راضى شد به بقاى زوجيّت با علم به اين عيب، خيار او ساقط است، و فسخ بعد از رضاى او مؤثر نيست</w:t>
      </w:r>
      <w:r>
        <w:rPr>
          <w:rFonts w:eastAsia="IRNazanin" w:cs="IRNazanin"/>
          <w:color w:val="111111"/>
          <w:sz w:val="28"/>
          <w:szCs w:val="28"/>
          <w:rtl w:val="true"/>
          <w:lang w:bidi="fa-IR"/>
        </w:rPr>
        <w:t>.</w:t>
      </w:r>
    </w:p>
    <w:p>
      <w:pPr>
        <w:pStyle w:val="Heading4"/>
        <w:numPr>
          <w:ilvl w:val="3"/>
          <w:numId w:val="1"/>
        </w:numPr>
        <w:rPr/>
      </w:pPr>
      <w:bookmarkStart w:id="234" w:name="__RefHeading___Toc3807179_1067777946"/>
      <w:bookmarkStart w:id="235" w:name="_Toc102"/>
      <w:bookmarkEnd w:id="234"/>
      <w:r>
        <w:rPr>
          <w:rtl w:val="true"/>
        </w:rPr>
        <w:t>عيوب ديگر مرد</w:t>
      </w:r>
      <w:bookmarkEnd w:id="235"/>
    </w:p>
    <w:p>
      <w:pPr>
        <w:pStyle w:val="Heading5"/>
        <w:numPr>
          <w:ilvl w:val="4"/>
          <w:numId w:val="1"/>
        </w:numPr>
        <w:rPr/>
      </w:pPr>
      <w:bookmarkStart w:id="236" w:name="__RefHeading___Toc3807181_1067777946"/>
      <w:bookmarkStart w:id="237" w:name="_Toc103"/>
      <w:bookmarkEnd w:id="236"/>
      <w:r>
        <w:rPr>
          <w:rtl w:val="true"/>
        </w:rPr>
        <w:t>عدم قدرت</w:t>
      </w:r>
      <w:bookmarkEnd w:id="237"/>
    </w:p>
    <w:p>
      <w:pPr>
        <w:pStyle w:val="BookText"/>
        <w:rPr/>
      </w:pPr>
      <w:r>
        <w:rPr>
          <w:rFonts w:ascii="IRNazanin" w:hAnsi="IRNazanin" w:eastAsia="IRNazanin"/>
          <w:color w:val="111111"/>
          <w:sz w:val="28"/>
          <w:sz w:val="28"/>
          <w:szCs w:val="28"/>
          <w:rtl w:val="true"/>
          <w:lang w:bidi="fa-IR"/>
        </w:rPr>
        <w:t>اظهر ثبوت خيار است با قطع آلت مردى، به حدى كه قدرت بر جماع نباشد اگر چه به ادخال مقدار حشفه باشد، كه در صورت قدرت، خيار ثابت نيست؛ و هم چنين در صورت حدوث به فعل خود زن، خيار نيست بنابر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ثبوت خيار است در صورت تجدّد اين امر بعد از عقد و قبل از وطى، اگر چه يك مرتبه باشد، چنانچه در عنن اختيار شد</w:t>
      </w:r>
      <w:r>
        <w:rPr>
          <w:rFonts w:eastAsia="IRNazanin" w:cs="IRNazanin"/>
          <w:color w:val="111111"/>
          <w:sz w:val="28"/>
          <w:szCs w:val="28"/>
          <w:rtl w:val="true"/>
          <w:lang w:bidi="fa-IR"/>
        </w:rPr>
        <w:t>.</w:t>
      </w:r>
    </w:p>
    <w:p>
      <w:pPr>
        <w:pStyle w:val="Heading5"/>
        <w:numPr>
          <w:ilvl w:val="4"/>
          <w:numId w:val="1"/>
        </w:numPr>
        <w:rPr/>
      </w:pPr>
      <w:bookmarkStart w:id="238" w:name="__RefHeading___Toc3807183_1067777946"/>
      <w:bookmarkStart w:id="239" w:name="_Toc104"/>
      <w:bookmarkEnd w:id="238"/>
      <w:r>
        <w:rPr>
          <w:rtl w:val="true"/>
        </w:rPr>
        <w:t>انكشاف خنثى بودن</w:t>
      </w:r>
      <w:bookmarkEnd w:id="239"/>
    </w:p>
    <w:p>
      <w:pPr>
        <w:pStyle w:val="BookText"/>
        <w:rPr/>
      </w:pPr>
      <w:r>
        <w:rPr>
          <w:rFonts w:ascii="IRNazanin" w:hAnsi="IRNazanin" w:eastAsia="IRNazanin"/>
          <w:color w:val="111111"/>
          <w:sz w:val="28"/>
          <w:sz w:val="28"/>
          <w:szCs w:val="28"/>
          <w:rtl w:val="true"/>
          <w:lang w:bidi="fa-IR"/>
        </w:rPr>
        <w:t>هر كدام از زن و شوهر ظاهر شد كه خنثاى غير مشكل است، يعنى مرد به حكم مرد، يا زن به حكم زن باشد، اختيار فسخ براى غير خنثى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خنثى مشكل باشد، نكاح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زن، واضح شد مرد بودنش يا مرد، واضح شد زن بودنش، يا آنكه خنثى باشد يا هر دو به عكس واضح شد، اظهر بطلان عقد است، و مى توانند بعد، تجديد عقد به عكس نمايند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عيب ديگر مرد، موجب خيار فسخ براى زوجه نمى شود؛ و ممكن است وجوب تمكين اگر ضررى است رفع بشود در امراض مسريه مثل برص و جذام اگر وطىْ موجب سرايت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عدم فرق بين دوام و انقطاع، در حكم متقدّم است</w:t>
      </w:r>
      <w:r>
        <w:rPr>
          <w:rFonts w:eastAsia="IRNazanin" w:cs="IRNazanin"/>
          <w:color w:val="111111"/>
          <w:sz w:val="28"/>
          <w:szCs w:val="28"/>
          <w:rtl w:val="true"/>
          <w:lang w:bidi="fa-IR"/>
        </w:rPr>
        <w:t xml:space="preserve">. </w:t>
      </w:r>
      <w:bookmarkStart w:id="240" w:name="pg10265_89823"/>
    </w:p>
    <w:p>
      <w:pPr>
        <w:pStyle w:val="Heading4"/>
        <w:numPr>
          <w:ilvl w:val="3"/>
          <w:numId w:val="1"/>
        </w:numPr>
        <w:rPr/>
      </w:pPr>
      <w:bookmarkStart w:id="241" w:name="__RefHeading___Toc3807185_1067777946"/>
      <w:bookmarkStart w:id="242" w:name="_Toc105"/>
      <w:bookmarkEnd w:id="240"/>
      <w:bookmarkEnd w:id="241"/>
      <w:r>
        <w:rPr>
          <w:rtl w:val="true"/>
        </w:rPr>
        <w:t>عيوب زن</w:t>
      </w:r>
      <w:bookmarkEnd w:id="242"/>
    </w:p>
    <w:p>
      <w:pPr>
        <w:pStyle w:val="Heading5"/>
        <w:numPr>
          <w:ilvl w:val="4"/>
          <w:numId w:val="1"/>
        </w:numPr>
        <w:rPr/>
      </w:pPr>
      <w:bookmarkStart w:id="243" w:name="__RefHeading___Toc3807187_1067777946"/>
      <w:bookmarkStart w:id="244" w:name="_Toc106"/>
      <w:bookmarkEnd w:id="243"/>
      <w:r>
        <w:rPr>
          <w:rtl w:val="true"/>
        </w:rPr>
        <w:t>جنون، جذام، برص</w:t>
      </w:r>
      <w:bookmarkEnd w:id="244"/>
    </w:p>
    <w:p>
      <w:pPr>
        <w:pStyle w:val="BookText"/>
        <w:rPr/>
      </w:pPr>
      <w:r>
        <w:rPr>
          <w:rFonts w:ascii="IRNazanin" w:hAnsi="IRNazanin" w:eastAsia="IRNazanin"/>
          <w:color w:val="111111"/>
          <w:sz w:val="28"/>
          <w:sz w:val="28"/>
          <w:szCs w:val="28"/>
          <w:rtl w:val="true"/>
          <w:lang w:bidi="fa-IR"/>
        </w:rPr>
        <w:t>از عيوب زن كه موجب تسلط مرد بر فسخ مى شود، جنون است به اطلاقى كه در جنون مرد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آنها جذام است، و از آنها برص است، و مرجع در تشخيص اينها عرف است؛ و با عدم تشخيص بعد از مراجعه به اهل اطلاع يا كتب ايشان، فسخ ثابت نيست</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3807189_1067777946"/>
      <w:bookmarkStart w:id="246" w:name="_Toc107"/>
      <w:bookmarkEnd w:id="245"/>
      <w:r>
        <w:rPr>
          <w:rtl w:val="true"/>
        </w:rPr>
        <w:t>قَرَن و عَفَل</w:t>
      </w:r>
      <w:bookmarkEnd w:id="246"/>
    </w:p>
    <w:p>
      <w:pPr>
        <w:pStyle w:val="BookText"/>
        <w:rPr/>
      </w:pPr>
      <w:r>
        <w:rPr>
          <w:rFonts w:ascii="Amiri" w:hAnsi="Amiri" w:eastAsia="Amiri" w:cs="Amiri"/>
          <w:color w:val="111111"/>
          <w:sz w:val="28"/>
          <w:sz w:val="28"/>
          <w:szCs w:val="28"/>
          <w:rtl w:val="true"/>
          <w:lang w:bidi="ar-SA"/>
        </w:rPr>
        <w:t xml:space="preserve">و از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زيادتى مخصوصى است در داخل 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از جماع يا از جماع به نحو متعارف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اتحاد آن با قَرَن و تعدد آنها، اختلاف است، و در نتيجه و حكم اتحاد دارند، و اظهر اتحاد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خيار ثابت است كه قَرَن و عَفَل، مانع از وطى يا از راحتى متعارف در آن باشد، وگرنه خيار نيست بنابر اظهر، كه مجرد صدقِ اسم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دخول كرد با علم، خيار ساقط است؛ و اگر دخول سبب علم باشد، اظهر ثبوت خيار است</w:t>
      </w:r>
      <w:r>
        <w:rPr>
          <w:rFonts w:eastAsia="IRNazanin" w:cs="IRNazanin"/>
          <w:color w:val="111111"/>
          <w:sz w:val="28"/>
          <w:szCs w:val="28"/>
          <w:rtl w:val="true"/>
          <w:lang w:bidi="fa-IR"/>
        </w:rPr>
        <w:t>.</w:t>
      </w:r>
    </w:p>
    <w:p>
      <w:pPr>
        <w:pStyle w:val="Heading5"/>
        <w:numPr>
          <w:ilvl w:val="4"/>
          <w:numId w:val="1"/>
        </w:numPr>
        <w:rPr/>
      </w:pPr>
      <w:bookmarkStart w:id="247" w:name="__RefHeading___Toc3807191_1067777946"/>
      <w:bookmarkStart w:id="248" w:name="_Toc108"/>
      <w:bookmarkEnd w:id="247"/>
      <w:r>
        <w:rPr>
          <w:rtl w:val="true"/>
        </w:rPr>
        <w:t>افضا، عمى، عرج، زمانت</w:t>
      </w:r>
      <w:bookmarkEnd w:id="248"/>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تفسير سابق، از موجبات تسلط بر فسخ است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مقدم بر عقد باشند، به حدى كه عرفاً عيب شمرده شوند،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اينكه اين دو مُقعِد و مانع از رفت و آمد باشند و محقّق باشند، يا آنكه زمانت غير ظاهره به شهادت زنها ثابت شود در صورتى كه غير زنها مطلع بر آن نمى شوند به حسب عادت براى خفى بودن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تسلط بر فسخ مى باشند</w:t>
      </w:r>
      <w:r>
        <w:rPr>
          <w:rFonts w:eastAsia="Amiri" w:cs="Amiri" w:ascii="Amiri" w:hAnsi="Amiri"/>
          <w:color w:val="111111"/>
          <w:sz w:val="28"/>
          <w:szCs w:val="28"/>
          <w:rtl w:val="true"/>
          <w:lang w:bidi="ar-SA"/>
        </w:rPr>
        <w:t xml:space="preserve">. </w:t>
      </w:r>
      <w:bookmarkStart w:id="249" w:name="pg10265_89824"/>
    </w:p>
    <w:p>
      <w:pPr>
        <w:pStyle w:val="Heading5"/>
        <w:numPr>
          <w:ilvl w:val="4"/>
          <w:numId w:val="1"/>
        </w:numPr>
        <w:rPr/>
      </w:pPr>
      <w:bookmarkStart w:id="250" w:name="__RefHeading___Toc3807193_1067777946"/>
      <w:bookmarkStart w:id="251" w:name="_Toc109"/>
      <w:bookmarkEnd w:id="249"/>
      <w:bookmarkEnd w:id="250"/>
      <w:r>
        <w:rPr>
          <w:rtl w:val="true"/>
        </w:rPr>
        <w:t>رتق</w:t>
      </w:r>
      <w:bookmarkEnd w:id="251"/>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مغايرت با عَفَل، مانند آن است در ايجاب خيار، نظر به آنكه در اين تقدير، مانع از وطى است، نه موجب عسر 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براى شخص زوج ممكن باشد وطى، نه براى متعارف، اظهر عدم خيار است؛ و اگر براى شخص ممتنع باشد نه براى متعارف، خيار خالى از تأمل نيست، و احتياج به طلاقْ محتمل است؛ به خلاف صورتى كه ممكن نيست براى متعارف و ممكن است براى غير متعارف و زوج از متعارف باشد</w:t>
      </w:r>
      <w:r>
        <w:rPr>
          <w:rFonts w:eastAsia="IRNazanin" w:cs="IRNazanin"/>
          <w:color w:val="111111"/>
          <w:sz w:val="28"/>
          <w:szCs w:val="28"/>
          <w:rtl w:val="true"/>
          <w:lang w:bidi="fa-IR"/>
        </w:rPr>
        <w:t>.</w:t>
      </w:r>
    </w:p>
    <w:p>
      <w:pPr>
        <w:pStyle w:val="Heading5"/>
        <w:numPr>
          <w:ilvl w:val="4"/>
          <w:numId w:val="1"/>
        </w:numPr>
        <w:rPr/>
      </w:pPr>
      <w:bookmarkStart w:id="252" w:name="__RefHeading___Toc3807195_1067777946"/>
      <w:bookmarkStart w:id="253" w:name="_Toc110"/>
      <w:bookmarkEnd w:id="252"/>
      <w:r>
        <w:rPr>
          <w:rtl w:val="true"/>
        </w:rPr>
        <w:t>عدم موجبيّت خيار به سبب عَوَر و زنا و محدوديّت به زنا</w:t>
      </w:r>
      <w:bookmarkEnd w:id="253"/>
    </w:p>
    <w:p>
      <w:pPr>
        <w:pStyle w:val="BookText"/>
        <w:rPr/>
      </w:pPr>
      <w:r>
        <w:rPr>
          <w:rFonts w:ascii="IRNazanin" w:hAnsi="IRNazanin" w:eastAsia="IRNazanin"/>
          <w:color w:val="111111"/>
          <w:sz w:val="28"/>
          <w:sz w:val="28"/>
          <w:szCs w:val="28"/>
          <w:rtl w:val="true"/>
          <w:lang w:bidi="fa-IR"/>
        </w:rPr>
        <w:t>و عَوَر و زنا، از زوجه يا مطلقاً، اگر چه لاحق به عقد باشد، موجب خيار نمى شوند؛ و هم چنين محدوديت به زنا، موجب خيار نمى شود</w:t>
      </w:r>
      <w:r>
        <w:rPr>
          <w:rFonts w:eastAsia="IRNazanin" w:cs="IRNazanin"/>
          <w:color w:val="111111"/>
          <w:sz w:val="28"/>
          <w:szCs w:val="28"/>
          <w:rtl w:val="true"/>
          <w:lang w:bidi="fa-IR"/>
        </w:rPr>
        <w:t>.</w:t>
      </w:r>
    </w:p>
    <w:p>
      <w:pPr>
        <w:pStyle w:val="Heading4"/>
        <w:numPr>
          <w:ilvl w:val="3"/>
          <w:numId w:val="1"/>
        </w:numPr>
        <w:rPr/>
      </w:pPr>
      <w:bookmarkStart w:id="254" w:name="__RefHeading___Toc3807197_1067777946"/>
      <w:bookmarkStart w:id="255" w:name="_Toc111"/>
      <w:bookmarkEnd w:id="254"/>
      <w:r>
        <w:rPr>
          <w:rtl w:val="true"/>
        </w:rPr>
        <w:t>در احكام عيوب متقدمه</w:t>
      </w:r>
      <w:bookmarkEnd w:id="255"/>
    </w:p>
    <w:p>
      <w:pPr>
        <w:pStyle w:val="Heading5"/>
        <w:numPr>
          <w:ilvl w:val="4"/>
          <w:numId w:val="1"/>
        </w:numPr>
        <w:rPr/>
      </w:pPr>
      <w:bookmarkStart w:id="256" w:name="__RefHeading___Toc3807199_1067777946"/>
      <w:bookmarkStart w:id="257" w:name="_Toc112"/>
      <w:bookmarkEnd w:id="256"/>
      <w:r>
        <w:rPr>
          <w:rtl w:val="true"/>
        </w:rPr>
        <w:t>زمان حدوث عيوبِ موجب خيار</w:t>
      </w:r>
      <w:bookmarkEnd w:id="2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عيوب حادثه در زن قبل از عقد، موجب خيار فسخ مى شود، و در مرد هم، چنانكه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حادثه بعد از عقد و وطى، موجب خيار نمى شود؛ و هم چنين متجدده بعد از عقد و قبل از وطى بنابر اظهر، مگر آنچه را كه گذشت در بعض عيوب زن يا مرد ذكر احتمال خيار با عدم سبق بر عقد يا وطى</w:t>
      </w:r>
      <w:r>
        <w:rPr>
          <w:rFonts w:eastAsia="IRNazanin" w:cs="IRNazanin"/>
          <w:color w:val="111111"/>
          <w:sz w:val="28"/>
          <w:szCs w:val="28"/>
          <w:rtl w:val="true"/>
          <w:lang w:bidi="fa-IR"/>
        </w:rPr>
        <w:t>.</w:t>
      </w:r>
    </w:p>
    <w:p>
      <w:pPr>
        <w:pStyle w:val="Heading5"/>
        <w:numPr>
          <w:ilvl w:val="4"/>
          <w:numId w:val="1"/>
        </w:numPr>
        <w:rPr/>
      </w:pPr>
      <w:bookmarkStart w:id="258" w:name="__RefHeading___Toc3807201_1067777946"/>
      <w:bookmarkStart w:id="259" w:name="_Toc113"/>
      <w:bookmarkEnd w:id="258"/>
      <w:r>
        <w:rPr>
          <w:rtl w:val="true"/>
        </w:rPr>
        <w:t>فوريّت خيار فسخ نكاح</w:t>
      </w:r>
      <w:bookmarkEnd w:id="25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خيار فسخ نكاح، براى مرد يا زن، فورى است؛ يعنى هر وقت خيار محقّق شد، تاخير آن سبب لغويت آن است؛ پس مدّعى خيار، فوراً فسخ مى نمايد، و بعد از اثبات خيار، ترتيب اثر بر فسخ سابق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جهل به خيار يا به فوريت آن، يا غفلت از يكى از آنها، يا منع از فسخ اگر چه به اكراه باشد، عذر است بنابر اظهر؛ و بعد از زوالِ يكى از اين عذرها، فوريت معتبر است</w:t>
      </w:r>
      <w:r>
        <w:rPr>
          <w:rFonts w:eastAsia="IRNazanin" w:cs="IRNazanin"/>
          <w:color w:val="111111"/>
          <w:sz w:val="28"/>
          <w:szCs w:val="28"/>
          <w:rtl w:val="true"/>
          <w:lang w:bidi="fa-IR"/>
        </w:rPr>
        <w:t>.</w:t>
      </w:r>
      <w:bookmarkStart w:id="260" w:name="pg10265_89825"/>
    </w:p>
    <w:p>
      <w:pPr>
        <w:pStyle w:val="Heading5"/>
        <w:numPr>
          <w:ilvl w:val="4"/>
          <w:numId w:val="1"/>
        </w:numPr>
        <w:rPr/>
      </w:pPr>
      <w:bookmarkStart w:id="261" w:name="__RefHeading___Toc3807203_1067777946"/>
      <w:bookmarkStart w:id="262" w:name="_Toc114"/>
      <w:bookmarkEnd w:id="260"/>
      <w:bookmarkEnd w:id="261"/>
      <w:r>
        <w:rPr>
          <w:rtl w:val="true"/>
        </w:rPr>
        <w:t>طلاق نبودن فسخ</w:t>
      </w:r>
      <w:bookmarkEnd w:id="26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فسخ به عيب، طلاق نيست، و مطّرد نيست با آن تنصيف مهر، بلكه محتاج در مواردش به دليل خاص است، و از جمله طلاقهاى سه گانه محسوب نمى شود</w:t>
      </w:r>
      <w:r>
        <w:rPr>
          <w:rFonts w:eastAsia="IRNazanin" w:cs="IRNazanin"/>
          <w:color w:val="111111"/>
          <w:sz w:val="28"/>
          <w:szCs w:val="28"/>
          <w:rtl w:val="true"/>
          <w:lang w:bidi="fa-IR"/>
        </w:rPr>
        <w:t>.</w:t>
      </w:r>
    </w:p>
    <w:p>
      <w:pPr>
        <w:pStyle w:val="Heading5"/>
        <w:numPr>
          <w:ilvl w:val="4"/>
          <w:numId w:val="1"/>
        </w:numPr>
        <w:rPr/>
      </w:pPr>
      <w:bookmarkStart w:id="263" w:name="__RefHeading___Toc3807205_1067777946"/>
      <w:bookmarkStart w:id="264" w:name="_Toc115"/>
      <w:bookmarkEnd w:id="263"/>
      <w:r>
        <w:rPr>
          <w:rtl w:val="true"/>
        </w:rPr>
        <w:t>اختصاص مباشرت فسخ به صاحب خيار</w:t>
      </w:r>
      <w:bookmarkEnd w:id="26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مباشرت فسخ با صاحب خيار است، نه با حاكم، اگر چه در نزاع، فصل خصومت با مراجعه به حاكم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ضرب اجل، بعد از ثابت شدن عنن، مراجعه به حاكم و با تعيين او محدود مى شود؛ و بعد از انقضاى مدت و عدم وطى، خود زوجه، مباشرت فسخ مى نمايد</w:t>
      </w:r>
      <w:r>
        <w:rPr>
          <w:rFonts w:eastAsia="IRNazanin" w:cs="IRNazanin"/>
          <w:color w:val="111111"/>
          <w:sz w:val="28"/>
          <w:szCs w:val="28"/>
          <w:rtl w:val="true"/>
          <w:lang w:bidi="fa-IR"/>
        </w:rPr>
        <w:t>.</w:t>
      </w:r>
    </w:p>
    <w:p>
      <w:pPr>
        <w:pStyle w:val="Heading5"/>
        <w:numPr>
          <w:ilvl w:val="4"/>
          <w:numId w:val="1"/>
        </w:numPr>
        <w:rPr/>
      </w:pPr>
      <w:bookmarkStart w:id="265" w:name="__RefHeading___Toc3807207_1067777946"/>
      <w:bookmarkStart w:id="266" w:name="_Toc116"/>
      <w:bookmarkEnd w:id="265"/>
      <w:r>
        <w:rPr>
          <w:rtl w:val="true"/>
        </w:rPr>
        <w:t>اختلاف در عيب</w:t>
      </w:r>
      <w:bookmarkEnd w:id="26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صورت اختلاف در عيب، حاكم با موازين فصل خصومت، حكم مى نمايد، مثل ساير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صورت خفاى عيب و نبودن بيّنۀ مدّعىِ عيب، منكر عيب قول او مقدم است، و قضا با رعايت ساير موازين مى شود</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3807209_1067777946"/>
      <w:bookmarkStart w:id="268" w:name="_Toc117"/>
      <w:bookmarkEnd w:id="267"/>
      <w:r>
        <w:rPr>
          <w:rtl w:val="true"/>
        </w:rPr>
        <w:t>استحقاق و عدم استحقاق مهر در فرض فسخ زوج</w:t>
      </w:r>
      <w:bookmarkEnd w:id="26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فسخ نكاح به يكى از عيوب سابقۀ موجبۀ خيار فسخ، واقع شد از جانب مرد قبل از دخول، استحقاق مهر براى زن ثابت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فسخ بعد از دخول باشد، استحقاق مهر مسمّى ثابت است، و رجوع به مدلّس مى نمايد اگر تدليس واقع شده باشد</w:t>
      </w:r>
      <w:r>
        <w:rPr>
          <w:rFonts w:eastAsia="IRNazanin" w:cs="IRNazanin"/>
          <w:color w:val="111111"/>
          <w:sz w:val="28"/>
          <w:szCs w:val="28"/>
          <w:rtl w:val="true"/>
          <w:lang w:bidi="fa-IR"/>
        </w:rPr>
        <w:t>.</w:t>
      </w:r>
    </w:p>
    <w:p>
      <w:pPr>
        <w:pStyle w:val="Heading5"/>
        <w:numPr>
          <w:ilvl w:val="4"/>
          <w:numId w:val="1"/>
        </w:numPr>
        <w:rPr/>
      </w:pPr>
      <w:bookmarkStart w:id="269" w:name="__RefHeading___Toc3807211_1067777946"/>
      <w:bookmarkStart w:id="270" w:name="_Toc118"/>
      <w:bookmarkEnd w:id="269"/>
      <w:r>
        <w:rPr>
          <w:rtl w:val="true"/>
        </w:rPr>
        <w:t>اختلاف در تدليس</w:t>
      </w:r>
      <w:bookmarkEnd w:id="27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ولىّ زوجه انكار علم و تدليس او نمود و ممكن بود در بارۀ او، بايد زوج اقامۀ بيّنه بر آن نمايد؛ و اگر بيّنه نداشت مى تواند احلاف نمايد ولىّ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قسم خورد رجوع مى نمايد زوج بر زن، براى آنكه اعلام نكرده بوده به عيب، ولى يا زوج </w:t>
      </w:r>
      <w:bookmarkStart w:id="271" w:name="pg10265_89826"/>
    </w:p>
    <w:p>
      <w:pPr>
        <w:pStyle w:val="BookText"/>
        <w:rPr/>
      </w:pPr>
      <w:bookmarkEnd w:id="271"/>
      <w:r>
        <w:rPr>
          <w:rFonts w:ascii="IRNazanin" w:hAnsi="IRNazanin" w:eastAsia="IRNazanin"/>
          <w:color w:val="111111"/>
          <w:sz w:val="28"/>
          <w:sz w:val="28"/>
          <w:szCs w:val="28"/>
          <w:rtl w:val="true"/>
          <w:lang w:bidi="fa-IR"/>
        </w:rPr>
        <w:t>را؛ و اگر ادّعاى اعلام نمود، محتمل است حلف زوج اگر زن بيّنه بر اعلام نداشت؛ و آنكه اگر نكول كرد يا رد يمين نمود، زن قسم بخورد و رجوع او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اىّ تقدير حكم واقعى تدليس، رجوع به مدلّس، يا عدم استحقاق مدلّسه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مدلّسى نبود، مثل اينكه كسى نمى دانست، حتى زن، به واسطۀ خفاى عيب او، يا جهل به عيب بودن آن، به كسى زوج رجوع نمى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رجوع به سبب تدليس، چيزى از مهر استثنا نمى شود براى 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فرقى در احكام مذكوره، بين عيب سابق بر عقد و لاحق نيست،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فرقى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 بر دخول و لاحق نيست، در صورت ثبوت حق خيار فسخ</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3807213_1067777946"/>
      <w:bookmarkStart w:id="273" w:name="_Toc119"/>
      <w:bookmarkEnd w:id="272"/>
      <w:r>
        <w:rPr>
          <w:rtl w:val="true"/>
        </w:rPr>
        <w:t>استحقاق و عدم استحقاق مهر در فرض فسخ زوجه</w:t>
      </w:r>
      <w:bookmarkEnd w:id="273"/>
    </w:p>
    <w:p>
      <w:pPr>
        <w:pStyle w:val="BookText"/>
        <w:rPr/>
      </w:pPr>
      <w:r>
        <w:rPr>
          <w:rFonts w:ascii="IRNazanin" w:hAnsi="IRNazanin" w:eastAsia="IRNazanin"/>
          <w:color w:val="111111"/>
          <w:sz w:val="28"/>
          <w:sz w:val="28"/>
          <w:szCs w:val="28"/>
          <w:rtl w:val="true"/>
          <w:lang w:bidi="fa-IR"/>
        </w:rPr>
        <w:t>و هم چنين اگر فسخ از جانب زوجه شد قبل از دخول، استحقاق مهر ندارد، و خواهد حكم عنن مذكور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دخول بود، استحقاق مهر مسمّى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فسخ زن به سبب خصاء بود بعد از دخول محقَّق، استحقاق تمام مهر را دارد</w:t>
      </w:r>
      <w:r>
        <w:rPr>
          <w:rFonts w:eastAsia="IRNazanin" w:cs="IRNazanin"/>
          <w:color w:val="111111"/>
          <w:sz w:val="28"/>
          <w:szCs w:val="28"/>
          <w:rtl w:val="true"/>
          <w:lang w:bidi="fa-IR"/>
        </w:rPr>
        <w:t>.</w:t>
      </w:r>
    </w:p>
    <w:p>
      <w:pPr>
        <w:pStyle w:val="Heading5"/>
        <w:numPr>
          <w:ilvl w:val="4"/>
          <w:numId w:val="1"/>
        </w:numPr>
        <w:rPr/>
      </w:pPr>
      <w:bookmarkStart w:id="274" w:name="__RefHeading___Toc3807215_1067777946"/>
      <w:bookmarkStart w:id="275" w:name="_Toc120"/>
      <w:bookmarkEnd w:id="274"/>
      <w:r>
        <w:rPr>
          <w:rtl w:val="true"/>
        </w:rPr>
        <w:t>مواقعه قبل از علم به عيب و تاثير آن در سقوط خيار</w:t>
      </w:r>
      <w:bookmarkEnd w:id="275"/>
    </w:p>
    <w:p>
      <w:pPr>
        <w:pStyle w:val="BookText"/>
        <w:rPr/>
      </w:pPr>
      <w:r>
        <w:rPr>
          <w:rFonts w:ascii="IRNazanin" w:hAnsi="IRNazanin" w:eastAsia="IRNazanin"/>
          <w:color w:val="111111"/>
          <w:sz w:val="28"/>
          <w:sz w:val="28"/>
          <w:szCs w:val="28"/>
          <w:rtl w:val="true"/>
          <w:lang w:bidi="fa-IR"/>
        </w:rPr>
        <w:t>مواقعۀ قبل از علم به عيب، مسقط خيار در زوج يا زوجه نيست؛ و بعد از علم، مسقط خيار است با كشف از رضا به 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كشف وطى است، از ملتفت عالم، از رضا به بقاى نكاح و از ضدّ فسخ؛ و هم چنين هر فعلى كه اين كشف را داشته باشد، مثل تقبيل و نحو آن با عدم اقتران به صارفى از ظهور فعل از ضدّ فسخ</w:t>
      </w:r>
      <w:r>
        <w:rPr>
          <w:rFonts w:eastAsia="IRNazanin" w:cs="IRNazanin"/>
          <w:color w:val="111111"/>
          <w:sz w:val="28"/>
          <w:szCs w:val="28"/>
          <w:rtl w:val="true"/>
          <w:lang w:bidi="fa-IR"/>
        </w:rPr>
        <w:t>.</w:t>
      </w:r>
    </w:p>
    <w:p>
      <w:pPr>
        <w:pStyle w:val="Heading5"/>
        <w:numPr>
          <w:ilvl w:val="4"/>
          <w:numId w:val="1"/>
        </w:numPr>
        <w:rPr/>
      </w:pPr>
      <w:bookmarkStart w:id="276" w:name="__RefHeading___Toc3807217_1067777946"/>
      <w:bookmarkStart w:id="277" w:name="_Toc121"/>
      <w:bookmarkEnd w:id="276"/>
      <w:r>
        <w:rPr>
          <w:rtl w:val="true"/>
        </w:rPr>
        <w:t>مانعيّت علم به عيب قبل از عقد، از فسخ</w:t>
      </w:r>
      <w:bookmarkEnd w:id="277"/>
    </w:p>
    <w:p>
      <w:pPr>
        <w:pStyle w:val="BookText"/>
        <w:rPr/>
      </w:pPr>
      <w:r>
        <w:rPr>
          <w:rFonts w:ascii="Amiri" w:hAnsi="Amiri" w:eastAsia="Amiri" w:cs="Amiri"/>
          <w:color w:val="111111"/>
          <w:sz w:val="28"/>
          <w:sz w:val="28"/>
          <w:szCs w:val="28"/>
          <w:rtl w:val="true"/>
          <w:lang w:bidi="ar-SA"/>
        </w:rPr>
        <w:t>و علم به عيب قبل از عقد، مانع از ثبوت خيار است</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3807219_1067777946"/>
      <w:bookmarkStart w:id="279" w:name="_Toc122"/>
      <w:bookmarkEnd w:id="278"/>
      <w:r>
        <w:rPr>
          <w:rtl w:val="true"/>
        </w:rPr>
        <w:t>فرض رضاى به عيب و اتساع يا حدوث مجدّد</w:t>
      </w:r>
      <w:bookmarkEnd w:id="27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راضى به عيبى شد، بعد متّسع شد آن عيب، يا در محل ديگر هم حادث شد، </w:t>
      </w:r>
      <w:bookmarkStart w:id="280" w:name="pg10265_89827"/>
    </w:p>
    <w:p>
      <w:pPr>
        <w:pStyle w:val="BookText"/>
        <w:rPr/>
      </w:pPr>
      <w:bookmarkEnd w:id="280"/>
      <w:r>
        <w:rPr>
          <w:rFonts w:ascii="IRNazanin" w:hAnsi="IRNazanin" w:eastAsia="IRNazanin"/>
          <w:color w:val="111111"/>
          <w:sz w:val="28"/>
          <w:sz w:val="28"/>
          <w:szCs w:val="28"/>
          <w:rtl w:val="true"/>
          <w:lang w:bidi="fa-IR"/>
        </w:rPr>
        <w:t>اظهر ايجاب خيار است در صورتى كه اگر سابق نبود لاحق ايجاب خيار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 واضح است حكم عيب مغاير در سنخ اگر بعد از رضا به عيب سابق حادث شود</w:t>
      </w:r>
      <w:r>
        <w:rPr>
          <w:rFonts w:eastAsia="IRNazanin" w:cs="IRNazanin"/>
          <w:color w:val="111111"/>
          <w:sz w:val="28"/>
          <w:szCs w:val="28"/>
          <w:rtl w:val="true"/>
          <w:lang w:bidi="fa-IR"/>
        </w:rPr>
        <w:t>.</w:t>
      </w:r>
    </w:p>
    <w:p>
      <w:pPr>
        <w:pStyle w:val="Heading5"/>
        <w:numPr>
          <w:ilvl w:val="4"/>
          <w:numId w:val="1"/>
        </w:numPr>
        <w:rPr/>
      </w:pPr>
      <w:bookmarkStart w:id="281" w:name="__RefHeading___Toc3807221_1067777946"/>
      <w:bookmarkStart w:id="282" w:name="_Toc123"/>
      <w:bookmarkEnd w:id="281"/>
      <w:r>
        <w:rPr>
          <w:rtl w:val="true"/>
        </w:rPr>
        <w:t>اقامۀ بينه در فرض خفاى عيب</w:t>
      </w:r>
      <w:bookmarkEnd w:id="282"/>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مدّعى عيب خفىّ در طرف، بر او است اقامۀ بيّنه، و بر طرف قسم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بيّنه آن معتبر است اهل اطلاع و خبره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امورى كه غالباً علم به آن مختص به صاحب عيب است غالباً، مثل عنن، سماع بيّنه در آنها، مورد تأمل است</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3807223_1067777946"/>
      <w:bookmarkStart w:id="284" w:name="_Toc124"/>
      <w:bookmarkEnd w:id="283"/>
      <w:r>
        <w:rPr>
          <w:rtl w:val="true"/>
        </w:rPr>
        <w:t>راههاى اثبات عنن</w:t>
      </w:r>
      <w:bookmarkEnd w:id="284"/>
    </w:p>
    <w:p>
      <w:pPr>
        <w:pStyle w:val="BookText"/>
        <w:rPr/>
      </w:pPr>
      <w:r>
        <w:rPr>
          <w:rFonts w:ascii="IRNazanin" w:hAnsi="IRNazanin" w:eastAsia="IRNazanin"/>
          <w:color w:val="111111"/>
          <w:sz w:val="28"/>
          <w:sz w:val="28"/>
          <w:szCs w:val="28"/>
          <w:rtl w:val="true"/>
          <w:lang w:bidi="fa-IR"/>
        </w:rPr>
        <w:t>و با اقرار زوج؛ يا بيّنه بر اقرار؛ يا يمين مردوده بنابر احتمالى؛ يا نكول از يمين بنابر عدم حاجت در قضاى بعد از نكول، به رد يمين، عنن ثابت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هيچ كدام نبود در ادّعاى زن، بر مرد يمين است؛ و در حكم به يمين مردوده، تأمل است؛ و موافقت آن با بيّنه، در قبول و عدم، اقرب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ادّعاى بكر عنن را، يا ترك وطى را، استعلام به توسّط زنها مى شود</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3807225_1067777946"/>
      <w:bookmarkStart w:id="286" w:name="_Toc125"/>
      <w:bookmarkEnd w:id="285"/>
      <w:r>
        <w:rPr>
          <w:rtl w:val="true"/>
        </w:rPr>
        <w:t>ادّعاى قدرت توسط مرد</w:t>
      </w:r>
      <w:bookmarkEnd w:id="286"/>
    </w:p>
    <w:p>
      <w:pPr>
        <w:pStyle w:val="BookText"/>
        <w:rPr/>
      </w:pPr>
      <w:r>
        <w:rPr>
          <w:rFonts w:ascii="IRNazanin" w:hAnsi="IRNazanin" w:eastAsia="IRNazanin"/>
          <w:color w:val="111111"/>
          <w:sz w:val="28"/>
          <w:sz w:val="28"/>
          <w:szCs w:val="28"/>
          <w:rtl w:val="true"/>
          <w:lang w:bidi="fa-IR"/>
        </w:rPr>
        <w:t>و بعد از ثابت شدن ترك مجامعت يا عنين بودن، و تأجيل حاكم تا يك سال بعد از مرافعه، اگر مرد ادّعاى مجامعت كرد، اظهر قبول قولش با يمين است، و اينكه بر او اقامۀ بيّنه نيست، حتى در صورتى كه ثابت شده باشد عنين بودن قبل از مرافعه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مطلق نزاع در عنن يا ترك وطى، اختبار و استعلام ممكن و مناسب، مقدّم است بر قطع خصومت با يمين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تقديم قول زوج در وطى زن يا زنى ديگر يا دبر زن، بين مذكورات فرقى نيست؛ و در صورت امكان استعلام و عدم تعذّر و تعسّر اطلاع مفيد علم يا اطمينان، قطع خصومت با يمين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قطع خصومت با تشخيص </w:t>
      </w:r>
      <w:bookmarkStart w:id="287" w:name="pg10265_89828"/>
    </w:p>
    <w:p>
      <w:pPr>
        <w:pStyle w:val="BookText"/>
        <w:rPr/>
      </w:pPr>
      <w:bookmarkEnd w:id="287"/>
      <w:r>
        <w:rPr>
          <w:rFonts w:ascii="IRNazanin" w:hAnsi="IRNazanin" w:eastAsia="IRNazanin"/>
          <w:color w:val="111111"/>
          <w:sz w:val="28"/>
          <w:sz w:val="28"/>
          <w:szCs w:val="28"/>
          <w:rtl w:val="true"/>
          <w:lang w:bidi="fa-IR"/>
        </w:rPr>
        <w:t>مدّعى و يمين منكر، زوج منكر است در صورتهاى متقدمه، چنانكه گذشت</w:t>
      </w:r>
      <w:r>
        <w:rPr>
          <w:rFonts w:eastAsia="IRNazanin" w:cs="IRNazanin"/>
          <w:color w:val="111111"/>
          <w:sz w:val="28"/>
          <w:szCs w:val="28"/>
          <w:rtl w:val="true"/>
          <w:lang w:bidi="fa-IR"/>
        </w:rPr>
        <w:t>.</w:t>
      </w:r>
    </w:p>
    <w:p>
      <w:pPr>
        <w:pStyle w:val="Heading5"/>
        <w:numPr>
          <w:ilvl w:val="4"/>
          <w:numId w:val="1"/>
        </w:numPr>
        <w:rPr/>
      </w:pPr>
      <w:bookmarkStart w:id="288" w:name="__RefHeading___Toc3807227_1067777946"/>
      <w:bookmarkStart w:id="289" w:name="_Toc126"/>
      <w:bookmarkEnd w:id="288"/>
      <w:r>
        <w:rPr>
          <w:rtl w:val="true"/>
        </w:rPr>
        <w:t>سقوط خيار با صبر و اسقاط آن</w:t>
      </w:r>
      <w:bookmarkEnd w:id="289"/>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ثابت شدن عنن، اگر صبر كرد زن با علم به موضوع و حكم، و اسقاط خيار نمود، ساقط مى شود و پس از آن خيارى نيست براى او در فسخ، چه آنكه قبل از سال معيّن به تعيين حاكم باشد، يا در اثناى آن، يا بعد از آن قبل از فسخ؛ بلكه قبل از ثابت شدن عيب، اسقاط بر تقدير ثبوت، مؤثر است در سقوط بر تقدير ثبوت بنابر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صبر او تأخير در مرافعه باشد، نه اسقاط خيار به رضاى به عيب، پس اگر چه چنين صبرى مسقط خيار نيست، لكن ثبوت خيار با چنين تاخيرى تا بعد از يك سال كه مبدأ آن مرافعۀ متأخّره بدون عذر باشد و به غير مقدار متعارف در حضور نزد حاكم و احضار او براى حكم به عنن و تأجيل سال، مشكل است؛ و محتمل است تحديد حاكم سال را، مبدأ آن عنن واقعى و راجع به تمديد در بقيۀ سال باشد؛ و احتياط در تفاوت بين دو سالى كه مبدأ آن عنن يا مرافعه است، نسبت به فاسخ و مفسوخ عليه ترك نشود، اگر چه حاكم به نظر خودش يكى را اختيار نمايد در تأجيل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زن صبر نكرد و مرافعۀ نزد حاكم نمود، حاكم تا يك سال مدت قرار مى دهد از زمان عنن يا ترك وطى، يا از زمان مرافعه؛ پس از تمام شدن سال، اگر در اين مدت زنى را وطى نمود و ثابت شد، خيار فسخ براى زوجۀ مرافعه كننده نيست، وگرنه اختيار فسخ 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گذشت كه اين عيب، در آن، فرقى بين سابق بر عقد و متجدد بعد از آن نيست؛ در هر صورت موجب خيار فسخ مى شود به نحو مذكور</w:t>
      </w:r>
      <w:r>
        <w:rPr>
          <w:rFonts w:eastAsia="IRNazanin" w:cs="IRNazanin"/>
          <w:color w:val="111111"/>
          <w:sz w:val="28"/>
          <w:szCs w:val="28"/>
          <w:rtl w:val="true"/>
          <w:lang w:bidi="fa-IR"/>
        </w:rPr>
        <w:t xml:space="preserve">. </w:t>
      </w:r>
      <w:bookmarkStart w:id="290" w:name="pg10265_89829"/>
    </w:p>
    <w:p>
      <w:pPr>
        <w:pStyle w:val="Heading5"/>
        <w:numPr>
          <w:ilvl w:val="4"/>
          <w:numId w:val="1"/>
        </w:numPr>
        <w:rPr/>
      </w:pPr>
      <w:bookmarkStart w:id="291" w:name="__RefHeading___Toc3807229_1067777946"/>
      <w:bookmarkStart w:id="292" w:name="_Toc127"/>
      <w:bookmarkEnd w:id="290"/>
      <w:bookmarkEnd w:id="291"/>
      <w:r>
        <w:rPr>
          <w:rtl w:val="true"/>
        </w:rPr>
        <w:t>اقلّ آنچه با آن عنن منتفى مى شود</w:t>
      </w:r>
      <w:bookmarkEnd w:id="292"/>
    </w:p>
    <w:p>
      <w:pPr>
        <w:pStyle w:val="BookText"/>
        <w:rPr/>
      </w:pPr>
      <w:r>
        <w:rPr>
          <w:rFonts w:ascii="Amiri" w:hAnsi="Amiri" w:eastAsia="Amiri" w:cs="Amiri"/>
          <w:color w:val="111111"/>
          <w:sz w:val="28"/>
          <w:sz w:val="28"/>
          <w:szCs w:val="28"/>
          <w:rtl w:val="true"/>
          <w:lang w:bidi="ar-SA"/>
        </w:rPr>
        <w:t>و حكم عنن با غيبوبت حشفه، بلكه مطلق التقاى ختانين به محاذات تمام حشفه با اطراف فرج، ساقط مى شود، و ثابت مى شود تمام احكام وطى، در مقابل ايقاب كه فى الجمله حكم دارد و ادخال تمام كه اثرى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مقطوع الحشفه، اعتبار قدر حشفه نه اكتفاى به مطلق ادخال يا لزوم ادخال تمام، خالى از رجحان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بعد از فسخ با عدم دخول، استحقاق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Heading5"/>
        <w:numPr>
          <w:ilvl w:val="4"/>
          <w:numId w:val="1"/>
        </w:numPr>
        <w:rPr/>
      </w:pPr>
      <w:bookmarkStart w:id="293" w:name="__RefHeading___Toc3807231_1067777946"/>
      <w:bookmarkStart w:id="294" w:name="_Toc128"/>
      <w:bookmarkEnd w:id="293"/>
      <w:r>
        <w:rPr>
          <w:rtl w:val="true"/>
        </w:rPr>
        <w:t>نحوۀ اثبات عيوب غير از عنن</w:t>
      </w:r>
      <w:bookmarkEnd w:id="294"/>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غير عنن از عيوب متقدمه، ثابت مى شود با اقرار، و يمين مردوده، و نكول به احتمالى در آن، و شهادت دو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عيوب باطنۀ زنها، ثابت مى شوند با شهادت چهار زن با عدالت</w:t>
      </w:r>
      <w:r>
        <w:rPr>
          <w:rFonts w:eastAsia="IRNazanin" w:cs="IRNazanin"/>
          <w:color w:val="111111"/>
          <w:sz w:val="28"/>
          <w:szCs w:val="28"/>
          <w:rtl w:val="true"/>
          <w:lang w:bidi="fa-IR"/>
        </w:rPr>
        <w:t>.</w:t>
      </w:r>
    </w:p>
    <w:p>
      <w:pPr>
        <w:pStyle w:val="Heading5"/>
        <w:numPr>
          <w:ilvl w:val="4"/>
          <w:numId w:val="1"/>
        </w:numPr>
        <w:rPr/>
      </w:pPr>
      <w:bookmarkStart w:id="295" w:name="__RefHeading___Toc3807233_1067777946"/>
      <w:bookmarkStart w:id="296" w:name="_Toc129"/>
      <w:bookmarkEnd w:id="295"/>
      <w:r>
        <w:rPr>
          <w:rtl w:val="true"/>
        </w:rPr>
        <w:t>ثبوت خيار براى زوجين</w:t>
      </w:r>
      <w:bookmarkEnd w:id="296"/>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هر كدام از زوجين، عيبى مجوّز فسخ داشت، براى هر دو خيار است؛ و در عيبهاى مشترك در اثر، مثل رتق و خصاء، تأمل است؛ زيرا با فسخ رفع ضرر نمى شود</w:t>
      </w:r>
      <w:r>
        <w:rPr>
          <w:rFonts w:eastAsia="IRNazanin" w:cs="IRNazanin"/>
          <w:color w:val="111111"/>
          <w:sz w:val="28"/>
          <w:szCs w:val="28"/>
          <w:rtl w:val="true"/>
          <w:lang w:bidi="fa-IR"/>
        </w:rPr>
        <w:t>.</w:t>
      </w:r>
    </w:p>
    <w:p>
      <w:pPr>
        <w:pStyle w:val="Heading5"/>
        <w:numPr>
          <w:ilvl w:val="4"/>
          <w:numId w:val="1"/>
        </w:numPr>
        <w:rPr/>
      </w:pPr>
      <w:bookmarkStart w:id="297" w:name="__RefHeading___Toc3807235_1067777946"/>
      <w:bookmarkStart w:id="298" w:name="_Toc130"/>
      <w:bookmarkEnd w:id="297"/>
      <w:r>
        <w:rPr>
          <w:rtl w:val="true"/>
        </w:rPr>
        <w:t>علم به عيب بعد از طلاقِ قبل از دخول</w:t>
      </w:r>
      <w:bookmarkEnd w:id="298"/>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قبل از دخول، طلاق داد، بعد عالم به عيب شد، آنچه با طلاق ثابت شده ساقط نمى شود، و فسخ هم محلى ندارد؛ وهم چنين است طلاق بعد از دخول و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رجعى در عده، فسخ مورد تأمل است، و عدم ثبوت آن براى تعجيل بينونت و لوازم آن خالى از وجه نيست؛ و اگر بعد از علم رجوع كرد، فسخ منتفى است؛ و اگر بعد از رجوع، عالم به عيب شد، فسخ ثابت است</w:t>
      </w:r>
      <w:r>
        <w:rPr>
          <w:rFonts w:eastAsia="IRNazanin" w:cs="IRNazanin"/>
          <w:color w:val="111111"/>
          <w:sz w:val="28"/>
          <w:szCs w:val="28"/>
          <w:rtl w:val="true"/>
          <w:lang w:bidi="fa-IR"/>
        </w:rPr>
        <w:t xml:space="preserve">. </w:t>
      </w:r>
      <w:bookmarkStart w:id="299" w:name="pg10265_89830"/>
    </w:p>
    <w:p>
      <w:pPr>
        <w:pStyle w:val="Heading5"/>
        <w:numPr>
          <w:ilvl w:val="4"/>
          <w:numId w:val="1"/>
        </w:numPr>
        <w:rPr/>
      </w:pPr>
      <w:bookmarkStart w:id="300" w:name="__RefHeading___Toc3807237_1067777946"/>
      <w:bookmarkStart w:id="301" w:name="_Toc131"/>
      <w:bookmarkEnd w:id="299"/>
      <w:bookmarkEnd w:id="300"/>
      <w:r>
        <w:rPr>
          <w:rtl w:val="true"/>
        </w:rPr>
        <w:t>ثبوت خيار عيب براى ولى</w:t>
      </w:r>
      <w:bookmarkEnd w:id="301"/>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اظهر ثبوت خيار عيب متقدّم براى ولى زوج يا زوجه است؛ و بر تقدير امضا، اختيارى براى خودشان بعد از كمال ايشان نيست</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3807239_1067777946"/>
      <w:bookmarkStart w:id="303" w:name="_Toc132"/>
      <w:bookmarkEnd w:id="302"/>
      <w:r>
        <w:rPr>
          <w:rtl w:val="true"/>
        </w:rPr>
        <w:t>تدليس و احكام آن</w:t>
      </w:r>
      <w:bookmarkEnd w:id="303"/>
    </w:p>
    <w:p>
      <w:pPr>
        <w:pStyle w:val="Heading5"/>
        <w:numPr>
          <w:ilvl w:val="4"/>
          <w:numId w:val="1"/>
        </w:numPr>
        <w:rPr/>
      </w:pPr>
      <w:bookmarkStart w:id="304" w:name="__RefHeading___Toc3807241_1067777946"/>
      <w:bookmarkStart w:id="305" w:name="_Toc133"/>
      <w:bookmarkEnd w:id="304"/>
      <w:r>
        <w:rPr>
          <w:rtl w:val="true"/>
        </w:rPr>
        <w:t>نحوۀ تحقق تدليس</w:t>
      </w:r>
      <w:bookmarkEnd w:id="305"/>
    </w:p>
    <w:p>
      <w:pPr>
        <w:pStyle w:val="BookText"/>
        <w:rPr/>
      </w:pPr>
      <w:r>
        <w:rPr>
          <w:rFonts w:ascii="IRNazanin" w:hAnsi="IRNazanin" w:eastAsia="IRNazanin"/>
          <w:color w:val="111111"/>
          <w:sz w:val="28"/>
          <w:sz w:val="28"/>
          <w:szCs w:val="28"/>
          <w:rtl w:val="true"/>
          <w:lang w:bidi="fa-IR"/>
        </w:rPr>
        <w:t>محقّق مى شود تدليس و احكام آن مرتّب مى شود با سكوت در نكاح از عيب متقدّم با علم به آن، چه آنكه ذكر و توصيف سلامت از آن عيب خصوصاً يا عموماً بنمايد يا نه بنابر اظهر، در صورت انصراف اطلاق به سلامت از آن عيب به نحوى كه در قوۀ توصيف به سلامت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اخبارِ زوجه به صحّت از براى غير تزويج يا از براى غير زوج و ولىّ او و واسطۀ او، محقّق تدليس نيست؛ و هم چنين در زوج براى غير زوجه و مربوط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عاقد، از جملۀ وسايط محسوب مى شود اگر غير زوجين باشد و ولى عرفى باشد نه مباشر اجراى صيغه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كمال و نقص، تأثير تدليس در مهر، به واسطۀ توصيف به آزادى است كه بعد معلوم شود كنيز بوده، يا شرط بكارت است كه ظاهر شود زوال آن</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3807243_1067777946"/>
      <w:bookmarkStart w:id="307" w:name="_Toc134"/>
      <w:bookmarkEnd w:id="306"/>
      <w:r>
        <w:rPr>
          <w:rtl w:val="true"/>
        </w:rPr>
        <w:t>عيب بدون تدليس</w:t>
      </w:r>
      <w:bookmarkEnd w:id="307"/>
    </w:p>
    <w:p>
      <w:pPr>
        <w:pStyle w:val="BookText"/>
        <w:rPr/>
      </w:pPr>
      <w:r>
        <w:rPr>
          <w:rFonts w:ascii="IRNazanin" w:hAnsi="IRNazanin" w:eastAsia="IRNazanin"/>
          <w:color w:val="111111"/>
          <w:sz w:val="28"/>
          <w:sz w:val="28"/>
          <w:szCs w:val="28"/>
          <w:rtl w:val="true"/>
          <w:lang w:bidi="fa-IR"/>
        </w:rPr>
        <w:t>و عيب بدون تدليس، حكم خيار عيب را دارد، و با تدليس زيادتى ندارد مگر در رجوع به مدلّس در مهر، و ايجاب دو خيار نمى نمايند؛ و تدليس بدون عيب خواهد ذكر شد</w:t>
      </w:r>
      <w:r>
        <w:rPr>
          <w:rFonts w:eastAsia="IRNazanin" w:cs="IRNazanin"/>
          <w:color w:val="111111"/>
          <w:sz w:val="28"/>
          <w:szCs w:val="28"/>
          <w:rtl w:val="true"/>
          <w:lang w:bidi="fa-IR"/>
        </w:rPr>
        <w:t>.</w:t>
      </w:r>
    </w:p>
    <w:p>
      <w:pPr>
        <w:pStyle w:val="Heading5"/>
        <w:numPr>
          <w:ilvl w:val="4"/>
          <w:numId w:val="1"/>
        </w:numPr>
        <w:rPr/>
      </w:pPr>
      <w:bookmarkStart w:id="308" w:name="__RefHeading___Toc3807245_1067777946"/>
      <w:bookmarkStart w:id="309" w:name="_Toc135"/>
      <w:bookmarkEnd w:id="308"/>
      <w:r>
        <w:rPr>
          <w:rtl w:val="true"/>
        </w:rPr>
        <w:t>انكشاف كنيز بودن زن با فرض شرط حريّت</w:t>
      </w:r>
      <w:bookmarkEnd w:id="3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ازدواج كرد آزادى يا بنده اى با زنى با شرط آزاد بودن، پس از آن ظاهر شد</w:t>
      </w:r>
      <w:bookmarkStart w:id="310" w:name="pg10265_89831"/>
    </w:p>
    <w:p>
      <w:pPr>
        <w:pStyle w:val="BookText"/>
        <w:rPr/>
      </w:pPr>
      <w:bookmarkEnd w:id="310"/>
      <w:r>
        <w:rPr>
          <w:rFonts w:ascii="Amiri" w:hAnsi="Amiri" w:eastAsia="Amiri" w:cs="Amiri"/>
          <w:color w:val="111111"/>
          <w:sz w:val="28"/>
          <w:sz w:val="28"/>
          <w:szCs w:val="28"/>
          <w:rtl w:val="true"/>
          <w:lang w:bidi="ar-SA"/>
        </w:rPr>
        <w:t>كنيز بودن به مملوكيت تمام يا بعض، صحّت عقد، موقوف بر اذن يا اجازۀ مالك است و بر جايز بودن نكاح كنيز براى زوج خاص؛ و در تقدير صحّت مطلقه، خيار فسخ براى زوج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صورت صحّت و فسخ قبل از دخول، استحقاق مهر ندارد؛ و اگر فسخ بعد از دخول باشد، مستحق تمام مهر مسمّى است و رجوع به مدلّس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مدلس مولى باشد با عدم موجب انعتاق، استحقاق چيزى ندارد بنابر اظهر؛ و اگر موجب عتق محقّق شده باشد، قبل از نكاح يا بعد از آن، ثبوت خيار مشكل است، و اظهر عدم ثبوت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تدليس كننده كنيز باشد، استحقاق مهر براى مولى است و رجوع به كنيز بعد از انعتاق و يسار او مى نمايد</w:t>
      </w:r>
      <w:r>
        <w:rPr>
          <w:rFonts w:eastAsia="IRNazanin" w:cs="IRNazanin"/>
          <w:color w:val="111111"/>
          <w:sz w:val="28"/>
          <w:szCs w:val="28"/>
          <w:rtl w:val="true"/>
          <w:lang w:bidi="fa-IR"/>
        </w:rPr>
        <w:t>.</w:t>
      </w:r>
    </w:p>
    <w:p>
      <w:pPr>
        <w:pStyle w:val="Heading5"/>
        <w:numPr>
          <w:ilvl w:val="4"/>
          <w:numId w:val="1"/>
        </w:numPr>
        <w:rPr/>
      </w:pPr>
      <w:bookmarkStart w:id="311" w:name="__RefHeading___Toc3807247_1067777946"/>
      <w:bookmarkStart w:id="312" w:name="_Toc136"/>
      <w:bookmarkEnd w:id="311"/>
      <w:r>
        <w:rPr>
          <w:rtl w:val="true"/>
        </w:rPr>
        <w:t>انكشاف رقيّت مرد با فرض شرط حريّت</w:t>
      </w:r>
      <w:bookmarkEnd w:id="31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 چنين زن آزاد اگر تزويج كرد خود را به شوهرى با شرط حريت، بعد معلوم شد بنده است، خيار فسخ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تقدير فسخ قبل از دخول، استحقاق مهر ندارد؛ و بعد از دخول، استحقاق مسمّى را بر مولاى عبد دارد در صورت اجازه، و مهر المثل را در صورت عدم اجازه و فساد نكاح واقعاً؛ و با تدليس مرد، رجوع به او بعد از عتق و يسار مى شود؛ و با عدم تدليس، رجوع به شوهر بعد از عتق و يسار، و رجوع شوهر به مدلّس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مدفوع از مهر به كنيز به خيال آزاد بودن در فرض انكشاف خلاف آن، استعاده و ادا به مولى مى شود، عين آن را در معيّن با صحّت عقد، و عين يا بدل آن را در غير آن؛ و تلف شده از آن، مطالبه از كنيز بعد از انعتاق و يسار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بين حر و عبد در مذكورات نيست، چنانكه گذشت، و هم چنين بين مملوكيّت بعض و تمام، فرقى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بعد از فسخ بر مى گردد به مولى، و خيار هم براى مولىٰ است بنابر اختصاص خروج به طلاق</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آزاد شد قبل از فسخ، مهر به شوهر رجوع مى نمايد، و رجوع هم بعد از ادا، </w:t>
      </w:r>
      <w:bookmarkStart w:id="313" w:name="pg10265_89832"/>
    </w:p>
    <w:p>
      <w:pPr>
        <w:pStyle w:val="BookText"/>
        <w:rPr/>
      </w:pPr>
      <w:bookmarkEnd w:id="313"/>
      <w:r>
        <w:rPr>
          <w:rFonts w:ascii="Amiri" w:hAnsi="Amiri" w:eastAsia="Amiri" w:cs="Amiri"/>
          <w:color w:val="111111"/>
          <w:sz w:val="28"/>
          <w:sz w:val="28"/>
          <w:szCs w:val="28"/>
          <w:rtl w:val="true"/>
          <w:lang w:bidi="ar-SA"/>
        </w:rPr>
        <w:t>به مدلّس، براى شوهر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رجوع به تمام مدفوع، به وكيل يا زوجه، در صورت انحصار غرور است؛ و در صورت اشتراك، تنصيف مى شود، لكن رجوع به زوجه، بعد از عتق و يسار است در نصف مدفوع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استيلاد كرد و هر دو مملوك بودند، پس با صحّت نكاح به اذن هر دو، ولد مملوك مولاى زوجين به نحو شركت است، و تدليس در مهر و در خيار تأثير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اخبار به حريّت قبل از عقد، اثرى ندارد، مگر آنكه عقد مبنى بر آن واقع شود كه شرط لُبّى قصدى به قصد معلوم طرفين باشد، و سكوت هم اين تأثير را با علم به عيب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اظهر رجوع به تمام مهر است بر مدلّس در صورت تبعيض در مملوكيت و حريت</w:t>
      </w:r>
      <w:r>
        <w:rPr>
          <w:rFonts w:eastAsia="Amiri" w:cs="Amiri" w:ascii="Amiri" w:hAnsi="Amiri"/>
          <w:color w:val="111111"/>
          <w:sz w:val="28"/>
          <w:szCs w:val="28"/>
          <w:rtl w:val="true"/>
          <w:lang w:bidi="ar-SA"/>
        </w:rPr>
        <w:t>.</w:t>
      </w:r>
    </w:p>
    <w:p>
      <w:pPr>
        <w:pStyle w:val="Heading5"/>
        <w:numPr>
          <w:ilvl w:val="4"/>
          <w:numId w:val="1"/>
        </w:numPr>
        <w:rPr/>
      </w:pPr>
      <w:bookmarkStart w:id="314" w:name="__RefHeading___Toc3807249_1067777946"/>
      <w:bookmarkStart w:id="315" w:name="_Toc137"/>
      <w:bookmarkEnd w:id="314"/>
      <w:r>
        <w:rPr>
          <w:rtl w:val="true"/>
        </w:rPr>
        <w:t>انكشاف كنيز بودن دختر با فرض شرط حريّت</w:t>
      </w:r>
      <w:bookmarkEnd w:id="31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عقد كرد بر دختر كسى، با اشتراط در متن عقد به اينكه دختر آزاد باشد، پس ظاهر شد كه دختر زن كنيزى بوده، خيار فسخ با شوهر است؛ پس اگر قبل از دخول فسخ كرد، مهر بر او نيست؛ و اگر بعد از دخول فسخ كرد، مهر مسمّى بر او است، و رجوع به مدلّس مى نمايد، چه پدر باشد يا غير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خود زن مدلّسه بود، رجوع مى نمايد به خود او بعد از دفع؛ و اگر دفع نكرده استحقاق ندارد چيزى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ظهور امه بودن مادر حين ولادت و معتقه بودن بعد از آن، اشكال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قرينه بر ارادۀ كنيز بودن حين ولادت يا بالفعل نباشد، مقتضاى اصلْ لزوم است</w:t>
      </w:r>
      <w:r>
        <w:rPr>
          <w:rFonts w:eastAsia="Amiri" w:cs="Amiri" w:ascii="Amiri" w:hAnsi="Amiri"/>
          <w:color w:val="111111"/>
          <w:sz w:val="28"/>
          <w:szCs w:val="28"/>
          <w:rtl w:val="true"/>
          <w:lang w:bidi="ar-SA"/>
        </w:rPr>
        <w:t>.</w:t>
      </w:r>
    </w:p>
    <w:p>
      <w:pPr>
        <w:pStyle w:val="Heading5"/>
        <w:numPr>
          <w:ilvl w:val="4"/>
          <w:numId w:val="1"/>
        </w:numPr>
        <w:rPr/>
      </w:pPr>
      <w:bookmarkStart w:id="316" w:name="__RefHeading___Toc3807251_1067777946"/>
      <w:bookmarkStart w:id="317" w:name="_Toc138"/>
      <w:bookmarkEnd w:id="316"/>
      <w:r>
        <w:rPr>
          <w:rtl w:val="true"/>
        </w:rPr>
        <w:t>اغراى به تبديل زوجه با غير</w:t>
      </w:r>
      <w:bookmarkEnd w:id="31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غير زوجۀ او را بر او داخل نمودند با جهل زن به حال، پس با دخول، براى زن مهر المثل است، و رجوع به داخل كنندۀ او مى نمايد اگر مرد عالم نبوده، چه</w:t>
      </w:r>
      <w:bookmarkStart w:id="318" w:name="pg10265_89833"/>
    </w:p>
    <w:p>
      <w:pPr>
        <w:pStyle w:val="BookText"/>
        <w:rPr/>
      </w:pPr>
      <w:bookmarkEnd w:id="318"/>
      <w:r>
        <w:rPr>
          <w:rFonts w:ascii="IRNazanin" w:hAnsi="IRNazanin" w:eastAsia="IRNazanin"/>
          <w:color w:val="111111"/>
          <w:sz w:val="28"/>
          <w:sz w:val="28"/>
          <w:szCs w:val="28"/>
          <w:rtl w:val="true"/>
          <w:lang w:bidi="fa-IR"/>
        </w:rPr>
        <w:t>آنكه بالاتر در حسب و كمال از زوجۀ واقعيّه، يا پايين تر، يا مساوى باشد</w:t>
      </w:r>
      <w:r>
        <w:rPr>
          <w:rFonts w:eastAsia="IRNazanin" w:cs="IRNazanin"/>
          <w:color w:val="111111"/>
          <w:sz w:val="28"/>
          <w:szCs w:val="28"/>
          <w:rtl w:val="true"/>
          <w:lang w:bidi="fa-IR"/>
        </w:rPr>
        <w:t>.</w:t>
      </w:r>
    </w:p>
    <w:p>
      <w:pPr>
        <w:pStyle w:val="Heading5"/>
        <w:numPr>
          <w:ilvl w:val="4"/>
          <w:numId w:val="1"/>
        </w:numPr>
        <w:rPr/>
      </w:pPr>
      <w:bookmarkStart w:id="319" w:name="__RefHeading___Toc3807253_1067777946"/>
      <w:bookmarkStart w:id="320" w:name="_Toc139"/>
      <w:bookmarkEnd w:id="319"/>
      <w:r>
        <w:rPr>
          <w:rtl w:val="true"/>
        </w:rPr>
        <w:t>انكشاف ثيبوبت با شرط بكارت</w:t>
      </w:r>
      <w:bookmarkEnd w:id="32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ازدواج كرد با زنى با شرط بكارت در متن عقد، پس ظاهر شد ثيبوبت و زوال بكارت قبل از عقد، با اقرار يا بيّنه، خيار فسخ براى شوهر ثابت است؛ پس با فسخ قبل از دخول استحقاق مهر ندارد، و بعد از دخول مهر مسمّى ثابت، و رجوع به مدلّس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شرط و تدليس منتفى بود، خيار فسخ ثابت نيست؛ و هم چنين اگر ثابت نشد سبق ثيبوبت بر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مجرد اعتقاد بكارت بود، خيار ثابت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شرط در متن عقد بود، بلكه شرط سابق، سبب از براى ايقاع عقد مبنىّ بر شرط سابق بود، اظهر ثبوت خيار است</w:t>
      </w:r>
      <w:r>
        <w:rPr>
          <w:rFonts w:eastAsia="IRNazanin" w:cs="IRNazanin"/>
          <w:color w:val="111111"/>
          <w:sz w:val="28"/>
          <w:szCs w:val="28"/>
          <w:rtl w:val="true"/>
          <w:lang w:bidi="fa-IR"/>
        </w:rPr>
        <w:t>.</w:t>
      </w:r>
    </w:p>
    <w:p>
      <w:pPr>
        <w:pStyle w:val="Heading5"/>
        <w:numPr>
          <w:ilvl w:val="4"/>
          <w:numId w:val="1"/>
        </w:numPr>
        <w:rPr/>
      </w:pPr>
      <w:bookmarkStart w:id="321" w:name="__RefHeading___Toc3807255_1067777946"/>
      <w:bookmarkStart w:id="322" w:name="_Toc140"/>
      <w:bookmarkEnd w:id="321"/>
      <w:r>
        <w:rPr>
          <w:rtl w:val="true"/>
        </w:rPr>
        <w:t>حكم مهر در صورت عدم خيار فسخ</w:t>
      </w:r>
      <w:bookmarkEnd w:id="322"/>
    </w:p>
    <w:p>
      <w:pPr>
        <w:pStyle w:val="BookText"/>
        <w:rPr/>
      </w:pPr>
      <w:r>
        <w:rPr>
          <w:rFonts w:ascii="IRNazanin" w:hAnsi="IRNazanin" w:eastAsia="IRNazanin"/>
          <w:color w:val="111111"/>
          <w:sz w:val="28"/>
          <w:sz w:val="28"/>
          <w:szCs w:val="28"/>
          <w:rtl w:val="true"/>
          <w:lang w:bidi="fa-IR"/>
        </w:rPr>
        <w:t>و در صورت عدم خيار فسخ، به واسطۀ عدم ثبوت شرعى سبق، و در صورت اختيار بقاى بر نكاح با اعتقاد بكارت در حين ايقاع نكاح اگر چه شرط نكرده بوده و معلوم نشود سبق ثيبوبت، مى تواند تفاوت ما بين مهر مسمّى و مهر المثل را استرجاع نمايد اگر راضى به مهر مسمّى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جهل به سبق يا حدوث علم به تجديد ثيبوبت، تأمل است در نقصان مهر مسمّى؛ و احوط براى طرفين، در مقدار تفاوت، مصالحه به نصف مهر مسمّى است</w:t>
      </w:r>
      <w:r>
        <w:rPr>
          <w:rFonts w:eastAsia="IRNazanin" w:cs="IRNazanin"/>
          <w:color w:val="111111"/>
          <w:sz w:val="28"/>
          <w:szCs w:val="28"/>
          <w:rtl w:val="true"/>
          <w:lang w:bidi="fa-IR"/>
        </w:rPr>
        <w:t>.</w:t>
      </w:r>
    </w:p>
    <w:p>
      <w:pPr>
        <w:pStyle w:val="Heading5"/>
        <w:numPr>
          <w:ilvl w:val="4"/>
          <w:numId w:val="1"/>
        </w:numPr>
        <w:rPr/>
      </w:pPr>
      <w:bookmarkStart w:id="323" w:name="__RefHeading___Toc3807257_1067777946"/>
      <w:bookmarkStart w:id="324" w:name="_Toc141"/>
      <w:bookmarkEnd w:id="323"/>
      <w:r>
        <w:rPr>
          <w:rtl w:val="true"/>
        </w:rPr>
        <w:t>حكم فسخ با كشف ثيبوبت</w:t>
      </w:r>
      <w:bookmarkEnd w:id="32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ازدواج كرد با زنى به گمان بكارت، پس معلوم شد كه بكر نيست، اختيار فسخ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شرطِ بكارت در متن عقد نشده باشد، و تدليسى از اخبار زن كه مؤثر در اقدام بوده بدون شرط،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علم به سبق ثيبوبت بر عقد حاصل شد، يا اقرار به سبق كرد</w:t>
      </w:r>
      <w:r>
        <w:rPr>
          <w:rFonts w:eastAsia="IRNazanin" w:cs="IRNazanin"/>
          <w:color w:val="111111"/>
          <w:sz w:val="28"/>
          <w:szCs w:val="28"/>
          <w:rtl w:val="true"/>
          <w:lang w:bidi="fa-IR"/>
        </w:rPr>
        <w:t xml:space="preserve">. </w:t>
      </w:r>
      <w:bookmarkStart w:id="325" w:name="pg10265_89834"/>
    </w:p>
    <w:p>
      <w:pPr>
        <w:pStyle w:val="BookText"/>
        <w:rPr/>
      </w:pPr>
      <w:bookmarkEnd w:id="325"/>
      <w:r>
        <w:rPr>
          <w:rFonts w:ascii="IRNazanin" w:hAnsi="IRNazanin" w:eastAsia="IRNazanin"/>
          <w:color w:val="111111"/>
          <w:sz w:val="28"/>
          <w:sz w:val="28"/>
          <w:szCs w:val="28"/>
          <w:rtl w:val="true"/>
          <w:lang w:bidi="fa-IR"/>
        </w:rPr>
        <w:t xml:space="preserve">و اگر اشتراط كرده بود در عقد، بكارت را، پس معلوم شد سبق ثيبوبت بر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اقرار يا بيّنه يا قراين مفيدۀ 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اختيار فسخ براى زوج، خلاف است، و اظهر ثبوت اختيار فسخ است، اگر چه احوط ترك فسخ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ثبوت خيار با تدليس زن، بدون اشتراط،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متجدد شد زوال بكارت و متأخّر از عقد بود، يا آنكه ثابت نبود تقدم آن بر عقد، خيار فسخ ثابت نيست</w:t>
      </w:r>
      <w:r>
        <w:rPr>
          <w:rFonts w:eastAsia="IRNazanin" w:cs="IRNazanin"/>
          <w:color w:val="111111"/>
          <w:sz w:val="28"/>
          <w:szCs w:val="28"/>
          <w:rtl w:val="true"/>
          <w:lang w:bidi="fa-IR"/>
        </w:rPr>
        <w:t>.</w:t>
      </w:r>
    </w:p>
    <w:p>
      <w:pPr>
        <w:pStyle w:val="Heading5"/>
        <w:numPr>
          <w:ilvl w:val="4"/>
          <w:numId w:val="1"/>
        </w:numPr>
        <w:rPr/>
      </w:pPr>
      <w:bookmarkStart w:id="326" w:name="__RefHeading___Toc3807259_1067777946"/>
      <w:bookmarkStart w:id="327" w:name="_Toc142"/>
      <w:bookmarkEnd w:id="326"/>
      <w:r>
        <w:rPr>
          <w:rtl w:val="true"/>
        </w:rPr>
        <w:t>لوازم اختيار فسخ و بقا در فرض مسأله</w:t>
      </w:r>
      <w:bookmarkEnd w:id="327"/>
    </w:p>
    <w:p>
      <w:pPr>
        <w:pStyle w:val="BookText"/>
        <w:rPr/>
      </w:pPr>
      <w:r>
        <w:rPr>
          <w:rFonts w:ascii="IRNazanin" w:hAnsi="IRNazanin" w:eastAsia="IRNazanin"/>
          <w:color w:val="111111"/>
          <w:sz w:val="28"/>
          <w:sz w:val="28"/>
          <w:szCs w:val="28"/>
          <w:rtl w:val="true"/>
          <w:lang w:bidi="fa-IR"/>
        </w:rPr>
        <w:t>و در صورت اختيار فسخ، پس اگر فسخ كرد، پس با عدم دخول و احراز تخلّف شرط به غير دخول، استحقاق مهر ندارد، و اگر دخول كرد، مهر مسمّى را مستحق است، و به مدلّس رجوع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اختيار بقا كرد، چه در تقدير عدم اختيار 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تقدير ترك فسخ با ثبوت خيار، از مهر ناقص مى شود چيزى؛ و در قدرِ ناقص، خلاف است، و نسبت تفاوت بين مهر بكر و ثيّب، از مهر مسمّى، اقرب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حكم واقعىِ سبقِ زوال بكارت بر عقد است؛ و در صورت اختلاف، به مرافعه احتياج دارد، و اصل با منكرِ سبقِ زوال است؛ و در صورت محكوميّت زوج، با فسخ او، نكاحْ مفسوخ نمى شود</w:t>
      </w:r>
      <w:r>
        <w:rPr>
          <w:rFonts w:eastAsia="IRNazanin" w:cs="IRNazanin"/>
          <w:color w:val="111111"/>
          <w:sz w:val="28"/>
          <w:szCs w:val="28"/>
          <w:rtl w:val="true"/>
          <w:lang w:bidi="fa-IR"/>
        </w:rPr>
        <w:t>.</w:t>
      </w:r>
    </w:p>
    <w:p>
      <w:pPr>
        <w:pStyle w:val="Heading5"/>
        <w:numPr>
          <w:ilvl w:val="4"/>
          <w:numId w:val="1"/>
        </w:numPr>
        <w:rPr/>
      </w:pPr>
      <w:bookmarkStart w:id="328" w:name="__RefHeading___Toc3807261_1067777946"/>
      <w:bookmarkStart w:id="329" w:name="_Toc143"/>
      <w:bookmarkEnd w:id="328"/>
      <w:r>
        <w:rPr>
          <w:rtl w:val="true"/>
        </w:rPr>
        <w:t>انكشاف كتابيه بودن يا مسلمان بودن در عقد مشروط به يكى از آن دو</w:t>
      </w:r>
      <w:bookmarkEnd w:id="329"/>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تمتع كرد با زنى، پس از آن معلوم شد كه منقطعه، كتابى بوده، اختيار فسخ ندارد؛ و هم چنين در عقد دوام بنابر جواز؛ و فقط در غير دائم مى تواند ببخشد مدت را قبل از انقضا و نمى تواند ناقص نمايد مهر را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شرط كرده بوده در عقد، اسلام منقطعه را، با تخلف شرط، اختيار فسخ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ثبوت حقّ فسخ به مجرد تدليس، بدون اشتراط موجب خيار،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فسخ به حق قبل از دخول، استحقاق مهر ثابت نيست؛ و بعد از آن مستحق مسمّى است، و به مدلس رجوع مى شود؛ و اگر زن مدلس بوده، </w:t>
      </w:r>
      <w:bookmarkStart w:id="330" w:name="pg10265_89835"/>
    </w:p>
    <w:p>
      <w:pPr>
        <w:pStyle w:val="BookText"/>
        <w:rPr/>
      </w:pPr>
      <w:bookmarkEnd w:id="330"/>
      <w:r>
        <w:rPr>
          <w:rFonts w:ascii="IRNazanin" w:hAnsi="IRNazanin" w:eastAsia="IRNazanin"/>
          <w:color w:val="111111"/>
          <w:sz w:val="28"/>
          <w:sz w:val="28"/>
          <w:szCs w:val="28"/>
          <w:rtl w:val="true"/>
          <w:lang w:bidi="fa-IR"/>
        </w:rPr>
        <w:t>استحقاق مهر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شرط كتابيه بودن كرد، و ظاهر شد كه مسلمان است، اظهر ثبوت خيار فسخ است در منقطعه؛ و در دائميه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ايجاب تدليس در منقطعه خيار را، تأمل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اين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مطلق شرط نقصى كه مكشوف شود كمال، بعد از آن</w:t>
      </w:r>
      <w:r>
        <w:rPr>
          <w:rFonts w:eastAsia="IRNazanin" w:cs="IRNazanin"/>
          <w:color w:val="111111"/>
          <w:sz w:val="28"/>
          <w:szCs w:val="28"/>
          <w:rtl w:val="true"/>
          <w:lang w:bidi="fa-IR"/>
        </w:rPr>
        <w:t>.</w:t>
      </w:r>
    </w:p>
    <w:p>
      <w:pPr>
        <w:pStyle w:val="Heading5"/>
        <w:numPr>
          <w:ilvl w:val="4"/>
          <w:numId w:val="1"/>
        </w:numPr>
        <w:rPr/>
      </w:pPr>
      <w:bookmarkStart w:id="331" w:name="__RefHeading___Toc3807263_1067777946"/>
      <w:bookmarkStart w:id="332" w:name="_Toc144"/>
      <w:bookmarkEnd w:id="331"/>
      <w:r>
        <w:rPr>
          <w:rtl w:val="true"/>
        </w:rPr>
        <w:t>تبدّل واطى</w:t>
      </w:r>
      <w:bookmarkEnd w:id="332"/>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مرد با دو زن ازدواج كردند و زن هركدام بر ديگرى ادخال شد و وطى شد، براى هركدام از زنها بر واطى مهر المثل است با جهل زن، و پس از انقضاى عده، رد به شوهر مى شود كه مى تواند وطى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زنها يا مردها در عده وفات نمودند، زوج از زوجۀ خود ارث مى برد و بالعكس؛ و تنصيف مهر با موت زوج قبل از دخول، در محل خود مذكور مى شود ان شاء اللّٰه تعالى، و رجوع در مهر المثل به تدليس كننده مى شود</w:t>
      </w:r>
      <w:r>
        <w:rPr>
          <w:rFonts w:eastAsia="IRNazanin" w:cs="IRNazanin"/>
          <w:color w:val="111111"/>
          <w:sz w:val="28"/>
          <w:szCs w:val="28"/>
          <w:rtl w:val="true"/>
          <w:lang w:bidi="fa-IR"/>
        </w:rPr>
        <w:t>.</w:t>
      </w:r>
    </w:p>
    <w:p>
      <w:pPr>
        <w:pStyle w:val="Heading5"/>
        <w:numPr>
          <w:ilvl w:val="4"/>
          <w:numId w:val="1"/>
        </w:numPr>
        <w:rPr/>
      </w:pPr>
      <w:bookmarkStart w:id="333" w:name="__RefHeading___Toc3807265_1067777946"/>
      <w:bookmarkStart w:id="334" w:name="_Toc145"/>
      <w:bookmarkEnd w:id="333"/>
      <w:r>
        <w:rPr>
          <w:rtl w:val="true"/>
        </w:rPr>
        <w:t>جهل به تعيين در فرض تحقق دو عقد</w:t>
      </w:r>
      <w:bookmarkEnd w:id="334"/>
    </w:p>
    <w:p>
      <w:pPr>
        <w:pStyle w:val="BookText"/>
        <w:rPr/>
      </w:pPr>
      <w:r>
        <w:rPr>
          <w:rFonts w:ascii="IRNazanin" w:hAnsi="IRNazanin" w:eastAsia="IRNazanin"/>
          <w:color w:val="111111"/>
          <w:sz w:val="28"/>
          <w:sz w:val="28"/>
          <w:szCs w:val="28"/>
          <w:rtl w:val="true"/>
          <w:lang w:bidi="fa-IR"/>
        </w:rPr>
        <w:t>و اگر معلوم نشد زوج بر زوجه و بالعكس، احوط اختيار طلاق دو زوجه براى هر دو زوج است؛ يعنى آنكه هر كدام دو طلاق احتياطى بدهد، و تجديد عقد بر مطلوبه با رضايت او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يكى از سه طلاق محسوب نمى شود، چون كه معلوم الزوجية نبوده، مگر آنكه هر دو را بعد از طلاق دو مرد، يكى از آنها ازدواج نمايد، و بعد از آن، دو طلاق ديگر هر دو را بعد از ازدواج ديگر بدهد با هم يا به تعاقب، كه علم به سه طلاق يكى از دو پيدا مى كند، و هر دو مقدمةً حرام مى شود بر او به اشتباه</w:t>
      </w:r>
      <w:r>
        <w:rPr>
          <w:rFonts w:eastAsia="IRNazanin" w:cs="IRNazanin"/>
          <w:color w:val="111111"/>
          <w:sz w:val="28"/>
          <w:szCs w:val="28"/>
          <w:rtl w:val="true"/>
          <w:lang w:bidi="fa-IR"/>
        </w:rPr>
        <w:t>.</w:t>
      </w:r>
    </w:p>
    <w:p>
      <w:pPr>
        <w:pStyle w:val="Heading5"/>
        <w:numPr>
          <w:ilvl w:val="4"/>
          <w:numId w:val="1"/>
        </w:numPr>
        <w:rPr/>
      </w:pPr>
      <w:bookmarkStart w:id="335" w:name="__RefHeading___Toc3807267_1067777946"/>
      <w:bookmarkStart w:id="336" w:name="_Toc146"/>
      <w:bookmarkEnd w:id="335"/>
      <w:r>
        <w:rPr>
          <w:rtl w:val="true"/>
        </w:rPr>
        <w:t>حكم مهر در فرض مسأله</w:t>
      </w:r>
      <w:bookmarkEnd w:id="33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احوط اداى نصف مهر بر هر يك از دو زوج است، و تقسيم آن بالسويه بين دو زن، به حسب ماليّت به نحو مصالحه، در صورت مساوات زنها با مردها در جهل به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337" w:name="pg10265_89836"/>
    </w:p>
    <w:p>
      <w:pPr>
        <w:pStyle w:val="BookText"/>
        <w:rPr/>
      </w:pPr>
      <w:bookmarkEnd w:id="337"/>
      <w:r>
        <w:rPr>
          <w:rFonts w:ascii="IRNazanin" w:hAnsi="IRNazanin" w:eastAsia="IRNazanin"/>
          <w:color w:val="111111"/>
          <w:sz w:val="28"/>
          <w:sz w:val="28"/>
          <w:szCs w:val="28"/>
          <w:rtl w:val="true"/>
          <w:lang w:bidi="fa-IR"/>
        </w:rPr>
        <w:t>در صورت تنازع و ادّعاى هركدام تمام نصف اوّل را، با تصادم دعواها به حلف آن دو، يا نكول هر دو، هم چنين تنصيف مى شود نصف اوّل، و اما نصف دوّم، پس مجهول المالك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يكى از آنها رجوع كرد از دعواى اوّل، و ادّعاى نصف اخرى نمود، محتمل است سماع دعوى و اداى اين نصف به او و ارتجاع آن قدرى كه سابقاً به او داده شده بود</w:t>
      </w:r>
      <w:r>
        <w:rPr>
          <w:rFonts w:eastAsia="IRNazanin" w:cs="IRNazanin"/>
          <w:color w:val="111111"/>
          <w:sz w:val="28"/>
          <w:szCs w:val="28"/>
          <w:rtl w:val="true"/>
          <w:lang w:bidi="fa-IR"/>
        </w:rPr>
        <w:t>.</w:t>
      </w:r>
    </w:p>
    <w:p>
      <w:pPr>
        <w:pStyle w:val="Heading5"/>
        <w:numPr>
          <w:ilvl w:val="4"/>
          <w:numId w:val="1"/>
        </w:numPr>
        <w:rPr/>
      </w:pPr>
      <w:bookmarkStart w:id="338" w:name="__RefHeading___Toc3807269_1067777946"/>
      <w:bookmarkStart w:id="339" w:name="_Toc147"/>
      <w:bookmarkEnd w:id="338"/>
      <w:r>
        <w:rPr>
          <w:rtl w:val="true"/>
        </w:rPr>
        <w:t>اخذ به قرعه در فروض متقدّمه</w:t>
      </w:r>
      <w:bookmarkEnd w:id="339"/>
    </w:p>
    <w:p>
      <w:pPr>
        <w:pStyle w:val="BookText"/>
        <w:rPr/>
      </w:pPr>
      <w:r>
        <w:rPr>
          <w:rFonts w:ascii="IRNazanin" w:hAnsi="IRNazanin" w:eastAsia="IRNazanin"/>
          <w:color w:val="111111"/>
          <w:sz w:val="28"/>
          <w:sz w:val="28"/>
          <w:szCs w:val="28"/>
          <w:rtl w:val="true"/>
          <w:lang w:bidi="fa-IR"/>
        </w:rPr>
        <w:t>و در همۀ فروض مقدمه، احتمال تعيين با قرعه جارى است، و احتمال ايقاف تا زمان صلح همۀ مدعيها، كه احوط از همه است در فروض متقدّمه، و هم چنين در فرض سكوت هر دو و عدم تداعى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اختلاف در قدر ماليّت بود، مشترك، تقسيم به نحو مذكور، و زايد تنصيف بين زوجين مى شود به صلح، و به صاحبش داده مى شود در صورت تعيّن زايد براى يكى از آن 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رعايت احتياط در ارث مثل مهر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 قرعه تعيين زوج و زوجه نشد، حرام است مادر هركدام از دو زن بر هر دو مرد، و هر كدام از زنها حرام است بر پدر هر كدام از مردها و پسر او، از باب مقدمۀ علميّۀ حرام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تقدير بنا بر معيّن بودن قرعه و تعيين با آن، اشتباه مرتفع مى شود و محرَّمها تشخيص داده مى شود</w:t>
      </w:r>
      <w:r>
        <w:rPr>
          <w:rFonts w:eastAsia="IRNazanin" w:cs="IRNazanin"/>
          <w:color w:val="111111"/>
          <w:sz w:val="28"/>
          <w:szCs w:val="28"/>
          <w:rtl w:val="true"/>
          <w:lang w:bidi="fa-IR"/>
        </w:rPr>
        <w:t>.</w:t>
      </w:r>
    </w:p>
    <w:p>
      <w:pPr>
        <w:pStyle w:val="Heading5"/>
        <w:numPr>
          <w:ilvl w:val="4"/>
          <w:numId w:val="1"/>
        </w:numPr>
        <w:rPr/>
      </w:pPr>
      <w:bookmarkStart w:id="340" w:name="__RefHeading___Toc3807271_1067777946"/>
      <w:bookmarkStart w:id="341" w:name="_Toc148"/>
      <w:bookmarkEnd w:id="340"/>
      <w:r>
        <w:rPr>
          <w:rtl w:val="true"/>
        </w:rPr>
        <w:t>حكم مهر در موارد بطلان عقد و در موارد فسخ آن</w:t>
      </w:r>
      <w:bookmarkEnd w:id="341"/>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موارد بطلان عقد، دخولْ موجب مهر المثل است؛ و در موارد صحّت عقد و فسخ به خيار، دخول موجب مهر مسمّى مى شود به ترتيبى كه سابقاً مذكور شد در تعميم به عيب حادث بعد از عقد و عدم آن</w:t>
      </w:r>
      <w:r>
        <w:rPr>
          <w:rFonts w:eastAsia="Amiri" w:cs="Amiri" w:ascii="Amiri" w:hAnsi="Amiri"/>
          <w:color w:val="111111"/>
          <w:sz w:val="28"/>
          <w:szCs w:val="28"/>
          <w:rtl w:val="true"/>
          <w:lang w:bidi="ar-SA"/>
        </w:rPr>
        <w:t>.</w:t>
      </w:r>
      <w:bookmarkStart w:id="342" w:name="pg10265_89837"/>
    </w:p>
    <w:p>
      <w:pPr>
        <w:pStyle w:val="Heading5"/>
        <w:numPr>
          <w:ilvl w:val="4"/>
          <w:numId w:val="1"/>
        </w:numPr>
        <w:rPr/>
      </w:pPr>
      <w:bookmarkStart w:id="343" w:name="__RefHeading___Toc3807273_1067777946"/>
      <w:bookmarkStart w:id="344" w:name="_Toc149"/>
      <w:bookmarkEnd w:id="342"/>
      <w:bookmarkEnd w:id="343"/>
      <w:r>
        <w:rPr>
          <w:rtl w:val="true"/>
        </w:rPr>
        <w:t>شرط استيلاد</w:t>
      </w:r>
      <w:bookmarkEnd w:id="344"/>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شرط كرد احد زوجين بر ديگرى، استيلاد را در متن عقد، با رجوع به شرط صفت مجهوله، پس ثبوت خيار به تخلف معلوم آن، خالى از وجه نيست</w:t>
      </w:r>
      <w:r>
        <w:rPr>
          <w:rFonts w:eastAsia="IRNazanin" w:cs="IRNazanin"/>
          <w:color w:val="111111"/>
          <w:sz w:val="28"/>
          <w:szCs w:val="28"/>
          <w:rtl w:val="true"/>
          <w:lang w:bidi="fa-IR"/>
        </w:rPr>
        <w:t>.</w:t>
      </w:r>
    </w:p>
    <w:p>
      <w:pPr>
        <w:pStyle w:val="Heading5"/>
        <w:numPr>
          <w:ilvl w:val="4"/>
          <w:numId w:val="1"/>
        </w:numPr>
        <w:rPr/>
      </w:pPr>
      <w:bookmarkStart w:id="345" w:name="__RefHeading___Toc3807275_1067777946"/>
      <w:bookmarkStart w:id="346" w:name="_Toc150"/>
      <w:bookmarkEnd w:id="345"/>
      <w:r>
        <w:rPr>
          <w:rtl w:val="true"/>
        </w:rPr>
        <w:t>غرور به حرّيت</w:t>
      </w:r>
      <w:bookmarkEnd w:id="346"/>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مكاتبه، مغرور كرد شوهر را به آزاد بودن خود، پس اگر اختيار امساك كرد، مهر براى خود زوجه است؛ و اگر اختيار فسخ كرد قبل از دخول، استحقاق مهر ندارد، و اگر دفع كرده بود، استرجاع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غرور مستند به غير او، از وكيل يا غير بود، رجوع به او مى نمايد بعد از دفع و عدم امكان استرجاع از زوجه به تلف و نحو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دخول و دفع، رجوع مى نمايد به مغرور كنندۀ او، از زوجه يا وكيل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فرض مذكور اگر ولدى متولد شد، حرّ است با حريت 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اذن مولاى مكاتبه، غرامت قيمت ولد روز تولدش با حيات، بر والد است</w:t>
      </w:r>
      <w:r>
        <w:rPr>
          <w:rFonts w:eastAsia="IRNazanin" w:cs="IRNazanin"/>
          <w:color w:val="111111"/>
          <w:sz w:val="28"/>
          <w:szCs w:val="28"/>
          <w:rtl w:val="true"/>
          <w:lang w:bidi="fa-IR"/>
        </w:rPr>
        <w:t>.</w:t>
      </w:r>
    </w:p>
    <w:p>
      <w:pPr>
        <w:pStyle w:val="Heading5"/>
        <w:numPr>
          <w:ilvl w:val="4"/>
          <w:numId w:val="1"/>
        </w:numPr>
        <w:rPr/>
      </w:pPr>
      <w:bookmarkStart w:id="347" w:name="__RefHeading___Toc3807277_1067777946"/>
      <w:bookmarkStart w:id="348" w:name="_Toc151"/>
      <w:bookmarkEnd w:id="347"/>
      <w:r>
        <w:rPr>
          <w:rtl w:val="true"/>
        </w:rPr>
        <w:t>ديۀ حمل در فرض مسأله</w:t>
      </w:r>
      <w:bookmarkEnd w:id="348"/>
    </w:p>
    <w:p>
      <w:pPr>
        <w:pStyle w:val="BookText"/>
        <w:rPr/>
      </w:pPr>
      <w:r>
        <w:rPr>
          <w:rFonts w:ascii="IRNazanin" w:hAnsi="IRNazanin" w:eastAsia="IRNazanin"/>
          <w:color w:val="111111"/>
          <w:sz w:val="28"/>
          <w:sz w:val="28"/>
          <w:szCs w:val="28"/>
          <w:rtl w:val="true"/>
          <w:lang w:bidi="fa-IR"/>
        </w:rPr>
        <w:t>و اگر اجنبى با زدن، سبب القا و سقط اين جنين شد، ديۀ حرّ بر او است براى پدر، نه مادرى كه مكاتبه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پدر ضارب بود، ارث ديه براى اقرب به ولد، از ساير ورثه غير پدر كه قاتل است، مى باشد؛ و اگر وارث و قريب نباشد، مال امام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349" w:name="__RefHeading___Toc3807279_1067777946"/>
      <w:bookmarkStart w:id="350" w:name="_Toc152"/>
      <w:bookmarkEnd w:id="349"/>
      <w:r>
        <w:rPr>
          <w:rtl w:val="true"/>
        </w:rPr>
        <w:t>مراجعۀ مغرور به غارّ</w:t>
      </w:r>
      <w:bookmarkEnd w:id="350"/>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مغرور بعد از غرامت، مراجعه به غارّ مى نمايد؛ و در جواز مطالبه قبل از آن، و هم چنين مطالبۀ ضامن از مضمون عنه قبل از اداى مضمون، تأمل است</w:t>
      </w:r>
      <w:r>
        <w:rPr>
          <w:rFonts w:eastAsia="IRNazanin" w:cs="IRNazanin"/>
          <w:color w:val="111111"/>
          <w:sz w:val="28"/>
          <w:szCs w:val="28"/>
          <w:rtl w:val="true"/>
          <w:lang w:bidi="fa-IR"/>
        </w:rPr>
        <w:t>.</w:t>
      </w:r>
    </w:p>
    <w:p>
      <w:pPr>
        <w:pStyle w:val="Heading5"/>
        <w:numPr>
          <w:ilvl w:val="4"/>
          <w:numId w:val="1"/>
        </w:numPr>
        <w:rPr/>
      </w:pPr>
      <w:bookmarkStart w:id="351" w:name="__RefHeading___Toc3807281_1067777946"/>
      <w:bookmarkStart w:id="352" w:name="_Toc153"/>
      <w:bookmarkEnd w:id="351"/>
      <w:r>
        <w:rPr>
          <w:rtl w:val="true"/>
        </w:rPr>
        <w:t>ضابطه موجب خيار فسخ در صورت تخلّف شرط صفت يا فعل</w:t>
      </w:r>
      <w:bookmarkEnd w:id="352"/>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شرط صفتى، چه كمال باشد چه نقص اگر عقلايى باشد، اگر چه مثل انتساب</w:t>
      </w:r>
    </w:p>
    <w:p>
      <w:pPr>
        <w:pStyle w:val="BookText"/>
        <w:rPr/>
      </w:pPr>
      <w:r>
        <w:rPr>
          <w:rFonts w:ascii="IRNazanin" w:hAnsi="IRNazanin" w:eastAsia="IRNazanin"/>
          <w:color w:val="111111"/>
          <w:sz w:val="28"/>
          <w:sz w:val="28"/>
          <w:szCs w:val="28"/>
          <w:rtl w:val="true"/>
          <w:lang w:bidi="fa-IR"/>
        </w:rPr>
        <w:t>به فلان قبيله باشد، تخلف آن موجب خيار فسخ است؛ و هم چنين اگر عقد، مبنى بر شرط سابق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تدليس مجرد از اين دو، تأمل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مشروطْ فعل باشد نه صفت، مشكل است تعذّر يا امتناع آن موجب فسخ نكاح باشد، بلكه مؤثر در الزام است با اختيارى بودن آن؛ و هم چنين ايجاب تدليس صفت نقص، بنابراين كه در صفت كمال موجب خيار مى شود اگر چه شرط نكند، به نحوى كه گذشت به اينكه در متن عقد باشد يا عقد مبنىّ بر آن واقع شود</w:t>
      </w:r>
      <w:r>
        <w:rPr>
          <w:rFonts w:eastAsia="IRNazanin" w:cs="IRNazanin"/>
          <w:color w:val="111111"/>
          <w:sz w:val="28"/>
          <w:szCs w:val="28"/>
          <w:rtl w:val="true"/>
          <w:lang w:bidi="fa-IR"/>
        </w:rPr>
        <w:t xml:space="preserve">. </w:t>
      </w:r>
      <w:bookmarkStart w:id="353" w:name="pg10265_89839"/>
    </w:p>
    <w:p>
      <w:pPr>
        <w:pStyle w:val="Heading3"/>
        <w:numPr>
          <w:ilvl w:val="2"/>
          <w:numId w:val="1"/>
        </w:numPr>
        <w:rPr/>
      </w:pPr>
      <w:bookmarkStart w:id="354" w:name="__RefHeading___Toc3807283_1067777946"/>
      <w:bookmarkStart w:id="355" w:name="_Toc154"/>
      <w:bookmarkEnd w:id="353"/>
      <w:bookmarkEnd w:id="354"/>
      <w:r>
        <w:rPr>
          <w:rtl w:val="true"/>
        </w:rPr>
        <w:t>فصل هشتم مَهر</w:t>
      </w:r>
      <w:bookmarkEnd w:id="355"/>
    </w:p>
    <w:p>
      <w:pPr>
        <w:pStyle w:val="Heading4"/>
        <w:numPr>
          <w:ilvl w:val="3"/>
          <w:numId w:val="1"/>
        </w:numPr>
        <w:rPr/>
      </w:pPr>
      <w:bookmarkStart w:id="356" w:name="__RefHeading___Toc3807285_1067777946"/>
      <w:bookmarkStart w:id="357" w:name="_Toc155"/>
      <w:bookmarkEnd w:id="356"/>
      <w:r>
        <w:rPr>
          <w:rtl w:val="true"/>
        </w:rPr>
        <w:t>آنچه مهر قرار دادن آن صحيح است</w:t>
      </w:r>
      <w:bookmarkEnd w:id="357"/>
    </w:p>
    <w:p>
      <w:pPr>
        <w:pStyle w:val="BookText"/>
        <w:rPr/>
      </w:pPr>
      <w:r>
        <w:rPr>
          <w:rFonts w:ascii="IRNazanin" w:hAnsi="IRNazanin" w:eastAsia="IRNazanin"/>
          <w:color w:val="111111"/>
          <w:sz w:val="28"/>
          <w:sz w:val="28"/>
          <w:szCs w:val="28"/>
          <w:rtl w:val="true"/>
          <w:lang w:bidi="fa-IR"/>
        </w:rPr>
        <w:t>در عقد نكاح مسلمين، هر چه صحيح است تملك مسلم آن را، صحيح است مهر قرار داده شود، عين شخصيه باشد يا منفعت يا عمل يا در ذمّه، اگر چه عمل زوج باشد مثل تعليم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حقوق ماليّه كه صحيح است عوضيّت در بيع براى آنها، صحيح است مهر قرار دادن آنها، بلكه مانعى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آنكه مهر، مال شخصى غير يا در ذمۀ غير زوج باشد با رضاى او</w:t>
      </w:r>
      <w:r>
        <w:rPr>
          <w:rFonts w:eastAsia="IRNazanin" w:cs="IRNazanin"/>
          <w:color w:val="111111"/>
          <w:sz w:val="28"/>
          <w:szCs w:val="28"/>
          <w:rtl w:val="true"/>
          <w:lang w:bidi="fa-IR"/>
        </w:rPr>
        <w:t>.</w:t>
      </w:r>
    </w:p>
    <w:p>
      <w:pPr>
        <w:pStyle w:val="Heading4"/>
        <w:numPr>
          <w:ilvl w:val="3"/>
          <w:numId w:val="1"/>
        </w:numPr>
        <w:rPr/>
      </w:pPr>
      <w:bookmarkStart w:id="358" w:name="__RefHeading___Toc3807287_1067777946"/>
      <w:bookmarkStart w:id="359" w:name="_Toc156"/>
      <w:bookmarkEnd w:id="358"/>
      <w:r>
        <w:rPr>
          <w:rtl w:val="true"/>
        </w:rPr>
        <w:t>مقدار مهر</w:t>
      </w:r>
      <w:bookmarkEnd w:id="359"/>
    </w:p>
    <w:p>
      <w:pPr>
        <w:pStyle w:val="BookText"/>
        <w:rPr/>
      </w:pPr>
      <w:r>
        <w:rPr>
          <w:rFonts w:ascii="IRNazanin" w:hAnsi="IRNazanin" w:eastAsia="IRNazanin"/>
          <w:color w:val="111111"/>
          <w:sz w:val="28"/>
          <w:sz w:val="28"/>
          <w:szCs w:val="28"/>
          <w:rtl w:val="true"/>
          <w:lang w:bidi="fa-IR"/>
        </w:rPr>
        <w:t>تقديرى در قلّت مهر و كثرت آن، در صورت تموّل و عقلائى بودن نيست، نه در صورت خروج از ماليّت مثل حبّۀ حنطه، اگر چه مستحب عدم تجاوز است از مهر السنه كه پانصد درهم است، يا آنكه زيادت مكروه است</w:t>
      </w:r>
      <w:r>
        <w:rPr>
          <w:rFonts w:eastAsia="IRNazanin" w:cs="IRNazanin"/>
          <w:color w:val="111111"/>
          <w:sz w:val="28"/>
          <w:szCs w:val="28"/>
          <w:rtl w:val="true"/>
          <w:lang w:bidi="fa-IR"/>
        </w:rPr>
        <w:t>.</w:t>
      </w:r>
    </w:p>
    <w:p>
      <w:pPr>
        <w:pStyle w:val="Heading4"/>
        <w:numPr>
          <w:ilvl w:val="3"/>
          <w:numId w:val="1"/>
        </w:numPr>
        <w:rPr/>
      </w:pPr>
      <w:bookmarkStart w:id="360" w:name="__RefHeading___Toc3807289_1067777946"/>
      <w:bookmarkStart w:id="361" w:name="_Toc157"/>
      <w:bookmarkEnd w:id="360"/>
      <w:r>
        <w:rPr>
          <w:rtl w:val="true"/>
        </w:rPr>
        <w:t>مهر قرار دادن خمر و خنزير در نكاح ذمّى با ذمّيه</w:t>
      </w:r>
      <w:bookmarkEnd w:id="361"/>
    </w:p>
    <w:p>
      <w:pPr>
        <w:pStyle w:val="BookText"/>
        <w:rPr/>
      </w:pPr>
      <w:r>
        <w:rPr>
          <w:rFonts w:ascii="Amiri" w:hAnsi="Amiri" w:eastAsia="Amiri" w:cs="Amiri"/>
          <w:color w:val="111111"/>
          <w:sz w:val="28"/>
          <w:sz w:val="28"/>
          <w:szCs w:val="28"/>
          <w:rtl w:val="true"/>
          <w:lang w:bidi="ar-SA"/>
        </w:rPr>
        <w:t>در نكاح ذمى با ذمّيه، مانعى در ظاهر شرع از قرار دادن مهر، خمر يا خنزير را نيست، در صورت موافقت با دين ايشان؛ و در اسلام با نكاح و اصداق آنها، معاملۀ صحّت مى شود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يكى از ايشان قبل از قبض، اسلام اختيار كرد، دفع مى نمايد قيمت آنها را </w:t>
      </w:r>
      <w:bookmarkStart w:id="362" w:name="pg10265_89840"/>
    </w:p>
    <w:p>
      <w:pPr>
        <w:pStyle w:val="BookText"/>
        <w:rPr/>
      </w:pPr>
      <w:bookmarkEnd w:id="362"/>
      <w:r>
        <w:rPr>
          <w:rFonts w:ascii="IRNazanin" w:hAnsi="IRNazanin" w:eastAsia="IRNazanin"/>
          <w:color w:val="111111"/>
          <w:sz w:val="28"/>
          <w:sz w:val="28"/>
          <w:szCs w:val="28"/>
          <w:rtl w:val="true"/>
          <w:lang w:bidi="fa-IR"/>
        </w:rPr>
        <w:t>نزد مستحلين آنها، چون كه شرعاً ممنوع است قبض و اقباض خود آنها بر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بين عين شخصيه و كلى ذمى در حكم مذكور نيست</w:t>
      </w:r>
      <w:r>
        <w:rPr>
          <w:rFonts w:eastAsia="IRNazanin" w:cs="IRNazanin"/>
          <w:color w:val="111111"/>
          <w:sz w:val="28"/>
          <w:szCs w:val="28"/>
          <w:rtl w:val="true"/>
          <w:lang w:bidi="fa-IR"/>
        </w:rPr>
        <w:t>.</w:t>
      </w:r>
    </w:p>
    <w:p>
      <w:pPr>
        <w:pStyle w:val="Heading4"/>
        <w:numPr>
          <w:ilvl w:val="3"/>
          <w:numId w:val="1"/>
        </w:numPr>
        <w:rPr/>
      </w:pPr>
      <w:bookmarkStart w:id="363" w:name="__RefHeading___Toc3807291_1067777946"/>
      <w:bookmarkStart w:id="364" w:name="_Toc158"/>
      <w:bookmarkEnd w:id="363"/>
      <w:r>
        <w:rPr>
          <w:rtl w:val="true"/>
        </w:rPr>
        <w:t>مهر قرار دادن خمر يا خنزير در نكاح زوجين و يا زوج مسلمان</w:t>
      </w:r>
      <w:bookmarkEnd w:id="364"/>
    </w:p>
    <w:p>
      <w:pPr>
        <w:pStyle w:val="BookText"/>
        <w:rPr/>
      </w:pPr>
      <w:r>
        <w:rPr>
          <w:rFonts w:ascii="IRNazanin" w:hAnsi="IRNazanin" w:eastAsia="IRNazanin"/>
          <w:color w:val="111111"/>
          <w:sz w:val="28"/>
          <w:sz w:val="28"/>
          <w:szCs w:val="28"/>
          <w:rtl w:val="true"/>
          <w:lang w:bidi="fa-IR"/>
        </w:rPr>
        <w:t>و اگر زوجين يا يكى از آنها مسلمان بود و عقد كردند و مهر را خمر يا خنزير قرار دادند، با علم هر دو به عدم صحّت اصداق، يا جهل هر دو، يا مختلف بودند در علم و جهل، پس اگر قراينى بر تقيّد قصد و رضا به خصوصيّت مهر بود، اظهر بطلان نكاح است؛ و اگر نبود جز اناطه به نكاح واقعى و امهار واقعى، اظهر صحّت نكاح و بطلان امهار و جعل آن كالعدم است؛ پس با دخول، مهر المثل ثابت است در صورت عدم علم زن به فساد اصل نكاح در صورت مخصوصۀ مذكوره؛ و احكام تسميه و قيمت و تنصيف و تفويض، مرتّب نمى شود بنابر اظهر</w:t>
      </w:r>
      <w:r>
        <w:rPr>
          <w:rFonts w:eastAsia="IRNazanin" w:cs="IRNazanin"/>
          <w:color w:val="111111"/>
          <w:sz w:val="28"/>
          <w:szCs w:val="28"/>
          <w:rtl w:val="true"/>
          <w:lang w:bidi="fa-IR"/>
        </w:rPr>
        <w:t>.</w:t>
      </w:r>
    </w:p>
    <w:p>
      <w:pPr>
        <w:pStyle w:val="Heading4"/>
        <w:numPr>
          <w:ilvl w:val="3"/>
          <w:numId w:val="1"/>
        </w:numPr>
        <w:rPr/>
      </w:pPr>
      <w:bookmarkStart w:id="365" w:name="__RefHeading___Toc3807293_1067777946"/>
      <w:bookmarkStart w:id="366" w:name="_Toc159"/>
      <w:bookmarkEnd w:id="365"/>
      <w:r>
        <w:rPr>
          <w:rtl w:val="true"/>
        </w:rPr>
        <w:t>كفايت مشاهدۀ عين يا توصيف آن به نحو رافع معظم جهالت</w:t>
      </w:r>
      <w:bookmarkEnd w:id="366"/>
    </w:p>
    <w:p>
      <w:pPr>
        <w:pStyle w:val="BookText"/>
        <w:rPr/>
      </w:pPr>
      <w:r>
        <w:rPr>
          <w:rFonts w:ascii="IRNazanin" w:hAnsi="IRNazanin" w:eastAsia="IRNazanin"/>
          <w:color w:val="111111"/>
          <w:sz w:val="28"/>
          <w:sz w:val="28"/>
          <w:szCs w:val="28"/>
          <w:rtl w:val="true"/>
          <w:lang w:bidi="fa-IR"/>
        </w:rPr>
        <w:t>كافى است در احكام مهر مذكور، مشاهدۀ عين شخصيّۀ حاضره اگر چه وزن آن معلوم نباشد، و توصيف غير آن به نحوى كه معظمِ جهالت رفع شود حتى در وزن بنابر احوط؛ پس اگر محتاج به تقويم شد و مجهول القيمه بود به واسطۀ جهل به وزن، متعيّن است صلح در تعيين قيمت و در مثل تنصيف؛ و امهار مثل بيت و خادم و دار، محمول بر وسط است بين اعلى و ادنى بنابر احوط</w:t>
      </w:r>
      <w:r>
        <w:rPr>
          <w:rFonts w:eastAsia="IRNazanin" w:cs="IRNazanin"/>
          <w:color w:val="111111"/>
          <w:sz w:val="28"/>
          <w:szCs w:val="28"/>
          <w:rtl w:val="true"/>
          <w:lang w:bidi="fa-IR"/>
        </w:rPr>
        <w:t>.</w:t>
      </w:r>
    </w:p>
    <w:p>
      <w:pPr>
        <w:pStyle w:val="Heading4"/>
        <w:numPr>
          <w:ilvl w:val="3"/>
          <w:numId w:val="1"/>
        </w:numPr>
        <w:rPr/>
      </w:pPr>
      <w:bookmarkStart w:id="367" w:name="__RefHeading___Toc3807295_1067777946"/>
      <w:bookmarkStart w:id="368" w:name="_Toc160"/>
      <w:bookmarkEnd w:id="367"/>
      <w:r>
        <w:rPr>
          <w:rtl w:val="true"/>
        </w:rPr>
        <w:t>جواز ازدواج دو زن به يك مهر و جواز جمع عقود متعدّد در واحد</w:t>
      </w:r>
      <w:bookmarkEnd w:id="368"/>
    </w:p>
    <w:p>
      <w:pPr>
        <w:pStyle w:val="BookText"/>
        <w:rPr/>
      </w:pPr>
      <w:r>
        <w:rPr>
          <w:rFonts w:ascii="Amiri" w:hAnsi="Amiri" w:eastAsia="Amiri" w:cs="Amiri"/>
          <w:color w:val="111111"/>
          <w:sz w:val="28"/>
          <w:sz w:val="28"/>
          <w:szCs w:val="28"/>
          <w:rtl w:val="true"/>
          <w:lang w:bidi="ar-SA"/>
        </w:rPr>
        <w:t>جايز است ازدواج دو زن يا بيشتر، به مهر واحد، در عقد واحد، به وحدت ايجاب يا قبول يا هر دو، از وكيل همه مثلاً؛ بلكه جمع بين بيع و اجاره و نكاح به عقد واحد از جهتى از جهات مذكوره، مانعى ندارد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براى هر يك از متعدد واقعى در ضمن واحد صورى كلامى، حكم خاص خودش در فسخ و اجازه ثابت است؛ بلى با عدم معلوميّت تقسيط عوض در حين </w:t>
      </w:r>
      <w:bookmarkStart w:id="369" w:name="pg10265_89841"/>
    </w:p>
    <w:p>
      <w:pPr>
        <w:pStyle w:val="BookText"/>
        <w:rPr/>
      </w:pPr>
      <w:bookmarkEnd w:id="369"/>
      <w:r>
        <w:rPr>
          <w:rFonts w:ascii="IRNazanin" w:hAnsi="IRNazanin" w:eastAsia="IRNazanin"/>
          <w:color w:val="111111"/>
          <w:sz w:val="28"/>
          <w:sz w:val="28"/>
          <w:szCs w:val="28"/>
          <w:rtl w:val="true"/>
          <w:lang w:bidi="fa-IR"/>
        </w:rPr>
        <w:t>عقد، احتمال تحقق غرر فعلى هست اگر چه منتهى به علم، بعد از عقد، به حساب مى شود؛ پس رعايت تقسيط معلوم طرفين در حين ايقاع عقد، موافق احتياط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در مثل بيع و اجاره به عوض واحد كه تقسيط بر هر دو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جمع بين اين دو و نكاح، در عقد واحد، جارى است آنچه در نكاح دو زن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اظهر در فروض مذكوره، منع است به واسطۀ غرر در آنچه معاوضه است، با عدم معلوميّت تقسيط فعلاً، و صحّت است در نكاح اگر چه نكاح دو زن باشد با قابليت علم به تقسيط بعد از عقد؛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بين نكاح و معاوضه، منع در معاوضه، و صحّت در نكاح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صورت جمع بين نكاح دو زن به يك مهر، كه با توزيع، تعيين مهرِ هر كدام مى شود، ملاحظه مى شود مهر المثلِ هر كدام، و توزيع مسمّى به نسبت مهر المثل مى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بيع دو شىءِ مال دو مالك به ثمن واحد، در توزيع به حسب قيمت واقعيّۀ هركدام از دو مبيع و نسبت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به مجموع دو قيمت، و اخذ نسبت هركدام از مسمّى است</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3807297_1067777946"/>
      <w:bookmarkStart w:id="371" w:name="_Toc161"/>
      <w:bookmarkEnd w:id="370"/>
      <w:r>
        <w:rPr>
          <w:rtl w:val="true"/>
        </w:rPr>
        <w:t>تزويج دو امه به دو يا يك نفر به صداق واحد</w:t>
      </w:r>
      <w:bookmarkEnd w:id="371"/>
    </w:p>
    <w:p>
      <w:pPr>
        <w:pStyle w:val="BookText"/>
        <w:rPr/>
      </w:pPr>
      <w:r>
        <w:rPr>
          <w:rFonts w:ascii="IRNazanin" w:hAnsi="IRNazanin" w:eastAsia="IRNazanin"/>
          <w:color w:val="111111"/>
          <w:sz w:val="28"/>
          <w:sz w:val="28"/>
          <w:szCs w:val="28"/>
          <w:rtl w:val="true"/>
          <w:lang w:bidi="fa-IR"/>
        </w:rPr>
        <w:t>اگر تزويج كرد دو امۀ خود را به دو نفر يا يك نفر به صداق واحد، صحيح است نكاح و اصداق، لكن احتياج به توزيع در مقام مطالبه يا در فسخ يا انفساخ نكاح در بعض باقى است، و از محل بحث خارج نيست</w:t>
      </w:r>
      <w:r>
        <w:rPr>
          <w:rFonts w:eastAsia="IRNazanin" w:cs="IRNazanin"/>
          <w:color w:val="111111"/>
          <w:sz w:val="28"/>
          <w:szCs w:val="28"/>
          <w:rtl w:val="true"/>
          <w:lang w:bidi="fa-IR"/>
        </w:rPr>
        <w:t>.</w:t>
      </w:r>
    </w:p>
    <w:p>
      <w:pPr>
        <w:pStyle w:val="Heading4"/>
        <w:numPr>
          <w:ilvl w:val="3"/>
          <w:numId w:val="1"/>
        </w:numPr>
        <w:rPr/>
      </w:pPr>
      <w:bookmarkStart w:id="372" w:name="__RefHeading___Toc3807299_1067777946"/>
      <w:bookmarkStart w:id="373" w:name="_Toc162"/>
      <w:bookmarkEnd w:id="372"/>
      <w:r>
        <w:rPr>
          <w:rtl w:val="true"/>
        </w:rPr>
        <w:t>تزويج چند دختر با تعيين به چند پسر با تعيين زوجين به صداق واحد</w:t>
      </w:r>
      <w:bookmarkEnd w:id="37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چنين اگر زيد بناتى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با تعيين، به ابناى عمرو با تعيين زوجين، تزويج نمود به يك صداق؛ كه نكاح و اصداق صحيح، و توزيع چنانچه مذكور شد متعين است، و محلى خاص براى اشكال ندارد</w:t>
      </w:r>
      <w:r>
        <w:rPr>
          <w:rFonts w:eastAsia="IRNazanin" w:cs="IRNazanin"/>
          <w:color w:val="111111"/>
          <w:sz w:val="28"/>
          <w:szCs w:val="28"/>
          <w:rtl w:val="true"/>
          <w:lang w:bidi="fa-IR"/>
        </w:rPr>
        <w:t xml:space="preserve">. </w:t>
      </w:r>
      <w:bookmarkStart w:id="374" w:name="pg10265_89842"/>
    </w:p>
    <w:p>
      <w:pPr>
        <w:pStyle w:val="Heading4"/>
        <w:numPr>
          <w:ilvl w:val="3"/>
          <w:numId w:val="1"/>
        </w:numPr>
        <w:rPr/>
      </w:pPr>
      <w:bookmarkStart w:id="375" w:name="__RefHeading___Toc3807301_1067777946"/>
      <w:bookmarkStart w:id="376" w:name="_Toc163"/>
      <w:bookmarkEnd w:id="374"/>
      <w:bookmarkEnd w:id="375"/>
      <w:r>
        <w:rPr>
          <w:rtl w:val="true"/>
        </w:rPr>
        <w:t xml:space="preserve">اگر عبارت نكاح </w:t>
      </w:r>
      <w:r>
        <w:rPr>
          <w:rtl w:val="true"/>
        </w:rPr>
        <w:t>«</w:t>
      </w:r>
      <w:r>
        <w:rPr>
          <w:rtl w:val="true"/>
        </w:rPr>
        <w:t>على كتاب اللّٰه و سنّة نبيّه</w:t>
      </w:r>
      <w:r>
        <w:rPr>
          <w:rtl w:val="true"/>
        </w:rPr>
        <w:t xml:space="preserve">» </w:t>
      </w:r>
      <w:r>
        <w:rPr>
          <w:rtl w:val="true"/>
        </w:rPr>
        <w:t>باشد</w:t>
      </w:r>
      <w:bookmarkEnd w:id="376"/>
    </w:p>
    <w:p>
      <w:pPr>
        <w:pStyle w:val="BookText"/>
        <w:rPr/>
      </w:pPr>
      <w:r>
        <w:rPr>
          <w:rFonts w:ascii="IRNazanin" w:hAnsi="IRNazanin" w:eastAsia="IRNazanin"/>
          <w:color w:val="111111"/>
          <w:sz w:val="28"/>
          <w:sz w:val="28"/>
          <w:szCs w:val="28"/>
          <w:rtl w:val="true"/>
          <w:lang w:bidi="fa-IR"/>
        </w:rPr>
        <w:t xml:space="preserve">اگر در عبارت نكاح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كتاب اللّٰه وسنة 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اگر طرفين قصد تعيين اجمالى مهر را داشته باشند به اين عبارت، محمول بر مهر السّنّه مى شود، وگرنه به منزلۀ عدم ذكر مهر است، و ثابت به دخول، مهر المثل است</w:t>
      </w:r>
      <w:r>
        <w:rPr>
          <w:rFonts w:eastAsia="IRNazanin" w:cs="IRNazanin"/>
          <w:color w:val="111111"/>
          <w:sz w:val="28"/>
          <w:szCs w:val="28"/>
          <w:rtl w:val="true"/>
          <w:lang w:bidi="fa-IR"/>
        </w:rPr>
        <w:t>.</w:t>
      </w:r>
    </w:p>
    <w:p>
      <w:pPr>
        <w:pStyle w:val="Heading4"/>
        <w:numPr>
          <w:ilvl w:val="3"/>
          <w:numId w:val="1"/>
        </w:numPr>
        <w:rPr/>
      </w:pPr>
      <w:bookmarkStart w:id="377" w:name="__RefHeading___Toc3807303_1067777946"/>
      <w:bookmarkStart w:id="378" w:name="_Toc164"/>
      <w:bookmarkEnd w:id="377"/>
      <w:r>
        <w:rPr>
          <w:rtl w:val="true"/>
        </w:rPr>
        <w:t>قرار دادن چيزى داخل مهر، و يا در شرط ضمن عقد براى غير</w:t>
      </w:r>
      <w:bookmarkEnd w:id="378"/>
    </w:p>
    <w:p>
      <w:pPr>
        <w:pStyle w:val="BookText"/>
        <w:rPr/>
      </w:pPr>
      <w:r>
        <w:rPr>
          <w:rFonts w:ascii="IRNazanin" w:hAnsi="IRNazanin" w:eastAsia="IRNazanin"/>
          <w:color w:val="111111"/>
          <w:sz w:val="28"/>
          <w:sz w:val="28"/>
          <w:szCs w:val="28"/>
          <w:rtl w:val="true"/>
          <w:lang w:bidi="fa-IR"/>
        </w:rPr>
        <w:t>اگر براى زن مهرى قرارداد، و براى پدر او يا اجنبى چيز معينى قرار داد، پس اگر داخل مهر قرارداد به نحوى كه ذكر مى شود، امهار باطل است؛ و اگر خارج بود و براى ابتدائى نبودن در ضمن نكاح ذكر شد، اظهر صحّت شرط و لزوم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مشروط له زن باشد، كه در حقيقت مجموع مهر و شرط، مهر زن باشد، نه آنكه مشروط له غير زن باشد و صاحب مهر دو نفر باشد، اظهر صحّت امهار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مقيّد و قيد</w:t>
      </w:r>
      <w:r>
        <w:rPr>
          <w:rFonts w:eastAsia="IRNazanin" w:cs="IRNazanin"/>
          <w:color w:val="111111"/>
          <w:sz w:val="28"/>
          <w:szCs w:val="28"/>
          <w:rtl w:val="true"/>
          <w:lang w:bidi="fa-IR"/>
        </w:rPr>
        <w:t>.</w:t>
      </w:r>
    </w:p>
    <w:p>
      <w:pPr>
        <w:pStyle w:val="Heading4"/>
        <w:numPr>
          <w:ilvl w:val="3"/>
          <w:numId w:val="1"/>
        </w:numPr>
        <w:rPr/>
      </w:pPr>
      <w:bookmarkStart w:id="379" w:name="__RefHeading___Toc3807305_1067777946"/>
      <w:bookmarkStart w:id="380" w:name="_Toc165"/>
      <w:bookmarkEnd w:id="379"/>
      <w:r>
        <w:rPr>
          <w:rtl w:val="true"/>
        </w:rPr>
        <w:t>تعيين رافع معظم جهالت در مهر به تعليم و احكام مترتّب بر آن</w:t>
      </w:r>
      <w:bookmarkEnd w:id="380"/>
    </w:p>
    <w:p>
      <w:pPr>
        <w:pStyle w:val="BookText"/>
        <w:rPr/>
      </w:pPr>
      <w:r>
        <w:rPr>
          <w:rFonts w:ascii="IRNazanin" w:hAnsi="IRNazanin" w:eastAsia="IRNazanin"/>
          <w:color w:val="111111"/>
          <w:sz w:val="28"/>
          <w:sz w:val="28"/>
          <w:szCs w:val="28"/>
          <w:rtl w:val="true"/>
          <w:lang w:bidi="fa-IR"/>
        </w:rPr>
        <w:t xml:space="preserve">احوط تعيين مهر است به حدى كه معظمِ جهالت رفع شود، در غير آنچه محمول است بر وسط چنانچه گذشت؛ پس اگر مهر، تعليم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تعيين نمايد آن سوره را، و لازم نيست تعيين قرائت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 تعليم، استقلال در تلاوت آيات سوره است اگر چه از كتابت قرآن باشد، و نسيان آيه بعد از تعليم، ضرر ندارد و ايجابِ اعاده نمى نمايد، به خلاف كلمات يك آيه بنابر احوط</w:t>
      </w:r>
      <w:r>
        <w:rPr>
          <w:rFonts w:eastAsia="IRNazanin" w:cs="IRNazanin"/>
          <w:color w:val="111111"/>
          <w:sz w:val="28"/>
          <w:szCs w:val="28"/>
          <w:rtl w:val="true"/>
          <w:lang w:bidi="fa-IR"/>
        </w:rPr>
        <w:t>.</w:t>
      </w:r>
    </w:p>
    <w:p>
      <w:pPr>
        <w:pStyle w:val="Heading4"/>
        <w:numPr>
          <w:ilvl w:val="3"/>
          <w:numId w:val="1"/>
        </w:numPr>
        <w:rPr/>
      </w:pPr>
      <w:bookmarkStart w:id="381" w:name="__RefHeading___Toc3807307_1067777946"/>
      <w:bookmarkStart w:id="382" w:name="_Toc166"/>
      <w:bookmarkEnd w:id="381"/>
      <w:r>
        <w:rPr>
          <w:rtl w:val="true"/>
        </w:rPr>
        <w:t>اگر امهار كرد تعليم سوره اى را كه زوج نمى داند</w:t>
      </w:r>
      <w:bookmarkEnd w:id="38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امهار كرد تعليم سوره اى را كه زوج نمى داند، جايز است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مقدور بالواسطه و ثابت در ذمّه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عارض شد امتناع مباشرت، منتقل به اجرت تعليم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ممتنع شد مباشرت و تسبيب، محتمل است اجرت و ماليّت تعليم، كه قيمت مهر مسمّى است، و محتمل است مهر المثل؛ اقرب اوّل است در </w:t>
      </w:r>
      <w:bookmarkStart w:id="383" w:name="pg10265_89843"/>
    </w:p>
    <w:p>
      <w:pPr>
        <w:pStyle w:val="BookText"/>
        <w:rPr/>
      </w:pPr>
      <w:bookmarkEnd w:id="383"/>
      <w:r>
        <w:rPr>
          <w:rFonts w:ascii="IRNazanin" w:hAnsi="IRNazanin" w:eastAsia="IRNazanin"/>
          <w:color w:val="111111"/>
          <w:sz w:val="28"/>
          <w:sz w:val="28"/>
          <w:szCs w:val="28"/>
          <w:rtl w:val="true"/>
          <w:lang w:bidi="fa-IR"/>
        </w:rPr>
        <w:t>تعذر طارى، و دوّم است در تعذر مقارن با اعتقاد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ساير صنايع كه تعليم آنها مهر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بدون تقصير زوج، زن خودش تعلم كرد، كه تعليم جاهل ممتنع شد به امتناع طارى، و اجرت ماليّت تعليم كه مهر است ثابت مى شود، نه مهر المثل بنابر اظهر</w:t>
      </w:r>
      <w:r>
        <w:rPr>
          <w:rFonts w:eastAsia="IRNazanin" w:cs="IRNazanin"/>
          <w:color w:val="111111"/>
          <w:sz w:val="28"/>
          <w:szCs w:val="28"/>
          <w:rtl w:val="true"/>
          <w:lang w:bidi="fa-IR"/>
        </w:rPr>
        <w:t>.</w:t>
      </w:r>
    </w:p>
    <w:p>
      <w:pPr>
        <w:pStyle w:val="Heading4"/>
        <w:numPr>
          <w:ilvl w:val="3"/>
          <w:numId w:val="1"/>
        </w:numPr>
        <w:rPr/>
      </w:pPr>
      <w:bookmarkStart w:id="384" w:name="__RefHeading___Toc3807309_1067777946"/>
      <w:bookmarkStart w:id="385" w:name="_Toc167"/>
      <w:bookmarkEnd w:id="384"/>
      <w:r>
        <w:rPr>
          <w:rtl w:val="true"/>
        </w:rPr>
        <w:t>مهر قرار دادن چيزى و انكشاف عدم ماليّت يا مستحقّ غير بودن آن</w:t>
      </w:r>
      <w:bookmarkEnd w:id="385"/>
    </w:p>
    <w:p>
      <w:pPr>
        <w:pStyle w:val="BookText"/>
        <w:rPr/>
      </w:pPr>
      <w:r>
        <w:rPr>
          <w:rFonts w:ascii="IRNazanin" w:hAnsi="IRNazanin" w:eastAsia="IRNazanin"/>
          <w:color w:val="111111"/>
          <w:sz w:val="28"/>
          <w:sz w:val="28"/>
          <w:szCs w:val="28"/>
          <w:rtl w:val="true"/>
          <w:lang w:bidi="fa-IR"/>
        </w:rPr>
        <w:t>اگر اصداق كرد ظرف مخصوصى را به اعتقاد خَلّيت، بعد معلوم شد خمر بوده، پس اگر معلوم شد از قراين عدم خصوصيت در نظر طرفين، و مقصود خَلّ است كه مماثل با موجود اعتقادى در كمّيت و كيفيّت است، اظهر وجوب مثل آنچه در ظرف است به اعتقاد، از خلّ مماثل در كمّ و 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محتمل شد خصوصيت فرديّه، اقرب تعيّن مهر المثل است، چنانچه در صورت عدم مذكوريّت مهر،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است اگر امهار شد عبدى، بعد معلوم شد حريت او يا مستحق بودن او براى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اقرب لزوم مهر المثل است در صورت اوّل، بلكه دوّم هم كه قيمى است</w:t>
      </w:r>
      <w:r>
        <w:rPr>
          <w:rFonts w:eastAsia="IRNazanin" w:cs="IRNazanin"/>
          <w:color w:val="111111"/>
          <w:sz w:val="28"/>
          <w:szCs w:val="28"/>
          <w:rtl w:val="true"/>
          <w:lang w:bidi="fa-IR"/>
        </w:rPr>
        <w:t>.</w:t>
      </w:r>
    </w:p>
    <w:p>
      <w:pPr>
        <w:pStyle w:val="Heading4"/>
        <w:numPr>
          <w:ilvl w:val="3"/>
          <w:numId w:val="1"/>
        </w:numPr>
        <w:rPr/>
      </w:pPr>
      <w:bookmarkStart w:id="386" w:name="__RefHeading___Toc3807311_1067777946"/>
      <w:bookmarkStart w:id="387" w:name="_Toc168"/>
      <w:bookmarkEnd w:id="386"/>
      <w:r>
        <w:rPr>
          <w:rtl w:val="true"/>
        </w:rPr>
        <w:t>امهار دو عبد و انكشاف خلاف در يكى</w:t>
      </w:r>
      <w:bookmarkEnd w:id="38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امهار كرد دو عبد را، يكى حرّ يا مستحَق ظاهر شد، آيا عبد و قيمت حرّ در تقدير عبديت مهر مسمّى است، يا مهر المثل به استثناى قيمت عبد كه خودش موجود است، پس ملفّق مى شود مهر از مسمّى و مهر المثل، و در تقدير اوّل، تمام، مهر مسمّى است‌؟ دو وجه است، و اولى خالى از رجحان مختصرى نيست؛ و احتمال خيار فسخ تبعض كه موجب ضرر امهار است قائم است در تقدير اوّل، و لازمه اش بعد از فسخ، مطالبۀ مهر المثل است تماماً، وگرنه از تبعّض خارج نمى شود به فسخ؛ و احتياط مناسب، در محلش است</w:t>
      </w:r>
      <w:r>
        <w:rPr>
          <w:rFonts w:eastAsia="IRNazanin" w:cs="IRNazanin"/>
          <w:color w:val="111111"/>
          <w:sz w:val="28"/>
          <w:szCs w:val="28"/>
          <w:rtl w:val="true"/>
          <w:lang w:bidi="fa-IR"/>
        </w:rPr>
        <w:t xml:space="preserve">. </w:t>
      </w:r>
      <w:bookmarkStart w:id="388" w:name="pg10265_89844"/>
    </w:p>
    <w:p>
      <w:pPr>
        <w:pStyle w:val="Heading4"/>
        <w:numPr>
          <w:ilvl w:val="3"/>
          <w:numId w:val="1"/>
        </w:numPr>
        <w:rPr/>
      </w:pPr>
      <w:bookmarkStart w:id="389" w:name="__RefHeading___Toc3807313_1067777946"/>
      <w:bookmarkStart w:id="390" w:name="_Toc169"/>
      <w:bookmarkEnd w:id="388"/>
      <w:bookmarkEnd w:id="389"/>
      <w:r>
        <w:rPr>
          <w:rtl w:val="true"/>
        </w:rPr>
        <w:t>تغاير اصداق در اعلان و اسرار</w:t>
      </w:r>
      <w:bookmarkEnd w:id="390"/>
    </w:p>
    <w:p>
      <w:pPr>
        <w:pStyle w:val="BookText"/>
        <w:rPr/>
      </w:pPr>
      <w:r>
        <w:rPr>
          <w:rFonts w:ascii="IRNazanin" w:hAnsi="IRNazanin" w:eastAsia="IRNazanin"/>
          <w:color w:val="111111"/>
          <w:sz w:val="28"/>
          <w:sz w:val="28"/>
          <w:szCs w:val="28"/>
          <w:rtl w:val="true"/>
          <w:lang w:bidi="fa-IR"/>
        </w:rPr>
        <w:t>اگر متغاير شد اصداق، در اعلان و اسرار، نافذْ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وقوع در يك دفعه، محتمل عدم نفوذ هيچ كدام، و عدم نفوذ در زيادتى، و اوّل اقرب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 حسب تبانى دانستند مقصودشان از الفين الف است، در الف نافذ است نه در عبارت؛ بلى در مقام مرافعه، حكم به ظاهر لفظ مى شود، اگر معارض به ظهور حال در قرينيّت بر خلاف نباشد، وگرنه عمل به اقوى در حكم مى شود، و با اجمال حكمى، موافق مهر المثل را حاكم اثبات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سرّ مهرى تعيين كردند و در علانيه مهر ديگرى را بدون قصد، اوّلى كه مقصود است بى اثر است اگر در عقد مذكور نيست، و دومى كه مذكور است بى اثر است، چون كه مقصود نيست، و حالِ مثل صورت عدم ذكر مهر است</w:t>
      </w:r>
      <w:r>
        <w:rPr>
          <w:rFonts w:eastAsia="IRNazanin" w:cs="IRNazanin"/>
          <w:color w:val="111111"/>
          <w:sz w:val="28"/>
          <w:szCs w:val="28"/>
          <w:rtl w:val="true"/>
          <w:lang w:bidi="fa-IR"/>
        </w:rPr>
        <w:t>.</w:t>
      </w:r>
    </w:p>
    <w:p>
      <w:pPr>
        <w:pStyle w:val="Heading4"/>
        <w:numPr>
          <w:ilvl w:val="3"/>
          <w:numId w:val="1"/>
        </w:numPr>
        <w:rPr/>
      </w:pPr>
      <w:bookmarkStart w:id="391" w:name="__RefHeading___Toc3807315_1067777946"/>
      <w:bookmarkStart w:id="392" w:name="_Toc170"/>
      <w:bookmarkEnd w:id="391"/>
      <w:r>
        <w:rPr>
          <w:rtl w:val="true"/>
        </w:rPr>
        <w:t>ضمان زوج در مهر</w:t>
      </w:r>
      <w:bookmarkEnd w:id="392"/>
    </w:p>
    <w:p>
      <w:pPr>
        <w:pStyle w:val="BookText"/>
        <w:rPr/>
      </w:pPr>
      <w:r>
        <w:rPr>
          <w:rFonts w:ascii="IRNazanin" w:hAnsi="IRNazanin" w:eastAsia="IRNazanin"/>
          <w:color w:val="111111"/>
          <w:sz w:val="28"/>
          <w:sz w:val="28"/>
          <w:szCs w:val="28"/>
          <w:rtl w:val="true"/>
          <w:lang w:bidi="fa-IR"/>
        </w:rPr>
        <w:t>مهر در ضمان زوج است تا آنكه تسليم زوجه نمايد، پس اگر تلف شد قبل از تسليم، با مطالبه يا بدون آن، ضامن مثل يا قيمت آن در روز تلف است، و احوط قيمت اعلى از تلف تا وقت ادا است</w:t>
      </w:r>
      <w:r>
        <w:rPr>
          <w:rFonts w:eastAsia="IRNazanin" w:cs="IRNazanin"/>
          <w:color w:val="111111"/>
          <w:sz w:val="28"/>
          <w:szCs w:val="28"/>
          <w:rtl w:val="true"/>
          <w:lang w:bidi="fa-IR"/>
        </w:rPr>
        <w:t>.</w:t>
      </w:r>
    </w:p>
    <w:p>
      <w:pPr>
        <w:pStyle w:val="Heading4"/>
        <w:numPr>
          <w:ilvl w:val="3"/>
          <w:numId w:val="1"/>
        </w:numPr>
        <w:rPr/>
      </w:pPr>
      <w:bookmarkStart w:id="393" w:name="__RefHeading___Toc3807317_1067777946"/>
      <w:bookmarkStart w:id="394" w:name="_Toc171"/>
      <w:bookmarkEnd w:id="393"/>
      <w:r>
        <w:rPr>
          <w:rtl w:val="true"/>
        </w:rPr>
        <w:t>ظهور عيب سابق بر عقد در مهر يا تعيّب بعد از عقد در دست زوج</w:t>
      </w:r>
      <w:bookmarkEnd w:id="394"/>
    </w:p>
    <w:p>
      <w:pPr>
        <w:pStyle w:val="BookText"/>
        <w:rPr/>
      </w:pPr>
      <w:r>
        <w:rPr>
          <w:rFonts w:ascii="IRNazanin" w:hAnsi="IRNazanin" w:eastAsia="IRNazanin"/>
          <w:color w:val="111111"/>
          <w:sz w:val="28"/>
          <w:sz w:val="28"/>
          <w:szCs w:val="28"/>
          <w:rtl w:val="true"/>
          <w:lang w:bidi="fa-IR"/>
        </w:rPr>
        <w:t>اگر در مهر، عيب سابق بر عقد ظاهر شد، اظهر مخيّر بودن زن است بين رفع يد از خصوصيت عين و مطالبۀ مثل يا قيمت، و بين امساك خصوصيت با مطالبۀ ارش وصف فائت؛ و در اين تخيير نقل عدم خلاف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اقرب در تعيّب بعد از عقد در يد زوج، جريان همين تخيير است</w:t>
      </w:r>
      <w:r>
        <w:rPr>
          <w:rFonts w:eastAsia="IRNazanin" w:cs="IRNazanin"/>
          <w:color w:val="111111"/>
          <w:sz w:val="28"/>
          <w:szCs w:val="28"/>
          <w:rtl w:val="true"/>
          <w:lang w:bidi="fa-IR"/>
        </w:rPr>
        <w:t>.</w:t>
      </w:r>
    </w:p>
    <w:p>
      <w:pPr>
        <w:pStyle w:val="Heading4"/>
        <w:numPr>
          <w:ilvl w:val="3"/>
          <w:numId w:val="1"/>
        </w:numPr>
        <w:rPr/>
      </w:pPr>
      <w:bookmarkStart w:id="395" w:name="__RefHeading___Toc3807319_1067777946"/>
      <w:bookmarkStart w:id="396" w:name="_Toc172"/>
      <w:bookmarkEnd w:id="395"/>
      <w:r>
        <w:rPr>
          <w:rtl w:val="true"/>
        </w:rPr>
        <w:t>جواز امتناع زوجه از تمكين تا قبض مهر</w:t>
      </w:r>
      <w:bookmarkEnd w:id="39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زوجه مى تواند تمكين زوج از وطى ننمايد تا آنكه قبض مهر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 تنازع در ابتدا به تسليم مهر يا تمكين از وطى، احوط ايداع در نزد امين طرفين است كه بعد از </w:t>
      </w:r>
      <w:bookmarkStart w:id="397" w:name="pg10265_89845"/>
    </w:p>
    <w:p>
      <w:pPr>
        <w:pStyle w:val="BookText"/>
        <w:rPr/>
      </w:pPr>
      <w:bookmarkEnd w:id="397"/>
      <w:r>
        <w:rPr>
          <w:rFonts w:ascii="Amiri" w:hAnsi="Amiri" w:eastAsia="Amiri" w:cs="Amiri"/>
          <w:color w:val="111111"/>
          <w:sz w:val="28"/>
          <w:sz w:val="28"/>
          <w:szCs w:val="28"/>
          <w:rtl w:val="true"/>
          <w:lang w:bidi="ar-SA"/>
        </w:rPr>
        <w:t>وطى وصول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فرقى در شرطيت تسليم مهر، براى وجوب تمكين زوجه، بين موسر و معسر نيست</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3807321_1067777946"/>
      <w:bookmarkStart w:id="399" w:name="_Toc173"/>
      <w:bookmarkEnd w:id="398"/>
      <w:r>
        <w:rPr>
          <w:rtl w:val="true"/>
        </w:rPr>
        <w:t>عدم جواز امتناع از تمكين در فرض مؤجّل بودن مهر</w:t>
      </w:r>
      <w:bookmarkEnd w:id="399"/>
    </w:p>
    <w:p>
      <w:pPr>
        <w:pStyle w:val="BookText"/>
        <w:rPr/>
      </w:pPr>
      <w:r>
        <w:rPr>
          <w:rFonts w:ascii="Amiri" w:hAnsi="Amiri" w:eastAsia="Amiri" w:cs="Amiri"/>
          <w:color w:val="111111"/>
          <w:sz w:val="28"/>
          <w:sz w:val="28"/>
          <w:szCs w:val="28"/>
          <w:rtl w:val="true"/>
          <w:lang w:bidi="ar-SA"/>
        </w:rPr>
        <w:t>در صورتى كه مهر مؤجّل باشد، حق امتناع از تمكين قبل از حلول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صورتى كه امتناع كرد از روى عصيان يا عذرى تا زمان حلول، آيا حق امتناع دارد يا نه‌؟ محل تأمل است، احتياط مناسب براى طرفين ترك نشود</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3807323_1067777946"/>
      <w:bookmarkStart w:id="401" w:name="_Toc174"/>
      <w:bookmarkEnd w:id="400"/>
      <w:r>
        <w:rPr>
          <w:rtl w:val="true"/>
        </w:rPr>
        <w:t>عدم جواز امتناع بعد از دخول</w:t>
      </w:r>
      <w:bookmarkEnd w:id="401"/>
    </w:p>
    <w:p>
      <w:pPr>
        <w:pStyle w:val="BookText"/>
        <w:rPr/>
      </w:pPr>
      <w:r>
        <w:rPr>
          <w:rFonts w:ascii="IRNazanin" w:hAnsi="IRNazanin" w:eastAsia="IRNazanin"/>
          <w:color w:val="111111"/>
          <w:sz w:val="28"/>
          <w:sz w:val="28"/>
          <w:szCs w:val="28"/>
          <w:rtl w:val="true"/>
          <w:lang w:bidi="fa-IR"/>
        </w:rPr>
        <w:t>و بعد از دخول، حق امتناع نيست اگر اسقاط او اختيارى بوده، وگرنه عدم سقوط، خالى از وجه نيست؛ مثل وطى اكراهى كه موجب استقرار مهر است و اسقاط نيست، چنانكه استحقاق نفقه به مثل وطى اكراهى حاصل نمى شود؛ و هم چنين در منقطعه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تسليم ولى، صغيره را، در اسقاطِ صحيح بودن يا نه، فرق مى كند در جواز امتناع بعد از كمال صغيره</w:t>
      </w:r>
      <w:r>
        <w:rPr>
          <w:rFonts w:eastAsia="IRNazanin" w:cs="IRNazanin"/>
          <w:color w:val="111111"/>
          <w:sz w:val="28"/>
          <w:szCs w:val="28"/>
          <w:rtl w:val="true"/>
          <w:lang w:bidi="fa-IR"/>
        </w:rPr>
        <w:t>.</w:t>
      </w:r>
    </w:p>
    <w:p>
      <w:pPr>
        <w:pStyle w:val="Heading4"/>
        <w:numPr>
          <w:ilvl w:val="3"/>
          <w:numId w:val="1"/>
        </w:numPr>
        <w:rPr/>
      </w:pPr>
      <w:bookmarkStart w:id="402" w:name="__RefHeading___Toc3807325_1067777946"/>
      <w:bookmarkStart w:id="403" w:name="_Toc175"/>
      <w:bookmarkEnd w:id="402"/>
      <w:r>
        <w:rPr>
          <w:rtl w:val="true"/>
        </w:rPr>
        <w:t>حكم تمكين و تسليم مهر در صغيره</w:t>
      </w:r>
      <w:bookmarkEnd w:id="403"/>
    </w:p>
    <w:p>
      <w:pPr>
        <w:pStyle w:val="BookText"/>
        <w:rPr/>
      </w:pPr>
      <w:r>
        <w:rPr>
          <w:rFonts w:ascii="IRNazanin" w:hAnsi="IRNazanin" w:eastAsia="IRNazanin"/>
          <w:color w:val="111111"/>
          <w:sz w:val="28"/>
          <w:sz w:val="28"/>
          <w:szCs w:val="28"/>
          <w:rtl w:val="true"/>
          <w:lang w:bidi="fa-IR"/>
        </w:rPr>
        <w:t>اگر صغيره بود و اهليت تمكين نداشت، اظهر عدم فعليّت وجوب تسليم مهر است تا زمان اهليت، به خلاف عكس به اينكه مهر مؤجّل باشد، پس وجوب تمكين، فعلى است قبل از حلول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اهليت صغيره براى ساير استمتاعات غير وطى، آيا وجوب تمكين و وجوب تسليم مهر فعليّت دارد، مثل مريضه و حائض‌؟ محتمل است اگر خوف اضرار نباشد، زيرا تمكين از چنين زنى بيش از اين نيست، لكن خالى از اشكال و احتياط نيست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هر دو صغير بودند و ولى از ولى مطالبۀ مهر كرد، پس مبنى بر مختار در كبير با ولى صغيره است</w:t>
      </w:r>
      <w:r>
        <w:rPr>
          <w:rFonts w:eastAsia="IRNazanin" w:cs="IRNazanin"/>
          <w:color w:val="111111"/>
          <w:sz w:val="28"/>
          <w:szCs w:val="28"/>
          <w:rtl w:val="true"/>
          <w:lang w:bidi="fa-IR"/>
        </w:rPr>
        <w:t xml:space="preserve">. </w:t>
      </w:r>
      <w:bookmarkStart w:id="404" w:name="pg10265_89846"/>
    </w:p>
    <w:p>
      <w:pPr>
        <w:pStyle w:val="Heading4"/>
        <w:numPr>
          <w:ilvl w:val="3"/>
          <w:numId w:val="1"/>
        </w:numPr>
        <w:rPr/>
      </w:pPr>
      <w:bookmarkStart w:id="405" w:name="__RefHeading___Toc3807327_1067777946"/>
      <w:bookmarkStart w:id="406" w:name="_Toc176"/>
      <w:bookmarkEnd w:id="404"/>
      <w:bookmarkEnd w:id="405"/>
      <w:r>
        <w:rPr>
          <w:rtl w:val="true"/>
        </w:rPr>
        <w:t>امتناع زن از تمكين بعد از اخذ مهر</w:t>
      </w:r>
      <w:bookmarkEnd w:id="406"/>
    </w:p>
    <w:p>
      <w:pPr>
        <w:pStyle w:val="BookText"/>
        <w:rPr/>
      </w:pPr>
      <w:r>
        <w:rPr>
          <w:rFonts w:ascii="IRNazanin" w:hAnsi="IRNazanin" w:eastAsia="IRNazanin"/>
          <w:color w:val="111111"/>
          <w:sz w:val="28"/>
          <w:sz w:val="28"/>
          <w:szCs w:val="28"/>
          <w:rtl w:val="true"/>
          <w:lang w:bidi="fa-IR"/>
        </w:rPr>
        <w:t>و اگر بعد از دفع صداق، امتناع از تمكين كرد بدون عذرى، اجبار مى شود بر تمكين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استرداد جايز است مطلقاً، يا در صورت عدم تمكّن از اجبار؟ محل تأمل است در صورتى كه اسقاط حق نباشد، و احتياط مناسب ترك نشود</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3807329_1067777946"/>
      <w:bookmarkStart w:id="408" w:name="_Toc177"/>
      <w:bookmarkEnd w:id="407"/>
      <w:r>
        <w:rPr/>
        <w:t>1</w:t>
      </w:r>
      <w:r>
        <w:rPr>
          <w:rtl w:val="true"/>
        </w:rPr>
        <w:t xml:space="preserve">. </w:t>
      </w:r>
      <w:r>
        <w:rPr>
          <w:rtl w:val="true"/>
        </w:rPr>
        <w:t>تفويض بضع</w:t>
      </w:r>
      <w:bookmarkEnd w:id="408"/>
    </w:p>
    <w:p>
      <w:pPr>
        <w:pStyle w:val="Heading5"/>
        <w:numPr>
          <w:ilvl w:val="4"/>
          <w:numId w:val="1"/>
        </w:numPr>
        <w:rPr/>
      </w:pPr>
      <w:bookmarkStart w:id="409" w:name="__RefHeading___Toc3807331_1067777946"/>
      <w:bookmarkStart w:id="410" w:name="_Toc178"/>
      <w:bookmarkEnd w:id="409"/>
      <w:r>
        <w:rPr>
          <w:rtl w:val="true"/>
        </w:rPr>
        <w:t>عدم ذكر مهر در عقد</w:t>
      </w:r>
      <w:bookmarkEnd w:id="4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تفويض بضع عبارت است از عدم ذكر مهر در 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ذكر مهر، شرط صحّت نكاح نيست؛ پس اگر ذكر نكرد مهر را، يا شرط كرد كه مهر براى او نباشد، عقد صحيح است، و شرط هم صحيح است اگر متعلق به نفى مسمّى باشد؛ و اگر متعلّق به نفى مطلق مهر باشد در عقد و بعد از آن اگر چه بعد از دخول باشد، شرط باطل و عقد صحيح است؛ پس با تفويض بضع به نحو متقدّم، اگر طلاق داد آن را قبل از دخول، براى زن متعه ثابت است نه مهر؛ و اگر بعد از دخول طلاق داد، مهر المثل ثابت است نه متعه؛ و اگر احد زوجين وفات نمايد قبل از دخول و بدون ذكر مهر، براى ديگرى مهر و متعه نيست</w:t>
      </w:r>
      <w:r>
        <w:rPr>
          <w:rFonts w:eastAsia="IRNazanin" w:cs="IRNazanin"/>
          <w:color w:val="111111"/>
          <w:sz w:val="28"/>
          <w:szCs w:val="28"/>
          <w:rtl w:val="true"/>
          <w:lang w:bidi="fa-IR"/>
        </w:rPr>
        <w:t>.</w:t>
      </w:r>
    </w:p>
    <w:p>
      <w:pPr>
        <w:pStyle w:val="Heading5"/>
        <w:numPr>
          <w:ilvl w:val="4"/>
          <w:numId w:val="1"/>
        </w:numPr>
        <w:rPr/>
      </w:pPr>
      <w:bookmarkStart w:id="411" w:name="__RefHeading___Toc3807333_1067777946"/>
      <w:bookmarkStart w:id="412" w:name="_Toc179"/>
      <w:bookmarkEnd w:id="411"/>
      <w:r>
        <w:rPr>
          <w:rtl w:val="true"/>
        </w:rPr>
        <w:t>نحوۀ تعيين مهر المثل در فرض مسأله</w:t>
      </w:r>
      <w:bookmarkEnd w:id="41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تعيين مهر المثل، به ملاحظۀ امثال زن است در خصوصياتى كه با آنها اختلاف رغبات موجب اختلاف مهور مى شود، پس ملاحظۀ اهل و اقارب و بلد و سن و بكارت و جمال و وضع ازواج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اختلاف مقوّمين، قيمت متوسطه پس از جمع و تعديل اخذ مى شود؛ مثل نصف مجموع از دو قيمت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مشهور در صورت تجاوز مهر امثال از مهر السنه 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رد به مهر السنه است، و اين قول احوط براى زن است</w:t>
      </w:r>
      <w:r>
        <w:rPr>
          <w:rFonts w:eastAsia="Amiri" w:cs="Amiri" w:ascii="Amiri" w:hAnsi="Amiri"/>
          <w:color w:val="111111"/>
          <w:sz w:val="28"/>
          <w:szCs w:val="28"/>
          <w:rtl w:val="true"/>
          <w:lang w:bidi="ar-SA"/>
        </w:rPr>
        <w:t xml:space="preserve">. </w:t>
      </w:r>
      <w:bookmarkStart w:id="413" w:name="pg10265_89847"/>
    </w:p>
    <w:p>
      <w:pPr>
        <w:pStyle w:val="Heading5"/>
        <w:numPr>
          <w:ilvl w:val="4"/>
          <w:numId w:val="1"/>
        </w:numPr>
        <w:rPr/>
      </w:pPr>
      <w:bookmarkStart w:id="414" w:name="__RefHeading___Toc3807335_1067777946"/>
      <w:bookmarkStart w:id="415" w:name="_Toc180"/>
      <w:bookmarkEnd w:id="413"/>
      <w:bookmarkEnd w:id="414"/>
      <w:r>
        <w:rPr>
          <w:rtl w:val="true"/>
        </w:rPr>
        <w:t>نحوۀ تعيين متعه</w:t>
      </w:r>
      <w:bookmarkEnd w:id="415"/>
    </w:p>
    <w:p>
      <w:pPr>
        <w:pStyle w:val="BookText"/>
        <w:rPr/>
      </w:pPr>
      <w:r>
        <w:rPr>
          <w:rFonts w:ascii="Amiri" w:hAnsi="Amiri" w:eastAsia="Amiri" w:cs="Amiri"/>
          <w:color w:val="111111"/>
          <w:sz w:val="28"/>
          <w:sz w:val="28"/>
          <w:szCs w:val="28"/>
          <w:rtl w:val="true"/>
          <w:lang w:bidi="ar-SA"/>
        </w:rPr>
        <w:t xml:space="preserve">در متعه، ملاحظۀ حال امثال زن و مرد با هم مى شود؛ يعنى در هركدام از غِنىٰ و توسط و 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ملاحظه مهر امثال زن تعيين مى شود، و اختلاف مراتب هركدام بر آن تنزيل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مذكور در كلمات، براى موسع و غنى متعۀ دابه يا جامۀ قيمتى يا ده دينار است، و براى متوسط پنج دينار يا جامۀ متوسط، و براى فقير يك دينار يا يك انگشتر است، و محمول بر تمثيل است؛ و هم چنين بعضى از اينها در روايات مذكور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اظهر اختصاص وجوب متعه است به مطلّقه اى كه ذكر مهر در عقد او نشده و دخول به او محقّق نشده است؛ و اطلاق استحباب و تأكّد آن به ساير مطلّقات دور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متعه به طلاق مفوّضه قبل از دخول، واجب مى شود؛ و تقديم آن بر طلاق، مستحب است؛ و دور نيست مراعى بودن آن به تعقّب به طلاق، در اتصاف به متعۀ واجبه در مورد وجوب، و مستحبه در موارد استحباب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متعۀ واجبه يا مستحبه با موافقت آنچه زوج مى دهد با وظيفه اش، منوط به رضاى زوجه به قدر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متعۀ واجبه، دَين است در ذمۀ زوج، و احكام دَين در صورت موت زوج و افلاس او، بر آن مرتّب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ابراى متعه قبل از توظيف، مثل ساير ديون و حقوق، اثرى ندارد</w:t>
      </w:r>
      <w:r>
        <w:rPr>
          <w:rFonts w:eastAsia="IRNazanin" w:cs="IRNazanin"/>
          <w:color w:val="111111"/>
          <w:sz w:val="28"/>
          <w:szCs w:val="28"/>
          <w:rtl w:val="true"/>
          <w:lang w:bidi="fa-IR"/>
        </w:rPr>
        <w:t>.</w:t>
      </w:r>
    </w:p>
    <w:p>
      <w:pPr>
        <w:pStyle w:val="Heading5"/>
        <w:numPr>
          <w:ilvl w:val="4"/>
          <w:numId w:val="1"/>
        </w:numPr>
        <w:rPr/>
      </w:pPr>
      <w:bookmarkStart w:id="416" w:name="__RefHeading___Toc3807337_1067777946"/>
      <w:bookmarkStart w:id="417" w:name="_Toc181"/>
      <w:bookmarkEnd w:id="416"/>
      <w:r>
        <w:rPr>
          <w:rtl w:val="true"/>
        </w:rPr>
        <w:t>جواز حبس جهت تعيين مهر در فرض تفويض</w:t>
      </w:r>
      <w:bookmarkEnd w:id="41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مفوّضة البضع مى تواند حبس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تا تعيين مهر شود، و تراضى بعد از عقد جايز و نافذ است به هر قدر كه باشد حتّى زايد از مهر السّنّه؛ و بعد از اتفاق رجوع جايز نيست بنابر احوط نسبت به كسى كه طالب مهر المثل است كه زايد از</w:t>
      </w:r>
      <w:bookmarkStart w:id="418" w:name="pg10265_89848"/>
    </w:p>
    <w:p>
      <w:pPr>
        <w:pStyle w:val="BookText"/>
        <w:rPr/>
      </w:pPr>
      <w:bookmarkEnd w:id="418"/>
      <w:r>
        <w:rPr>
          <w:rFonts w:ascii="IRNazanin" w:hAnsi="IRNazanin" w:eastAsia="IRNazanin"/>
          <w:color w:val="111111"/>
          <w:sz w:val="28"/>
          <w:sz w:val="28"/>
          <w:szCs w:val="28"/>
          <w:rtl w:val="true"/>
          <w:lang w:bidi="fa-IR"/>
        </w:rPr>
        <w:t xml:space="preserve">مفروض باشد، يا كسى كه طالب نقيصه باشد اگر ازيد از مهر المثل است، يا آنكه طلب تبانى بر مرتبۀ ديگر نمايد؛ و هم چنين در انتقال به متعه در طلاق قبل از دخول بعد از رجوع از فرض بعد از عقد؛ و منشأ احتياط، ذكر اصحاب، تراضى بعد از عقد را به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تراضى در حال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نفوذ فرض اجنبى است اگر مقرون يا متعقّب به تراضى زوجين باشد، و احكام فرض زوجين مرتّب است</w:t>
      </w:r>
      <w:r>
        <w:rPr>
          <w:rFonts w:eastAsia="IRNazanin" w:cs="IRNazanin"/>
          <w:color w:val="111111"/>
          <w:sz w:val="28"/>
          <w:szCs w:val="28"/>
          <w:rtl w:val="true"/>
          <w:lang w:bidi="fa-IR"/>
        </w:rPr>
        <w:t>.</w:t>
      </w:r>
    </w:p>
    <w:p>
      <w:pPr>
        <w:pStyle w:val="Heading5"/>
        <w:numPr>
          <w:ilvl w:val="4"/>
          <w:numId w:val="1"/>
        </w:numPr>
        <w:rPr/>
      </w:pPr>
      <w:bookmarkStart w:id="419" w:name="__RefHeading___Toc3807339_1067777946"/>
      <w:bookmarkStart w:id="420" w:name="_Toc182"/>
      <w:bookmarkEnd w:id="419"/>
      <w:r>
        <w:rPr>
          <w:rtl w:val="true"/>
        </w:rPr>
        <w:t>حكم مهر در عقد مملوكه و خريد او</w:t>
      </w:r>
      <w:bookmarkEnd w:id="42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مملوكه را در عقد نكاح آورد، پس از آن خريد او را قبل از دخول، مهر در صورت تسميه، و متعه در صورت تفويض بضع ندارد؛ يعنى مالك اوّل به اين انفساخ، مالك نصف مهر نمى شود، چون انفساخ طلاق نيست، و مالك متعه به سبب مرتّب بر خروج از ملك او نمى شود</w:t>
      </w:r>
      <w:r>
        <w:rPr>
          <w:rFonts w:eastAsia="IRNazanin" w:cs="IRNazanin"/>
          <w:color w:val="111111"/>
          <w:sz w:val="28"/>
          <w:szCs w:val="28"/>
          <w:rtl w:val="true"/>
          <w:lang w:bidi="fa-IR"/>
        </w:rPr>
        <w:t>.</w:t>
      </w:r>
    </w:p>
    <w:p>
      <w:pPr>
        <w:pStyle w:val="Heading5"/>
        <w:numPr>
          <w:ilvl w:val="4"/>
          <w:numId w:val="1"/>
        </w:numPr>
        <w:rPr/>
      </w:pPr>
      <w:bookmarkStart w:id="421" w:name="__RefHeading___Toc3807341_1067777946"/>
      <w:bookmarkStart w:id="422" w:name="_Toc183"/>
      <w:bookmarkEnd w:id="421"/>
      <w:r>
        <w:rPr>
          <w:rtl w:val="true"/>
        </w:rPr>
        <w:t>عدم تحقّق تفويض از غير بالغۀ رشيده مگر با مباشرت ولى فى الجمله</w:t>
      </w:r>
      <w:bookmarkEnd w:id="42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تفويض مباشرى از غير بالغۀ رشيده، چه بكر باشد چه ثيّب، محقّق نمى شود، چه صغيره باشد چه مجنونه چه سفيهه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مباشرت ولىّ‌، با مصلحت در تفويض يا نقص از مهر المثل در تسميه، جايز و نافذ است؛ و با عدم مفسده، محتمل است؛ و در تقدير صحتِ تفويض، متعه در طلاق قبل از دخول ثابت است، وگرنه نكاح صحيح است و تفويض و نقص بى اثر است؛ و بعد از كمال، اختيار تعيين با او است؛ و با دخول بدون تعيين به عذرى، استحقاق مطالبۀ مهر المثل را 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صورت تسميۀ ناقص از مهر المثل با مصلحت، و قول به صحّت مطلقه، در طلاق قبل از دخول نصف مهر المثل است؛ و در تقدير ايقاف به رضاى زن بعد از كمال، پس در طلاق قبل از كمال و دخول، نصف مسمّى فرموده شده، و اظهر نصف مهر المثل است، مگر با مراعى بودن به رضاى بعد از كمال و طلاق به نحو 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423" w:name="pg10265_89849"/>
    </w:p>
    <w:p>
      <w:pPr>
        <w:pStyle w:val="BookText"/>
        <w:rPr/>
      </w:pPr>
      <w:bookmarkEnd w:id="423"/>
      <w:r>
        <w:rPr>
          <w:rFonts w:ascii="IRNazanin" w:hAnsi="IRNazanin" w:eastAsia="IRNazanin"/>
          <w:color w:val="111111"/>
          <w:sz w:val="28"/>
          <w:sz w:val="28"/>
          <w:szCs w:val="28"/>
          <w:rtl w:val="true"/>
          <w:lang w:bidi="fa-IR"/>
        </w:rPr>
        <w:t>اگر بعد از كمال طلاق داد، پس با رضاى زن، مهر مسمّى يا نصف آن ثابت است؛ و بدون رضاى او، مهر المثل يا نصف آن، بر حسب دخول و عدم آن قبل از طلاق، ثابت است</w:t>
      </w:r>
      <w:r>
        <w:rPr>
          <w:rFonts w:eastAsia="IRNazanin" w:cs="IRNazanin"/>
          <w:color w:val="111111"/>
          <w:sz w:val="28"/>
          <w:szCs w:val="28"/>
          <w:rtl w:val="true"/>
          <w:lang w:bidi="fa-IR"/>
        </w:rPr>
        <w:t>.</w:t>
      </w:r>
    </w:p>
    <w:p>
      <w:pPr>
        <w:pStyle w:val="Heading5"/>
        <w:numPr>
          <w:ilvl w:val="4"/>
          <w:numId w:val="1"/>
        </w:numPr>
        <w:rPr/>
      </w:pPr>
      <w:bookmarkStart w:id="424" w:name="__RefHeading___Toc3807343_1067777946"/>
      <w:bookmarkStart w:id="425" w:name="_Toc184"/>
      <w:bookmarkEnd w:id="424"/>
      <w:r>
        <w:rPr>
          <w:rtl w:val="true"/>
        </w:rPr>
        <w:t>تزويج امه با تفويض بضع</w:t>
      </w:r>
      <w:bookmarkEnd w:id="42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مولى امۀ خود را تزويج كرد با تفويض بضع، مانعى ندارد، و احكام فرض و متعه و مهر المثل به دخول مرتّب مى شود؛ و در صورتى كه باقى در ملك او تا زمان دخول بود، مهر المثل براى مولى ثابت است؛ و اگر با زوج اتفاق بر تعيين مهر كرد، حكم مفروض در عقد مرتّب است؛ و اگر به حال عقد كه تفويض بود باقى ماند تا زمان طلاق، متعه براى او ثابت است</w:t>
      </w:r>
      <w:r>
        <w:rPr>
          <w:rFonts w:eastAsia="IRNazanin" w:cs="IRNazanin"/>
          <w:color w:val="111111"/>
          <w:sz w:val="28"/>
          <w:szCs w:val="28"/>
          <w:rtl w:val="true"/>
          <w:lang w:bidi="fa-IR"/>
        </w:rPr>
        <w:t>.</w:t>
      </w:r>
    </w:p>
    <w:p>
      <w:pPr>
        <w:pStyle w:val="Heading5"/>
        <w:numPr>
          <w:ilvl w:val="4"/>
          <w:numId w:val="1"/>
        </w:numPr>
        <w:rPr/>
      </w:pPr>
      <w:bookmarkStart w:id="426" w:name="__RefHeading___Toc3807345_1067777946"/>
      <w:bookmarkStart w:id="427" w:name="_Toc185"/>
      <w:bookmarkEnd w:id="426"/>
      <w:r>
        <w:rPr>
          <w:rtl w:val="true"/>
        </w:rPr>
        <w:t>بيع يا عتق امه بعد از تزويج او با تفويض بضع</w:t>
      </w:r>
      <w:bookmarkEnd w:id="427"/>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مولىٰ تزويج نمود امۀ خود را با تفويض بضع، پس از آن فروخت به ديگرى، و او هم اختيار بقاى نكاح كرد، اختيار فرض مهر بين مالك دوّم و زوج است؛ و آنچه به اتفاق مفروض شد، يا با دخولْ مهر المثل ثابت شد، مال مالك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عتق كرد او را قبل از دخول، پس راضى به عقد شد، مهر مال محرّره است، چه مهر المثل مستحق به دخول باشد، يا مفروض بعد از عتق به اختيار او و زوج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اعتاق بعد از تزويج و تعيين مهر در عقد بوده، مهر تماماً يا مراعى به دخول در نصف، ملك مالك حين التزويج است، و مثل مشترى نيست كه او مالك مهر المثل با دخول و مفروض، بعد از تملك مفوضۀ سابق است، در صورت اجازۀ عقد سابق، چنانچه گذشت</w:t>
      </w:r>
      <w:r>
        <w:rPr>
          <w:rFonts w:eastAsia="IRNazanin" w:cs="IRNazanin"/>
          <w:color w:val="111111"/>
          <w:sz w:val="28"/>
          <w:szCs w:val="28"/>
          <w:rtl w:val="true"/>
          <w:lang w:bidi="fa-IR"/>
        </w:rPr>
        <w:t>.</w:t>
      </w:r>
    </w:p>
    <w:p>
      <w:pPr>
        <w:pStyle w:val="Heading4"/>
        <w:numPr>
          <w:ilvl w:val="3"/>
          <w:numId w:val="1"/>
        </w:numPr>
        <w:rPr/>
      </w:pPr>
      <w:bookmarkStart w:id="428" w:name="__RefHeading___Toc3807347_1067777946"/>
      <w:bookmarkStart w:id="429" w:name="_Toc186"/>
      <w:bookmarkEnd w:id="428"/>
      <w:r>
        <w:rPr/>
        <w:t>2</w:t>
      </w:r>
      <w:r>
        <w:rPr>
          <w:rtl w:val="true"/>
        </w:rPr>
        <w:t xml:space="preserve">. </w:t>
      </w:r>
      <w:r>
        <w:rPr>
          <w:rtl w:val="true"/>
        </w:rPr>
        <w:t>تفويض مهر</w:t>
      </w:r>
      <w:bookmarkEnd w:id="429"/>
    </w:p>
    <w:p>
      <w:pPr>
        <w:pStyle w:val="Heading5"/>
        <w:numPr>
          <w:ilvl w:val="4"/>
          <w:numId w:val="1"/>
        </w:numPr>
        <w:rPr/>
      </w:pPr>
      <w:bookmarkStart w:id="430" w:name="__RefHeading___Toc3807349_1067777946"/>
      <w:bookmarkStart w:id="431" w:name="_Toc187"/>
      <w:bookmarkEnd w:id="430"/>
      <w:r>
        <w:rPr>
          <w:rtl w:val="true"/>
        </w:rPr>
        <w:t>فرق تفويض مهر و تفويض بضع و نحوۀ تعيين مهر در مفوّضة المهر</w:t>
      </w:r>
      <w:bookmarkEnd w:id="43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مفوّضة المهر افتراق او از مفوّضة البضع، به اشتراط تعيين زوج بعينه يا زوجه بعينها، </w:t>
      </w:r>
      <w:bookmarkStart w:id="432" w:name="pg10265_89850"/>
    </w:p>
    <w:p>
      <w:pPr>
        <w:pStyle w:val="BookText"/>
        <w:rPr/>
      </w:pPr>
      <w:bookmarkEnd w:id="432"/>
      <w:r>
        <w:rPr>
          <w:rFonts w:ascii="IRNazanin" w:hAnsi="IRNazanin" w:eastAsia="IRNazanin"/>
          <w:color w:val="111111"/>
          <w:sz w:val="28"/>
          <w:sz w:val="28"/>
          <w:szCs w:val="28"/>
          <w:rtl w:val="true"/>
          <w:lang w:bidi="fa-IR"/>
        </w:rPr>
        <w:t xml:space="preserve">مهر را است؛ پس اگر مشروط تعيين زوج باشد، حدّى در قلت و كثرت ندارد؛ و اگر مشروط، تعيين زوجه باشد، محدود است در طرف كثرت به عدم تجاوز از مهر السنه كه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مشروط حكم اجنبى باشد، پس اظهر صحّت شرط است و عدم تقيّد در دو طرف قلت و كثرت به ازيد از تموّل، مثل حكم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مشروط حكم هر دو به نحو اجتماع باشد، يا به نحو استقلال، اظهر در صورت اوّل اناطۀ به توافق هر دو، و احوط در صورت دوّم هم همين است، مگر اينكه مختار زن ازيد از مهر السنّة باشد كه قول و تعيين مرد در مخالفت به نقيصه و مهر السنّة مسموع است</w:t>
      </w:r>
      <w:r>
        <w:rPr>
          <w:rFonts w:eastAsia="IRNazanin" w:cs="IRNazanin"/>
          <w:color w:val="111111"/>
          <w:sz w:val="28"/>
          <w:szCs w:val="28"/>
          <w:rtl w:val="true"/>
          <w:lang w:bidi="fa-IR"/>
        </w:rPr>
        <w:t>.</w:t>
      </w:r>
    </w:p>
    <w:p>
      <w:pPr>
        <w:pStyle w:val="Heading5"/>
        <w:numPr>
          <w:ilvl w:val="4"/>
          <w:numId w:val="1"/>
        </w:numPr>
        <w:rPr/>
      </w:pPr>
      <w:bookmarkStart w:id="433" w:name="__RefHeading___Toc3807351_1067777946"/>
      <w:bookmarkStart w:id="434" w:name="_Toc188"/>
      <w:bookmarkEnd w:id="433"/>
      <w:r>
        <w:rPr>
          <w:rtl w:val="true"/>
        </w:rPr>
        <w:t>طلاق مفوّضة المهر</w:t>
      </w:r>
      <w:bookmarkEnd w:id="434"/>
    </w:p>
    <w:p>
      <w:pPr>
        <w:pStyle w:val="BookText"/>
        <w:rPr/>
      </w:pPr>
      <w:r>
        <w:rPr>
          <w:rFonts w:ascii="IRNazanin" w:hAnsi="IRNazanin" w:eastAsia="IRNazanin"/>
          <w:color w:val="111111"/>
          <w:sz w:val="28"/>
          <w:sz w:val="28"/>
          <w:szCs w:val="28"/>
          <w:rtl w:val="true"/>
          <w:lang w:bidi="fa-IR"/>
        </w:rPr>
        <w:t>اگر طلاق داد مفوّضة المهر را قبل از دخول و قبل از حكم، الزام مى شود حاكمِ به حسب شرط، به حكم براى تعيين حق؛ و نصف معيّنِ به حكم، مستحَق مطلّقه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حاكم زن است، براى او نصف مهر معيّن است در صورتى كه معيّن او از مهر السنه زايد نباشد؛ و اگر زايد باشد، رد مى شود به مهر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امتناع از حكم نمود، حاكم شرع حكم مى نمايد بنابر اظهر، در صورتى كه ايقاف، تعطيل و تضييع حقّ باشد و اجبار بر حكم ممكن نباشد، و مثل خود او حاكم زايد بر مهر السنه حكم ننمايد؛ و هم چنين در امتناع زوج از حكم و عدم امكان اجبار او بر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براى حاكم عدم حكم به ازيد از مهر السنه يا مهر المثل است</w:t>
      </w:r>
      <w:r>
        <w:rPr>
          <w:rFonts w:eastAsia="IRNazanin" w:cs="IRNazanin"/>
          <w:color w:val="111111"/>
          <w:sz w:val="28"/>
          <w:szCs w:val="28"/>
          <w:rtl w:val="true"/>
          <w:lang w:bidi="fa-IR"/>
        </w:rPr>
        <w:t>.</w:t>
      </w:r>
    </w:p>
    <w:p>
      <w:pPr>
        <w:pStyle w:val="Heading5"/>
        <w:numPr>
          <w:ilvl w:val="4"/>
          <w:numId w:val="1"/>
        </w:numPr>
        <w:rPr/>
      </w:pPr>
      <w:bookmarkStart w:id="435" w:name="__RefHeading___Toc3807353_1067777946"/>
      <w:bookmarkStart w:id="436" w:name="_Toc189"/>
      <w:bookmarkEnd w:id="435"/>
      <w:r>
        <w:rPr>
          <w:rtl w:val="true"/>
        </w:rPr>
        <w:t>جنون يا وفات حاكم به شرط</w:t>
      </w:r>
      <w:bookmarkEnd w:id="43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حاكمِ به شرط، مجنون شد به جنون طارى، ولىّ او اگر چه حاكم شرع باشد قائم مقام او مى شود و حكم مى نمايد بنابر وجهى، در صورت عدم امكان ايقاف تا زوال جنون عارضى، و لكن احتياط غير متروك در رعايت احتمال متعه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w:t>
      </w:r>
      <w:bookmarkStart w:id="437" w:name="pg10265_89851"/>
    </w:p>
    <w:p>
      <w:pPr>
        <w:pStyle w:val="BookText"/>
        <w:rPr/>
      </w:pPr>
      <w:bookmarkEnd w:id="437"/>
      <w:r>
        <w:rPr>
          <w:rFonts w:ascii="IRNazanin" w:hAnsi="IRNazanin" w:eastAsia="IRNazanin"/>
          <w:color w:val="111111"/>
          <w:sz w:val="28"/>
          <w:sz w:val="28"/>
          <w:szCs w:val="28"/>
          <w:rtl w:val="true"/>
          <w:lang w:bidi="fa-IR"/>
        </w:rPr>
        <w:t>اگر وفات نمايد حاكمِ به شرط، قبل از حكم و دخول، لكن اقرب در اين مقام متعه است؛ و بعد از دخول و قبل از حكم، مهر المثل ثابت است</w:t>
      </w:r>
      <w:r>
        <w:rPr>
          <w:rFonts w:eastAsia="IRNazanin" w:cs="IRNazanin"/>
          <w:color w:val="111111"/>
          <w:sz w:val="28"/>
          <w:szCs w:val="28"/>
          <w:rtl w:val="true"/>
          <w:lang w:bidi="fa-IR"/>
        </w:rPr>
        <w:t>.</w:t>
      </w:r>
    </w:p>
    <w:p>
      <w:pPr>
        <w:pStyle w:val="Heading4"/>
        <w:numPr>
          <w:ilvl w:val="3"/>
          <w:numId w:val="1"/>
        </w:numPr>
        <w:rPr/>
      </w:pPr>
      <w:bookmarkStart w:id="438" w:name="__RefHeading___Toc3807355_1067777946"/>
      <w:bookmarkStart w:id="439" w:name="_Toc190"/>
      <w:bookmarkEnd w:id="438"/>
      <w:r>
        <w:rPr>
          <w:rtl w:val="true"/>
        </w:rPr>
        <w:t>احكام مهر</w:t>
      </w:r>
      <w:bookmarkEnd w:id="439"/>
    </w:p>
    <w:p>
      <w:pPr>
        <w:pStyle w:val="Heading5"/>
        <w:numPr>
          <w:ilvl w:val="4"/>
          <w:numId w:val="1"/>
        </w:numPr>
        <w:rPr/>
      </w:pPr>
      <w:bookmarkStart w:id="440" w:name="__RefHeading___Toc3807357_1067777946"/>
      <w:bookmarkStart w:id="441" w:name="_Toc191"/>
      <w:bookmarkEnd w:id="440"/>
      <w:r>
        <w:rPr>
          <w:rtl w:val="true"/>
        </w:rPr>
        <w:t>عدم سقوط مهر با دخول</w:t>
      </w:r>
      <w:bookmarkEnd w:id="4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با دخول ساقط نمى شود، بلكه آنچه در ذمّه بوده، ثابت و باقى در ذمّه مى شود؛ حلول و تأجيل، و طول مدت و قصر آن، و مطالبه و عدم آن، فارق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دخول با رضاى زوجه و تمكين او، كاشف اعم از اخذ خصوص قدر عاجل يا رضا به بقاى در ذمّه مثل مؤجل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ممكن است در مفوضة البضع دخول با رضاى زوجه و تقديم چيزى از زوج، كاشف از فرض مهر در آن و اكتفاى به آن به نحوى كه استحقاق غير نداشته باشد مى شود</w:t>
      </w:r>
      <w:r>
        <w:rPr>
          <w:rFonts w:eastAsia="IRNazanin" w:cs="IRNazanin"/>
          <w:color w:val="111111"/>
          <w:sz w:val="28"/>
          <w:szCs w:val="28"/>
          <w:rtl w:val="true"/>
          <w:lang w:bidi="fa-IR"/>
        </w:rPr>
        <w:t>.</w:t>
      </w:r>
    </w:p>
    <w:p>
      <w:pPr>
        <w:pStyle w:val="Heading5"/>
        <w:numPr>
          <w:ilvl w:val="4"/>
          <w:numId w:val="1"/>
        </w:numPr>
        <w:rPr/>
      </w:pPr>
      <w:bookmarkStart w:id="442" w:name="__RefHeading___Toc3807359_1067777946"/>
      <w:bookmarkStart w:id="443" w:name="_Toc192"/>
      <w:bookmarkEnd w:id="442"/>
      <w:r>
        <w:rPr>
          <w:rtl w:val="true"/>
        </w:rPr>
        <w:t>دخول موجب مهر</w:t>
      </w:r>
      <w:bookmarkEnd w:id="443"/>
    </w:p>
    <w:p>
      <w:pPr>
        <w:pStyle w:val="BookText"/>
        <w:rPr/>
      </w:pPr>
      <w:r>
        <w:rPr>
          <w:rFonts w:ascii="IRNazanin" w:hAnsi="IRNazanin" w:eastAsia="IRNazanin"/>
          <w:color w:val="111111"/>
          <w:sz w:val="28"/>
          <w:sz w:val="28"/>
          <w:szCs w:val="28"/>
          <w:rtl w:val="true"/>
          <w:lang w:bidi="fa-IR"/>
        </w:rPr>
        <w:t>دخولى كه موجب مهر است، همان موجب غسل و عدّه و جلد و رجم است، و آن التقاى ختانين است يا وطى در دبر، اگر چه انزال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خلوت گاهى سبب مى شود براى حكم به موجب مهر، اگر معلوم نباشد عدم دخول نزد حاكم</w:t>
      </w:r>
      <w:r>
        <w:rPr>
          <w:rFonts w:eastAsia="IRNazanin" w:cs="IRNazanin"/>
          <w:color w:val="111111"/>
          <w:sz w:val="28"/>
          <w:szCs w:val="28"/>
          <w:rtl w:val="true"/>
          <w:lang w:bidi="fa-IR"/>
        </w:rPr>
        <w:t>.</w:t>
      </w:r>
    </w:p>
    <w:p>
      <w:pPr>
        <w:pStyle w:val="Heading5"/>
        <w:numPr>
          <w:ilvl w:val="4"/>
          <w:numId w:val="1"/>
        </w:numPr>
        <w:rPr/>
      </w:pPr>
      <w:bookmarkStart w:id="444" w:name="__RefHeading___Toc3807361_1067777946"/>
      <w:bookmarkStart w:id="445" w:name="_Toc193"/>
      <w:bookmarkEnd w:id="444"/>
      <w:r>
        <w:rPr>
          <w:rtl w:val="true"/>
        </w:rPr>
        <w:t>طلاق قبل از دخول</w:t>
      </w:r>
      <w:bookmarkEnd w:id="44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طلاق داد قبل از دخول، بر طلاق دهنده نصف مهر است، كه مسمّى در عقد، يا مفروض به فرض صحيح بعد از عقد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دين بوده و ادا نكرده بوده، ذمۀ او از نصف آن برئ مى شود؛ و اگر عين باشد مشترك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مى 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دفع كرده بوده، نصف آن را استرجاع مى نمايد</w:t>
      </w:r>
      <w:r>
        <w:rPr>
          <w:rFonts w:eastAsia="IRNazanin" w:cs="IRNazanin"/>
          <w:color w:val="111111"/>
          <w:sz w:val="28"/>
          <w:szCs w:val="28"/>
          <w:rtl w:val="true"/>
          <w:lang w:bidi="fa-IR"/>
        </w:rPr>
        <w:t xml:space="preserve">. </w:t>
      </w:r>
      <w:bookmarkStart w:id="446" w:name="pg10265_89852"/>
    </w:p>
    <w:p>
      <w:pPr>
        <w:pStyle w:val="Heading5"/>
        <w:numPr>
          <w:ilvl w:val="4"/>
          <w:numId w:val="1"/>
        </w:numPr>
        <w:rPr/>
      </w:pPr>
      <w:bookmarkStart w:id="447" w:name="__RefHeading___Toc3807363_1067777946"/>
      <w:bookmarkStart w:id="448" w:name="_Toc194"/>
      <w:bookmarkEnd w:id="446"/>
      <w:bookmarkEnd w:id="447"/>
      <w:r>
        <w:rPr>
          <w:rtl w:val="true"/>
        </w:rPr>
        <w:t>حكم صورت تلف شدنِ عين و آنچه به منزله تلف است</w:t>
      </w:r>
      <w:bookmarkEnd w:id="448"/>
    </w:p>
    <w:p>
      <w:pPr>
        <w:pStyle w:val="BookText"/>
        <w:rPr/>
      </w:pPr>
      <w:r>
        <w:rPr>
          <w:rFonts w:ascii="IRNazanin" w:hAnsi="IRNazanin" w:eastAsia="IRNazanin"/>
          <w:color w:val="111111"/>
          <w:sz w:val="28"/>
          <w:sz w:val="28"/>
          <w:szCs w:val="28"/>
          <w:rtl w:val="true"/>
          <w:lang w:bidi="fa-IR"/>
        </w:rPr>
        <w:t>و اگر تالف شده، نصف مثل در مثلى، و نصف قيمت در قيمى را اخذ مى نمايد؛ و هم چنين اگر مثلى متعذر المثل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صلح است در اختلاف قيمت عين به سبب اختلاف در كميت و كيفيّت عين از روز طلاق بعد از قبض زوجه تا روز قبض زوج نصف قيمت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اختلاف در قيمت سوقيّه، با بقاى عين اثرى ندارد؛ و با تلف آن احوط صلح است در قيمت روز تلف و روز دفع قيمت نصف، نه ما بين بنابر اظهر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انتقال لازم، به منزلۀ تلف است در رجوع به قيمت؛ و عود به سبب جديد اثرى ندارد در هيچ صورت بنابر اظهر</w:t>
      </w:r>
      <w:r>
        <w:rPr>
          <w:rFonts w:eastAsia="IRNazanin" w:cs="IRNazanin"/>
          <w:color w:val="111111"/>
          <w:sz w:val="28"/>
          <w:szCs w:val="28"/>
          <w:rtl w:val="true"/>
          <w:lang w:bidi="fa-IR"/>
        </w:rPr>
        <w:t>.</w:t>
      </w:r>
    </w:p>
    <w:p>
      <w:pPr>
        <w:pStyle w:val="Heading5"/>
        <w:numPr>
          <w:ilvl w:val="4"/>
          <w:numId w:val="1"/>
        </w:numPr>
        <w:rPr/>
      </w:pPr>
      <w:bookmarkStart w:id="449" w:name="__RefHeading___Toc3807365_1067777946"/>
      <w:bookmarkStart w:id="450" w:name="_Toc195"/>
      <w:bookmarkEnd w:id="449"/>
      <w:r>
        <w:rPr>
          <w:rtl w:val="true"/>
        </w:rPr>
        <w:t>اگر زوجه عين را رهن و يا اجاره داده باشد</w:t>
      </w:r>
      <w:bookmarkEnd w:id="450"/>
    </w:p>
    <w:p>
      <w:pPr>
        <w:pStyle w:val="BookText"/>
        <w:rPr/>
      </w:pPr>
      <w:r>
        <w:rPr>
          <w:rFonts w:ascii="IRNazanin" w:hAnsi="IRNazanin" w:eastAsia="IRNazanin"/>
          <w:color w:val="111111"/>
          <w:sz w:val="28"/>
          <w:sz w:val="28"/>
          <w:szCs w:val="28"/>
          <w:rtl w:val="true"/>
          <w:lang w:bidi="fa-IR"/>
        </w:rPr>
        <w:t>و اگر عين متعلق حق رهانت يا اجاره باشد، مخيّر است زوج بين مطالبۀ قيمت و انتظار فك رهن يا انقضاى اجاره؛ و احوط رعايت رضايت زوجه است در طرفين تخيير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معامله ناقلۀ غير لازم باشد، مخيّر است زوجه بين رجوع و دفع نصف عين يا دفع نصف مثل يا قيمت</w:t>
      </w:r>
      <w:r>
        <w:rPr>
          <w:rFonts w:eastAsia="IRNazanin" w:cs="IRNazanin"/>
          <w:color w:val="111111"/>
          <w:sz w:val="28"/>
          <w:szCs w:val="28"/>
          <w:rtl w:val="true"/>
          <w:lang w:bidi="fa-IR"/>
        </w:rPr>
        <w:t>.</w:t>
      </w:r>
    </w:p>
    <w:p>
      <w:pPr>
        <w:pStyle w:val="Heading5"/>
        <w:numPr>
          <w:ilvl w:val="4"/>
          <w:numId w:val="1"/>
        </w:numPr>
        <w:rPr/>
      </w:pPr>
      <w:bookmarkStart w:id="451" w:name="__RefHeading___Toc3807367_1067777946"/>
      <w:bookmarkStart w:id="452" w:name="_Toc196"/>
      <w:bookmarkEnd w:id="451"/>
      <w:r>
        <w:rPr>
          <w:rtl w:val="true"/>
        </w:rPr>
        <w:t>حصول نقص در عين يا صفت</w:t>
      </w:r>
      <w:bookmarkEnd w:id="452"/>
    </w:p>
    <w:p>
      <w:pPr>
        <w:pStyle w:val="BookText"/>
        <w:rPr/>
      </w:pPr>
      <w:r>
        <w:rPr>
          <w:rFonts w:ascii="IRNazanin" w:hAnsi="IRNazanin" w:eastAsia="IRNazanin"/>
          <w:color w:val="111111"/>
          <w:sz w:val="28"/>
          <w:sz w:val="28"/>
          <w:szCs w:val="28"/>
          <w:rtl w:val="true"/>
          <w:lang w:bidi="fa-IR"/>
        </w:rPr>
        <w:t>اگر نقصى در عين حاصل شد، مثل عِوَر دابّه و نسيان صنعت، محتمل است رجوع به نصف عين و نصف ارش تعيّب، و احوط صلح است، چنانچه در اختلاف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رجوع به قيمت در حال قبض با اختيار زن بدون لزوم محذور ديگر، خالى از وجه نيست</w:t>
      </w:r>
      <w:r>
        <w:rPr>
          <w:rFonts w:eastAsia="IRNazanin" w:cs="IRNazanin"/>
          <w:color w:val="111111"/>
          <w:sz w:val="28"/>
          <w:szCs w:val="28"/>
          <w:rtl w:val="true"/>
          <w:lang w:bidi="fa-IR"/>
        </w:rPr>
        <w:t>.</w:t>
      </w:r>
    </w:p>
    <w:p>
      <w:pPr>
        <w:pStyle w:val="Heading5"/>
        <w:numPr>
          <w:ilvl w:val="4"/>
          <w:numId w:val="1"/>
        </w:numPr>
        <w:rPr/>
      </w:pPr>
      <w:bookmarkStart w:id="453" w:name="__RefHeading___Toc3807369_1067777946"/>
      <w:bookmarkStart w:id="454" w:name="_Toc197"/>
      <w:bookmarkEnd w:id="453"/>
      <w:r>
        <w:rPr>
          <w:rtl w:val="true"/>
        </w:rPr>
        <w:t>حصول زيادات متّصله در عين</w:t>
      </w:r>
      <w:bookmarkEnd w:id="45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زيادات متصله، احوط براى زوج صلح به قيمت بعد از طلاق و قبل از زيادتيها است، بلكه خالى از وجه نيست؛ و احوط براى زوج، عدم جواز اجبار زن است به دفع عين مجاناً يا با عوض زيادتى، بلكه خالى از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دفع كرد عين را </w:t>
      </w:r>
      <w:bookmarkStart w:id="455" w:name="pg10265_89853"/>
    </w:p>
    <w:p>
      <w:pPr>
        <w:pStyle w:val="BookText"/>
        <w:rPr/>
      </w:pPr>
      <w:bookmarkEnd w:id="455"/>
      <w:r>
        <w:rPr>
          <w:rFonts w:ascii="IRNazanin" w:hAnsi="IRNazanin" w:eastAsia="IRNazanin"/>
          <w:color w:val="111111"/>
          <w:sz w:val="28"/>
          <w:sz w:val="28"/>
          <w:szCs w:val="28"/>
          <w:rtl w:val="true"/>
          <w:lang w:bidi="fa-IR"/>
        </w:rPr>
        <w:t>به اختيار خود مجاناً، قبول واجب است بنابر احوط، بلكه اظهر در صورت عدم لزوم شركت و با موافقت با قيمت نصف در حال قبض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دفع كرد قيمت را، نمى تواند مطالبۀ عين نمايد بنابر احوط، بلكه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تاخير مطالبه مانعى ندارد بنابر اظهر، بلكه بعد از دفع زوجه عين يا قيمت آن را، عمل به وظيفۀ خودش مى نمايد، و نيّت اضرار، اضرار محرّم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الزام زوجه به شركت در عين بالنسبه، يعنى بدون زياده، نمى تواند نمايد، بلكه اختيار با زوجه است بنابر احوط چنانچه گذشت، بلكه خالى از وجه نيست</w:t>
      </w:r>
      <w:r>
        <w:rPr>
          <w:rFonts w:eastAsia="IRNazanin" w:cs="IRNazanin"/>
          <w:color w:val="111111"/>
          <w:sz w:val="28"/>
          <w:szCs w:val="28"/>
          <w:rtl w:val="true"/>
          <w:lang w:bidi="fa-IR"/>
        </w:rPr>
        <w:t>.</w:t>
      </w:r>
    </w:p>
    <w:p>
      <w:pPr>
        <w:pStyle w:val="Heading5"/>
        <w:numPr>
          <w:ilvl w:val="4"/>
          <w:numId w:val="1"/>
        </w:numPr>
        <w:rPr/>
      </w:pPr>
      <w:bookmarkStart w:id="456" w:name="__RefHeading___Toc3807371_1067777946"/>
      <w:bookmarkStart w:id="457" w:name="_Toc198"/>
      <w:bookmarkEnd w:id="456"/>
      <w:r>
        <w:rPr>
          <w:rtl w:val="true"/>
        </w:rPr>
        <w:t>حصول زيادتى و نقص با هم در عين</w:t>
      </w:r>
      <w:bookmarkEnd w:id="457"/>
    </w:p>
    <w:p>
      <w:pPr>
        <w:pStyle w:val="BookText"/>
        <w:rPr/>
      </w:pPr>
      <w:r>
        <w:rPr>
          <w:rFonts w:ascii="IRNazanin" w:hAnsi="IRNazanin" w:eastAsia="IRNazanin"/>
          <w:color w:val="111111"/>
          <w:sz w:val="28"/>
          <w:sz w:val="28"/>
          <w:szCs w:val="28"/>
          <w:rtl w:val="true"/>
          <w:lang w:bidi="fa-IR"/>
        </w:rPr>
        <w:t xml:space="preserve">و هم چنين اگر از جهتى زيادتى حاصل شد و از جهتى نقص، مثل تعلم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نسيان سورۀ ديگر، احوط صلح است در نصف عين يا قيمت، و در مقدار قيمت بر تقدير صلح بر آن، و در نصف عين با ارش نقص يا عوض زيادتى يا بدون آنها، و در ملاحظۀ جبران نقص و زياده و عدم آن؛ اگر چه به اختيار زن بودن، در صورت موافقت با قيمت حين قبض زن و عدم لزوم شركت و ضرر ديگر كه جايز الدفع است، خالى از 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تعيّب كرد در يد زوج، به غير تفريط يا با تفريط او، احوط صلح به دفع نصف عين با ارش مخصوص آن، يا قيمت مجموع است</w:t>
      </w:r>
      <w:r>
        <w:rPr>
          <w:rFonts w:eastAsia="IRNazanin" w:cs="IRNazanin"/>
          <w:color w:val="111111"/>
          <w:sz w:val="28"/>
          <w:szCs w:val="28"/>
          <w:rtl w:val="true"/>
          <w:lang w:bidi="fa-IR"/>
        </w:rPr>
        <w:t>.</w:t>
      </w:r>
    </w:p>
    <w:p>
      <w:pPr>
        <w:pStyle w:val="Heading5"/>
        <w:numPr>
          <w:ilvl w:val="4"/>
          <w:numId w:val="1"/>
        </w:numPr>
        <w:rPr/>
      </w:pPr>
      <w:bookmarkStart w:id="458" w:name="__RefHeading___Toc3807373_1067777946"/>
      <w:bookmarkStart w:id="459" w:name="_Toc199"/>
      <w:bookmarkEnd w:id="458"/>
      <w:r>
        <w:rPr>
          <w:rtl w:val="true"/>
        </w:rPr>
        <w:t>نماى منفصل عين</w:t>
      </w:r>
      <w:bookmarkEnd w:id="45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نماى منفصل مثل شير و ولد، مخصوص زوجه است، در يد زوج يا زوجه، آنچه مربوط به قبل از طلاق بوده است؛ و نماى بعد از طلاق منصّف،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صداق، حيوان حامل بود، به طلاق، نصف حيوان با حمل آن را، زوج مالك مى شود، اگر چه طلاق بعد از وضع حمل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حمل در ملك زن بود، فقط نصف حيوان رجوع به او مى نمايد، و قيمت نقص عين به سبب ولادت، محتمل است رجوع به زوج نمايد</w:t>
      </w:r>
      <w:r>
        <w:rPr>
          <w:rFonts w:eastAsia="IRNazanin" w:cs="IRNazanin"/>
          <w:color w:val="111111"/>
          <w:sz w:val="28"/>
          <w:szCs w:val="28"/>
          <w:rtl w:val="true"/>
          <w:lang w:bidi="fa-IR"/>
        </w:rPr>
        <w:t xml:space="preserve">. </w:t>
      </w:r>
      <w:bookmarkStart w:id="460" w:name="pg10265_89854"/>
    </w:p>
    <w:p>
      <w:pPr>
        <w:pStyle w:val="Heading5"/>
        <w:numPr>
          <w:ilvl w:val="4"/>
          <w:numId w:val="1"/>
        </w:numPr>
        <w:rPr/>
      </w:pPr>
      <w:bookmarkStart w:id="461" w:name="__RefHeading___Toc3807375_1067777946"/>
      <w:bookmarkStart w:id="462" w:name="_Toc200"/>
      <w:bookmarkEnd w:id="460"/>
      <w:bookmarkEnd w:id="461"/>
      <w:r>
        <w:rPr>
          <w:rtl w:val="true"/>
        </w:rPr>
        <w:t>اگر صداق، تعليم صنعت يا سوره باشد</w:t>
      </w:r>
      <w:bookmarkEnd w:id="462"/>
    </w:p>
    <w:p>
      <w:pPr>
        <w:pStyle w:val="BookText"/>
        <w:rPr/>
      </w:pPr>
      <w:r>
        <w:rPr>
          <w:rFonts w:ascii="IRNazanin" w:hAnsi="IRNazanin" w:eastAsia="IRNazanin"/>
          <w:color w:val="111111"/>
          <w:sz w:val="28"/>
          <w:sz w:val="28"/>
          <w:szCs w:val="28"/>
          <w:rtl w:val="true"/>
          <w:lang w:bidi="fa-IR"/>
        </w:rPr>
        <w:t>و اگر صداق تعليم صنعتى بود، پس از آن طلاق داد قبل از دخول و تعليم، نصف اجرت تعليم آن را به زن مى دهد؛ و اگر تعليم نموده بود، نصف اجرت را از زن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صداق تعليم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تعليم نصف مى نمايد، و تعيين نصف را با حروف سوره مى نمايد، با مباشرت و حفظ حجاب و عدم خلوت محرّمه و عدم خوف فتنه، يا با استيجار غير كه واجد شرط و فاقد مانع باشد؛ و اگر هيچ كدام ممكن نشد، نصف اجرت تعليم را مى دهد</w:t>
      </w:r>
      <w:r>
        <w:rPr>
          <w:rFonts w:eastAsia="IRNazanin" w:cs="IRNazanin"/>
          <w:color w:val="111111"/>
          <w:sz w:val="28"/>
          <w:szCs w:val="28"/>
          <w:rtl w:val="true"/>
          <w:lang w:bidi="fa-IR"/>
        </w:rPr>
        <w:t>.</w:t>
      </w:r>
    </w:p>
    <w:p>
      <w:pPr>
        <w:pStyle w:val="Heading5"/>
        <w:numPr>
          <w:ilvl w:val="4"/>
          <w:numId w:val="1"/>
        </w:numPr>
        <w:rPr/>
      </w:pPr>
      <w:bookmarkStart w:id="463" w:name="__RefHeading___Toc3807377_1067777946"/>
      <w:bookmarkStart w:id="464" w:name="_Toc201"/>
      <w:bookmarkEnd w:id="463"/>
      <w:r>
        <w:rPr>
          <w:rtl w:val="true"/>
        </w:rPr>
        <w:t>ابراء شوهر و طلاق قبل از دخول</w:t>
      </w:r>
      <w:bookmarkEnd w:id="46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ابراء كرد شوهر را از صداق، پس از آن طلاق داد قبل از دخول، نصف مهر را رد به زوج مى نمايد بعد از وصول كردن زن تمام را با ابراء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جريان اين حكم در خُلع با ازيد نصف تأمّل است، و محتمل است رجوع به قيمت زايد بر نصف، كه مستحَق به خلع است، مثل خلع با تمام عين مشتركه بين زوجين؛ لكن اقدام در خلع با تمام با علم به موضوع و حكم، متمشّى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تاثير خلع در نصف، و تاثير جامع يا مجموع يعنى طلاق شخصى به اعتبار مصداقيّت براى خلع و مصداقيّت براى طلاق قبل از دخول، در نصف ديگر، كه اگر متحد نبود خارجيّت آنها، هركدام در نصف ممتاز از نصف ديگر تاثير مى كردند، و چون يكى سابق نيست ديگرى در بدل و قيمت تاثير ندارد، و اين احتمال اقرب است</w:t>
      </w:r>
      <w:r>
        <w:rPr>
          <w:rFonts w:eastAsia="IRNazanin" w:cs="IRNazanin"/>
          <w:color w:val="111111"/>
          <w:sz w:val="28"/>
          <w:szCs w:val="28"/>
          <w:rtl w:val="true"/>
          <w:lang w:bidi="fa-IR"/>
        </w:rPr>
        <w:t>.</w:t>
      </w:r>
    </w:p>
    <w:p>
      <w:pPr>
        <w:pStyle w:val="Heading5"/>
        <w:numPr>
          <w:ilvl w:val="4"/>
          <w:numId w:val="1"/>
        </w:numPr>
        <w:rPr/>
      </w:pPr>
      <w:bookmarkStart w:id="465" w:name="__RefHeading___Toc3807379_1067777946"/>
      <w:bookmarkStart w:id="466" w:name="_Toc202"/>
      <w:bookmarkEnd w:id="465"/>
      <w:r>
        <w:rPr>
          <w:rtl w:val="true"/>
        </w:rPr>
        <w:t>طلاق قبل از دخول بعد از معاوضه مهر، موجب رد نصف مسمّى است</w:t>
      </w:r>
      <w:bookmarkEnd w:id="46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مهرى قرارداد براى زن، پس از آن معاوضه كرد آن را به چيزى، پس از آن طلاق داد قبل از دخول، نصفِ مسمّى به شوهر بر مى گردد، نه نصف عوض</w:t>
      </w:r>
      <w:r>
        <w:rPr>
          <w:rFonts w:eastAsia="IRNazanin" w:cs="IRNazanin"/>
          <w:color w:val="111111"/>
          <w:sz w:val="28"/>
          <w:szCs w:val="28"/>
          <w:rtl w:val="true"/>
          <w:lang w:bidi="fa-IR"/>
        </w:rPr>
        <w:t>.</w:t>
      </w:r>
      <w:bookmarkStart w:id="467" w:name="pg10265_89855"/>
    </w:p>
    <w:p>
      <w:pPr>
        <w:pStyle w:val="BookText"/>
        <w:rPr/>
      </w:pPr>
      <w:bookmarkEnd w:id="467"/>
      <w:r>
        <w:rPr>
          <w:rFonts w:ascii="IRNazanin" w:hAnsi="IRNazanin" w:eastAsia="IRNazanin"/>
          <w:color w:val="111111"/>
          <w:sz w:val="28"/>
          <w:sz w:val="28"/>
          <w:szCs w:val="28"/>
          <w:rtl w:val="true"/>
          <w:lang w:bidi="fa-IR"/>
        </w:rPr>
        <w:t xml:space="preserve">و هم چنين اگر فرد كلى را به عنوان وفا داد، بعد از طلاق قبل از دخول، نصف شخص را مستحق نيست، بلكه نصف كلى مفروض را بنابر اظهر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است</w:t>
      </w:r>
      <w:r>
        <w:rPr>
          <w:rFonts w:eastAsia="IRNazanin" w:cs="IRNazanin"/>
          <w:color w:val="111111"/>
          <w:sz w:val="28"/>
          <w:szCs w:val="28"/>
          <w:rtl w:val="true"/>
          <w:lang w:bidi="fa-IR"/>
        </w:rPr>
        <w:t>].</w:t>
      </w:r>
    </w:p>
    <w:p>
      <w:pPr>
        <w:pStyle w:val="Heading5"/>
        <w:numPr>
          <w:ilvl w:val="4"/>
          <w:numId w:val="1"/>
        </w:numPr>
        <w:rPr/>
      </w:pPr>
      <w:bookmarkStart w:id="468" w:name="__RefHeading___Toc3807381_1067777946"/>
      <w:bookmarkStart w:id="469" w:name="_Toc203"/>
      <w:bookmarkEnd w:id="468"/>
      <w:r>
        <w:rPr>
          <w:rtl w:val="true"/>
        </w:rPr>
        <w:t>امهار مدبّره</w:t>
      </w:r>
      <w:bookmarkEnd w:id="469"/>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مدبَّره را امهار كرد، اظهر انفساخ تدبير است به هر ناقلى از ملك؛ و عود نصف، به طلاق قبل از دخول، تاثيرى در صحّت تدبير ندارد بنابر اظهر</w:t>
      </w:r>
      <w:r>
        <w:rPr>
          <w:rFonts w:eastAsia="IRNazanin" w:cs="IRNazanin"/>
          <w:color w:val="111111"/>
          <w:sz w:val="28"/>
          <w:szCs w:val="28"/>
          <w:rtl w:val="true"/>
          <w:lang w:bidi="fa-IR"/>
        </w:rPr>
        <w:t>.</w:t>
      </w:r>
    </w:p>
    <w:p>
      <w:pPr>
        <w:pStyle w:val="Heading5"/>
        <w:numPr>
          <w:ilvl w:val="4"/>
          <w:numId w:val="1"/>
        </w:numPr>
        <w:rPr/>
      </w:pPr>
      <w:bookmarkStart w:id="470" w:name="__RefHeading___Toc3807383_1067777946"/>
      <w:bookmarkStart w:id="471" w:name="_Toc204"/>
      <w:bookmarkEnd w:id="470"/>
      <w:r>
        <w:rPr>
          <w:rtl w:val="true"/>
        </w:rPr>
        <w:t>شرط مخالف شرع در عقد</w:t>
      </w:r>
      <w:bookmarkEnd w:id="471"/>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شرط مخالف شرع در ضمن عقد نكاح كرد، مثل شرط عدم تسرّى، شرط باطل، و عقد و امهار صحيح است</w:t>
      </w:r>
      <w:r>
        <w:rPr>
          <w:rFonts w:eastAsia="IRNazanin" w:cs="IRNazanin"/>
          <w:color w:val="111111"/>
          <w:sz w:val="28"/>
          <w:szCs w:val="28"/>
          <w:rtl w:val="true"/>
          <w:lang w:bidi="fa-IR"/>
        </w:rPr>
        <w:t>.</w:t>
      </w:r>
    </w:p>
    <w:p>
      <w:pPr>
        <w:pStyle w:val="Heading5"/>
        <w:numPr>
          <w:ilvl w:val="4"/>
          <w:numId w:val="1"/>
        </w:numPr>
        <w:rPr/>
      </w:pPr>
      <w:bookmarkStart w:id="472" w:name="__RefHeading___Toc3807385_1067777946"/>
      <w:bookmarkStart w:id="473" w:name="_Toc205"/>
      <w:bookmarkEnd w:id="472"/>
      <w:r>
        <w:rPr>
          <w:rtl w:val="true"/>
        </w:rPr>
        <w:t>شرط بطلان عقد در فرض عدم تسليم مهر</w:t>
      </w:r>
      <w:bookmarkEnd w:id="473"/>
    </w:p>
    <w:p>
      <w:pPr>
        <w:pStyle w:val="BookText"/>
        <w:rPr/>
      </w:pPr>
      <w:r>
        <w:rPr>
          <w:rFonts w:ascii="IRNazanin" w:hAnsi="IRNazanin" w:eastAsia="IRNazanin"/>
          <w:color w:val="111111"/>
          <w:sz w:val="28"/>
          <w:sz w:val="28"/>
          <w:szCs w:val="28"/>
          <w:rtl w:val="true"/>
          <w:lang w:bidi="fa-IR"/>
        </w:rPr>
        <w:t>و هم چنين اگر شرط كرد بطلان عقد نكاح را در صورتى كه تا اجل معلوم تسليم مهر ننمايد، كه شرط باطل، و عقد و امهار صحيح است؛ بلى وفاى به شرط مستحب است نه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صورتى كه شرط، قيد مهر باشد، و با عدم سلامت آن، مهر مجهول القيمه باشد، حكم جهالت مهر را، در دو صورت زيادتى مسمّى از مهر المثل و نقص از آن، در دو صورت بودن شرط براى زن يا بر زن را دارد اگر چه به سبب فساد جزء مهر يا شرط آن است؛ و مهر المثل ثابت است مگر آنكه مسمّى زايد از آن باشد و شرط براى زن بوده است، يا ناقص از آن بوده و شرط بر عليه زن بوده، كه استفادۀ رضاى زوج در اوّل و زوجه در دوّم به اولويت بشود</w:t>
      </w:r>
      <w:r>
        <w:rPr>
          <w:rFonts w:eastAsia="IRNazanin" w:cs="IRNazanin"/>
          <w:color w:val="111111"/>
          <w:sz w:val="28"/>
          <w:szCs w:val="28"/>
          <w:rtl w:val="true"/>
          <w:lang w:bidi="fa-IR"/>
        </w:rPr>
        <w:t>.</w:t>
      </w:r>
    </w:p>
    <w:p>
      <w:pPr>
        <w:pStyle w:val="Heading5"/>
        <w:numPr>
          <w:ilvl w:val="4"/>
          <w:numId w:val="1"/>
        </w:numPr>
        <w:rPr/>
      </w:pPr>
      <w:bookmarkStart w:id="474" w:name="__RefHeading___Toc3807387_1067777946"/>
      <w:bookmarkStart w:id="475" w:name="_Toc206"/>
      <w:bookmarkEnd w:id="474"/>
      <w:r>
        <w:rPr>
          <w:rtl w:val="true"/>
        </w:rPr>
        <w:t>شرط عدم وطى و عدم ازالۀ بكارت</w:t>
      </w:r>
      <w:bookmarkEnd w:id="47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شرط كرد زن، كه وطى او ننمايد يا ازالۀ بكارت او ننمايد، نافذ و لازم است اين شرط، و جايز نيست مخالفت، چه در دائم باشد چه در منقطع؛ و هم چنين غير وطى از بعض استمتاعات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اذن داد بعد از عقد مشروط، جايز است وطى </w:t>
      </w:r>
      <w:bookmarkStart w:id="476" w:name="pg10265_89856"/>
    </w:p>
    <w:p>
      <w:pPr>
        <w:pStyle w:val="BookText"/>
        <w:rPr/>
      </w:pPr>
      <w:bookmarkEnd w:id="476"/>
      <w:r>
        <w:rPr>
          <w:rFonts w:ascii="IRNazanin" w:hAnsi="IRNazanin" w:eastAsia="IRNazanin"/>
          <w:color w:val="111111"/>
          <w:sz w:val="28"/>
          <w:sz w:val="28"/>
          <w:szCs w:val="28"/>
          <w:rtl w:val="true"/>
          <w:lang w:bidi="fa-IR"/>
        </w:rPr>
        <w:t>مشروط الترك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مخالفت كرد بدون اذن، عصيان كرده و زانى نيست، مثل وطى حائض، و ولد ملحق است به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در نفوذ شرط، عقلائى بودن و سفهى نبودن معتبر است</w:t>
      </w:r>
      <w:r>
        <w:rPr>
          <w:rFonts w:eastAsia="IRNazanin" w:cs="IRNazanin"/>
          <w:color w:val="111111"/>
          <w:sz w:val="28"/>
          <w:szCs w:val="28"/>
          <w:rtl w:val="true"/>
          <w:lang w:bidi="fa-IR"/>
        </w:rPr>
        <w:t>.</w:t>
      </w:r>
    </w:p>
    <w:p>
      <w:pPr>
        <w:pStyle w:val="Heading5"/>
        <w:numPr>
          <w:ilvl w:val="4"/>
          <w:numId w:val="1"/>
        </w:numPr>
        <w:rPr/>
      </w:pPr>
      <w:bookmarkStart w:id="477" w:name="__RefHeading___Toc3807389_1067777946"/>
      <w:bookmarkStart w:id="478" w:name="_Toc207"/>
      <w:bookmarkEnd w:id="477"/>
      <w:r>
        <w:rPr>
          <w:rtl w:val="true"/>
        </w:rPr>
        <w:t>شرط باقى ماندن در بلد و امثال آن</w:t>
      </w:r>
      <w:bookmarkEnd w:id="478"/>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شرط كرد كه از بلدش خارج ننمايد او را يا آنكه از اهلش خارج ننمايد، جايز، و لازم است وفاى به آن، و جايز نيست اخراج از محل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شرط كرد مهرى را اگر اخراج كرد او را به بلاد خودش، و انقص از آن را اگر خارج نشد با او، پس اگر اخراج خواست نمايد به بلاد شرك، واجب نيست اجابت و مهر كامل است؛ و اگر به بلاد اسلام خواست اخراج نمايد، واجب است اجابت و مهر كامل است اگر اجابت كرد، و ناقص است اگر اجابت نكرد، در زمان استحقاق مهر، بعد از ارجاع شرط به اشتراط مهر كامل و نقص آن در صورت عدم اجابت در خروج به بلاد اسلام، كه جايز است فى نفسه؛ و اصل اين شرط، مروى و معمولٌ به است</w:t>
      </w:r>
      <w:r>
        <w:rPr>
          <w:rFonts w:eastAsia="IRNazanin" w:cs="IRNazanin"/>
          <w:color w:val="111111"/>
          <w:sz w:val="28"/>
          <w:szCs w:val="28"/>
          <w:rtl w:val="true"/>
          <w:lang w:bidi="fa-IR"/>
        </w:rPr>
        <w:t>.</w:t>
      </w:r>
    </w:p>
    <w:p>
      <w:pPr>
        <w:pStyle w:val="Heading5"/>
        <w:numPr>
          <w:ilvl w:val="4"/>
          <w:numId w:val="1"/>
        </w:numPr>
        <w:rPr/>
      </w:pPr>
      <w:bookmarkStart w:id="479" w:name="__RefHeading___Toc3807391_1067777946"/>
      <w:bookmarkStart w:id="480" w:name="_Toc208"/>
      <w:bookmarkEnd w:id="479"/>
      <w:r>
        <w:rPr>
          <w:rtl w:val="true"/>
        </w:rPr>
        <w:t>طلاق قبل از دخول بعد از تزويج در عدّۀ طلاق بائن</w:t>
      </w:r>
      <w:bookmarkEnd w:id="480"/>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طلاق بائن داد، پس از آن در عده، تزويج به عقد نمود، پس از آن طلاق داد قبل از دخول با عقد اخير، نصف مهر، عود به زوج مى نمايد؛ و دخول قبل از عقد اخير، بى اثر است در مقتضاى طلاق اخير</w:t>
      </w:r>
      <w:r>
        <w:rPr>
          <w:rFonts w:eastAsia="IRNazanin" w:cs="IRNazanin"/>
          <w:color w:val="111111"/>
          <w:sz w:val="28"/>
          <w:szCs w:val="28"/>
          <w:rtl w:val="true"/>
          <w:lang w:bidi="fa-IR"/>
        </w:rPr>
        <w:t>.</w:t>
      </w:r>
    </w:p>
    <w:p>
      <w:pPr>
        <w:pStyle w:val="Heading5"/>
        <w:numPr>
          <w:ilvl w:val="4"/>
          <w:numId w:val="1"/>
        </w:numPr>
        <w:rPr/>
      </w:pPr>
      <w:bookmarkStart w:id="481" w:name="__RefHeading___Toc3807393_1067777946"/>
      <w:bookmarkStart w:id="482" w:name="_Toc209"/>
      <w:bookmarkEnd w:id="481"/>
      <w:r>
        <w:rPr>
          <w:rtl w:val="true"/>
        </w:rPr>
        <w:t>طلاق قبل از دخول بعد از هبۀ نصف مشاع مهر</w:t>
      </w:r>
      <w:bookmarkEnd w:id="482"/>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هبه كرد شوهر را نصف مشاع مهر را، اظهر استحقاق نصف ديگر به طلاق قبل از دخول است، و براى زن چيزى نمى ماند، چه آنكه مهر عين باشد يا دين باشد، بنابر كفايت لفظ هبه در ابراء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صورتى است كه هبه به نصف معيّن تعلق نگيرد در شخصى</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چنين اگر خلع كرد با نصف مهر، به طلاق قبل از دخول، تمام، ملك زوج </w:t>
      </w:r>
      <w:bookmarkStart w:id="483" w:name="pg10265_89857"/>
    </w:p>
    <w:p>
      <w:pPr>
        <w:pStyle w:val="BookText"/>
        <w:rPr/>
      </w:pPr>
      <w:bookmarkEnd w:id="483"/>
      <w:r>
        <w:rPr>
          <w:rFonts w:ascii="IRNazanin" w:hAnsi="IRNazanin" w:eastAsia="IRNazanin"/>
          <w:color w:val="111111"/>
          <w:sz w:val="28"/>
          <w:sz w:val="28"/>
          <w:szCs w:val="28"/>
          <w:rtl w:val="true"/>
          <w:lang w:bidi="fa-IR"/>
        </w:rPr>
        <w:t>مى شود و چيزى براى زن نيست</w:t>
      </w:r>
      <w:r>
        <w:rPr>
          <w:rFonts w:eastAsia="IRNazanin" w:cs="IRNazanin"/>
          <w:color w:val="111111"/>
          <w:sz w:val="28"/>
          <w:szCs w:val="28"/>
          <w:rtl w:val="true"/>
          <w:lang w:bidi="fa-IR"/>
        </w:rPr>
        <w:t>.</w:t>
      </w:r>
    </w:p>
    <w:p>
      <w:pPr>
        <w:pStyle w:val="Heading5"/>
        <w:numPr>
          <w:ilvl w:val="4"/>
          <w:numId w:val="1"/>
        </w:numPr>
        <w:rPr/>
      </w:pPr>
      <w:bookmarkStart w:id="484" w:name="__RefHeading___Toc3807395_1067777946"/>
      <w:bookmarkStart w:id="485" w:name="_Toc210"/>
      <w:bookmarkEnd w:id="484"/>
      <w:r>
        <w:rPr>
          <w:rtl w:val="true"/>
        </w:rPr>
        <w:t>طلاق قبل از دخول بعد از امهار به غلامين و وفات يكى</w:t>
      </w:r>
      <w:bookmarkEnd w:id="485"/>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مهر عبارت از دو غلام بود، يكى وفات كرد، به طلاق قبل از دخول، نصف موجود و نصف قيمت ميّت، مال زوج است</w:t>
      </w:r>
      <w:r>
        <w:rPr>
          <w:rFonts w:eastAsia="IRNazanin" w:cs="IRNazanin"/>
          <w:color w:val="111111"/>
          <w:sz w:val="28"/>
          <w:szCs w:val="28"/>
          <w:rtl w:val="true"/>
          <w:lang w:bidi="fa-IR"/>
        </w:rPr>
        <w:t>.</w:t>
      </w:r>
    </w:p>
    <w:p>
      <w:pPr>
        <w:pStyle w:val="Heading5"/>
        <w:numPr>
          <w:ilvl w:val="4"/>
          <w:numId w:val="1"/>
        </w:numPr>
        <w:rPr/>
      </w:pPr>
      <w:bookmarkStart w:id="486" w:name="__RefHeading___Toc3807397_1067777946"/>
      <w:bookmarkStart w:id="487" w:name="_Toc211"/>
      <w:bookmarkEnd w:id="486"/>
      <w:r>
        <w:rPr>
          <w:rtl w:val="true"/>
        </w:rPr>
        <w:t>شرط خيار فسخ در نكاح و اِمهار</w:t>
      </w:r>
      <w:bookmarkEnd w:id="487"/>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شرط كرد خيار فسخ را در نكاح، شرط باطل است و عقد صحيح است بنابر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شرطِ خيار فسخ در امهار كرد، صحيح است عقد و امهار و شرط، در صورت انضباط شرط، يا مطلقاً بنابر عدم اعتبار معلوميّت در شروط؛ و هم چنين مثل اين جهالت اگر سارى در مهر باشد؛ پس اگر مستمر بود و مدت خيار گذشت، لازم مى شود مسمّى؛ و اگر فسخ كرد، مهر المثل ثابت مى شود به دخول، مثل صورت عدم ذكر مهر بنابر اظهر</w:t>
      </w:r>
      <w:r>
        <w:rPr>
          <w:rFonts w:eastAsia="IRNazanin" w:cs="IRNazanin"/>
          <w:color w:val="111111"/>
          <w:sz w:val="28"/>
          <w:szCs w:val="28"/>
          <w:rtl w:val="true"/>
          <w:lang w:bidi="fa-IR"/>
        </w:rPr>
        <w:t>.</w:t>
      </w:r>
    </w:p>
    <w:p>
      <w:pPr>
        <w:pStyle w:val="Heading5"/>
        <w:numPr>
          <w:ilvl w:val="4"/>
          <w:numId w:val="1"/>
        </w:numPr>
        <w:rPr/>
      </w:pPr>
      <w:bookmarkStart w:id="488" w:name="__RefHeading___Toc3807399_1067777946"/>
      <w:bookmarkStart w:id="489" w:name="_Toc212"/>
      <w:bookmarkEnd w:id="488"/>
      <w:r>
        <w:rPr>
          <w:rtl w:val="true"/>
        </w:rPr>
        <w:t>تمام مهر به عقد نكاح مملوك زوجه است</w:t>
      </w:r>
      <w:bookmarkEnd w:id="489"/>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مهر تماماً مملوك زوجه است به عقد نكاح؛ و بعد از طلاق قبل از دخول، نصف آن عود در ملك زوج مى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مى تواند زوجه تصرف در تمام مهر نمايد، قبل از قبض و بعد از آن قبل از دخول</w:t>
      </w:r>
      <w:r>
        <w:rPr>
          <w:rFonts w:eastAsia="Amiri" w:cs="Amiri" w:ascii="Amiri" w:hAnsi="Amiri"/>
          <w:color w:val="111111"/>
          <w:sz w:val="28"/>
          <w:szCs w:val="28"/>
          <w:rtl w:val="true"/>
          <w:lang w:bidi="ar-SA"/>
        </w:rPr>
        <w:t>.</w:t>
      </w:r>
    </w:p>
    <w:p>
      <w:pPr>
        <w:pStyle w:val="Heading5"/>
        <w:numPr>
          <w:ilvl w:val="4"/>
          <w:numId w:val="1"/>
        </w:numPr>
        <w:rPr/>
      </w:pPr>
      <w:bookmarkStart w:id="490" w:name="__RefHeading___Toc3807401_1067777946"/>
      <w:bookmarkStart w:id="491" w:name="_Toc213"/>
      <w:bookmarkEnd w:id="490"/>
      <w:r>
        <w:rPr>
          <w:rtl w:val="true"/>
        </w:rPr>
        <w:t>عفو و ابراء و هبۀ مهر</w:t>
      </w:r>
      <w:bookmarkEnd w:id="491"/>
    </w:p>
    <w:p>
      <w:pPr>
        <w:pStyle w:val="BookText"/>
        <w:rPr/>
      </w:pPr>
      <w:r>
        <w:rPr>
          <w:rFonts w:ascii="IRNazanin" w:hAnsi="IRNazanin" w:eastAsia="IRNazanin"/>
          <w:color w:val="111111"/>
          <w:sz w:val="28"/>
          <w:sz w:val="28"/>
          <w:szCs w:val="28"/>
          <w:rtl w:val="true"/>
          <w:lang w:bidi="fa-IR"/>
        </w:rPr>
        <w:t>و اگر عفو نمود حق خود را، همه ملك زوج مى شود؛ و عفو و ابراء، احتياج به قبول زوج ندارد در صورتى كه متعلّق به عين نباشد؛ و اگر به عين متعلق باشد، قبول و قبض معتبر است اگر به عبارت هبه و تمليك باشد</w:t>
      </w:r>
      <w:r>
        <w:rPr>
          <w:rFonts w:eastAsia="IRNazanin" w:cs="IRNazanin"/>
          <w:color w:val="111111"/>
          <w:sz w:val="28"/>
          <w:szCs w:val="28"/>
          <w:rtl w:val="true"/>
          <w:lang w:bidi="fa-IR"/>
        </w:rPr>
        <w:t>.</w:t>
      </w:r>
    </w:p>
    <w:p>
      <w:pPr>
        <w:pStyle w:val="Heading5"/>
        <w:numPr>
          <w:ilvl w:val="4"/>
          <w:numId w:val="1"/>
        </w:numPr>
        <w:rPr/>
      </w:pPr>
      <w:bookmarkStart w:id="492" w:name="__RefHeading___Toc3807403_1067777946"/>
      <w:bookmarkStart w:id="493" w:name="_Toc214"/>
      <w:bookmarkEnd w:id="492"/>
      <w:r>
        <w:rPr>
          <w:rtl w:val="true"/>
        </w:rPr>
        <w:t>اختيار ولىّ زوجه در عفو</w:t>
      </w:r>
      <w:bookmarkEnd w:id="49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ولىّ زوجه مى تواند عفو از حق او نمايد اگر از بعض نصف عفو نمايد نه از تمام نصف، مگر آنكه مصلحت لازمه در عفو باشد بنابر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صورتى كه عفو از روى </w:t>
      </w:r>
      <w:bookmarkStart w:id="494" w:name="pg10265_89858"/>
    </w:p>
    <w:p>
      <w:pPr>
        <w:pStyle w:val="BookText"/>
        <w:rPr/>
      </w:pPr>
      <w:bookmarkEnd w:id="494"/>
      <w:r>
        <w:rPr>
          <w:rFonts w:ascii="IRNazanin" w:hAnsi="IRNazanin" w:eastAsia="IRNazanin"/>
          <w:color w:val="111111"/>
          <w:sz w:val="28"/>
          <w:sz w:val="28"/>
          <w:szCs w:val="28"/>
          <w:rtl w:val="true"/>
          <w:lang w:bidi="fa-IR"/>
        </w:rPr>
        <w:t>مصلحت باشد، فرقى بين اب و جدّ ابى و وكيل مفوّض زوجه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در ولى شرعى زوج، كه بعد از طلاق قبل از دخول مولىّ عليه باشد، مساوات با ولى زن است در جواز عفو از حق از بعض آن، نه تمام، مگر با مصلحت لازمه بنابر احتياط متقدّم</w:t>
      </w:r>
      <w:r>
        <w:rPr>
          <w:rFonts w:eastAsia="IRNazanin" w:cs="IRNazanin"/>
          <w:color w:val="111111"/>
          <w:sz w:val="28"/>
          <w:szCs w:val="28"/>
          <w:rtl w:val="true"/>
          <w:lang w:bidi="fa-IR"/>
        </w:rPr>
        <w:t>.</w:t>
      </w:r>
    </w:p>
    <w:p>
      <w:pPr>
        <w:pStyle w:val="Heading5"/>
        <w:numPr>
          <w:ilvl w:val="4"/>
          <w:numId w:val="1"/>
        </w:numPr>
        <w:rPr/>
      </w:pPr>
      <w:bookmarkStart w:id="495" w:name="__RefHeading___Toc3807405_1067777946"/>
      <w:bookmarkStart w:id="496" w:name="_Toc215"/>
      <w:bookmarkEnd w:id="495"/>
      <w:r>
        <w:rPr>
          <w:rtl w:val="true"/>
        </w:rPr>
        <w:t>توقف حصول مالكيّت عين بر قبض در هبه</w:t>
      </w:r>
      <w:bookmarkEnd w:id="496"/>
    </w:p>
    <w:p>
      <w:pPr>
        <w:pStyle w:val="BookText"/>
        <w:rPr/>
      </w:pPr>
      <w:r>
        <w:rPr>
          <w:rFonts w:ascii="IRNazanin" w:hAnsi="IRNazanin" w:eastAsia="IRNazanin"/>
          <w:color w:val="111111"/>
          <w:sz w:val="28"/>
          <w:sz w:val="28"/>
          <w:szCs w:val="28"/>
          <w:rtl w:val="true"/>
          <w:lang w:bidi="fa-IR"/>
        </w:rPr>
        <w:t>اگر هبه متعلق به عين باشد، متوقف است حصول ملكيت به قبض چنانچه گذشت؛ و در غير عين، ابراء است اگر در ذمّۀ طرف ثابت است؛ و احتياج به قبول و قبض ندارد، چه از طرف زوج باشد يا زوجه</w:t>
      </w:r>
      <w:r>
        <w:rPr>
          <w:rFonts w:eastAsia="IRNazanin" w:cs="IRNazanin"/>
          <w:color w:val="111111"/>
          <w:sz w:val="28"/>
          <w:szCs w:val="28"/>
          <w:rtl w:val="true"/>
          <w:lang w:bidi="fa-IR"/>
        </w:rPr>
        <w:t>.</w:t>
      </w:r>
    </w:p>
    <w:p>
      <w:pPr>
        <w:pStyle w:val="Heading5"/>
        <w:numPr>
          <w:ilvl w:val="4"/>
          <w:numId w:val="1"/>
        </w:numPr>
        <w:rPr/>
      </w:pPr>
      <w:bookmarkStart w:id="497" w:name="__RefHeading___Toc3807407_1067777946"/>
      <w:bookmarkStart w:id="498" w:name="_Toc216"/>
      <w:bookmarkEnd w:id="497"/>
      <w:r>
        <w:rPr>
          <w:rtl w:val="true"/>
        </w:rPr>
        <w:t>عدم جواز امتناع از تمكين در مهر مؤجّل</w:t>
      </w:r>
      <w:bookmarkEnd w:id="498"/>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مهر مؤجل باشد، حق امتناع از تمكين ندارد قبل از 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عصياناً امتناع كرد تا حلول، پس از آن حق امتناع دارد يا نه‌؟ خلاف است، و ثبوت حق امتناع خالى از وجه نيست</w:t>
      </w:r>
      <w:r>
        <w:rPr>
          <w:rFonts w:eastAsia="IRNazanin" w:cs="IRNazanin"/>
          <w:color w:val="111111"/>
          <w:sz w:val="28"/>
          <w:szCs w:val="28"/>
          <w:rtl w:val="true"/>
          <w:lang w:bidi="fa-IR"/>
        </w:rPr>
        <w:t>.</w:t>
      </w:r>
    </w:p>
    <w:p>
      <w:pPr>
        <w:pStyle w:val="Heading5"/>
        <w:numPr>
          <w:ilvl w:val="4"/>
          <w:numId w:val="1"/>
        </w:numPr>
        <w:rPr/>
      </w:pPr>
      <w:bookmarkStart w:id="499" w:name="__RefHeading___Toc3807409_1067777946"/>
      <w:bookmarkStart w:id="500" w:name="_Toc217"/>
      <w:bookmarkEnd w:id="499"/>
      <w:r>
        <w:rPr>
          <w:rtl w:val="true"/>
        </w:rPr>
        <w:t>تغيير صفت در عين مهر و حصول طلاق قبل از دخول</w:t>
      </w:r>
      <w:bookmarkEnd w:id="500"/>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اصداق كرد قطعه اى از نقره را مثلاً، پس زن او را زينتى يا انائى ساخت براى اقتناى بر تقدير جواز، پس از آن طلاق داد او را قبل از دخول، مخيّر است بين رد نصف عين و نصف قيمت آن قبل از تغيير؛ و هر كدام را زن اختيار كرد، لازم است بر شوهر قبول بنابر اظهر چنانچه گذشت در كِبَر حيوان نزد 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صورتى داشت شكست او را، يا شكسته شد نزد زن و صورتى ديگر ساخت، اظهر تعيّن نصف قيمت است در فرض قبل از شكستگى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شكستگى اعاده كرد همان صفت اوّل را به طورى كه عرفاً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مى دهد، اظهر وجوب نصف عين است، بدون اعتبار رضاى زوجه، اگر چه عقلاً اعادۀ عين معدوم نيست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صداق ثوب بود، و خياطت كرد آن را و قميص دوخت، لازم نيست دفع آن </w:t>
      </w:r>
      <w:bookmarkStart w:id="501" w:name="pg10265_89859"/>
    </w:p>
    <w:p>
      <w:pPr>
        <w:pStyle w:val="BookText"/>
        <w:rPr/>
      </w:pPr>
      <w:bookmarkEnd w:id="501"/>
      <w:r>
        <w:rPr>
          <w:rFonts w:ascii="IRNazanin" w:hAnsi="IRNazanin" w:eastAsia="IRNazanin"/>
          <w:color w:val="111111"/>
          <w:sz w:val="28"/>
          <w:sz w:val="28"/>
          <w:szCs w:val="28"/>
          <w:rtl w:val="true"/>
          <w:lang w:bidi="fa-IR"/>
        </w:rPr>
        <w:t>و نه قبول آن؛ و براى زوج و زوجه الزام به قيمت آن است قبل از تغيير، چون به تغيير، از قابليت ساير اغراض مقصوده خارج مى شود</w:t>
      </w:r>
      <w:r>
        <w:rPr>
          <w:rFonts w:eastAsia="IRNazanin" w:cs="IRNazanin"/>
          <w:color w:val="111111"/>
          <w:sz w:val="28"/>
          <w:szCs w:val="28"/>
          <w:rtl w:val="true"/>
          <w:lang w:bidi="fa-IR"/>
        </w:rPr>
        <w:t>.</w:t>
      </w:r>
    </w:p>
    <w:p>
      <w:pPr>
        <w:pStyle w:val="Heading5"/>
        <w:numPr>
          <w:ilvl w:val="4"/>
          <w:numId w:val="1"/>
        </w:numPr>
        <w:rPr/>
      </w:pPr>
      <w:bookmarkStart w:id="502" w:name="__RefHeading___Toc3807411_1067777946"/>
      <w:bookmarkStart w:id="503" w:name="_Toc218"/>
      <w:bookmarkEnd w:id="502"/>
      <w:r>
        <w:rPr>
          <w:rtl w:val="true"/>
        </w:rPr>
        <w:t>جواز جمع بين نكاح و بيع</w:t>
      </w:r>
      <w:bookmarkEnd w:id="503"/>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 جواز جمع بين نكاح و بيع، و تقسيط مى شود عوض مسمّى بر مهر المثل و ثمن المثل، پس اگر دينارى 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تزويج كردم و بيع كردم اين دينار را با يك دينار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بيع باطل است به جهت ربا؛ و معاوضۀ مهر المثل با نصف دينار هم فاسد است بنا بر جريان ربا در غير بيع؛ و نكاحْ صحيح، و مهر المثل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عوض جنساً مختلف باشد با مبيع، مانعى ندارد؛ حتى اگر عوضِ دينار، درهم باشد و شرط صحّت صرف كه تقابض در مجلس است موجود باشد، مانعى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بيع، به جهت اختلاف،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مانعى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مهر المثل كه متعين در درهم نيست بنابر اظهر</w:t>
      </w:r>
      <w:r>
        <w:rPr>
          <w:rFonts w:eastAsia="IRNazanin" w:cs="IRNazanin"/>
          <w:color w:val="111111"/>
          <w:sz w:val="28"/>
          <w:szCs w:val="28"/>
          <w:rtl w:val="true"/>
          <w:lang w:bidi="fa-IR"/>
        </w:rPr>
        <w:t>.</w:t>
      </w:r>
    </w:p>
    <w:p>
      <w:pPr>
        <w:pStyle w:val="Heading5"/>
        <w:numPr>
          <w:ilvl w:val="4"/>
          <w:numId w:val="1"/>
        </w:numPr>
        <w:rPr/>
      </w:pPr>
      <w:bookmarkStart w:id="504" w:name="__RefHeading___Toc3807413_1067777946"/>
      <w:bookmarkStart w:id="505" w:name="_Toc219"/>
      <w:bookmarkEnd w:id="504"/>
      <w:r>
        <w:rPr>
          <w:rtl w:val="true"/>
        </w:rPr>
        <w:t>طلاق قبل از دخول بعد از امهار و عتق يا تدبير عبد</w:t>
      </w:r>
      <w:bookmarkEnd w:id="505"/>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امهار كرد عبدى را، پس زن عتق كرد آن را، پس طلاق داد قبل از دخول، بر زن نصف قيمت 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تدبير كرد عبد را، آيا مخيّر است زن بعد از طلاق در رجوع از تدبير، پس نصف ملك زوج بشود، يا عدم رجوع، پس نصف قيمت ملك زوج باشد، يا آنكه باطل مى شود تدبير در نصف‌؟ دو وجه است؛ اوّل خالى از رجحان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رجوع بعد از دفع قيمت باشد، عدم عود استحقاق نصف عين، خالى از رجحان نيست</w:t>
      </w:r>
      <w:r>
        <w:rPr>
          <w:rFonts w:eastAsia="IRNazanin" w:cs="IRNazanin"/>
          <w:color w:val="111111"/>
          <w:sz w:val="28"/>
          <w:szCs w:val="28"/>
          <w:rtl w:val="true"/>
          <w:lang w:bidi="fa-IR"/>
        </w:rPr>
        <w:t>.</w:t>
      </w:r>
    </w:p>
    <w:p>
      <w:pPr>
        <w:pStyle w:val="Heading5"/>
        <w:numPr>
          <w:ilvl w:val="4"/>
          <w:numId w:val="1"/>
        </w:numPr>
        <w:rPr/>
      </w:pPr>
      <w:bookmarkStart w:id="506" w:name="__RefHeading___Toc3807415_1067777946"/>
      <w:bookmarkStart w:id="507" w:name="_Toc220"/>
      <w:bookmarkEnd w:id="506"/>
      <w:r>
        <w:rPr>
          <w:rtl w:val="true"/>
        </w:rPr>
        <w:t>تزويج به كمتر يا بيشتر از مهر المثل توسط ولى</w:t>
      </w:r>
      <w:bookmarkEnd w:id="507"/>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ولى شرعى تزويج كرد مولّى عليها را به كمتر از مهر المثل، با مصلحت نافذ است، و بدون آن اظهر صحّت نكاح و امهار است؛ و محتمل است ثبوت خيار در</w:t>
      </w:r>
      <w:bookmarkStart w:id="508" w:name="pg10265_89860"/>
    </w:p>
    <w:p>
      <w:pPr>
        <w:pStyle w:val="BookText"/>
        <w:rPr/>
      </w:pPr>
      <w:bookmarkEnd w:id="508"/>
      <w:r>
        <w:rPr>
          <w:rFonts w:ascii="Amiri" w:hAnsi="Amiri" w:eastAsia="Amiri" w:cs="Amiri"/>
          <w:color w:val="111111"/>
          <w:sz w:val="28"/>
          <w:sz w:val="28"/>
          <w:szCs w:val="28"/>
          <w:rtl w:val="true"/>
          <w:lang w:bidi="ar-SA"/>
        </w:rPr>
        <w:t>امهار، و آنكه بر تقدير فسخ بعد از كمال، مهر المثل ثابت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چنين در تزويج ولى زوج به ازيد از مهر المثل، در وقوف به اجازه بعد از كمال، و آنكه اگر فسخ امهار كرد، مهر المثل بر او است، و خيار براى طرف باشد با جهل به حكم يا موضوع، لكن خالى از تأمل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صداق از مال ولىّ باشد، مانعى در صحّت عقد و امهار نسبت به مسمّى نيست</w:t>
      </w:r>
      <w:r>
        <w:rPr>
          <w:rFonts w:eastAsia="IRNazanin" w:cs="IRNazanin"/>
          <w:color w:val="111111"/>
          <w:sz w:val="28"/>
          <w:szCs w:val="28"/>
          <w:rtl w:val="true"/>
          <w:lang w:bidi="fa-IR"/>
        </w:rPr>
        <w:t>.</w:t>
      </w:r>
    </w:p>
    <w:p>
      <w:pPr>
        <w:pStyle w:val="Heading5"/>
        <w:numPr>
          <w:ilvl w:val="4"/>
          <w:numId w:val="1"/>
        </w:numPr>
        <w:rPr/>
      </w:pPr>
      <w:bookmarkStart w:id="509" w:name="__RefHeading___Toc3807417_1067777946"/>
      <w:bookmarkStart w:id="510" w:name="_Toc221"/>
      <w:bookmarkEnd w:id="509"/>
      <w:r>
        <w:rPr>
          <w:rtl w:val="true"/>
        </w:rPr>
        <w:t>تلف غير معلوم الوزن و ابراء آن و فرض فساد مهر</w:t>
      </w:r>
      <w:bookmarkEnd w:id="510"/>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مهر را مال مشار اليه غير معلوم الوزن قرار داد، پس تلف شد قبل از قبض، پس ابراء نمود آن را، صحيح است ابراء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مهر فاسد بود و استحقاق مهر المثل را داشت، پس ابراء كرد آن را بعد از 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ابراء قبل از دخول از مهر المثل نمود، در صحّت ابراء تأمل است</w:t>
      </w:r>
      <w:r>
        <w:rPr>
          <w:rFonts w:eastAsia="IRNazanin" w:cs="IRNazanin"/>
          <w:color w:val="111111"/>
          <w:sz w:val="28"/>
          <w:szCs w:val="28"/>
          <w:rtl w:val="true"/>
          <w:lang w:bidi="fa-IR"/>
        </w:rPr>
        <w:t>.</w:t>
      </w:r>
    </w:p>
    <w:p>
      <w:pPr>
        <w:pStyle w:val="Heading5"/>
        <w:numPr>
          <w:ilvl w:val="4"/>
          <w:numId w:val="1"/>
        </w:numPr>
        <w:rPr/>
      </w:pPr>
      <w:bookmarkStart w:id="511" w:name="__RefHeading___Toc3807419_1067777946"/>
      <w:bookmarkStart w:id="512" w:name="_Toc222"/>
      <w:bookmarkEnd w:id="511"/>
      <w:r>
        <w:rPr>
          <w:rtl w:val="true"/>
        </w:rPr>
        <w:t>حكم امهار براى صغير از مال ولى يا خودش</w:t>
      </w:r>
      <w:bookmarkEnd w:id="512"/>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تزويج كرد ولد صغير را از مال خود والد، بر والد است مهر، و از ديون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مال ولد امهار كرد، و مال دار بود، از مال ولد است، و والد مديون نيست؛ مگر آنكه ولد مالى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نمايد كه بر والد و از مال او است، اگر امهار به مال او تعلق نگرفته باشد در 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تبرّى ولىّ از مهر، حكم عدم ضمان را دارد، لكن در صورت اعسار ولد، تأثير تبرّى در عدم ضمانِ هيچ كدام و ثبوت خيار فسخ براى زن در صورت جهل،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تقدير، در صورت بقاى نكاح تا بعد از دخول، استقرار مهر المثل، بدون دافعى از مسماى صحيح، منتفى نمى شود؛ و هم چنين در ساير موارد مناسبه و موافقه با مقام، مثل مفوّضة البضع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واجد بودن ولد بعض مهر را، همان قدر بر او است، و زايد بر ولى است اگر همه را از مال خودش ضامن نبوده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اعتبار به وجود مال است براى صبىّ‌، كه در وقت وجوب تسليم، مقدور </w:t>
      </w:r>
      <w:bookmarkStart w:id="513" w:name="pg10265_89861"/>
    </w:p>
    <w:p>
      <w:pPr>
        <w:pStyle w:val="BookText"/>
        <w:rPr/>
      </w:pPr>
      <w:bookmarkEnd w:id="513"/>
      <w:r>
        <w:rPr>
          <w:rFonts w:ascii="IRNazanin" w:hAnsi="IRNazanin" w:eastAsia="IRNazanin"/>
          <w:color w:val="111111"/>
          <w:sz w:val="28"/>
          <w:sz w:val="28"/>
          <w:szCs w:val="28"/>
          <w:rtl w:val="true"/>
          <w:lang w:bidi="fa-IR"/>
        </w:rPr>
        <w:t>التسليم و واجب التسليم باشد، پس وجود مستثنيات دين و متعلق حق الرّهانه، كالعدم است در مقام توزيع و عدم آن بنابر اظهر</w:t>
      </w:r>
      <w:r>
        <w:rPr>
          <w:rFonts w:eastAsia="IRNazanin" w:cs="IRNazanin"/>
          <w:color w:val="111111"/>
          <w:sz w:val="28"/>
          <w:szCs w:val="28"/>
          <w:rtl w:val="true"/>
          <w:lang w:bidi="fa-IR"/>
        </w:rPr>
        <w:t>.</w:t>
      </w:r>
    </w:p>
    <w:p>
      <w:pPr>
        <w:pStyle w:val="Heading5"/>
        <w:numPr>
          <w:ilvl w:val="4"/>
          <w:numId w:val="1"/>
        </w:numPr>
        <w:rPr/>
      </w:pPr>
      <w:bookmarkStart w:id="514" w:name="__RefHeading___Toc3807421_1067777946"/>
      <w:bookmarkStart w:id="515" w:name="_Toc223"/>
      <w:bookmarkEnd w:id="514"/>
      <w:r>
        <w:rPr>
          <w:rtl w:val="true"/>
        </w:rPr>
        <w:t>تبرّع مهر از صغير</w:t>
      </w:r>
      <w:bookmarkEnd w:id="515"/>
    </w:p>
    <w:p>
      <w:pPr>
        <w:pStyle w:val="BookText"/>
        <w:rPr/>
      </w:pPr>
      <w:r>
        <w:rPr>
          <w:rFonts w:ascii="IRNazanin" w:hAnsi="IRNazanin" w:eastAsia="IRNazanin"/>
          <w:color w:val="111111"/>
          <w:sz w:val="28"/>
          <w:sz w:val="28"/>
          <w:szCs w:val="28"/>
          <w:rtl w:val="true"/>
          <w:lang w:bidi="fa-IR"/>
        </w:rPr>
        <w:t>اگر تبرّع به ادا كرد ولىّ بدون ضمان، نمى تواند رجوع به مولّى عليه نمايد؛ و هم چنين تبرّع اجنبى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ولى به قصد رجوع ادا نمود با غبطۀ مولّى عليه، يا عدم مفسده بنابر كفايت آن، مى تواند رجوع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اظهر لحوق جدّ ابى به اب است در اين حكم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مهر فرقى بين مؤجل و معجل نيست در ضمان اب و حكم آن، حتى اگر اجل ازيد از زمان باقى به بلوغ و كمال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بين نكاح اب يا نكاح فضولى با اجازۀ 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ولد بعد از كمال، اجازه نمود، اظهر عدم ضمان 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در احكام مذكوره براى مهر، فرقى بين عين و دَين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 دفع كرد مهر را از مال خودش نه به قصد رجوع، پس از كمال طلاق داد ولد قبل از دخول، نصف مهر عايد ولد مى شود، نه والد، بلكه اين حكم در ولد موسر، اگر دفع مهر از مال اب نه به قصد رجوع بود بلكه تبرّع بود، جارى است</w:t>
      </w:r>
      <w:r>
        <w:rPr>
          <w:rFonts w:eastAsia="IRNazanin" w:cs="IRNazanin"/>
          <w:color w:val="111111"/>
          <w:sz w:val="28"/>
          <w:szCs w:val="28"/>
          <w:rtl w:val="true"/>
          <w:lang w:bidi="fa-IR"/>
        </w:rPr>
        <w:t>.</w:t>
      </w:r>
    </w:p>
    <w:p>
      <w:pPr>
        <w:pStyle w:val="Heading5"/>
        <w:numPr>
          <w:ilvl w:val="4"/>
          <w:numId w:val="1"/>
        </w:numPr>
        <w:rPr/>
      </w:pPr>
      <w:bookmarkStart w:id="516" w:name="__RefHeading___Toc3807423_1067777946"/>
      <w:bookmarkStart w:id="517" w:name="_Toc224"/>
      <w:bookmarkEnd w:id="516"/>
      <w:r>
        <w:rPr>
          <w:rtl w:val="true"/>
        </w:rPr>
        <w:t>طلاق قبل از دخول بعد از تبرّع مهر از ولد كبير توسط والد يا اجنبى</w:t>
      </w:r>
      <w:bookmarkEnd w:id="517"/>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والد از ولد كبير اداى مهر از مال خود نمود تبرّعاً، بعد از طلاق قبل از دخول، نصف، رجوع به ولد مى نمايد كه طلاق دهنده است، نه والد؛ و هم چنين در تبرّع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بين دفع والد و عدم دفع، بعد از ضمانِ صحيح نيست در آنچه ذكر شد</w:t>
      </w:r>
      <w:r>
        <w:rPr>
          <w:rFonts w:eastAsia="IRNazanin" w:cs="IRNazanin"/>
          <w:color w:val="111111"/>
          <w:sz w:val="28"/>
          <w:szCs w:val="28"/>
          <w:rtl w:val="true"/>
          <w:lang w:bidi="fa-IR"/>
        </w:rPr>
        <w:t>.</w:t>
      </w:r>
    </w:p>
    <w:p>
      <w:pPr>
        <w:pStyle w:val="Heading4"/>
        <w:numPr>
          <w:ilvl w:val="3"/>
          <w:numId w:val="1"/>
        </w:numPr>
        <w:rPr/>
      </w:pPr>
      <w:bookmarkStart w:id="518" w:name="__RefHeading___Toc3807425_1067777946"/>
      <w:bookmarkStart w:id="519" w:name="_Toc225"/>
      <w:bookmarkEnd w:id="518"/>
      <w:r>
        <w:rPr>
          <w:rtl w:val="true"/>
        </w:rPr>
        <w:t>تنازع زوجين در مهر</w:t>
      </w:r>
      <w:bookmarkEnd w:id="519"/>
    </w:p>
    <w:p>
      <w:pPr>
        <w:pStyle w:val="Heading5"/>
        <w:numPr>
          <w:ilvl w:val="4"/>
          <w:numId w:val="1"/>
        </w:numPr>
        <w:rPr/>
      </w:pPr>
      <w:bookmarkStart w:id="520" w:name="__RefHeading___Toc3807427_1067777946"/>
      <w:bookmarkStart w:id="521" w:name="_Toc226"/>
      <w:bookmarkEnd w:id="520"/>
      <w:r>
        <w:rPr>
          <w:rtl w:val="true"/>
        </w:rPr>
        <w:t>اختلاف زوجين در اصل استحقاق مهر</w:t>
      </w:r>
      <w:bookmarkEnd w:id="52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اختلاف كردند زوجين در اصل استحقاق مهر قبل از دخول، قول زوج با يمين او </w:t>
      </w:r>
      <w:bookmarkStart w:id="522" w:name="pg10265_89862"/>
    </w:p>
    <w:p>
      <w:pPr>
        <w:pStyle w:val="BookText"/>
        <w:rPr/>
      </w:pPr>
      <w:bookmarkEnd w:id="522"/>
      <w:r>
        <w:rPr>
          <w:rFonts w:ascii="IRNazanin" w:hAnsi="IRNazanin" w:eastAsia="IRNazanin"/>
          <w:color w:val="111111"/>
          <w:sz w:val="28"/>
          <w:sz w:val="28"/>
          <w:szCs w:val="28"/>
          <w:rtl w:val="true"/>
          <w:lang w:bidi="fa-IR"/>
        </w:rPr>
        <w:t>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اختلاف بعد از دخول، پس اگر اختلاف در اصل استحقاق زوجه مهر را است، ممكن است تقديم قول زوجه كه موافق با ظاهر است با يمين او، و اين وجه اقرب است اگر چه منسوب به مشهور خلاف آن است</w:t>
      </w:r>
      <w:r>
        <w:rPr>
          <w:rFonts w:eastAsia="IRNazanin" w:cs="IRNazanin"/>
          <w:color w:val="111111"/>
          <w:sz w:val="28"/>
          <w:szCs w:val="28"/>
          <w:rtl w:val="true"/>
          <w:lang w:bidi="fa-IR"/>
        </w:rPr>
        <w:t>.</w:t>
      </w:r>
    </w:p>
    <w:p>
      <w:pPr>
        <w:pStyle w:val="Heading5"/>
        <w:numPr>
          <w:ilvl w:val="4"/>
          <w:numId w:val="1"/>
        </w:numPr>
        <w:rPr/>
      </w:pPr>
      <w:bookmarkStart w:id="523" w:name="__RefHeading___Toc3807429_1067777946"/>
      <w:bookmarkStart w:id="524" w:name="_Toc227"/>
      <w:bookmarkEnd w:id="523"/>
      <w:r>
        <w:rPr>
          <w:rtl w:val="true"/>
        </w:rPr>
        <w:t>اختلاف در وصول مهر</w:t>
      </w:r>
      <w:bookmarkEnd w:id="524"/>
    </w:p>
    <w:p>
      <w:pPr>
        <w:pStyle w:val="BookText"/>
        <w:rPr/>
      </w:pPr>
      <w:r>
        <w:rPr>
          <w:rFonts w:ascii="IRNazanin" w:hAnsi="IRNazanin" w:eastAsia="IRNazanin"/>
          <w:color w:val="111111"/>
          <w:sz w:val="28"/>
          <w:sz w:val="28"/>
          <w:szCs w:val="28"/>
          <w:rtl w:val="true"/>
          <w:lang w:bidi="fa-IR"/>
        </w:rPr>
        <w:t>و اگر اختلاف در وصول مهر است بعد از استحقاق، پس در خصوص معجّل، اظهر تقديم قول زوج است با يمين او به حسب موافقت با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قسم غير معجل، و در آن صورتى كه هيچ تأجيلى نبوده، پس اگر عادت امثال زوجين در بلد ايشان بر تقديم مهر بر دخول باشد، ايضاً قول زوج مقدم است با يمين او، وگرنه قول زوجه مقدم است با يمين او به حسب موافقت با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نيست به حسب مجرّد اين اختلاف و حكم، ثابت بشود مهر المثل، مگر آنكه اقرار نمايد به اينكه مستحَق او كمتر است</w:t>
      </w:r>
      <w:r>
        <w:rPr>
          <w:rFonts w:eastAsia="IRNazanin" w:cs="IRNazanin"/>
          <w:color w:val="111111"/>
          <w:sz w:val="28"/>
          <w:szCs w:val="28"/>
          <w:rtl w:val="true"/>
          <w:lang w:bidi="fa-IR"/>
        </w:rPr>
        <w:t>.</w:t>
      </w:r>
    </w:p>
    <w:p>
      <w:pPr>
        <w:pStyle w:val="Heading5"/>
        <w:numPr>
          <w:ilvl w:val="4"/>
          <w:numId w:val="1"/>
        </w:numPr>
        <w:rPr/>
      </w:pPr>
      <w:bookmarkStart w:id="525" w:name="__RefHeading___Toc3807431_1067777946"/>
      <w:bookmarkStart w:id="526" w:name="_Toc228"/>
      <w:bookmarkEnd w:id="525"/>
      <w:r>
        <w:rPr>
          <w:rtl w:val="true"/>
        </w:rPr>
        <w:t>اختلاف در مقدار، وصف و تأجيل</w:t>
      </w:r>
      <w:bookmarkEnd w:id="526"/>
    </w:p>
    <w:p>
      <w:pPr>
        <w:pStyle w:val="BookText"/>
        <w:rPr/>
      </w:pPr>
      <w:r>
        <w:rPr>
          <w:rFonts w:ascii="IRNazanin" w:hAnsi="IRNazanin" w:eastAsia="IRNazanin"/>
          <w:color w:val="111111"/>
          <w:sz w:val="28"/>
          <w:sz w:val="28"/>
          <w:szCs w:val="28"/>
          <w:rtl w:val="true"/>
          <w:lang w:bidi="fa-IR"/>
        </w:rPr>
        <w:t xml:space="preserve">اگر اختلاف كردند زوجين در مقدار مهر يا در وصف آن با صحّت مختلف فيه، مثل اختلاف در تسميۀ 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قول زوج با يمين او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اختلاف در تأجيل كه به حكم نقص مهر است، و حلول كه به حكم زياده است، تأمل است، و تقديم قول زوج با يمين او، در عدم رجوع به حلولى كه در حكم زيادتى است، خالى از وجه نيست</w:t>
      </w:r>
      <w:r>
        <w:rPr>
          <w:rFonts w:eastAsia="IRNazanin" w:cs="IRNazanin"/>
          <w:color w:val="111111"/>
          <w:sz w:val="28"/>
          <w:szCs w:val="28"/>
          <w:rtl w:val="true"/>
          <w:lang w:bidi="fa-IR"/>
        </w:rPr>
        <w:t>.</w:t>
      </w:r>
    </w:p>
    <w:p>
      <w:pPr>
        <w:pStyle w:val="Heading5"/>
        <w:numPr>
          <w:ilvl w:val="4"/>
          <w:numId w:val="1"/>
        </w:numPr>
        <w:rPr/>
      </w:pPr>
      <w:bookmarkStart w:id="527" w:name="__RefHeading___Toc3807433_1067777946"/>
      <w:bookmarkStart w:id="528" w:name="_Toc229"/>
      <w:bookmarkEnd w:id="527"/>
      <w:r>
        <w:rPr>
          <w:rtl w:val="true"/>
        </w:rPr>
        <w:t>اختلاف در دو وصف مباين</w:t>
      </w:r>
      <w:bookmarkEnd w:id="52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اختلاف در دو وصف مباين بود و قيمت مختلف بود، تحالف و انفساخ تسميه و صحّت عقد و رجوع به مهر المثل، بى وجه نيست، مگر آنكه به اقرار زوجه كمتر از مهر المثل باشد، يا آنكه مهر المثل كمتر از مقدارى باشد كه زوج مدّعى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bookmarkStart w:id="529" w:name="pg10265_89863"/>
    </w:p>
    <w:p>
      <w:pPr>
        <w:pStyle w:val="BookText"/>
        <w:rPr/>
      </w:pPr>
      <w:bookmarkEnd w:id="529"/>
      <w:r>
        <w:rPr>
          <w:rFonts w:ascii="IRNazanin" w:hAnsi="IRNazanin" w:eastAsia="IRNazanin"/>
          <w:color w:val="111111"/>
          <w:sz w:val="28"/>
          <w:sz w:val="28"/>
          <w:szCs w:val="28"/>
          <w:rtl w:val="true"/>
          <w:lang w:bidi="fa-IR"/>
        </w:rPr>
        <w:t xml:space="preserve">اختلاف در قيمت به استناد وصف مخالف، مورد دعوى است، قول منكرِ زياده، مقدم است با يمين او؛ و هم چنين اختلاف در جنس مهر با اختلاف در قيمت؛ و بدون آن تحالف است،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در قيمت به استناد به جنس مخصوص باشد، كه قول منكر زيادتى مقدم است؛ يا آنكه خصوصيّتى در وصف و جنس مقصود نباشد و مرجع نزاع، به اختلاف در قيمت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اختلاف در دو وصف باشد و عقد با يكى از آن دو صحيح است فقط، قول مدّعى صحّت عقد مقدم است</w:t>
      </w:r>
      <w:r>
        <w:rPr>
          <w:rFonts w:eastAsia="IRNazanin" w:cs="IRNazanin"/>
          <w:color w:val="111111"/>
          <w:sz w:val="28"/>
          <w:szCs w:val="28"/>
          <w:rtl w:val="true"/>
          <w:lang w:bidi="fa-IR"/>
        </w:rPr>
        <w:t>.</w:t>
      </w:r>
    </w:p>
    <w:p>
      <w:pPr>
        <w:pStyle w:val="Heading5"/>
        <w:numPr>
          <w:ilvl w:val="4"/>
          <w:numId w:val="1"/>
        </w:numPr>
        <w:rPr/>
      </w:pPr>
      <w:bookmarkStart w:id="530" w:name="__RefHeading___Toc3807435_1067777946"/>
      <w:bookmarkStart w:id="531" w:name="_Toc230"/>
      <w:bookmarkEnd w:id="530"/>
      <w:r>
        <w:rPr>
          <w:rtl w:val="true"/>
        </w:rPr>
        <w:t>اختلاف در تسليم مهر</w:t>
      </w:r>
      <w:bookmarkEnd w:id="531"/>
    </w:p>
    <w:p>
      <w:pPr>
        <w:pStyle w:val="BookText"/>
        <w:rPr/>
      </w:pPr>
      <w:r>
        <w:rPr>
          <w:rFonts w:ascii="IRNazanin" w:hAnsi="IRNazanin" w:eastAsia="IRNazanin"/>
          <w:color w:val="111111"/>
          <w:sz w:val="28"/>
          <w:sz w:val="28"/>
          <w:szCs w:val="28"/>
          <w:rtl w:val="true"/>
          <w:lang w:bidi="fa-IR"/>
        </w:rPr>
        <w:t>و اگر اتفاق در مهر باشد و اختلاف در تسليم آن، و عادت موجبۀ ظاهر نباشد در دخول بعد از تسلّم مهر، قول زوجه كه منكر تسلم است مقدم است با يمين او</w:t>
      </w:r>
      <w:r>
        <w:rPr>
          <w:rFonts w:eastAsia="IRNazanin" w:cs="IRNazanin"/>
          <w:color w:val="111111"/>
          <w:sz w:val="28"/>
          <w:szCs w:val="28"/>
          <w:rtl w:val="true"/>
          <w:lang w:bidi="fa-IR"/>
        </w:rPr>
        <w:t>.</w:t>
      </w:r>
    </w:p>
    <w:p>
      <w:pPr>
        <w:pStyle w:val="Heading5"/>
        <w:numPr>
          <w:ilvl w:val="4"/>
          <w:numId w:val="1"/>
        </w:numPr>
        <w:rPr/>
      </w:pPr>
      <w:bookmarkStart w:id="532" w:name="__RefHeading___Toc3807437_1067777946"/>
      <w:bookmarkStart w:id="533" w:name="_Toc231"/>
      <w:bookmarkEnd w:id="532"/>
      <w:r>
        <w:rPr>
          <w:rtl w:val="true"/>
        </w:rPr>
        <w:t>تسلّم بر دفع و اختلاف به عنوان هبه يا صداق</w:t>
      </w:r>
      <w:bookmarkEnd w:id="533"/>
    </w:p>
    <w:p>
      <w:pPr>
        <w:pStyle w:val="BookText"/>
        <w:rPr/>
      </w:pPr>
      <w:r>
        <w:rPr>
          <w:rFonts w:ascii="IRNazanin" w:hAnsi="IRNazanin" w:eastAsia="IRNazanin"/>
          <w:color w:val="111111"/>
          <w:sz w:val="28"/>
          <w:sz w:val="28"/>
          <w:szCs w:val="28"/>
          <w:rtl w:val="true"/>
          <w:lang w:bidi="fa-IR"/>
        </w:rPr>
        <w:t>اگر دفع مقدار مهر مسلم بود، لكن نزاع در دفع به عنوان هبه يا صداق بود، و لفظى مذكور نبود، قول زوج در تعيين نيّت او مقدم است با يمين او؛ و هم چنين اگر نزاع در تلفظ به هبه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نزاع در لفظ هبه نبود، و نزاع در قرينه بر خلاف ظاهر بود، قول زوجه مقدم است در موافقت با ظاهر و در عدم نصب قرينه؛ و هم چنين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خلاف ظاهر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5"/>
        <w:numPr>
          <w:ilvl w:val="4"/>
          <w:numId w:val="1"/>
        </w:numPr>
        <w:rPr/>
      </w:pPr>
      <w:bookmarkStart w:id="534" w:name="__RefHeading___Toc3807439_1067777946"/>
      <w:bookmarkStart w:id="535" w:name="_Toc232"/>
      <w:bookmarkEnd w:id="534"/>
      <w:r>
        <w:rPr>
          <w:rtl w:val="true"/>
        </w:rPr>
        <w:t>ادّعاى مواقعه توسط زوجه و انكار زوج</w:t>
      </w:r>
      <w:bookmarkEnd w:id="53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 خلوت محققه، ادّعاى مواقعه كرد، و زوج انكار نمود، پس اگر ممكن است براى حاكم استعلام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صورت ادّعاى مواقعت در قُبُل و معلوم شد بكارت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نزاعى باقى نيست، وگرنه قول زوج كه موافق با اصل است مقدم است بنابر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bookmarkStart w:id="536" w:name="pg10265_89864"/>
    </w:p>
    <w:p>
      <w:pPr>
        <w:pStyle w:val="Heading5"/>
        <w:numPr>
          <w:ilvl w:val="4"/>
          <w:numId w:val="1"/>
        </w:numPr>
        <w:rPr/>
      </w:pPr>
      <w:bookmarkStart w:id="537" w:name="__RefHeading___Toc3807441_1067777946"/>
      <w:bookmarkStart w:id="538" w:name="_Toc233"/>
      <w:bookmarkEnd w:id="536"/>
      <w:bookmarkEnd w:id="537"/>
      <w:r>
        <w:rPr>
          <w:rtl w:val="true"/>
        </w:rPr>
        <w:t>صداق بودن سوره</w:t>
      </w:r>
      <w:bookmarkEnd w:id="538"/>
    </w:p>
    <w:p>
      <w:pPr>
        <w:pStyle w:val="BookText"/>
        <w:rPr/>
      </w:pPr>
      <w:r>
        <w:rPr>
          <w:rFonts w:ascii="IRNazanin" w:hAnsi="IRNazanin" w:eastAsia="IRNazanin"/>
          <w:color w:val="111111"/>
          <w:sz w:val="28"/>
          <w:sz w:val="28"/>
          <w:szCs w:val="28"/>
          <w:rtl w:val="true"/>
          <w:lang w:bidi="fa-IR"/>
        </w:rPr>
        <w:t>اگر تعليم سوره اى صداق بود، پس ادّعا كرد زن كه ديگرى تعليم نموده است به غير اذن زوج، قول زن با يمين او مقدم است، و بر زوج اجرت تعليم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نزاع كردند در اينكه عقد دوّم در وقت دوّم، تكرار بوده يا عقد صحيح بوده، قول زوجه مقدم است، و دو مهر ثابت است با اتفاق بر تعدد مهر در صورت تعدّد حقيقى عقد، و وحدت آن در صورت تكرار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افتراق از عقد اوّل به طلاق قبل از دخول بوده، و مانعى از مسموعيّت قول او نبوده، بر او ازيد از نصف نيست؛ و هم چنين در عقد دوّم، و مجموع يك مهر تقريبى كامل مى شود كه تسميه در دو عقد شده اند و تنصيف به طلاقها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بلغ المقام بحمده تعالى فى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المعظم من 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الهجرية، و الحمد للّٰه،</w:t>
      </w:r>
    </w:p>
    <w:p>
      <w:pPr>
        <w:pStyle w:val="BookText"/>
        <w:rPr/>
      </w:pPr>
      <w:r>
        <w:rPr>
          <w:rFonts w:ascii="Amiri" w:hAnsi="Amiri" w:eastAsia="Amiri" w:cs="Amiri"/>
          <w:color w:val="111111"/>
          <w:sz w:val="28"/>
          <w:sz w:val="28"/>
          <w:szCs w:val="28"/>
          <w:rtl w:val="true"/>
          <w:lang w:bidi="ar-SA"/>
        </w:rPr>
        <w:t>بيد الاحقر محمد تقى بن محمود عفى عنهما فى قم المشرفه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على</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و آله الطاهرين و اللعن الدائم على اعدائهم اجمعين</w:t>
      </w:r>
      <w:r>
        <w:rPr>
          <w:rFonts w:eastAsia="Amiri" w:cs="Amiri" w:ascii="Amiri" w:hAnsi="Amiri"/>
          <w:color w:val="111111"/>
          <w:sz w:val="28"/>
          <w:szCs w:val="28"/>
          <w:rtl w:val="true"/>
          <w:lang w:bidi="ar-SA"/>
        </w:rPr>
        <w:t xml:space="preserve">. </w:t>
      </w:r>
      <w:bookmarkStart w:id="539" w:name="pg10265_89865"/>
    </w:p>
    <w:p>
      <w:pPr>
        <w:pStyle w:val="Heading3"/>
        <w:numPr>
          <w:ilvl w:val="2"/>
          <w:numId w:val="1"/>
        </w:numPr>
        <w:rPr/>
      </w:pPr>
      <w:bookmarkStart w:id="540" w:name="__RefHeading___Toc3807443_1067777946"/>
      <w:bookmarkStart w:id="541" w:name="_Toc234"/>
      <w:bookmarkEnd w:id="539"/>
      <w:bookmarkEnd w:id="540"/>
      <w:r>
        <w:rPr>
          <w:rtl w:val="true"/>
        </w:rPr>
        <w:t>فصل نهم حق قَسم و ساير حقوق زوجين</w:t>
      </w:r>
      <w:bookmarkEnd w:id="541"/>
    </w:p>
    <w:p>
      <w:pPr>
        <w:pStyle w:val="Heading4"/>
        <w:numPr>
          <w:ilvl w:val="3"/>
          <w:numId w:val="1"/>
        </w:numPr>
        <w:rPr/>
      </w:pPr>
      <w:bookmarkStart w:id="542" w:name="__RefHeading___Toc3807445_1067777946"/>
      <w:bookmarkStart w:id="543" w:name="_Toc235"/>
      <w:bookmarkEnd w:id="542"/>
      <w:r>
        <w:rPr>
          <w:rtl w:val="true"/>
        </w:rPr>
        <w:t>اشاره</w:t>
      </w:r>
      <w:bookmarkEnd w:id="543"/>
    </w:p>
    <w:p>
      <w:pPr>
        <w:pStyle w:val="BookText"/>
        <w:rPr/>
      </w:pPr>
      <w:r>
        <w:rPr>
          <w:rFonts w:ascii="IRNazanin" w:hAnsi="IRNazanin" w:eastAsia="IRNazanin"/>
          <w:color w:val="111111"/>
          <w:sz w:val="28"/>
          <w:sz w:val="28"/>
          <w:szCs w:val="28"/>
          <w:rtl w:val="true"/>
          <w:lang w:bidi="fa-IR"/>
        </w:rPr>
        <w:t>براى هر كدام از زوجين حقّى است بر ديگرى كه واجب است رعايت آن؛ چنانچه واجب است بر زوج نفقۀ زن از پوشش و اكل و شرب و مسكن، واجب است بر زوجه تمكين زوج از استمتاعات و اجتناب از مُنفّرات زوج</w:t>
      </w:r>
      <w:r>
        <w:rPr>
          <w:rFonts w:eastAsia="IRNazanin" w:cs="IRNazanin"/>
          <w:color w:val="111111"/>
          <w:sz w:val="28"/>
          <w:szCs w:val="28"/>
          <w:rtl w:val="true"/>
          <w:lang w:bidi="fa-IR"/>
        </w:rPr>
        <w:t>.</w:t>
      </w:r>
    </w:p>
    <w:p>
      <w:pPr>
        <w:pStyle w:val="Heading4"/>
        <w:numPr>
          <w:ilvl w:val="3"/>
          <w:numId w:val="1"/>
        </w:numPr>
        <w:rPr/>
      </w:pPr>
      <w:bookmarkStart w:id="544" w:name="__RefHeading___Toc3807447_1067777946"/>
      <w:bookmarkStart w:id="545" w:name="_Toc236"/>
      <w:bookmarkEnd w:id="544"/>
      <w:r>
        <w:rPr>
          <w:rtl w:val="true"/>
        </w:rPr>
        <w:t>عدم تلازم اسقاط حق يكى با اسقاط حق ديگرى</w:t>
      </w:r>
      <w:bookmarkEnd w:id="5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قسمت بين زوجات حق است بر زوج، چنانچه حق استمتاع، حق است بر زوجه، و با اسقاط يكى حق خود را حق ديگرى ساقط نمى شود، چه آنكه بنده باشد يا آزاد، متمكن از وطى ميسور باشد يا نه، مثل عنين و خصىّ‌</w:t>
      </w:r>
      <w:r>
        <w:rPr>
          <w:rFonts w:eastAsia="IRNazanin" w:cs="IRNazanin"/>
          <w:color w:val="111111"/>
          <w:sz w:val="28"/>
          <w:szCs w:val="28"/>
          <w:rtl w:val="true"/>
          <w:lang w:bidi="fa-IR"/>
        </w:rPr>
        <w:t>.</w:t>
      </w:r>
    </w:p>
    <w:p>
      <w:pPr>
        <w:pStyle w:val="Heading4"/>
        <w:numPr>
          <w:ilvl w:val="3"/>
          <w:numId w:val="1"/>
        </w:numPr>
        <w:rPr/>
      </w:pPr>
      <w:bookmarkStart w:id="546" w:name="__RefHeading___Toc3807449_1067777946"/>
      <w:bookmarkStart w:id="547" w:name="_Toc237"/>
      <w:bookmarkEnd w:id="546"/>
      <w:r>
        <w:rPr>
          <w:rtl w:val="true"/>
        </w:rPr>
        <w:t>فرض جنون و تكفّل قسمت توسط ولى</w:t>
      </w:r>
      <w:bookmarkEnd w:id="547"/>
    </w:p>
    <w:p>
      <w:pPr>
        <w:pStyle w:val="BookText"/>
        <w:rPr/>
      </w:pPr>
      <w:r>
        <w:rPr>
          <w:rFonts w:ascii="IRNazanin" w:hAnsi="IRNazanin" w:eastAsia="IRNazanin"/>
          <w:color w:val="111111"/>
          <w:sz w:val="28"/>
          <w:sz w:val="28"/>
          <w:szCs w:val="28"/>
          <w:rtl w:val="true"/>
          <w:lang w:bidi="fa-IR"/>
        </w:rPr>
        <w:t>و اگر مجنون باشد، ولىّ متكفّل قسمت از جانب او مى شود و لوازم قسمت، مگر با عدم امن يا عدم انتفاع هيچ كدام از زوجين؛ و هم چنين در قسمت در بقيۀ زنها با سبق قسمت در بعض، بر 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تقدير استحقاق زنها قسمت را به طلب آنها، واجب مى شود بر ولىّ‌؛ و بر تقدير استحقاق زوج فقط، واجب نيست اگر چه طلب نمايند، مگر بر تقدير مصلحت لزوميه در قسمت براى مجنون</w:t>
      </w:r>
      <w:r>
        <w:rPr>
          <w:rFonts w:eastAsia="IRNazanin" w:cs="IRNazanin"/>
          <w:color w:val="111111"/>
          <w:sz w:val="28"/>
          <w:szCs w:val="28"/>
          <w:rtl w:val="true"/>
          <w:lang w:bidi="fa-IR"/>
        </w:rPr>
        <w:t>.</w:t>
      </w:r>
    </w:p>
    <w:p>
      <w:pPr>
        <w:pStyle w:val="Heading4"/>
        <w:numPr>
          <w:ilvl w:val="3"/>
          <w:numId w:val="1"/>
        </w:numPr>
        <w:rPr/>
      </w:pPr>
      <w:bookmarkStart w:id="548" w:name="__RefHeading___Toc3807451_1067777946"/>
      <w:bookmarkStart w:id="549" w:name="_Toc238"/>
      <w:bookmarkEnd w:id="548"/>
      <w:r>
        <w:rPr>
          <w:rtl w:val="true"/>
        </w:rPr>
        <w:t>قابليت حق براى قضا</w:t>
      </w:r>
      <w:bookmarkEnd w:id="54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صورت آثم بودن ولىّ در ترك قسمت لازمه، آيا واجب است قضاى آن بر </w:t>
      </w:r>
      <w:bookmarkStart w:id="550" w:name="pg10265_89866"/>
    </w:p>
    <w:p>
      <w:pPr>
        <w:pStyle w:val="BookText"/>
        <w:rPr/>
      </w:pPr>
      <w:bookmarkEnd w:id="550"/>
      <w:r>
        <w:rPr>
          <w:rFonts w:ascii="Amiri" w:hAnsi="Amiri" w:eastAsia="Amiri" w:cs="Amiri"/>
          <w:color w:val="111111"/>
          <w:sz w:val="28"/>
          <w:sz w:val="28"/>
          <w:szCs w:val="28"/>
          <w:rtl w:val="true"/>
          <w:lang w:bidi="ar-SA"/>
        </w:rPr>
        <w:t>مجنون بعد از افاقه‌؟ احوط وجوب است در صورت انتفاع زوجه و استحقاق او، به ملاحظۀ وضع و استحقاق، مثل ساير ديون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جنون مستمر نباشد، فرقى بين اوقات جنون و اوقات افاقه نيست با انتفاع زوجه يا مصلحت لزوميۀ زوج، چه آنكه مضبوط باشد اوقات افاقه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در اوقات افاقه با خود زوج و در اوقات جنون با ولى او است</w:t>
      </w:r>
      <w:r>
        <w:rPr>
          <w:rFonts w:eastAsia="IRNazanin" w:cs="IRNazanin"/>
          <w:color w:val="111111"/>
          <w:sz w:val="28"/>
          <w:szCs w:val="28"/>
          <w:rtl w:val="true"/>
          <w:lang w:bidi="fa-IR"/>
        </w:rPr>
        <w:t>.</w:t>
      </w:r>
    </w:p>
    <w:p>
      <w:pPr>
        <w:pStyle w:val="Heading4"/>
        <w:numPr>
          <w:ilvl w:val="3"/>
          <w:numId w:val="1"/>
        </w:numPr>
        <w:rPr/>
      </w:pPr>
      <w:bookmarkStart w:id="551" w:name="__RefHeading___Toc3807453_1067777946"/>
      <w:bookmarkStart w:id="552" w:name="_Toc239"/>
      <w:bookmarkEnd w:id="551"/>
      <w:r>
        <w:rPr>
          <w:rtl w:val="true"/>
        </w:rPr>
        <w:t>فرض خوف از مجنونه</w:t>
      </w:r>
      <w:bookmarkEnd w:id="552"/>
    </w:p>
    <w:p>
      <w:pPr>
        <w:pStyle w:val="BookText"/>
        <w:rPr/>
      </w:pPr>
      <w:r>
        <w:rPr>
          <w:rFonts w:ascii="IRNazanin" w:hAnsi="IRNazanin" w:eastAsia="IRNazanin"/>
          <w:color w:val="111111"/>
          <w:sz w:val="28"/>
          <w:sz w:val="28"/>
          <w:szCs w:val="28"/>
          <w:rtl w:val="true"/>
          <w:lang w:bidi="fa-IR"/>
        </w:rPr>
        <w:t>اگر خائف بود از زوجۀ مجنونه، حق زوجه از قسمت ساقط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جنون زن نسبت به حق قسمت او در ثبوت و نفى مثل جنون شوهر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صورت عدم انتفاع راساً در زمان جنون، آيا وقت كالعدم است و حق، ثابت در وقت افاقه است يا حق كالعدم است و ابتداى ثبوت آن ابتداى امكان انتفاع است ؟ اقرب دوّم است</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3807455_1067777946"/>
      <w:bookmarkStart w:id="554" w:name="_Toc240"/>
      <w:bookmarkEnd w:id="553"/>
      <w:r>
        <w:rPr>
          <w:rtl w:val="true"/>
        </w:rPr>
        <w:t>وجوبى بودن حق قسمت و عدم آن</w:t>
      </w:r>
      <w:bookmarkEnd w:id="55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قسمت بين زنهاى متعدد، حقِ واجب است مطلقاً، يا آنكه براى يكى هم يكى از چهار شب است، يا آنكه واجب نيست مگر بعد از ابتداى به قسمت در متعدد؟ خلاف است، وجوب در متعدد بعد از ابتدا، متفق عليه است كه بعد از آن بايد تكميل دَور در چهار شب نمايد؛ و وجوب آن در متعدد قبل از بدء به قسمت، بلكه در واحده كه يك شب از چهار شب مورد حق همان يكى باشد مثل آنكه مقرون به ديگرى بوده، معلوم نيست مگر آنكه به حد اضرار و ظلم محرّم برسد، و در غير اين صورت عدلْ راجح است و از حقوق مستحبه است، و اظهر عدم وجوب است اگر چه احوط رعايت آنچه منتهى به عُسر نباشد و معلوم باشد رجحان آن، مى باشد</w:t>
      </w:r>
      <w:r>
        <w:rPr>
          <w:rFonts w:eastAsia="IRNazanin" w:cs="IRNazanin"/>
          <w:color w:val="111111"/>
          <w:sz w:val="28"/>
          <w:szCs w:val="28"/>
          <w:rtl w:val="true"/>
          <w:lang w:bidi="fa-IR"/>
        </w:rPr>
        <w:t>.</w:t>
      </w:r>
    </w:p>
    <w:p>
      <w:pPr>
        <w:pStyle w:val="Heading4"/>
        <w:numPr>
          <w:ilvl w:val="3"/>
          <w:numId w:val="1"/>
        </w:numPr>
        <w:rPr/>
      </w:pPr>
      <w:bookmarkStart w:id="555" w:name="__RefHeading___Toc3807457_1067777946"/>
      <w:bookmarkStart w:id="556" w:name="_Toc241"/>
      <w:bookmarkEnd w:id="555"/>
      <w:r>
        <w:rPr>
          <w:rtl w:val="true"/>
        </w:rPr>
        <w:t>متعلَّقِ حقّ قَسم</w:t>
      </w:r>
      <w:bookmarkEnd w:id="55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حق چه وجوبى باشد، چنانچه به مشهور منسوب است، و چه استحبابى، </w:t>
      </w:r>
      <w:bookmarkStart w:id="557" w:name="pg10265_89867"/>
    </w:p>
    <w:p>
      <w:pPr>
        <w:pStyle w:val="BookText"/>
        <w:rPr/>
      </w:pPr>
      <w:bookmarkEnd w:id="557"/>
      <w:r>
        <w:rPr>
          <w:rFonts w:ascii="IRNazanin" w:hAnsi="IRNazanin" w:eastAsia="IRNazanin"/>
          <w:color w:val="111111"/>
          <w:sz w:val="28"/>
          <w:sz w:val="28"/>
          <w:szCs w:val="28"/>
          <w:rtl w:val="true"/>
          <w:lang w:bidi="fa-IR"/>
        </w:rPr>
        <w:t xml:space="preserve">متعلق به يكى از چهار شب براى يك زن، و دو از چهار شب براى دو زن، و سه از چهار شب براى سه زن، و تمام چهار شب براى چهار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غير صورت اخير، زايد بر مستحَقِّ زن، اختيارش با شوهر است براى مملوكات يا ساير زنها يا بدون همه، صرف مى نمايد به اختيار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ناقص از يك شب، با آن، قسمت واجبه به شروع يا مطلقاً، محقّق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جواز قسمت در زايد بر يك شب مثل دو شب و هكذا، تأمل است اگر بدون رضاى صاحبان حق باشد و بعد از شروع در قسمت باشد، يا مطلقاً بنابر وجوب</w:t>
      </w:r>
      <w:r>
        <w:rPr>
          <w:rFonts w:eastAsia="IRNazanin" w:cs="IRNazanin"/>
          <w:color w:val="111111"/>
          <w:sz w:val="28"/>
          <w:szCs w:val="28"/>
          <w:rtl w:val="true"/>
          <w:lang w:bidi="fa-IR"/>
        </w:rPr>
        <w:t>.</w:t>
      </w:r>
    </w:p>
    <w:p>
      <w:pPr>
        <w:pStyle w:val="Heading4"/>
        <w:numPr>
          <w:ilvl w:val="3"/>
          <w:numId w:val="1"/>
        </w:numPr>
        <w:rPr/>
      </w:pPr>
      <w:bookmarkStart w:id="558" w:name="__RefHeading___Toc3807459_1067777946"/>
      <w:bookmarkStart w:id="559" w:name="_Toc242"/>
      <w:bookmarkEnd w:id="558"/>
      <w:r>
        <w:rPr>
          <w:rtl w:val="true"/>
        </w:rPr>
        <w:t>قرعه براى تعيين در ابتداى شروع به قسمت</w:t>
      </w:r>
      <w:bookmarkEnd w:id="559"/>
    </w:p>
    <w:p>
      <w:pPr>
        <w:pStyle w:val="BookText"/>
        <w:rPr/>
      </w:pPr>
      <w:r>
        <w:rPr>
          <w:rFonts w:ascii="IRNazanin" w:hAnsi="IRNazanin" w:eastAsia="IRNazanin"/>
          <w:color w:val="111111"/>
          <w:sz w:val="28"/>
          <w:sz w:val="28"/>
          <w:szCs w:val="28"/>
          <w:rtl w:val="true"/>
          <w:lang w:bidi="fa-IR"/>
        </w:rPr>
        <w:t>و تعيين در ابتداى شروع به قسمت با قرعه، واجب نيست بنا بر اظهر؛ و بر تقدير وجوب، تعيين دومى و سومى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در دورۀ دوّم، موافقت با قرعه در دورۀ اوّل لازم نيست؛ و ممنوع جَور در قسمت است، و آن منتفى است به هر گونه اختيار شود كه براى هر كدام، يك شب از چهار شب در هر دوره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با يك قرعه اكتفا بشود براى همه اگر رعايت تمام احتمالات متصوره در رقعه هاى متعدده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رعايت آن در دورۀ ثانيه، موقوف بر آنچه مقدم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احتياج به قرعه، جارى در نكاحِ به ترتيب است و اختصاصى به نكاح دفعى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فروع مذكوره در كتب مفصله، ساقط است به حسب مختار و مذكور در مبانى آنها</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3807461_1067777946"/>
      <w:bookmarkStart w:id="561" w:name="_Toc243"/>
      <w:bookmarkEnd w:id="560"/>
      <w:r>
        <w:rPr>
          <w:rtl w:val="true"/>
        </w:rPr>
        <w:t>واجب در قسمت، مضاجعۀ متعارفه در شب</w:t>
      </w:r>
      <w:bookmarkEnd w:id="56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در قسمت، مضاجعۀ متعارفه است، نه مواقعه كه منحصر است وجوب آن در يك دفعه در چهار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اين واجب شب است نه روز و نه صبح آن شب، اگر چه احوط و افضل است كون با صاحبۀ نوبت در اين وقت هم؛ و الحاق</w:t>
      </w:r>
      <w:bookmarkStart w:id="562" w:name="pg10265_89868"/>
    </w:p>
    <w:p>
      <w:pPr>
        <w:pStyle w:val="BookText"/>
        <w:rPr/>
      </w:pPr>
      <w:bookmarkEnd w:id="562"/>
      <w:r>
        <w:rPr>
          <w:rFonts w:ascii="Amiri" w:hAnsi="Amiri" w:eastAsia="Amiri" w:cs="Amiri"/>
          <w:color w:val="111111"/>
          <w:sz w:val="28"/>
          <w:sz w:val="28"/>
          <w:szCs w:val="28"/>
          <w:rtl w:val="true"/>
          <w:lang w:bidi="ar-SA"/>
        </w:rPr>
        <w:t>تمام روز به شب در كَون نزد زن افضل است</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3807463_1067777946"/>
      <w:bookmarkStart w:id="564" w:name="_Toc244"/>
      <w:bookmarkEnd w:id="563"/>
      <w:r>
        <w:rPr>
          <w:rtl w:val="true"/>
        </w:rPr>
        <w:t>وجوب بيتوتۀ متعارفه</w:t>
      </w:r>
      <w:bookmarkEnd w:id="564"/>
    </w:p>
    <w:p>
      <w:pPr>
        <w:pStyle w:val="BookText"/>
        <w:rPr/>
      </w:pPr>
      <w:r>
        <w:rPr>
          <w:rFonts w:ascii="IRNazanin" w:hAnsi="IRNazanin" w:eastAsia="IRNazanin"/>
          <w:color w:val="111111"/>
          <w:sz w:val="28"/>
          <w:sz w:val="28"/>
          <w:szCs w:val="28"/>
          <w:rtl w:val="true"/>
          <w:lang w:bidi="fa-IR"/>
        </w:rPr>
        <w:t>و واجب، بيتوتۀ متعارفه نزد زن بعد از قضاى حوايج معتاده در اوايل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ضروريات اتفاقيه، مثل مرض زن ديگر يا كسى كه اضافه به زوج دارد و احتياج به عيادت دارد، يا ساير مستحبات از زيارتها و غير آنها بدون لزوم مداقّه، ضرر به اداى واجب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مستوعب شب جارى مجراى اعذار مستوعبه از سفرهاى ضرورى و نحو آنها است در حكم، و دور نيست در آنها سقوط قسمت به نحوى كه قضا نداشته باشد؛ پس ابتداى به قسمت مى كند بعد از مراجعت از سفر، نه آنكه حق صاحبِ نوبت بالخصوص ساقط مى شود؛ و احوط استرضاء است در بعض صور، مثل تعقّب وفاء به قسمتِ بعضى به سفر و مراجعت قبل از اكمال دور يا متصل به اكمال</w:t>
      </w:r>
      <w:r>
        <w:rPr>
          <w:rFonts w:eastAsia="IRNazanin" w:cs="IRNazanin"/>
          <w:color w:val="111111"/>
          <w:sz w:val="28"/>
          <w:szCs w:val="28"/>
          <w:rtl w:val="true"/>
          <w:lang w:bidi="fa-IR"/>
        </w:rPr>
        <w:t>.</w:t>
      </w:r>
    </w:p>
    <w:p>
      <w:pPr>
        <w:pStyle w:val="Heading4"/>
        <w:numPr>
          <w:ilvl w:val="3"/>
          <w:numId w:val="1"/>
        </w:numPr>
        <w:rPr/>
      </w:pPr>
      <w:bookmarkStart w:id="565" w:name="__RefHeading___Toc3807465_1067777946"/>
      <w:bookmarkStart w:id="566" w:name="_Toc245"/>
      <w:bookmarkEnd w:id="565"/>
      <w:r>
        <w:rPr>
          <w:rtl w:val="true"/>
        </w:rPr>
        <w:t>افرادى كه شغل آنها در شب است</w:t>
      </w:r>
      <w:bookmarkEnd w:id="566"/>
    </w:p>
    <w:p>
      <w:pPr>
        <w:pStyle w:val="BookText"/>
        <w:rPr/>
      </w:pPr>
      <w:r>
        <w:rPr>
          <w:rFonts w:ascii="IRNazanin" w:hAnsi="IRNazanin" w:eastAsia="IRNazanin"/>
          <w:color w:val="111111"/>
          <w:sz w:val="28"/>
          <w:sz w:val="28"/>
          <w:szCs w:val="28"/>
          <w:rtl w:val="true"/>
          <w:lang w:bidi="fa-IR"/>
        </w:rPr>
        <w:t>و اگر زوج از كسانى بود كه شبْ وقت شغل او و روزْ وقت استراحت او بود مثل نگهبان، دور نيست زمان قسمت در حق او روز باشد به عكس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اوقات نزول براى مسافرى كه با او زوجات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شغل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بود، ملاحظۀ وقت استراحت در نوبت هر كدام مى نمايد كه در اين وقت كلى دو قسم از شغل مشتركند</w:t>
      </w:r>
      <w:r>
        <w:rPr>
          <w:rFonts w:eastAsia="IRNazanin" w:cs="IRNazanin"/>
          <w:color w:val="111111"/>
          <w:sz w:val="28"/>
          <w:szCs w:val="28"/>
          <w:rtl w:val="true"/>
          <w:lang w:bidi="fa-IR"/>
        </w:rPr>
        <w:t>.</w:t>
      </w:r>
    </w:p>
    <w:p>
      <w:pPr>
        <w:pStyle w:val="Heading4"/>
        <w:numPr>
          <w:ilvl w:val="3"/>
          <w:numId w:val="1"/>
        </w:numPr>
        <w:rPr/>
      </w:pPr>
      <w:bookmarkStart w:id="567" w:name="__RefHeading___Toc3807467_1067777946"/>
      <w:bookmarkStart w:id="568" w:name="_Toc246"/>
      <w:bookmarkEnd w:id="567"/>
      <w:r>
        <w:rPr>
          <w:rtl w:val="true"/>
        </w:rPr>
        <w:t>قسمت بين حرّه و مملوكه</w:t>
      </w:r>
      <w:bookmarkEnd w:id="56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با زوجات خود بود و بعضى از آنها امه بود، قسمت مى نمايد براى آزاد دو شب و براى كنيز يك شب، پس دور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تكميل مى شود، براى يك حُرّه دو شب است، و براى يك امه يك شب از آن، و بقيۀ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مخصوص زوج مى شود بنابر اظهر</w:t>
      </w:r>
      <w:r>
        <w:rPr>
          <w:rFonts w:eastAsia="IRNazanin" w:cs="IRNazanin"/>
          <w:color w:val="111111"/>
          <w:sz w:val="28"/>
          <w:szCs w:val="28"/>
          <w:rtl w:val="true"/>
          <w:lang w:bidi="fa-IR"/>
        </w:rPr>
        <w:t>.</w:t>
      </w:r>
      <w:bookmarkStart w:id="569" w:name="pg10265_89869"/>
    </w:p>
    <w:p>
      <w:pPr>
        <w:pStyle w:val="BookText"/>
        <w:rPr/>
      </w:pPr>
      <w:bookmarkEnd w:id="569"/>
      <w:r>
        <w:rPr>
          <w:rFonts w:ascii="IRNazanin" w:hAnsi="IRNazanin" w:eastAsia="IRNazanin"/>
          <w:color w:val="111111"/>
          <w:sz w:val="28"/>
          <w:sz w:val="28"/>
          <w:szCs w:val="28"/>
          <w:rtl w:val="true"/>
          <w:lang w:bidi="fa-IR"/>
        </w:rPr>
        <w:t xml:space="preserve">و زوجۀ حُرّۀ كتابيه در قسمت و مقدار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جواز تزويج اگر چه بقايى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امۀ است، پس امه مسلمه با حرۀ كتابيه مساوى در مقدار قسمت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امۀ مزوجۀ كتابيه در قسمت، نصف حرۀ كتابيه را مستحِق است، پس يك شب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مستحق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بيان مذكور، حكم جميع صور اجتماع زوجات مختلفه در اسلام و كتابيت و حريت و امه بودن معلوم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مبعّضه، تقسيط به نسبت حريت و امه بودن اقرب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دو شب ماند نزد حره، پس از آن امه آزاد شد و راضى به نكاح شد، براى او هم دو شب است و مساوى با اولى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است بنابر اظهر اگر بيتوته كند نزد امه يك شب و قبل از دخول، شب ديگر آزاد شود و راضى به عقد شود، شب دوّم را استحقاق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عتق در روز اثرى در شب گذشته ندارد به خلاف شب آينده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اوّل يك شب نزد امه بود، بعد از آن قبل از شب بعد آزاد شد، شب دوّم را استحقاق دارد، و حق حره دو شب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اثناى استيفاى حق حره آزاد شد، حق در اين دور مال حرّه است و در دور ديگر امه با حرّه مساوى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امۀ موطوئه به ملك يمين، قسمت ندارد، چه يكى باشد چه زايد، زوجۀ ديگر داشته باشد يا نه</w:t>
      </w:r>
      <w:r>
        <w:rPr>
          <w:rFonts w:eastAsia="IRNazanin" w:cs="IRNazanin"/>
          <w:color w:val="111111"/>
          <w:sz w:val="28"/>
          <w:szCs w:val="28"/>
          <w:rtl w:val="true"/>
          <w:lang w:bidi="fa-IR"/>
        </w:rPr>
        <w:t>.</w:t>
      </w:r>
    </w:p>
    <w:p>
      <w:pPr>
        <w:pStyle w:val="Heading4"/>
        <w:numPr>
          <w:ilvl w:val="3"/>
          <w:numId w:val="1"/>
        </w:numPr>
        <w:rPr/>
      </w:pPr>
      <w:bookmarkStart w:id="570" w:name="__RefHeading___Toc3807469_1067777946"/>
      <w:bookmarkStart w:id="571" w:name="_Toc247"/>
      <w:bookmarkEnd w:id="570"/>
      <w:r>
        <w:rPr>
          <w:rtl w:val="true"/>
        </w:rPr>
        <w:t>گونه هاى مختلف تحقق حق</w:t>
      </w:r>
      <w:bookmarkEnd w:id="57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تواند طواف نمايد بر زوجات يا ايشان را به منزل خودش دعوت نمايد يا به نحو مختلف در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جمع بين دو ننمايد در يك منزل در وقت قسمت يكى بدون رضاى آنها بنابر احوط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چه افضل تسويه بلكه طواف بر همه است در منزل ايشان</w:t>
      </w:r>
      <w:r>
        <w:rPr>
          <w:rFonts w:eastAsia="IRNazanin" w:cs="IRNazanin"/>
          <w:color w:val="111111"/>
          <w:sz w:val="28"/>
          <w:szCs w:val="28"/>
          <w:rtl w:val="true"/>
          <w:lang w:bidi="fa-IR"/>
        </w:rPr>
        <w:t>.</w:t>
      </w:r>
      <w:bookmarkStart w:id="572" w:name="pg10265_89870"/>
    </w:p>
    <w:p>
      <w:pPr>
        <w:pStyle w:val="Heading4"/>
        <w:numPr>
          <w:ilvl w:val="3"/>
          <w:numId w:val="1"/>
        </w:numPr>
        <w:rPr/>
      </w:pPr>
      <w:bookmarkStart w:id="573" w:name="__RefHeading___Toc3807471_1067777946"/>
      <w:bookmarkStart w:id="574" w:name="_Toc248"/>
      <w:bookmarkEnd w:id="572"/>
      <w:bookmarkEnd w:id="573"/>
      <w:r>
        <w:rPr>
          <w:rtl w:val="true"/>
        </w:rPr>
        <w:t>استحقاق مبيت خصوصى براى زفاف بكر و ثيّب</w:t>
      </w:r>
      <w:bookmarkEnd w:id="57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براى هر كدام از بكر و ثيّب، سه روز استحقاق مبيت خصوصى ثابت است، و براى خصوص بكر مى تواند هفت روز اختصاص بدهد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استحقاق بكر زايد بر سه روز را محل تأمل است، آيا افضل اقرب به تسويه است و زايد بر سه روز يا اقرب به ترضيۀ بكر؟ ممكن است اختلاف موارد، و احوط استرضاى از صاحبان حق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را اختصاص داد به بكر يا ثيّب به نحو مذكور، قضا نمى شود براى ساير زنها</w:t>
      </w:r>
      <w:r>
        <w:rPr>
          <w:rFonts w:eastAsia="IRNazanin" w:cs="IRNazanin"/>
          <w:color w:val="111111"/>
          <w:sz w:val="28"/>
          <w:szCs w:val="28"/>
          <w:rtl w:val="true"/>
          <w:lang w:bidi="fa-IR"/>
        </w:rPr>
        <w:t>.</w:t>
      </w:r>
    </w:p>
    <w:p>
      <w:pPr>
        <w:pStyle w:val="Heading4"/>
        <w:numPr>
          <w:ilvl w:val="3"/>
          <w:numId w:val="1"/>
        </w:numPr>
        <w:rPr/>
      </w:pPr>
      <w:bookmarkStart w:id="575" w:name="__RefHeading___Toc3807473_1067777946"/>
      <w:bookmarkStart w:id="576" w:name="_Toc249"/>
      <w:bookmarkEnd w:id="575"/>
      <w:r>
        <w:rPr>
          <w:rtl w:val="true"/>
        </w:rPr>
        <w:t>اعتبار موالات در شبهاى اختصاصى به بكر يا ثيّب</w:t>
      </w:r>
      <w:bookmarkEnd w:id="576"/>
    </w:p>
    <w:p>
      <w:pPr>
        <w:pStyle w:val="BookText"/>
        <w:rPr/>
      </w:pPr>
      <w:r>
        <w:rPr>
          <w:rFonts w:ascii="IRNazanin" w:hAnsi="IRNazanin" w:eastAsia="IRNazanin"/>
          <w:color w:val="111111"/>
          <w:sz w:val="28"/>
          <w:sz w:val="28"/>
          <w:szCs w:val="28"/>
          <w:rtl w:val="true"/>
          <w:lang w:bidi="fa-IR"/>
        </w:rPr>
        <w:t>در شبهاى اختصاصى به بكر يا ثيّب، موالات معتبر است؛ و با اخلال به موالات، اتيان به عدد مى نمايد با موالات در بقيه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موالات را رعايت نكرد، خلاف تكليف كرده لكن قضاى توالى نمى نمايد بلكه عدد معتبر است، و توالى واجب است و اگر شرط باشد محل آن فوت مى شود به ترك موالات؛ پس واجب نيست اتيان به سبع ديگر با موالات بنا بر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اقرب مقايسۀ ايام اختصاص است در كتابيه و در امه با ايام قسمت، و سه مقابل قسمت خودش را مثلاً استحقاق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تكميل منكسر است، پس بكر اگر امه بود چهار شب دارد و هم چنين حرّه كتابيه، و ثيّب از هر دو دو شب دارد، و امۀ كتابيه يك شب دارد</w:t>
      </w:r>
      <w:r>
        <w:rPr>
          <w:rFonts w:eastAsia="IRNazanin" w:cs="IRNazanin"/>
          <w:color w:val="111111"/>
          <w:sz w:val="28"/>
          <w:szCs w:val="28"/>
          <w:rtl w:val="true"/>
          <w:lang w:bidi="fa-IR"/>
        </w:rPr>
        <w:t>.</w:t>
      </w:r>
    </w:p>
    <w:p>
      <w:pPr>
        <w:pStyle w:val="Heading4"/>
        <w:numPr>
          <w:ilvl w:val="3"/>
          <w:numId w:val="1"/>
        </w:numPr>
        <w:rPr/>
      </w:pPr>
      <w:bookmarkStart w:id="577" w:name="__RefHeading___Toc3807475_1067777946"/>
      <w:bookmarkStart w:id="578" w:name="_Toc250"/>
      <w:bookmarkEnd w:id="577"/>
      <w:r>
        <w:rPr>
          <w:rtl w:val="true"/>
        </w:rPr>
        <w:t>ديگر احكام شبهاى اختصاصى</w:t>
      </w:r>
      <w:bookmarkEnd w:id="57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اعتبار به حال زفاف در حره بودن و امه بودن است نه وقت عقد نكاح؛ و هم چنين اگر آزاد شد در اثناى ايام خودش، چنانچه در نظيرش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قضاى حق جديده اگر طلاق داد بعد رجوع نمود، تاثيرى در عود حق زفاف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عود ثابت است در عقد بعد از طلاق بائن اگر چه در عده باشد؛ و فرقى بين توفيۀ حق قبل از </w:t>
      </w:r>
      <w:bookmarkStart w:id="579" w:name="pg10265_89871"/>
    </w:p>
    <w:p>
      <w:pPr>
        <w:pStyle w:val="BookText"/>
        <w:rPr/>
      </w:pPr>
      <w:bookmarkEnd w:id="579"/>
      <w:r>
        <w:rPr>
          <w:rFonts w:ascii="IRNazanin" w:hAnsi="IRNazanin" w:eastAsia="IRNazanin"/>
          <w:color w:val="111111"/>
          <w:sz w:val="28"/>
          <w:sz w:val="28"/>
          <w:szCs w:val="28"/>
          <w:rtl w:val="true"/>
          <w:lang w:bidi="fa-IR"/>
        </w:rPr>
        <w:t>طلاق و عدم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عقد كرد بعد از عتق، مستولده يا امۀ موطوئه خود را، كه حق زفاف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زفاف بعد از اتمام دور براى زنهاى ديگر بود، جديده مختص به عدد مخصوص بعد از كمال دور مى شود؛ و هم چنين اگر يك زن قديمه داشته بنابر آنكه قسمت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زن داشته و براى يكى قسمت كرده، حق زفاف را ادا مى نمايد پس از آن قسمت براى زن قديمۀ دوّم مى نمايد، و ثلث باقى را به جديده بابت قسمت ادا مى نمايد بنابر وجهى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سبقت كردند جماعتى از زنها در شب زفاف، اختيار ابتدا با زوج است در ايفاى حق اختصاص به هر كدام كه اختيار كردند به نحو توالى ايام، و تعيين با قرعه افضل و احوط است</w:t>
      </w:r>
      <w:r>
        <w:rPr>
          <w:rFonts w:eastAsia="IRNazanin" w:cs="IRNazanin"/>
          <w:color w:val="111111"/>
          <w:sz w:val="28"/>
          <w:szCs w:val="28"/>
          <w:rtl w:val="true"/>
          <w:lang w:bidi="fa-IR"/>
        </w:rPr>
        <w:t>.</w:t>
      </w:r>
    </w:p>
    <w:p>
      <w:pPr>
        <w:pStyle w:val="Heading4"/>
        <w:numPr>
          <w:ilvl w:val="3"/>
          <w:numId w:val="1"/>
        </w:numPr>
        <w:rPr/>
      </w:pPr>
      <w:bookmarkStart w:id="580" w:name="__RefHeading___Toc3807477_1067777946"/>
      <w:bookmarkStart w:id="581" w:name="_Toc251"/>
      <w:bookmarkEnd w:id="580"/>
      <w:r>
        <w:rPr>
          <w:rtl w:val="true"/>
        </w:rPr>
        <w:t>سقوط قسمت به سفر و مراعات عدل در صورت مصاحبت زنها در سفر</w:t>
      </w:r>
      <w:bookmarkEnd w:id="581"/>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 به سفر ساقط مى شود و مى تواند بدون مصاحبت زنها سفر نمايد، و همه را يا بعضى را با خود همراه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تخلّف بر مصحوبه جايز نيست بدون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قرعه براى تعيين مصحوبه و بردن آنها به سفر لازم نيست، بلكه افضل است، و بعد از قرعه عدول جايز است اگر چه ترك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 براى متخلفه يا متخلفات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فرقى در مذكورات بين اقسام سفر نيست؛ و هم چنين بين ايام اقامت در اثناى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حكم حضر را داشته باشد در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 ايام و ايام ذهاب و رجوع نيست بنابر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دو نفر از زنها يا بيشتر را با خود مصاحب نمود، عدل لازم در حضر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واسطۀ عدم غيبت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ظلم به يكى كرد، مثل حضر قضا مى نمايد در سفر يا حضر نوبت مظلومه را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مى تواند در سفر، بعضى از زنها را در محلى نگاه دارد و بعضى را با خود تا به غايت سفر همراه نمايد، پس محل اولى به منزلۀ منزل قبل از مسافرت مى شود</w:t>
      </w:r>
      <w:r>
        <w:rPr>
          <w:rFonts w:eastAsia="IRNazanin" w:cs="IRNazanin"/>
          <w:color w:val="111111"/>
          <w:sz w:val="28"/>
          <w:szCs w:val="28"/>
          <w:rtl w:val="true"/>
          <w:lang w:bidi="fa-IR"/>
        </w:rPr>
        <w:t xml:space="preserve">. </w:t>
      </w:r>
      <w:bookmarkStart w:id="582" w:name="pg10265_89872"/>
    </w:p>
    <w:p>
      <w:pPr>
        <w:pStyle w:val="BookText"/>
        <w:rPr/>
      </w:pPr>
      <w:bookmarkEnd w:id="582"/>
      <w:r>
        <w:rPr>
          <w:rFonts w:ascii="IRNazanin" w:hAnsi="IRNazanin" w:eastAsia="IRNazanin"/>
          <w:color w:val="111111"/>
          <w:sz w:val="28"/>
          <w:sz w:val="28"/>
          <w:szCs w:val="28"/>
          <w:rtl w:val="true"/>
          <w:lang w:bidi="fa-IR"/>
        </w:rPr>
        <w:t>اگر در سفر ازدواج جديدى كرد، مخصوص مى نمايد جديده را به ايام زفاف، بعد از آن بين همۀ زنها قسمت را رعايت مى نمايد</w:t>
      </w:r>
      <w:r>
        <w:rPr>
          <w:rFonts w:eastAsia="IRNazanin" w:cs="IRNazanin"/>
          <w:color w:val="111111"/>
          <w:sz w:val="28"/>
          <w:szCs w:val="28"/>
          <w:rtl w:val="true"/>
          <w:lang w:bidi="fa-IR"/>
        </w:rPr>
        <w:t>.</w:t>
      </w:r>
    </w:p>
    <w:p>
      <w:pPr>
        <w:pStyle w:val="Heading4"/>
        <w:numPr>
          <w:ilvl w:val="3"/>
          <w:numId w:val="1"/>
        </w:numPr>
        <w:rPr/>
      </w:pPr>
      <w:bookmarkStart w:id="583" w:name="__RefHeading___Toc3807479_1067777946"/>
      <w:bookmarkStart w:id="584" w:name="_Toc252"/>
      <w:bookmarkEnd w:id="583"/>
      <w:r>
        <w:rPr>
          <w:rtl w:val="true"/>
        </w:rPr>
        <w:t>قسمت امۀ مزوّجه</w:t>
      </w:r>
      <w:bookmarkEnd w:id="584"/>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قسمت براى امۀ مزوّجه، متوقف به اذن مالك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قسمت براى امۀ مزوجه در سفر، مثل وجوب آن در حضر است كه در صورت تسليم مولى در نهار و وجوب نفقه ثابت است؛ و در غير اين صورت محل تأمل است، و احوط قسم است اگر معارض به احتياط ديگر نباشد</w:t>
      </w:r>
      <w:r>
        <w:rPr>
          <w:rFonts w:eastAsia="IRNazanin" w:cs="IRNazanin"/>
          <w:color w:val="111111"/>
          <w:sz w:val="28"/>
          <w:szCs w:val="28"/>
          <w:rtl w:val="true"/>
          <w:lang w:bidi="fa-IR"/>
        </w:rPr>
        <w:t>.</w:t>
      </w:r>
    </w:p>
    <w:p>
      <w:pPr>
        <w:pStyle w:val="Heading4"/>
        <w:numPr>
          <w:ilvl w:val="3"/>
          <w:numId w:val="1"/>
        </w:numPr>
        <w:rPr/>
      </w:pPr>
      <w:bookmarkStart w:id="585" w:name="__RefHeading___Toc3807481_1067777946"/>
      <w:bookmarkStart w:id="586" w:name="_Toc253"/>
      <w:bookmarkEnd w:id="585"/>
      <w:r>
        <w:rPr>
          <w:rtl w:val="true"/>
        </w:rPr>
        <w:t>استحباب تسويه بين زنها در غير واجبات</w:t>
      </w:r>
      <w:bookmarkEnd w:id="586"/>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تسويه بين زنها در آنچه واجب نيست تفضيل، از قبيل جماع و اطلاق وجه؛ و مستحب است كَون با صاحبۀ شب در صبح آن شب، چنانچه گذشت؛ و اينكه اذن دهد به زن براى حضور موت پدر و مادر خودش؛ و مى تواند منع از عيادت آنها نمايد و از خروج از منزل مگر براى واجبى بر زن</w:t>
      </w:r>
      <w:r>
        <w:rPr>
          <w:rFonts w:eastAsia="IRNazanin" w:cs="IRNazanin"/>
          <w:color w:val="111111"/>
          <w:sz w:val="28"/>
          <w:szCs w:val="28"/>
          <w:rtl w:val="true"/>
          <w:lang w:bidi="fa-IR"/>
        </w:rPr>
        <w:t>.</w:t>
      </w:r>
    </w:p>
    <w:p>
      <w:pPr>
        <w:pStyle w:val="Heading4"/>
        <w:numPr>
          <w:ilvl w:val="3"/>
          <w:numId w:val="1"/>
        </w:numPr>
        <w:rPr/>
      </w:pPr>
      <w:bookmarkStart w:id="587" w:name="__RefHeading___Toc3807483_1067777946"/>
      <w:bookmarkStart w:id="588" w:name="_Toc254"/>
      <w:bookmarkEnd w:id="587"/>
      <w:r>
        <w:rPr>
          <w:rtl w:val="true"/>
        </w:rPr>
        <w:t>هبه يا اسقاط قسمت</w:t>
      </w:r>
      <w:bookmarkEnd w:id="588"/>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حق زوجه هست مطلقاً بنابر وجوب مطلق، و بعد از شروع بنابر وجوب بعد از 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زوج عام است و مختص به زمانى نيست، و در زمان مخصوص، غير صاحبۀ نوبت بر او حق ندارد، پس اگر زوجه اذن داد در ترك اداى حق، زوج حق او باقى است و ساقط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تواند حق خود را به زوج يا به يكى از زنهاى ديگر ببخشد با رضاى زوج و موهوبه بنابر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 هبۀ به زوج، به اسقاط حق است؛ و هبۀ به غير زوج، رضاى به ترك خاص است و ساير احكام هبه مرتّب نيست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هبه به زوج كرد، اختيار آن شب با زوج است؛ و اگر هبه به ساير زنها نمود، توزيع مى شود بر آنها؛ و اگر به زن مخصوص هبه نمود، اختصاص داده </w:t>
      </w:r>
      <w:bookmarkStart w:id="589" w:name="pg10265_89873"/>
    </w:p>
    <w:p>
      <w:pPr>
        <w:pStyle w:val="BookText"/>
        <w:rPr/>
      </w:pPr>
      <w:bookmarkEnd w:id="589"/>
      <w:r>
        <w:rPr>
          <w:rFonts w:ascii="Amiri" w:hAnsi="Amiri" w:eastAsia="Amiri" w:cs="Amiri"/>
          <w:color w:val="111111"/>
          <w:sz w:val="28"/>
          <w:sz w:val="28"/>
          <w:szCs w:val="28"/>
          <w:rtl w:val="true"/>
          <w:lang w:bidi="ar-SA"/>
        </w:rPr>
        <w:t>مى شود به زيادتى يك شب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صورت هبه به يك زن، اگر ليلۀ او متصل به ليلۀ واهبه بود، متوالى مى شود دو شب موهوبه؛ و اگر منفصل بود، بايد تحصيل رضاى صاحبان حق در ليله اى كه بخشيده شده بنمايد، يا عملى نمايد كه حق كسى از صاحبان حق فوت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هبۀ به مجموع نمود، مى تواند در توزيعْ تبعيض يك شب به آنها نمايد؛ و مى تواند تمام شب را در يك دور به يكى مخصوص نمايد و در دور ديگر به ديگرى با رضاى آنها و عدم رجوع واهبه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بين دو شب در دو دور رجوع نمود، خسران بر متأخّره براى دور ديگر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ممكن است تحصيل نتيجۀ توزيع به اكمال دور به شب، كه شب زايد موهوب به حسب دوره ها صرف در مجموع بقيۀ زنها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سه زن به چهارمى بخشيدند، هر چهار شب را صرف در بيتوته نزد چهارمى مى نمايد مطلقاً بنابر وجوب قسمت مطلقاً، و در صورت ابتداى به چهارمى بنابر معلّق بودن وجوب به شروع در قسمت؛ و بعد از اكمال دور بنابراين قول چيزى واجب نيست مگر بعد از شروع در قسمت ثانياً</w:t>
      </w:r>
      <w:r>
        <w:rPr>
          <w:rFonts w:eastAsia="IRNazanin" w:cs="IRNazanin"/>
          <w:color w:val="111111"/>
          <w:sz w:val="28"/>
          <w:szCs w:val="28"/>
          <w:rtl w:val="true"/>
          <w:lang w:bidi="fa-IR"/>
        </w:rPr>
        <w:t>.</w:t>
      </w:r>
    </w:p>
    <w:p>
      <w:pPr>
        <w:pStyle w:val="Heading4"/>
        <w:numPr>
          <w:ilvl w:val="3"/>
          <w:numId w:val="1"/>
        </w:numPr>
        <w:rPr/>
      </w:pPr>
      <w:bookmarkStart w:id="590" w:name="__RefHeading___Toc3807485_1067777946"/>
      <w:bookmarkStart w:id="591" w:name="_Toc255"/>
      <w:bookmarkEnd w:id="590"/>
      <w:r>
        <w:rPr>
          <w:rtl w:val="true"/>
        </w:rPr>
        <w:t>رجوع از هبه</w:t>
      </w:r>
      <w:bookmarkEnd w:id="591"/>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رجوع كرد بعد از هبۀ صحيحه، مؤثر است در آينده، نه در گذشته؛ زوج به مجرّد علم به رجوع، از نزد موهوبه يا مختاره خارج مى شود؛ و اگر ندانست رجوع را، از زمان علم خارج مى شود و براى گذشته ها قضا نيست، مگر ما بين رجوع و علم كه احوط قضا است</w:t>
      </w:r>
      <w:r>
        <w:rPr>
          <w:rFonts w:eastAsia="IRNazanin" w:cs="IRNazanin"/>
          <w:color w:val="111111"/>
          <w:sz w:val="28"/>
          <w:szCs w:val="28"/>
          <w:rtl w:val="true"/>
          <w:lang w:bidi="fa-IR"/>
        </w:rPr>
        <w:t>.</w:t>
      </w:r>
    </w:p>
    <w:p>
      <w:pPr>
        <w:pStyle w:val="Heading4"/>
        <w:numPr>
          <w:ilvl w:val="3"/>
          <w:numId w:val="1"/>
        </w:numPr>
        <w:rPr/>
      </w:pPr>
      <w:bookmarkStart w:id="592" w:name="__RefHeading___Toc3807487_1067777946"/>
      <w:bookmarkStart w:id="593" w:name="_Toc256"/>
      <w:bookmarkEnd w:id="592"/>
      <w:r>
        <w:rPr>
          <w:rtl w:val="true"/>
        </w:rPr>
        <w:t>صلح قسمت</w:t>
      </w:r>
      <w:bookmarkEnd w:id="593"/>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عوضى خواست از شب خودش، و زوج بذل كرد به عنوان صلح، جايز و لازم است و ماليّت در صلح معتبر نيست؛ و هم چنين براى ساير زوجات</w:t>
      </w:r>
      <w:r>
        <w:rPr>
          <w:rFonts w:eastAsia="IRNazanin" w:cs="IRNazanin"/>
          <w:color w:val="111111"/>
          <w:sz w:val="28"/>
          <w:szCs w:val="28"/>
          <w:rtl w:val="true"/>
          <w:lang w:bidi="fa-IR"/>
        </w:rPr>
        <w:t>.</w:t>
      </w:r>
      <w:bookmarkStart w:id="594" w:name="pg10265_89874"/>
    </w:p>
    <w:p>
      <w:pPr>
        <w:pStyle w:val="Heading4"/>
        <w:numPr>
          <w:ilvl w:val="3"/>
          <w:numId w:val="1"/>
        </w:numPr>
        <w:rPr/>
      </w:pPr>
      <w:bookmarkStart w:id="595" w:name="__RefHeading___Toc3807489_1067777946"/>
      <w:bookmarkStart w:id="596" w:name="_Toc257"/>
      <w:bookmarkEnd w:id="594"/>
      <w:bookmarkEnd w:id="595"/>
      <w:r>
        <w:rPr>
          <w:rtl w:val="true"/>
        </w:rPr>
        <w:t>عدم ثبوت قسمت براى ناشزه و بعض اقسام صغيره و مجنونه</w:t>
      </w:r>
      <w:bookmarkEnd w:id="596"/>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ناشزه قسمت ندارد؛ و هم چنين صغيرۀ غير قابل استمتاع و تلذذ؛ و هم چنين مجنونۀ مطبقۀ غير قابلۀ استمتاع و تلذّذ و مؤانسه، يا مخوفه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مبتلا به جنون ادوارى، پس در حال افاقه، مثل غير مجنونه است، و در حال جنون مذكور، ادا و قضا ندارد</w:t>
      </w:r>
      <w:r>
        <w:rPr>
          <w:rFonts w:eastAsia="IRNazanin" w:cs="IRNazanin"/>
          <w:color w:val="111111"/>
          <w:sz w:val="28"/>
          <w:szCs w:val="28"/>
          <w:rtl w:val="true"/>
          <w:lang w:bidi="fa-IR"/>
        </w:rPr>
        <w:t>.</w:t>
      </w:r>
    </w:p>
    <w:p>
      <w:pPr>
        <w:pStyle w:val="Heading4"/>
        <w:numPr>
          <w:ilvl w:val="3"/>
          <w:numId w:val="1"/>
        </w:numPr>
        <w:rPr/>
      </w:pPr>
      <w:bookmarkStart w:id="597" w:name="__RefHeading___Toc3807491_1067777946"/>
      <w:bookmarkStart w:id="598" w:name="_Toc258"/>
      <w:bookmarkEnd w:id="597"/>
      <w:r>
        <w:rPr>
          <w:rtl w:val="true"/>
        </w:rPr>
        <w:t>ناشزه بودن مسافرۀ بدون اذن و ضرورت</w:t>
      </w:r>
      <w:bookmarkEnd w:id="598"/>
    </w:p>
    <w:p>
      <w:pPr>
        <w:pStyle w:val="BookText"/>
        <w:rPr/>
      </w:pPr>
      <w:r>
        <w:rPr>
          <w:rFonts w:ascii="IRNazanin" w:hAnsi="IRNazanin" w:eastAsia="IRNazanin"/>
          <w:color w:val="111111"/>
          <w:sz w:val="28"/>
          <w:sz w:val="28"/>
          <w:szCs w:val="28"/>
          <w:rtl w:val="true"/>
          <w:lang w:bidi="fa-IR"/>
        </w:rPr>
        <w:t>مسافرت كنندۀ بدون اذن زوج و بدون ضرورت مسوّغه، ناشزه است و حقى ندارد در قضاى بعد از رجوع؛ و اما با اذن، يا در واجب مضيق، حق او ثابت است و قضا لازم است اگر اختيار مسافرت كه براى مصلحت زوجه است اسقاط حق زوجه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اذن، مسوّغِ مسافرت است و دافعِ اثم است</w:t>
      </w:r>
      <w:r>
        <w:rPr>
          <w:rFonts w:eastAsia="IRNazanin" w:cs="IRNazanin"/>
          <w:color w:val="111111"/>
          <w:sz w:val="28"/>
          <w:szCs w:val="28"/>
          <w:rtl w:val="true"/>
          <w:lang w:bidi="fa-IR"/>
        </w:rPr>
        <w:t>.</w:t>
      </w:r>
    </w:p>
    <w:p>
      <w:pPr>
        <w:pStyle w:val="Heading4"/>
        <w:numPr>
          <w:ilvl w:val="3"/>
          <w:numId w:val="1"/>
        </w:numPr>
        <w:rPr/>
      </w:pPr>
      <w:bookmarkStart w:id="599" w:name="__RefHeading___Toc3807493_1067777946"/>
      <w:bookmarkStart w:id="600" w:name="_Toc259"/>
      <w:bookmarkEnd w:id="599"/>
      <w:r>
        <w:rPr>
          <w:rtl w:val="true"/>
        </w:rPr>
        <w:t>جواز زيارت ضرّه در ليلۀ ديگرى</w:t>
      </w:r>
      <w:bookmarkEnd w:id="600"/>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اظهر جواز زيارت ضره در ليلۀ ضرّه است به مقدارى كه جايز براى اجنبى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عيادت ضره، مستوعب شب شد، اظهر وجوب قضا براى صاحب شب است، مثل عيادت اجنبيه اگر مستوعب باشد، چه اينكه ظلم باشد به واسطۀ عدم جواز، يا نباشد به واسطۀ جواز يا وجوب</w:t>
      </w:r>
      <w:r>
        <w:rPr>
          <w:rFonts w:eastAsia="IRNazanin" w:cs="IRNazanin"/>
          <w:color w:val="111111"/>
          <w:sz w:val="28"/>
          <w:szCs w:val="28"/>
          <w:rtl w:val="true"/>
          <w:lang w:bidi="fa-IR"/>
        </w:rPr>
        <w:t>.</w:t>
      </w:r>
    </w:p>
    <w:p>
      <w:pPr>
        <w:pStyle w:val="Heading4"/>
        <w:numPr>
          <w:ilvl w:val="3"/>
          <w:numId w:val="1"/>
        </w:numPr>
        <w:rPr/>
      </w:pPr>
      <w:bookmarkStart w:id="601" w:name="__RefHeading___Toc3807495_1067777946"/>
      <w:bookmarkStart w:id="602" w:name="_Toc260"/>
      <w:bookmarkEnd w:id="601"/>
      <w:r>
        <w:rPr>
          <w:rtl w:val="true"/>
        </w:rPr>
        <w:t>قضا براى مريضه و غير</w:t>
      </w:r>
      <w:bookmarkEnd w:id="602"/>
    </w:p>
    <w:p>
      <w:pPr>
        <w:pStyle w:val="BookText"/>
        <w:rPr/>
      </w:pPr>
      <w:r>
        <w:rPr>
          <w:rFonts w:ascii="IRNazanin" w:hAnsi="IRNazanin" w:eastAsia="IRNazanin"/>
          <w:color w:val="111111"/>
          <w:sz w:val="28"/>
          <w:sz w:val="28"/>
          <w:szCs w:val="28"/>
          <w:rtl w:val="true"/>
          <w:lang w:bidi="fa-IR"/>
        </w:rPr>
        <w:t>و در لزوم قضا براى مريضه كه عيادت او كرده براى ضرورت يا طلب او، تأمّل است، اظهر احتساب و عدم لزوم قضا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در غير مستوعب به مقدار كون نزد مريضه اگر زايد بر حق متعارف زوج باشد احتساب مى شود و اقتصاص مى شود و قضا ندارد اگر در نوبت او است؛ و اگر در نوبت ديگرى اقتصاص از نوبۀ مريضه مى شود براى همان ديگرى؛ لكن خالى از تأمل نيست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مواقعۀ ضره در نوبت ديگرى، اثر ندارد؛ بلكه اثر مربوط به زمان آن است به نحوى كه مذكور شد</w:t>
      </w:r>
      <w:r>
        <w:rPr>
          <w:rFonts w:eastAsia="IRNazanin" w:cs="IRNazanin"/>
          <w:color w:val="111111"/>
          <w:sz w:val="28"/>
          <w:szCs w:val="28"/>
          <w:rtl w:val="true"/>
          <w:lang w:bidi="fa-IR"/>
        </w:rPr>
        <w:t xml:space="preserve">. </w:t>
      </w:r>
      <w:bookmarkStart w:id="603" w:name="pg10265_89875"/>
    </w:p>
    <w:p>
      <w:pPr>
        <w:pStyle w:val="Heading4"/>
        <w:numPr>
          <w:ilvl w:val="3"/>
          <w:numId w:val="1"/>
        </w:numPr>
        <w:rPr/>
      </w:pPr>
      <w:bookmarkStart w:id="604" w:name="__RefHeading___Toc3807497_1067777946"/>
      <w:bookmarkStart w:id="605" w:name="_Toc261"/>
      <w:bookmarkEnd w:id="603"/>
      <w:bookmarkEnd w:id="604"/>
      <w:r>
        <w:rPr>
          <w:rtl w:val="true"/>
        </w:rPr>
        <w:t>جور در قسمت</w:t>
      </w:r>
      <w:bookmarkEnd w:id="605"/>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جور در قسمت كرد، قضا مى نمايد براى مظلومه با تمكّن از قضا از حيث زمان، وگرنه در ذمۀ او باقى است تا زمان تمكّن يا عفو زوجۀ مظلومه يا صلح به عوضى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زمان يكى نزد ديگرى بود، در دور ديگرى از ديگرى اسقاط مى نمايد و به صاحب حق قضاءً مى دهد با طلب آن ديگرى اين ظلم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وقت صاحب نوبت را به همه على السواء داد، قضا مى نمايد براى او از وقت آخذه به مقدار مأخوذ از او</w:t>
      </w:r>
      <w:r>
        <w:rPr>
          <w:rFonts w:eastAsia="IRNazanin" w:cs="IRNazanin"/>
          <w:color w:val="111111"/>
          <w:sz w:val="28"/>
          <w:szCs w:val="28"/>
          <w:rtl w:val="true"/>
          <w:lang w:bidi="fa-IR"/>
        </w:rPr>
        <w:t>.</w:t>
      </w:r>
    </w:p>
    <w:p>
      <w:pPr>
        <w:pStyle w:val="Heading4"/>
        <w:numPr>
          <w:ilvl w:val="3"/>
          <w:numId w:val="1"/>
        </w:numPr>
        <w:rPr/>
      </w:pPr>
      <w:bookmarkStart w:id="606" w:name="__RefHeading___Toc3807499_1067777946"/>
      <w:bookmarkStart w:id="607" w:name="_Toc262"/>
      <w:bookmarkEnd w:id="606"/>
      <w:r>
        <w:rPr>
          <w:rtl w:val="true"/>
        </w:rPr>
        <w:t>حق ناشزه</w:t>
      </w:r>
      <w:bookmarkEnd w:id="607"/>
    </w:p>
    <w:p>
      <w:pPr>
        <w:pStyle w:val="BookText"/>
        <w:rPr/>
      </w:pPr>
      <w:r>
        <w:rPr>
          <w:rFonts w:ascii="IRNazanin" w:hAnsi="IRNazanin" w:eastAsia="IRNazanin"/>
          <w:color w:val="111111"/>
          <w:sz w:val="28"/>
          <w:sz w:val="28"/>
          <w:szCs w:val="28"/>
          <w:rtl w:val="true"/>
          <w:lang w:bidi="fa-IR"/>
        </w:rPr>
        <w:t>اگر صاحب چهار زن بود و يكى ناشزه شد، حق او به حسب ظاهر ساقط است و ليلۀ او را به اختيار خود صرف مى نمايد اگر قسمت يك شبانه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قسمت ازيد از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نسبت يك از چهار كه اگر دو شب باشد در هشت شب اكمال دور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رضاى صاحبان حق،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عود كرد ناشزه قبل از تمام محل قسمت، محتمل است عود حق او و انكشاف عدم سقوط واقعى او در هر ترتيبى كه قسمت جايزه را اختيار كرد، نه آنكه مثل جديده در آينده براى او قسمت مى شود، اگر چه قسمت ديگران ازيد بوده است، لكن احتياط مناسب است</w:t>
      </w:r>
      <w:r>
        <w:rPr>
          <w:rFonts w:eastAsia="IRNazanin" w:cs="IRNazanin"/>
          <w:color w:val="111111"/>
          <w:sz w:val="28"/>
          <w:szCs w:val="28"/>
          <w:rtl w:val="true"/>
          <w:lang w:bidi="fa-IR"/>
        </w:rPr>
        <w:t>.</w:t>
      </w:r>
    </w:p>
    <w:p>
      <w:pPr>
        <w:pStyle w:val="Heading4"/>
        <w:numPr>
          <w:ilvl w:val="3"/>
          <w:numId w:val="1"/>
        </w:numPr>
        <w:rPr/>
      </w:pPr>
      <w:bookmarkStart w:id="608" w:name="__RefHeading___Toc3807501_1067777946"/>
      <w:bookmarkStart w:id="609" w:name="_Toc263"/>
      <w:bookmarkEnd w:id="608"/>
      <w:r>
        <w:rPr>
          <w:rtl w:val="true"/>
        </w:rPr>
        <w:t>طلاق يكى از اربعه بعد از دخول ليلۀ او</w:t>
      </w:r>
      <w:bookmarkEnd w:id="609"/>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 سه زن از چهار، طواف نمود و چهارمى را بعد از دخول ليلۀ او و زمان طواف بر او طلاق داد، طلاق صحيح است؛ و در حرمت آن به اعتبار تفويت حق فعلى، و عدم آن به اعتبار مشروطيت حق در حدوث و بقا، تأمل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رجوع در عده در طلاق رجعى اگر در همان شب بود، بقيه را ادا مى نمايد؛ و اگر بعد از دور بود، در وجوب قضا تأمل است؛ و اگر طلاق بائن بود و تجديد عقد نمود، اقرب عدم وجوب چيزى است اگر تفويت حق فعلى نشده، وگرنه خصوص </w:t>
      </w:r>
      <w:bookmarkStart w:id="610" w:name="pg10265_89876"/>
    </w:p>
    <w:p>
      <w:pPr>
        <w:pStyle w:val="BookText"/>
        <w:rPr/>
      </w:pPr>
      <w:bookmarkEnd w:id="610"/>
      <w:r>
        <w:rPr>
          <w:rFonts w:ascii="IRNazanin" w:hAnsi="IRNazanin" w:eastAsia="IRNazanin"/>
          <w:color w:val="111111"/>
          <w:sz w:val="28"/>
          <w:sz w:val="28"/>
          <w:szCs w:val="28"/>
          <w:rtl w:val="true"/>
          <w:lang w:bidi="fa-IR"/>
        </w:rPr>
        <w:t>ليلۀ فائته محل تأمل سابق است با زيادتى تعدد نكاح و تباين حقوق؛ پس قضاى يكى به سبب ديگرى، قابل منع است به سبب مراعىٰ بودن مثل اين حق در حدوث و بقا به بقاى زوجيّت سابقه</w:t>
      </w:r>
      <w:r>
        <w:rPr>
          <w:rFonts w:eastAsia="IRNazanin" w:cs="IRNazanin"/>
          <w:color w:val="111111"/>
          <w:sz w:val="28"/>
          <w:szCs w:val="28"/>
          <w:rtl w:val="true"/>
          <w:lang w:bidi="fa-IR"/>
        </w:rPr>
        <w:t>.</w:t>
      </w:r>
    </w:p>
    <w:p>
      <w:pPr>
        <w:pStyle w:val="Heading4"/>
        <w:numPr>
          <w:ilvl w:val="3"/>
          <w:numId w:val="1"/>
        </w:numPr>
        <w:rPr/>
      </w:pPr>
      <w:bookmarkStart w:id="611" w:name="__RefHeading___Toc3807503_1067777946"/>
      <w:bookmarkStart w:id="612" w:name="_Toc264"/>
      <w:bookmarkEnd w:id="611"/>
      <w:r>
        <w:rPr>
          <w:rtl w:val="true"/>
        </w:rPr>
        <w:t>اقامۀ ده روزه در بلد يك زوجه</w:t>
      </w:r>
      <w:bookmarkEnd w:id="612"/>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دو بلد دو زن داشت و نزد يكى از آنها ده روز ماند، پس اگر به جهت قسمت بود و قسمت در ازيد از يك شب جايز بود، براى دومى هم ده شب لازم است به رفتن به بلد او يا آوردن او در بلد خودش، و اگر امتناع از آمدن بعد از استدعا كرد بدون عذر مسوغ، حقش ساقط است از حيث تعجيل در ادا، و در سقوط آن از ذمۀ زوج تأمل است؛ و اگر به جهت قسمت نبود و اتفاقى بود يا آنكه قسمت در زايد بر يك جايز نبود، براى دومى فقط دو روز و نيم قضا لازم است، مگر آنكه اصلاً به قصد قسمت نبوده و قسمت ابتدائى را واجب ندانستيم</w:t>
      </w:r>
      <w:r>
        <w:rPr>
          <w:rFonts w:eastAsia="IRNazanin" w:cs="IRNazanin"/>
          <w:color w:val="111111"/>
          <w:sz w:val="28"/>
          <w:szCs w:val="28"/>
          <w:rtl w:val="true"/>
          <w:lang w:bidi="fa-IR"/>
        </w:rPr>
        <w:t>.</w:t>
      </w:r>
    </w:p>
    <w:p>
      <w:pPr>
        <w:pStyle w:val="Heading4"/>
        <w:numPr>
          <w:ilvl w:val="3"/>
          <w:numId w:val="1"/>
        </w:numPr>
        <w:rPr/>
      </w:pPr>
      <w:bookmarkStart w:id="613" w:name="__RefHeading___Toc3807505_1067777946"/>
      <w:bookmarkStart w:id="614" w:name="_Toc265"/>
      <w:bookmarkEnd w:id="613"/>
      <w:r>
        <w:rPr>
          <w:rtl w:val="true"/>
        </w:rPr>
        <w:t>به سفر بردن بعضى و مسألۀ قسمت</w:t>
      </w:r>
      <w:bookmarkEnd w:id="614"/>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ازدواج كرد با زنى و قبل از دخول به آن قصد مسافرت كرد و قرعه به اسم او خارج شد و با صحبت او مسافرت كرد، مى تواند بعد از مراجعت، ايام اختصاصى او را كه سه يا هفت است ايفا نمايد، بلكه حق جديده است و ايام سفر از ايام قسمت اختصاصى و غير آن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جديده دو زن بودند و يكى را با قرعه مصاحبت كرد، بعد از رجوع، ايام اختصاصى هر دو را تأديه مى نمايد؛ و در قضا بودن اين ايام تأمل است، و محتمل است مثل شروع در قسمت براى همه بعد از اين ايام باشد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مسافرت در مقام قسمت براى چهارمى بود و استصحاب غير او نمود، و يا با او مسافرت كرد و ايفاى حق غير او نمود، بعد از رجوع، ايفاى حق چهارمى به عنوان قضا مى نمايد، و بعد از آن شروع به قسمت در دور دوّم مى نمايد</w:t>
      </w:r>
      <w:r>
        <w:rPr>
          <w:rFonts w:eastAsia="IRNazanin" w:cs="IRNazanin"/>
          <w:color w:val="111111"/>
          <w:sz w:val="28"/>
          <w:szCs w:val="28"/>
          <w:rtl w:val="true"/>
          <w:lang w:bidi="fa-IR"/>
        </w:rPr>
        <w:t xml:space="preserve">. </w:t>
      </w:r>
      <w:bookmarkStart w:id="615" w:name="pg10265_89877"/>
    </w:p>
    <w:p>
      <w:pPr>
        <w:pStyle w:val="Heading3"/>
        <w:numPr>
          <w:ilvl w:val="2"/>
          <w:numId w:val="1"/>
        </w:numPr>
        <w:rPr/>
      </w:pPr>
      <w:bookmarkStart w:id="616" w:name="__RefHeading___Toc3807507_1067777946"/>
      <w:bookmarkStart w:id="617" w:name="_Toc266"/>
      <w:bookmarkEnd w:id="615"/>
      <w:bookmarkEnd w:id="616"/>
      <w:r>
        <w:rPr>
          <w:rtl w:val="true"/>
        </w:rPr>
        <w:t>فصل دهم نشوز و شقاق</w:t>
      </w:r>
      <w:bookmarkEnd w:id="617"/>
    </w:p>
    <w:p>
      <w:pPr>
        <w:pStyle w:val="Heading4"/>
        <w:numPr>
          <w:ilvl w:val="3"/>
          <w:numId w:val="1"/>
        </w:numPr>
        <w:rPr/>
      </w:pPr>
      <w:bookmarkStart w:id="618" w:name="__RefHeading___Toc3807509_1067777946"/>
      <w:bookmarkStart w:id="619" w:name="_Toc267"/>
      <w:bookmarkEnd w:id="618"/>
      <w:r>
        <w:rPr>
          <w:rtl w:val="true"/>
        </w:rPr>
        <w:t>تعريف نشوز و شقاق</w:t>
      </w:r>
      <w:bookmarkEnd w:id="619"/>
    </w:p>
    <w:p>
      <w:pPr>
        <w:pStyle w:val="BookText"/>
        <w:rPr/>
      </w:pP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تخلّف هر كدام از زوجين منفرداً، از اداى حق واجب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است به تخلّف هر دو با هم از اداى حق واجب ديگرى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زوجه، امارات نشوز از واجبات زوج ظاهر شد، جايز است براى زوج بعد از موعظه، هجر كردن زن در فراش به رو برگرداندن از او در محل اضطجاع، و در اين حال زدن او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تحقق نشوز و امتناع از استمتاعِ واجب بر زن، زدن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نحوى كه مشتمل بر تدريج و محافظت بر تجنّب مواضع خطر و ايجاب ديه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پس موعظه و هجر، براى دفع نشوز و منع از حدوث آن است در آخرين استمتاع مقصود و واجب بر زن، و ضرب، براى رفع آن و منع از ابقاى آن است</w:t>
      </w:r>
      <w:r>
        <w:rPr>
          <w:rFonts w:eastAsia="IRNazanin" w:cs="IRNazanin"/>
          <w:color w:val="111111"/>
          <w:sz w:val="28"/>
          <w:szCs w:val="28"/>
          <w:rtl w:val="true"/>
          <w:lang w:bidi="fa-IR"/>
        </w:rPr>
        <w:t>.</w:t>
      </w:r>
    </w:p>
    <w:p>
      <w:pPr>
        <w:pStyle w:val="Heading4"/>
        <w:numPr>
          <w:ilvl w:val="3"/>
          <w:numId w:val="1"/>
        </w:numPr>
        <w:rPr/>
      </w:pPr>
      <w:bookmarkStart w:id="620" w:name="__RefHeading___Toc3807511_1067777946"/>
      <w:bookmarkStart w:id="621" w:name="_Toc268"/>
      <w:bookmarkEnd w:id="620"/>
      <w:r>
        <w:rPr>
          <w:rtl w:val="true"/>
        </w:rPr>
        <w:t>نشوز زوج</w:t>
      </w:r>
      <w:bookmarkEnd w:id="621"/>
    </w:p>
    <w:p>
      <w:pPr>
        <w:pStyle w:val="BookText"/>
        <w:rPr/>
      </w:pPr>
      <w:r>
        <w:rPr>
          <w:rFonts w:ascii="IRNazanin" w:hAnsi="IRNazanin" w:eastAsia="IRNazanin"/>
          <w:color w:val="111111"/>
          <w:sz w:val="28"/>
          <w:sz w:val="28"/>
          <w:szCs w:val="28"/>
          <w:rtl w:val="true"/>
          <w:lang w:bidi="fa-IR"/>
        </w:rPr>
        <w:t>اگر از زوج، نشوز و منع حقوق واجبه بر خودش ظاهر شد اگر چه در بعضى حقوق زوجه باشد، پس مى تواند زوجه پس از وعظ و مطالبه، مرافعه به حاكم نمايد، و هجر و ضرب جايز نيست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حاكم است امر به معروف و نهى از منكر و الزام به اداى حق زوجه؛ و اگر </w:t>
      </w:r>
      <w:bookmarkStart w:id="622" w:name="pg10265_89878"/>
    </w:p>
    <w:p>
      <w:pPr>
        <w:pStyle w:val="BookText"/>
        <w:rPr/>
      </w:pPr>
      <w:bookmarkEnd w:id="622"/>
      <w:r>
        <w:rPr>
          <w:rFonts w:ascii="IRNazanin" w:hAnsi="IRNazanin" w:eastAsia="IRNazanin"/>
          <w:color w:val="111111"/>
          <w:sz w:val="28"/>
          <w:sz w:val="28"/>
          <w:szCs w:val="28"/>
          <w:rtl w:val="true"/>
          <w:lang w:bidi="fa-IR"/>
        </w:rPr>
        <w:t>نافع نشد، تعزير مى نمايد او را به آنچه آن را مناسب مى داند؛ و اگر ممتنع شد مى تواند از مال او انفاق بر زوجه نمايد اگر چه متوقف بر بيع مال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ارادۀ طلاق نمود، مى تواند زوجه صلح نمايد و ترك بعض حقوق واجبۀ خودش نمايد و بذل مالى نمايد در مقابل امساك و ترك طلاق؛ و پس از آن حلال مى شود بر زوج قبولِ بذلِ مشروط و عدم اتيان بواجب كه مشروطْ ترك آن بوده است در صلح</w:t>
      </w:r>
      <w:r>
        <w:rPr>
          <w:rFonts w:eastAsia="IRNazanin" w:cs="IRNazanin"/>
          <w:color w:val="111111"/>
          <w:sz w:val="28"/>
          <w:szCs w:val="28"/>
          <w:rtl w:val="true"/>
          <w:lang w:bidi="fa-IR"/>
        </w:rPr>
        <w:t>.</w:t>
      </w:r>
    </w:p>
    <w:p>
      <w:pPr>
        <w:pStyle w:val="Heading4"/>
        <w:numPr>
          <w:ilvl w:val="3"/>
          <w:numId w:val="1"/>
        </w:numPr>
        <w:rPr/>
      </w:pPr>
      <w:bookmarkStart w:id="623" w:name="__RefHeading___Toc3807513_1067777946"/>
      <w:bookmarkStart w:id="624" w:name="_Toc269"/>
      <w:bookmarkEnd w:id="623"/>
      <w:r>
        <w:rPr>
          <w:rtl w:val="true"/>
        </w:rPr>
        <w:t>نشوز طرفين و ارسال حَكَم</w:t>
      </w:r>
      <w:bookmarkEnd w:id="624"/>
    </w:p>
    <w:p>
      <w:pPr>
        <w:pStyle w:val="BookText"/>
        <w:rPr/>
      </w:pPr>
      <w:r>
        <w:rPr>
          <w:rFonts w:ascii="IRNazanin" w:hAnsi="IRNazanin" w:eastAsia="IRNazanin"/>
          <w:color w:val="111111"/>
          <w:sz w:val="28"/>
          <w:sz w:val="28"/>
          <w:szCs w:val="28"/>
          <w:rtl w:val="true"/>
          <w:lang w:bidi="fa-IR"/>
        </w:rPr>
        <w:t xml:space="preserve">اگر امارات نشوز طرفين ظاهر شد و حاكم مطلع بر امر شد به سبب مرافعه به او، بعث مى نمايد حَكَمى را از اهل زوج و حكمى را از اهل زوجه يا هر كه را مناسب حَكَميت دانست، به نحو وجوب در صورت توقف اصلاح و دفع فساد بر آن، براى اصلاح يا تفريق، لكن تفريق بايد با اذن كسى كه حكميّت به اختيار او است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زوجين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مشروط در تحكيم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اين است كه اين بعث از طرف حاكم شرع، يا عدل مؤمن در صورت نبودن آن، تحكيم است نه توكيل، و لوازم حاكميت را دارد نه وكالت، و رضاى زوجين به خصوصيّت حاكمين، معتبر نيست و كافى است رضاى باعث و اختيار او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توكيل ايشان يك نفر را يا دو نفر را، پس به منزلۀ انجام خودشان امر اصلاح و تفريق را است و تابع رضاى زوجين در خصوصيات عمل ايشان به حسب مستفاد از عبارت زوجين به اتفاق است</w:t>
      </w:r>
      <w:r>
        <w:rPr>
          <w:rFonts w:eastAsia="IRNazanin" w:cs="IRNazanin"/>
          <w:color w:val="111111"/>
          <w:sz w:val="28"/>
          <w:szCs w:val="28"/>
          <w:rtl w:val="true"/>
          <w:lang w:bidi="fa-IR"/>
        </w:rPr>
        <w:t>.</w:t>
      </w:r>
    </w:p>
    <w:p>
      <w:pPr>
        <w:pStyle w:val="Heading4"/>
        <w:numPr>
          <w:ilvl w:val="3"/>
          <w:numId w:val="1"/>
        </w:numPr>
        <w:rPr/>
      </w:pPr>
      <w:bookmarkStart w:id="625" w:name="__RefHeading___Toc3807515_1067777946"/>
      <w:bookmarkStart w:id="626" w:name="_Toc270"/>
      <w:bookmarkEnd w:id="625"/>
      <w:r>
        <w:rPr>
          <w:rtl w:val="true"/>
        </w:rPr>
        <w:t>شرايط و وظايف حَكَم و وكيل</w:t>
      </w:r>
      <w:bookmarkEnd w:id="62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معتبر است در حَكَم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 بودن در امر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مربوط به شقاق دو مسلمان؛ و احوط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عدالت در وكيل معتبر نيست بنابر اظهر؛ پس سعى مى كنند حَكَمين در </w:t>
      </w:r>
      <w:bookmarkStart w:id="627" w:name="pg10265_89879"/>
    </w:p>
    <w:p>
      <w:pPr>
        <w:pStyle w:val="BookText"/>
        <w:rPr/>
      </w:pPr>
      <w:bookmarkEnd w:id="627"/>
      <w:r>
        <w:rPr>
          <w:rFonts w:ascii="IRNazanin" w:hAnsi="IRNazanin" w:eastAsia="IRNazanin"/>
          <w:color w:val="111111"/>
          <w:sz w:val="28"/>
          <w:sz w:val="28"/>
          <w:szCs w:val="28"/>
          <w:rtl w:val="true"/>
          <w:lang w:bidi="fa-IR"/>
        </w:rPr>
        <w:t>استعلام حال زوجين و معرفت صلاح و فساد امر ايشان، و خلوت مى نمايد حَكَم مرد با مرد و حَكَم زن با زن به غير محرّم تا مطلع بر خصوصيات بشوند و بعد از اطلاع، به همديگر اظهار مى نمايند تا بر صلاح و صواب اتّفاق نمايند، پس اگر رأى آنها اصلاح بود، نافذ است؛ و اگر تفريق بود، محتاج به مراجعۀ زوجين است، يا اذن سابق در ضمن شرط در بعث حاكم با اطلاع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در تقدير توكيل كه رضاى زوجين در طلاق و بذل لازم است، پس اگر رأىِ حَكَمِ مرد، به طلاقِ بدون عوض تعلق گرفت، مستقلاً طلاق مى دهد؛ و اگر به طلاقِ با عوض تعلق گرفت و اگر به خلع تعلق گرفت، موافقت حَكَم زن لازم است و مراجعۀ لاحقه يا سابقه به زوجين لازم است، چنانچه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يك طلاق كافىِ در رفع شقاق نشد، زياد مى كند تا استيفاى سه طلاق به تدريج با ملاحظۀ شروط طلاق اوّل</w:t>
      </w:r>
      <w:r>
        <w:rPr>
          <w:rFonts w:eastAsia="IRNazanin" w:cs="IRNazanin"/>
          <w:color w:val="111111"/>
          <w:sz w:val="28"/>
          <w:szCs w:val="28"/>
          <w:rtl w:val="true"/>
          <w:lang w:bidi="fa-IR"/>
        </w:rPr>
        <w:t>.</w:t>
      </w:r>
    </w:p>
    <w:p>
      <w:pPr>
        <w:pStyle w:val="Heading4"/>
        <w:numPr>
          <w:ilvl w:val="3"/>
          <w:numId w:val="1"/>
        </w:numPr>
        <w:rPr/>
      </w:pPr>
      <w:bookmarkStart w:id="628" w:name="__RefHeading___Toc3807517_1067777946"/>
      <w:bookmarkStart w:id="629" w:name="_Toc271"/>
      <w:bookmarkEnd w:id="628"/>
      <w:r>
        <w:rPr>
          <w:rtl w:val="true"/>
        </w:rPr>
        <w:t>اختلاف بين حَكَمين</w:t>
      </w:r>
      <w:bookmarkEnd w:id="629"/>
    </w:p>
    <w:p>
      <w:pPr>
        <w:pStyle w:val="BookText"/>
        <w:rPr/>
      </w:pPr>
      <w:r>
        <w:rPr>
          <w:rFonts w:ascii="IRNazanin" w:hAnsi="IRNazanin" w:eastAsia="IRNazanin"/>
          <w:color w:val="111111"/>
          <w:sz w:val="28"/>
          <w:sz w:val="28"/>
          <w:szCs w:val="28"/>
          <w:rtl w:val="true"/>
          <w:lang w:bidi="fa-IR"/>
        </w:rPr>
        <w:t>و اگر بين حَكَمين اختلاف شد در جايى كه اتّفاق لازم است، دو حَكَم ديگر مى فرستند تا اتفاق بر امر واحد نمايند</w:t>
      </w:r>
      <w:r>
        <w:rPr>
          <w:rFonts w:eastAsia="IRNazanin" w:cs="IRNazanin"/>
          <w:color w:val="111111"/>
          <w:sz w:val="28"/>
          <w:szCs w:val="28"/>
          <w:rtl w:val="true"/>
          <w:lang w:bidi="fa-IR"/>
        </w:rPr>
        <w:t>.</w:t>
      </w:r>
    </w:p>
    <w:p>
      <w:pPr>
        <w:pStyle w:val="Heading4"/>
        <w:numPr>
          <w:ilvl w:val="3"/>
          <w:numId w:val="1"/>
        </w:numPr>
        <w:rPr/>
      </w:pPr>
      <w:bookmarkStart w:id="630" w:name="__RefHeading___Toc3807519_1067777946"/>
      <w:bookmarkStart w:id="631" w:name="_Toc272"/>
      <w:bookmarkEnd w:id="630"/>
      <w:r>
        <w:rPr>
          <w:rtl w:val="true"/>
        </w:rPr>
        <w:t>غيبت يا جنون يا اغماى زوجين يا يكى از آن دو</w:t>
      </w:r>
      <w:bookmarkEnd w:id="631"/>
    </w:p>
    <w:p>
      <w:pPr>
        <w:pStyle w:val="BookText"/>
        <w:rPr/>
      </w:pPr>
      <w:r>
        <w:rPr>
          <w:rFonts w:ascii="IRNazanin" w:hAnsi="IRNazanin" w:eastAsia="IRNazanin"/>
          <w:color w:val="111111"/>
          <w:sz w:val="28"/>
          <w:sz w:val="28"/>
          <w:szCs w:val="28"/>
          <w:rtl w:val="true"/>
          <w:lang w:bidi="fa-IR"/>
        </w:rPr>
        <w:t>بعد از بعث حَكَمين اگر غيبت كردند زوجين يا يكى از آنها، پس در توكيل نافذ است تصرف وكيل بر غايب و براى غايب با بقاى واقعى شقاق؛ و بنابر تحكيم، اقرب نفوذ است با بقاى شقاق واقعاً و جايز است با استصحاب آن ظاهراً؛ و در صورت خروج از تكليف به جنون يا اغماء، بلكه با سكوت طرف، مشكل است نفوذ حكم</w:t>
      </w:r>
      <w:r>
        <w:rPr>
          <w:rFonts w:eastAsia="IRNazanin" w:cs="IRNazanin"/>
          <w:color w:val="111111"/>
          <w:sz w:val="28"/>
          <w:szCs w:val="28"/>
          <w:rtl w:val="true"/>
          <w:lang w:bidi="fa-IR"/>
        </w:rPr>
        <w:t>.</w:t>
      </w:r>
    </w:p>
    <w:p>
      <w:pPr>
        <w:pStyle w:val="Heading4"/>
        <w:numPr>
          <w:ilvl w:val="3"/>
          <w:numId w:val="1"/>
        </w:numPr>
        <w:rPr/>
      </w:pPr>
      <w:bookmarkStart w:id="632" w:name="__RefHeading___Toc3807521_1067777946"/>
      <w:bookmarkStart w:id="633" w:name="_Toc273"/>
      <w:bookmarkEnd w:id="632"/>
      <w:r>
        <w:rPr>
          <w:rtl w:val="true"/>
        </w:rPr>
        <w:t>لزوم شروط حَكَمين</w:t>
      </w:r>
      <w:bookmarkEnd w:id="63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شروط حَكَمين بر زوجين اگر مخالف شرع نباشد لازم است؛ و اگر مخالف شرع باشد مثل شرط عدم تسرّى، باطل است، و در بطلان اصل حُكم در مطلق صور، </w:t>
      </w:r>
    </w:p>
    <w:p>
      <w:pPr>
        <w:pStyle w:val="BookText"/>
        <w:rPr/>
      </w:pPr>
      <w:r>
        <w:rPr>
          <w:rFonts w:ascii="IRNazanin" w:hAnsi="IRNazanin" w:eastAsia="IRNazanin"/>
          <w:color w:val="111111"/>
          <w:sz w:val="28"/>
          <w:sz w:val="28"/>
          <w:szCs w:val="28"/>
          <w:rtl w:val="true"/>
          <w:lang w:bidi="fa-IR"/>
        </w:rPr>
        <w:t>تأمل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حقوق مستحبه يا واجبۀ زوجه چيزى را منع كرد پس از آن بذل كرد مالى را براى خُلع، صحيح است خلع در صورت عدم صدق اكراه به اينكه مقصود بذل نباشد، يا آنكه اگر مقصود بود، اظهار به لفظ يا نحو آن نكرده بوده، بلكه به احتمال تخلّص از ظلم، حاضر به بذل شد، و حرمت ما قبل بذل، اقتضا ندارد حرمت بذل را تا ملتزم به حرمت بذل و صحّت خلع باشيم</w:t>
      </w:r>
      <w:r>
        <w:rPr>
          <w:rFonts w:eastAsia="IRNazanin" w:cs="IRNazanin"/>
          <w:color w:val="111111"/>
          <w:sz w:val="28"/>
          <w:szCs w:val="28"/>
          <w:rtl w:val="true"/>
          <w:lang w:bidi="fa-IR"/>
        </w:rPr>
        <w:t xml:space="preserve">. </w:t>
      </w:r>
      <w:bookmarkStart w:id="634" w:name="pg10265_89881"/>
    </w:p>
    <w:p>
      <w:pPr>
        <w:pStyle w:val="Heading3"/>
        <w:numPr>
          <w:ilvl w:val="2"/>
          <w:numId w:val="1"/>
        </w:numPr>
        <w:rPr/>
      </w:pPr>
      <w:bookmarkStart w:id="635" w:name="__RefHeading___Toc3807523_1067777946"/>
      <w:bookmarkStart w:id="636" w:name="_Toc274"/>
      <w:bookmarkEnd w:id="634"/>
      <w:bookmarkEnd w:id="635"/>
      <w:r>
        <w:rPr>
          <w:rtl w:val="true"/>
        </w:rPr>
        <w:t>فصل يازدهم احكام اولاد</w:t>
      </w:r>
      <w:bookmarkEnd w:id="636"/>
    </w:p>
    <w:p>
      <w:pPr>
        <w:pStyle w:val="Heading4"/>
        <w:numPr>
          <w:ilvl w:val="3"/>
          <w:numId w:val="1"/>
        </w:numPr>
        <w:rPr/>
      </w:pPr>
      <w:bookmarkStart w:id="637" w:name="__RefHeading___Toc3807525_1067777946"/>
      <w:bookmarkStart w:id="638" w:name="_Toc275"/>
      <w:bookmarkEnd w:id="637"/>
      <w:r>
        <w:rPr>
          <w:rtl w:val="true"/>
        </w:rPr>
        <w:t>اشاره</w:t>
      </w:r>
      <w:bookmarkEnd w:id="638"/>
    </w:p>
    <w:p>
      <w:pPr>
        <w:pStyle w:val="BookText"/>
        <w:rPr/>
      </w:pPr>
      <w:r>
        <w:rPr>
          <w:rFonts w:ascii="Amiri" w:hAnsi="Amiri" w:eastAsia="Amiri" w:cs="Amiri"/>
          <w:color w:val="111111"/>
          <w:sz w:val="28"/>
          <w:sz w:val="28"/>
          <w:szCs w:val="28"/>
          <w:rtl w:val="true"/>
          <w:lang w:bidi="ar-SA"/>
        </w:rPr>
        <w:t>از اولاد زوجات و موطوئات به ملك و موطوئات به شبهه</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3807527_1067777946"/>
      <w:bookmarkStart w:id="640" w:name="_Toc276"/>
      <w:bookmarkEnd w:id="639"/>
      <w:r>
        <w:rPr>
          <w:rtl w:val="true"/>
        </w:rPr>
        <w:t>ولد موطوئۀ به عقد دائم</w:t>
      </w:r>
      <w:bookmarkEnd w:id="640"/>
    </w:p>
    <w:p>
      <w:pPr>
        <w:pStyle w:val="Heading5"/>
        <w:numPr>
          <w:ilvl w:val="4"/>
          <w:numId w:val="1"/>
        </w:numPr>
        <w:rPr/>
      </w:pPr>
      <w:bookmarkStart w:id="641" w:name="__RefHeading___Toc3807529_1067777946"/>
      <w:bookmarkStart w:id="642" w:name="_Toc277"/>
      <w:bookmarkEnd w:id="641"/>
      <w:r>
        <w:rPr>
          <w:rtl w:val="true"/>
        </w:rPr>
        <w:t>شرايط الحاق اولاد به زوج در عقد دائم</w:t>
      </w:r>
      <w:bookmarkEnd w:id="642"/>
    </w:p>
    <w:p>
      <w:pPr>
        <w:pStyle w:val="BookText"/>
        <w:rPr/>
      </w:pPr>
      <w:r>
        <w:rPr>
          <w:rFonts w:ascii="IRNazanin" w:hAnsi="IRNazanin" w:eastAsia="IRNazanin"/>
          <w:color w:val="111111"/>
          <w:sz w:val="28"/>
          <w:sz w:val="28"/>
          <w:szCs w:val="28"/>
          <w:rtl w:val="true"/>
          <w:lang w:bidi="fa-IR"/>
        </w:rPr>
        <w:t xml:space="preserve">اما اولاد موطوئات به عقد دائم،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مى شوند به زوج به شروطى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دخول است به غيبوبت حشفه يا مقدار آن از مقطوع الحشفه، به نحوى كه ممكن باشد تولد از آن، چه در قُبل باشد يا در دُبر، با احتمال انزال اگر در حين جماع قطع به عدم داشته بوده</w:t>
      </w:r>
      <w:r>
        <w:rPr>
          <w:rFonts w:eastAsia="IRNazanin" w:cs="IRNazanin"/>
          <w:color w:val="111111"/>
          <w:sz w:val="28"/>
          <w:szCs w:val="28"/>
          <w:rtl w:val="true"/>
          <w:lang w:bidi="fa-IR"/>
        </w:rPr>
        <w:t>.</w:t>
      </w:r>
    </w:p>
    <w:p>
      <w:pPr>
        <w:pStyle w:val="Heading5"/>
        <w:numPr>
          <w:ilvl w:val="4"/>
          <w:numId w:val="1"/>
        </w:numPr>
        <w:rPr/>
      </w:pPr>
      <w:bookmarkStart w:id="643" w:name="__RefHeading___Toc3807531_1067777946"/>
      <w:bookmarkStart w:id="644" w:name="_Toc278"/>
      <w:bookmarkEnd w:id="643"/>
      <w:r>
        <w:rPr>
          <w:rtl w:val="true"/>
        </w:rPr>
        <w:t>گذشتن شش ماه هلالى</w:t>
      </w:r>
      <w:bookmarkEnd w:id="644"/>
    </w:p>
    <w:p>
      <w:pPr>
        <w:pStyle w:val="BookText"/>
        <w:rPr/>
      </w:pPr>
      <w:r>
        <w:rPr>
          <w:rFonts w:ascii="IRNazanin" w:hAnsi="IRNazanin" w:eastAsia="IRNazanin"/>
          <w:color w:val="111111"/>
          <w:sz w:val="28"/>
          <w:sz w:val="28"/>
          <w:szCs w:val="28"/>
          <w:rtl w:val="true"/>
          <w:lang w:bidi="fa-IR"/>
        </w:rPr>
        <w:t xml:space="preserve">و از آن جمله، گذشتن شش ماه هلالى يا عددى يا ملفق، از حين 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 اقليت مدت، الحاق به زوج نمى شود واقعاً؛ و اقرب اكتفاى در الحاق به احتمال مضىّ اين مدت از وطى است و احراز آن لازم نيست در حكم ظاهرى</w:t>
      </w:r>
      <w:r>
        <w:rPr>
          <w:rFonts w:eastAsia="IRNazanin" w:cs="IRNazanin"/>
          <w:color w:val="111111"/>
          <w:sz w:val="28"/>
          <w:szCs w:val="28"/>
          <w:rtl w:val="true"/>
          <w:lang w:bidi="fa-IR"/>
        </w:rPr>
        <w:t>.</w:t>
      </w:r>
    </w:p>
    <w:p>
      <w:pPr>
        <w:pStyle w:val="Heading5"/>
        <w:numPr>
          <w:ilvl w:val="4"/>
          <w:numId w:val="1"/>
        </w:numPr>
        <w:rPr/>
      </w:pPr>
      <w:bookmarkStart w:id="645" w:name="__RefHeading___Toc3807533_1067777946"/>
      <w:bookmarkStart w:id="646" w:name="_Toc279"/>
      <w:bookmarkEnd w:id="645"/>
      <w:r>
        <w:rPr>
          <w:rtl w:val="true"/>
        </w:rPr>
        <w:t>نگذشتن از اقصى مدت حمل</w:t>
      </w:r>
      <w:bookmarkEnd w:id="64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جمله، عدم تجاوز از اقصى مدت حمل است و آن نه ماه است بنا بر مشهور و مروىّ‌، و دور نيست غلبۀ آن، امارۀ نفى در زايد باشد اگر چه احتياط مناسب تا يك سال خوب است</w:t>
      </w:r>
      <w:r>
        <w:rPr>
          <w:rFonts w:eastAsia="IRNazanin" w:cs="IRNazanin"/>
          <w:color w:val="111111"/>
          <w:sz w:val="28"/>
          <w:szCs w:val="28"/>
          <w:rtl w:val="true"/>
          <w:lang w:bidi="fa-IR"/>
        </w:rPr>
        <w:t xml:space="preserve">. </w:t>
      </w:r>
      <w:bookmarkStart w:id="647" w:name="pg10265_89882"/>
    </w:p>
    <w:p>
      <w:pPr>
        <w:pStyle w:val="BookText"/>
        <w:rPr/>
      </w:pPr>
      <w:bookmarkEnd w:id="647"/>
      <w:r>
        <w:rPr>
          <w:rFonts w:ascii="IRNazanin" w:hAnsi="IRNazanin" w:eastAsia="IRNazanin"/>
          <w:color w:val="111111"/>
          <w:sz w:val="28"/>
          <w:sz w:val="28"/>
          <w:szCs w:val="28"/>
          <w:rtl w:val="true"/>
          <w:lang w:bidi="fa-IR"/>
        </w:rPr>
        <w:t>و با عدم دخول، الحاق به زوج نيست واقعاً؛ و دور نيست حكم ظاهرى به لحوق با عدم علم به عدم دخول و با احتمال دخول اگر چه بدون التفات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متولد شد از كمتر از شش ماه و كامل بود و زنده بود، ملحق نمى شود به زوج، چنانچه معلوم شد؛ و اگر زنده بود و ممكن بود به حسب عادت تولد از وطى زوج، ملحق مى شود به زوج و احكام اولاد او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 كفايت احتمال در اين مقام و در مقام تجاوز از اقصى مدت حمل كه احتمال كافى است در حكم ظاهرى</w:t>
      </w:r>
      <w:r>
        <w:rPr>
          <w:rFonts w:eastAsia="IRNazanin" w:cs="IRNazanin"/>
          <w:color w:val="111111"/>
          <w:sz w:val="28"/>
          <w:szCs w:val="28"/>
          <w:rtl w:val="true"/>
          <w:lang w:bidi="fa-IR"/>
        </w:rPr>
        <w:t>.</w:t>
      </w:r>
    </w:p>
    <w:p>
      <w:pPr>
        <w:pStyle w:val="Heading5"/>
        <w:numPr>
          <w:ilvl w:val="4"/>
          <w:numId w:val="1"/>
        </w:numPr>
        <w:rPr/>
      </w:pPr>
      <w:bookmarkStart w:id="648" w:name="__RefHeading___Toc3807535_1067777946"/>
      <w:bookmarkStart w:id="649" w:name="_Toc280"/>
      <w:bookmarkEnd w:id="648"/>
      <w:r>
        <w:rPr>
          <w:rtl w:val="true"/>
        </w:rPr>
        <w:t>نفى ولد</w:t>
      </w:r>
      <w:bookmarkEnd w:id="649"/>
    </w:p>
    <w:p>
      <w:pPr>
        <w:pStyle w:val="BookText"/>
        <w:rPr/>
      </w:pPr>
      <w:r>
        <w:rPr>
          <w:rFonts w:ascii="IRNazanin" w:hAnsi="IRNazanin" w:eastAsia="IRNazanin"/>
          <w:color w:val="111111"/>
          <w:sz w:val="28"/>
          <w:sz w:val="28"/>
          <w:szCs w:val="28"/>
          <w:rtl w:val="true"/>
          <w:lang w:bidi="fa-IR"/>
        </w:rPr>
        <w:t>و اگر طريقى براى نفى ولد به جهت انتفاى شرطى از شروط سابقه غير از توافق و تصادق زوجين نباشد، پس لحوق به آنها براى آنها ثابت نيست به جهت اقرار؛ و اما براى ولد، پس تابع موازين حكم است؛ پس حاكم فعلاً يا بعد از كمال ولد و ادّعاى او لحوق را، ملاحظۀ وجود ميزان الحاق به فراش را نمود، حكم مى نمايد به آن؛ وگرنه حكم نمى نمايد به آن؛ پس فرق است بين الحاق براى زوجين و بر زوجين در احكام آنها</w:t>
      </w:r>
      <w:r>
        <w:rPr>
          <w:rFonts w:eastAsia="IRNazanin" w:cs="IRNazanin"/>
          <w:color w:val="111111"/>
          <w:sz w:val="28"/>
          <w:szCs w:val="28"/>
          <w:rtl w:val="true"/>
          <w:lang w:bidi="fa-IR"/>
        </w:rPr>
        <w:t>.</w:t>
      </w:r>
    </w:p>
    <w:p>
      <w:pPr>
        <w:pStyle w:val="Heading5"/>
        <w:numPr>
          <w:ilvl w:val="4"/>
          <w:numId w:val="1"/>
        </w:numPr>
        <w:rPr/>
      </w:pPr>
      <w:bookmarkStart w:id="650" w:name="__RefHeading___Toc3807537_1067777946"/>
      <w:bookmarkStart w:id="651" w:name="_Toc281"/>
      <w:bookmarkEnd w:id="650"/>
      <w:r>
        <w:rPr>
          <w:rtl w:val="true"/>
        </w:rPr>
        <w:t>الحاق به زوج در فرض امكان استناد</w:t>
      </w:r>
      <w:bookmarkEnd w:id="651"/>
    </w:p>
    <w:p>
      <w:pPr>
        <w:pStyle w:val="BookText"/>
        <w:rPr/>
      </w:pPr>
      <w:r>
        <w:rPr>
          <w:rFonts w:ascii="IRNazanin" w:hAnsi="IRNazanin" w:eastAsia="IRNazanin"/>
          <w:color w:val="111111"/>
          <w:sz w:val="28"/>
          <w:sz w:val="28"/>
          <w:szCs w:val="28"/>
          <w:rtl w:val="true"/>
          <w:lang w:bidi="fa-IR"/>
        </w:rPr>
        <w:t>اگر به زنا وطى شد و مع ذلك ممكن باشد لحوق به زوج، ملحق به فراش او مى شود نه به زانى، و از صاحب فراش منتفى نمى شود مگر با لعان با شروطش</w:t>
      </w:r>
      <w:r>
        <w:rPr>
          <w:rFonts w:eastAsia="IRNazanin" w:cs="IRNazanin"/>
          <w:color w:val="111111"/>
          <w:sz w:val="28"/>
          <w:szCs w:val="28"/>
          <w:rtl w:val="true"/>
          <w:lang w:bidi="fa-IR"/>
        </w:rPr>
        <w:t>.</w:t>
      </w:r>
    </w:p>
    <w:p>
      <w:pPr>
        <w:pStyle w:val="Heading5"/>
        <w:numPr>
          <w:ilvl w:val="4"/>
          <w:numId w:val="1"/>
        </w:numPr>
        <w:rPr/>
      </w:pPr>
      <w:bookmarkStart w:id="652" w:name="__RefHeading___Toc3807539_1067777946"/>
      <w:bookmarkStart w:id="653" w:name="_Toc282"/>
      <w:bookmarkEnd w:id="652"/>
      <w:r>
        <w:rPr>
          <w:rtl w:val="true"/>
        </w:rPr>
        <w:t>حكم الحاق اگر وطى غير زوج به شبهه باشد</w:t>
      </w:r>
      <w:bookmarkEnd w:id="65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وطى غير زوج به شبهه باشد، پس ملحق مى شود به آنكه واجد شروط لحوق به او است؛ و اگر هر دو واجد شدند، با قرعه تعيين مى شود؛ و اگر هيچ كدام واجد نبودند، به هيچ يك ملحق نمى شود، و عبرت، به تقدم وطى و تأخّر و شباهت صورت نيست</w:t>
      </w:r>
      <w:r>
        <w:rPr>
          <w:rFonts w:eastAsia="IRNazanin" w:cs="IRNazanin"/>
          <w:color w:val="111111"/>
          <w:sz w:val="28"/>
          <w:szCs w:val="28"/>
          <w:rtl w:val="true"/>
          <w:lang w:bidi="fa-IR"/>
        </w:rPr>
        <w:t xml:space="preserve">. </w:t>
      </w:r>
      <w:bookmarkStart w:id="654" w:name="pg10265_89883"/>
    </w:p>
    <w:p>
      <w:pPr>
        <w:pStyle w:val="Heading5"/>
        <w:numPr>
          <w:ilvl w:val="4"/>
          <w:numId w:val="1"/>
        </w:numPr>
        <w:rPr/>
      </w:pPr>
      <w:bookmarkStart w:id="655" w:name="__RefHeading___Toc3807541_1067777946"/>
      <w:bookmarkStart w:id="656" w:name="_Toc283"/>
      <w:bookmarkEnd w:id="654"/>
      <w:bookmarkEnd w:id="655"/>
      <w:r>
        <w:rPr>
          <w:rtl w:val="true"/>
        </w:rPr>
        <w:t>اختلاف بين طرفين</w:t>
      </w:r>
      <w:bookmarkEnd w:id="656"/>
    </w:p>
    <w:p>
      <w:pPr>
        <w:pStyle w:val="BookText"/>
        <w:rPr/>
      </w:pPr>
      <w:r>
        <w:rPr>
          <w:rFonts w:ascii="IRNazanin" w:hAnsi="IRNazanin" w:eastAsia="IRNazanin"/>
          <w:color w:val="111111"/>
          <w:sz w:val="28"/>
          <w:sz w:val="28"/>
          <w:szCs w:val="28"/>
          <w:rtl w:val="true"/>
          <w:lang w:bidi="fa-IR"/>
        </w:rPr>
        <w:t>و اگر اختلاف در دخول بود، قول زوج مقدم است؛ و در صورت تحقّق خلوت، گذشت اختلاف و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اختلاف در ولادت ولد بود و بيّنه نبود، قول زوج در انكار ولادت مقدم است؛ و اگر اختلاف در اصل لحوق ولد به صاحب فراش بود، قول مدعىِ لحوقْ مقدم است؛ و اگر لحوق را مستند به امرى كرد كه مقتضاى اصل عدم آن است، قول منكر آن سبب،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مدعاى زوج عدم تحقق شرط از حيث ادنى و اقصى بود با اتفاق در وطى، قول زوجهْ مقدم با يمين او و به فراش ملحق است در صورتى كه در مقابل آن احتمال فجور باشد، و در غير آن محتاج به تأمل است؛ و گذشت تعيين با قرعه در صورت تساوى در امكان لحوق به فراش و وطى به شبهه در حكم فعلى</w:t>
      </w:r>
      <w:r>
        <w:rPr>
          <w:rFonts w:eastAsia="IRNazanin" w:cs="IRNazanin"/>
          <w:color w:val="111111"/>
          <w:sz w:val="28"/>
          <w:szCs w:val="28"/>
          <w:rtl w:val="true"/>
          <w:lang w:bidi="fa-IR"/>
        </w:rPr>
        <w:t>.</w:t>
      </w:r>
    </w:p>
    <w:p>
      <w:pPr>
        <w:pStyle w:val="Heading5"/>
        <w:numPr>
          <w:ilvl w:val="4"/>
          <w:numId w:val="1"/>
        </w:numPr>
        <w:rPr/>
      </w:pPr>
      <w:bookmarkStart w:id="657" w:name="__RefHeading___Toc3807543_1067777946"/>
      <w:bookmarkStart w:id="658" w:name="_Toc284"/>
      <w:bookmarkEnd w:id="657"/>
      <w:r>
        <w:rPr>
          <w:rtl w:val="true"/>
        </w:rPr>
        <w:t>عدم جواز نفى ولد با تحقق شروط الحاق</w:t>
      </w:r>
      <w:bookmarkEnd w:id="658"/>
    </w:p>
    <w:p>
      <w:pPr>
        <w:pStyle w:val="BookText"/>
        <w:rPr/>
      </w:pPr>
      <w:r>
        <w:rPr>
          <w:rFonts w:ascii="IRNazanin" w:hAnsi="IRNazanin" w:eastAsia="IRNazanin"/>
          <w:color w:val="111111"/>
          <w:sz w:val="28"/>
          <w:sz w:val="28"/>
          <w:szCs w:val="28"/>
          <w:rtl w:val="true"/>
          <w:lang w:bidi="fa-IR"/>
        </w:rPr>
        <w:t xml:space="preserve">و گذشت آنكه با تحقق شروط، جايز نيست نفى ولد به سبب تهمت مادر يا يقين به فجور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تولد از وطى زوج، بلكه واجب است اقرار به او و به او ملحق است نه به غير او مگر در وطى به شبهۀ غير، و منتفى نمى شود به سبب نفى زوج مگر با لعان با شروطش</w:t>
      </w:r>
      <w:r>
        <w:rPr>
          <w:rFonts w:eastAsia="IRNazanin" w:cs="IRNazanin"/>
          <w:color w:val="111111"/>
          <w:sz w:val="28"/>
          <w:szCs w:val="28"/>
          <w:rtl w:val="true"/>
          <w:lang w:bidi="fa-IR"/>
        </w:rPr>
        <w:t>.</w:t>
      </w:r>
    </w:p>
    <w:p>
      <w:pPr>
        <w:pStyle w:val="Heading5"/>
        <w:numPr>
          <w:ilvl w:val="4"/>
          <w:numId w:val="1"/>
        </w:numPr>
        <w:rPr/>
      </w:pPr>
      <w:bookmarkStart w:id="659" w:name="__RefHeading___Toc3807545_1067777946"/>
      <w:bookmarkStart w:id="660" w:name="_Toc285"/>
      <w:bookmarkEnd w:id="659"/>
      <w:r>
        <w:rPr>
          <w:rtl w:val="true"/>
        </w:rPr>
        <w:t>تولد بعد از طلاق و عدّه و وطى ديگرى</w:t>
      </w:r>
      <w:bookmarkEnd w:id="660"/>
    </w:p>
    <w:p>
      <w:pPr>
        <w:pStyle w:val="BookText"/>
        <w:rPr/>
      </w:pPr>
      <w:r>
        <w:rPr>
          <w:rFonts w:ascii="IRNazanin" w:hAnsi="IRNazanin" w:eastAsia="IRNazanin"/>
          <w:color w:val="111111"/>
          <w:sz w:val="28"/>
          <w:sz w:val="28"/>
          <w:szCs w:val="28"/>
          <w:rtl w:val="true"/>
          <w:lang w:bidi="fa-IR"/>
        </w:rPr>
        <w:t>و اگر بعد از طلاق و عدّه، ولدى آورد بين اقصى و ادنى از وطى، ملحق به طلاق دهنده مى شود اگر چه ملحوق به زنا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عقدى يا شبهه، سبب وطى شد، پس با تساوى در امكان، تعيين با قرعه مى شود، يا رجحان براى دومى است در اين صورت؛ و با عدم امكان، از هر دو منتفى مى شود؛ و با امكان در يكى، ملحق به خصوص او است</w:t>
      </w:r>
      <w:r>
        <w:rPr>
          <w:rFonts w:eastAsia="IRNazanin" w:cs="IRNazanin"/>
          <w:color w:val="111111"/>
          <w:sz w:val="28"/>
          <w:szCs w:val="28"/>
          <w:rtl w:val="true"/>
          <w:lang w:bidi="fa-IR"/>
        </w:rPr>
        <w:t>.</w:t>
      </w:r>
    </w:p>
    <w:p>
      <w:pPr>
        <w:pStyle w:val="Heading5"/>
        <w:numPr>
          <w:ilvl w:val="4"/>
          <w:numId w:val="1"/>
        </w:numPr>
        <w:rPr/>
      </w:pPr>
      <w:bookmarkStart w:id="661" w:name="__RefHeading___Toc3807547_1067777946"/>
      <w:bookmarkStart w:id="662" w:name="_Toc286"/>
      <w:bookmarkEnd w:id="661"/>
      <w:r>
        <w:rPr>
          <w:rtl w:val="true"/>
        </w:rPr>
        <w:t>حكم ولد در صورت ازدواجِ بعد از حمل از زنا</w:t>
      </w:r>
      <w:bookmarkEnd w:id="66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زنا كرد با زنى حره يا كنيز، پس حمل منعقد و محقّق شد، پس از آن ازدواج </w:t>
      </w:r>
      <w:bookmarkStart w:id="663" w:name="pg10265_89884"/>
    </w:p>
    <w:p>
      <w:pPr>
        <w:pStyle w:val="BookText"/>
        <w:rPr/>
      </w:pPr>
      <w:bookmarkEnd w:id="663"/>
      <w:r>
        <w:rPr>
          <w:rFonts w:ascii="IRNazanin" w:hAnsi="IRNazanin" w:eastAsia="IRNazanin"/>
          <w:color w:val="111111"/>
          <w:sz w:val="28"/>
          <w:sz w:val="28"/>
          <w:szCs w:val="28"/>
          <w:rtl w:val="true"/>
          <w:lang w:bidi="fa-IR"/>
        </w:rPr>
        <w:t>نمود يا آنكه خريد او را، ملحق نمى شود به زوج يا مالك جديد بعد از انعقاد حمل در غير فراش و ملك به سبب ديگر؛ و مدار بر انعقاد در فراش است نه تولد در فراش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طلاق داد زن خود را، پس بعد از عده ازدواج كرد، يا آنكه فروخت امۀ خود را، پس وطى كرد مشترى او را، پس از آن ولدى آورد كمتر از شش ماه كامل از وطى دومى، آن ولد ملحق به اولى است؛ و اگر شش ماه كامل گذشته بود از وطى دومى، ولد، ملحق به دومى است كه فراش او فعلى است با امكان انعقاد از وطى او</w:t>
      </w:r>
      <w:r>
        <w:rPr>
          <w:rFonts w:eastAsia="IRNazanin" w:cs="IRNazanin"/>
          <w:color w:val="111111"/>
          <w:sz w:val="28"/>
          <w:szCs w:val="28"/>
          <w:rtl w:val="true"/>
          <w:lang w:bidi="fa-IR"/>
        </w:rPr>
        <w:t>.</w:t>
      </w:r>
    </w:p>
    <w:p>
      <w:pPr>
        <w:pStyle w:val="Heading4"/>
        <w:numPr>
          <w:ilvl w:val="3"/>
          <w:numId w:val="1"/>
        </w:numPr>
        <w:rPr/>
      </w:pPr>
      <w:bookmarkStart w:id="664" w:name="__RefHeading___Toc3807549_1067777946"/>
      <w:bookmarkStart w:id="665" w:name="_Toc287"/>
      <w:bookmarkEnd w:id="664"/>
      <w:r>
        <w:rPr>
          <w:rtl w:val="true"/>
        </w:rPr>
        <w:t>ولد موطوئۀ به ملك</w:t>
      </w:r>
      <w:bookmarkEnd w:id="665"/>
    </w:p>
    <w:p>
      <w:pPr>
        <w:pStyle w:val="BookText"/>
        <w:rPr/>
      </w:pPr>
      <w:r>
        <w:rPr>
          <w:rFonts w:ascii="IRNazanin" w:hAnsi="IRNazanin" w:eastAsia="IRNazanin"/>
          <w:color w:val="111111"/>
          <w:sz w:val="28"/>
          <w:sz w:val="28"/>
          <w:szCs w:val="28"/>
          <w:rtl w:val="true"/>
          <w:lang w:bidi="fa-IR"/>
        </w:rPr>
        <w:t>اگر وطى كرد امۀ خود را پس ولدى آورد با شروط زمانيۀ آن، لازم است بر او اقرار به آن ولد در صورتى كه امارۀ خلاف، ظاهر نباشد، لكن نفى ولد او محتاج به لعان نيست و ظاهراً منتفى مى شود به نفى او؛ و پس از آن اگر اقرار كرد، مأخوذ به اقرار خودش مى شود در آنچه بر او است، نه در آن چه براى او است كه مقتضاى جمع بين دو اقرار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دو نفر وطى كردند جاريه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ولدى آورد، ملحق به مالك جاريه مى شود؛ و زنا موجب لحوق نمى شود؛ و اگر يكى شبهه بود، پس با مساوات در شروط، با قرعه تعيين مى شود، چنانچه در نظيرش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منتقل شد امه به سوى موالى به ترتيب، با وطى همه به ترتيب، پس آورد ولدى را، ملحق مى شود به آخرين مولائى كه واجد شروط لحوق است مابين وطى او و ولادت ولد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شركا وطى كردند امۀ مشتركه را در يك طُهر يا دو طُهر بدون استبرا، با اذن ساير شركا يا بدون آن، با علم به حرمت يا جهل به آن، پس از آن ولدى متولد شد و همه ادّعا كردند او را يا ساكت شدند به سكوتى كه مفيد اثبات باشد با امكان لحوق </w:t>
      </w:r>
      <w:bookmarkStart w:id="666" w:name="pg10265_89885"/>
    </w:p>
    <w:p>
      <w:pPr>
        <w:pStyle w:val="BookText"/>
        <w:rPr/>
      </w:pPr>
      <w:bookmarkEnd w:id="666"/>
      <w:r>
        <w:rPr>
          <w:rFonts w:ascii="IRNazanin" w:hAnsi="IRNazanin" w:eastAsia="IRNazanin"/>
          <w:color w:val="111111"/>
          <w:sz w:val="28"/>
          <w:sz w:val="28"/>
          <w:szCs w:val="28"/>
          <w:rtl w:val="true"/>
          <w:lang w:bidi="fa-IR"/>
        </w:rPr>
        <w:t>به هر كدام، با قرعه تعيين مى شود آنكه ملحق به او است، و حصۀ ديگران را از مادر و قيمت ولد را روز تولد با حيات، غرامت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حكم مبنى بر آنچه ذكر شد در وطى امۀ مشتركه است بدون فرض ولادت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ترجيح مورد تحقق شبهه با وحدت، و ترجيح اقراع در بين آنها با تعدد، تأمل است، و اظهر عدم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يكى از آنها ادّعا كرد ولد را و ديگران نفى كردند، ملحق به مدّعى مى شود و حصص ديگران را به غرامت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جايز نيست نفى ولد مگر با علم به انتفاى او؛ و جايز نيست نفى به سبب عزل از مادر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مولى و زانى وطى كرد امه را، ملحق مى شود ولد به مولى در صورتى كه امارۀ ظنّيّه بر انتفاى از مولى نباشد؛ و هم چنين در زوج؛ وگرنه منسوب به مشهور، عدم ثبات لحوق و نفى لحوق است و اينكه توريث نمى شود، و وصيت براى او خوب است؛ و اقوى در هر دو، عدم اعتبار به ظنون است، مثل عدم شباهت به ابوين، و لحوق به فراش در هر دو صورت متعين است</w:t>
      </w:r>
      <w:r>
        <w:rPr>
          <w:rFonts w:eastAsia="IRNazanin" w:cs="IRNazanin"/>
          <w:color w:val="111111"/>
          <w:sz w:val="28"/>
          <w:szCs w:val="28"/>
          <w:rtl w:val="true"/>
          <w:lang w:bidi="fa-IR"/>
        </w:rPr>
        <w:t>.</w:t>
      </w:r>
    </w:p>
    <w:p>
      <w:pPr>
        <w:pStyle w:val="Heading4"/>
        <w:numPr>
          <w:ilvl w:val="3"/>
          <w:numId w:val="1"/>
        </w:numPr>
        <w:rPr/>
      </w:pPr>
      <w:bookmarkStart w:id="667" w:name="__RefHeading___Toc3807551_1067777946"/>
      <w:bookmarkStart w:id="668" w:name="_Toc288"/>
      <w:bookmarkEnd w:id="667"/>
      <w:r>
        <w:rPr>
          <w:rtl w:val="true"/>
        </w:rPr>
        <w:t>ولد موطوئۀ به شبهه</w:t>
      </w:r>
      <w:bookmarkEnd w:id="668"/>
    </w:p>
    <w:p>
      <w:pPr>
        <w:pStyle w:val="Heading5"/>
        <w:numPr>
          <w:ilvl w:val="4"/>
          <w:numId w:val="1"/>
        </w:numPr>
        <w:rPr/>
      </w:pPr>
      <w:bookmarkStart w:id="669" w:name="__RefHeading___Toc3807553_1067777946"/>
      <w:bookmarkStart w:id="670" w:name="_Toc289"/>
      <w:bookmarkEnd w:id="669"/>
      <w:r>
        <w:rPr>
          <w:rtl w:val="true"/>
        </w:rPr>
        <w:t>اشاره</w:t>
      </w:r>
      <w:bookmarkEnd w:id="670"/>
    </w:p>
    <w:p>
      <w:pPr>
        <w:pStyle w:val="BookText"/>
        <w:rPr/>
      </w:pPr>
      <w:r>
        <w:rPr>
          <w:rFonts w:ascii="IRNazanin" w:hAnsi="IRNazanin" w:eastAsia="IRNazanin"/>
          <w:color w:val="111111"/>
          <w:sz w:val="28"/>
          <w:sz w:val="28"/>
          <w:szCs w:val="28"/>
          <w:rtl w:val="true"/>
          <w:lang w:bidi="fa-IR"/>
        </w:rPr>
        <w:t>وطى به شبهه، مثل وطى صحيح است در لحوق نسب؛ و اگر از خصوص واطى، شبهه باشد، لحوق مختص به او است؛ و اگر از خصوص موطوئه، شبهه باشد، لحوق مختص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بين زوجۀ غير يا امۀ غير كه گمان كرده باشد زوجۀ خود يا امۀ خود است، نيست؛ لكن در امۀ غير، ضامن عقر و قيمت ولد در روز تولدش با حيات است</w:t>
      </w:r>
      <w:r>
        <w:rPr>
          <w:rFonts w:eastAsia="IRNazanin" w:cs="IRNazanin"/>
          <w:color w:val="111111"/>
          <w:sz w:val="28"/>
          <w:szCs w:val="28"/>
          <w:rtl w:val="true"/>
          <w:lang w:bidi="fa-IR"/>
        </w:rPr>
        <w:t>.</w:t>
      </w:r>
    </w:p>
    <w:p>
      <w:pPr>
        <w:pStyle w:val="Heading5"/>
        <w:numPr>
          <w:ilvl w:val="4"/>
          <w:numId w:val="1"/>
        </w:numPr>
        <w:rPr/>
      </w:pPr>
      <w:bookmarkStart w:id="671" w:name="__RefHeading___Toc3807555_1067777946"/>
      <w:bookmarkStart w:id="672" w:name="_Toc290"/>
      <w:bookmarkEnd w:id="671"/>
      <w:r>
        <w:rPr>
          <w:rtl w:val="true"/>
        </w:rPr>
        <w:t>تعدّد واطى به شبهه</w:t>
      </w:r>
      <w:bookmarkEnd w:id="67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دو وطى به شبهه قبل از ولادت باشد، با قرعه تعيين مى شود با مساوات در امكان لحوق؛ وگرنه به آنكه شرط امكان را واجد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عدم </w:t>
      </w:r>
      <w:bookmarkStart w:id="673" w:name="pg10265_89886"/>
    </w:p>
    <w:p>
      <w:pPr>
        <w:pStyle w:val="BookText"/>
        <w:rPr/>
      </w:pPr>
      <w:bookmarkEnd w:id="673"/>
      <w:r>
        <w:rPr>
          <w:rFonts w:ascii="IRNazanin" w:hAnsi="IRNazanin" w:eastAsia="IRNazanin"/>
          <w:color w:val="111111"/>
          <w:sz w:val="28"/>
          <w:sz w:val="28"/>
          <w:szCs w:val="28"/>
          <w:rtl w:val="true"/>
          <w:lang w:bidi="fa-IR"/>
        </w:rPr>
        <w:t>معرفت مقدم و مؤخر؛ و با معرفت او، ملحق به مؤخّر مى شود، چنانچه در ترتّب ملكيت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در تعدّد وطى شبهه با وطى به عقد صحيح چنانچه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 ترجيح به فعليّت 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زوال فراش شبهه به انقضاى عدۀ وطى به شبهه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زوج وطى كرد در اثناى اين عدۀ وطى به شبهه، زانى نيست اگر چه عاصى است؛ و آن هم فراش است و به او ملحق مى شود با وجدان شروط و عدم وجدان وطى به شبهه شروط لحوق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صلاحيت لحوق به هر دو بود، با قرعه تعيين مى شود؛ و با مرجّحات متقدمه، ترجيح داده مى شود در صورت تعدّد فراش و معلوم بودن سابق و لاحق</w:t>
      </w:r>
      <w:r>
        <w:rPr>
          <w:rFonts w:eastAsia="IRNazanin" w:cs="IRNazanin"/>
          <w:color w:val="111111"/>
          <w:sz w:val="28"/>
          <w:szCs w:val="28"/>
          <w:rtl w:val="true"/>
          <w:lang w:bidi="fa-IR"/>
        </w:rPr>
        <w:t>.</w:t>
      </w:r>
    </w:p>
    <w:p>
      <w:pPr>
        <w:pStyle w:val="Heading5"/>
        <w:numPr>
          <w:ilvl w:val="4"/>
          <w:numId w:val="1"/>
        </w:numPr>
        <w:rPr/>
      </w:pPr>
      <w:bookmarkStart w:id="674" w:name="__RefHeading___Toc3807557_1067777946"/>
      <w:bookmarkStart w:id="675" w:name="_Toc291"/>
      <w:bookmarkEnd w:id="674"/>
      <w:r>
        <w:rPr>
          <w:rtl w:val="true"/>
        </w:rPr>
        <w:t>ازدواج با اعتقاد شوهردار نبودن و حكم ولد</w:t>
      </w:r>
      <w:bookmarkEnd w:id="675"/>
    </w:p>
    <w:p>
      <w:pPr>
        <w:pStyle w:val="BookText"/>
        <w:rPr/>
      </w:pPr>
      <w:r>
        <w:rPr>
          <w:rFonts w:ascii="IRNazanin" w:hAnsi="IRNazanin" w:eastAsia="IRNazanin"/>
          <w:color w:val="111111"/>
          <w:sz w:val="28"/>
          <w:sz w:val="28"/>
          <w:szCs w:val="28"/>
          <w:rtl w:val="true"/>
          <w:lang w:bidi="fa-IR"/>
        </w:rPr>
        <w:t>اگر به اعتقاد خالى بودن از شوهرِ زنده ازدواج كرد و صاحب اولاد شد پس از آن معلوم شد حيات زوج، رد به اوّل مى شود بعد از عدۀ دومى، و اولاد، مال دومى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حكم جارى است در جميع موارد تحقق شبهه به هر سببى باشد</w:t>
      </w:r>
      <w:r>
        <w:rPr>
          <w:rFonts w:eastAsia="IRNazanin" w:cs="IRNazanin"/>
          <w:color w:val="111111"/>
          <w:sz w:val="28"/>
          <w:szCs w:val="28"/>
          <w:rtl w:val="true"/>
          <w:lang w:bidi="fa-IR"/>
        </w:rPr>
        <w:t>.</w:t>
      </w:r>
    </w:p>
    <w:p>
      <w:pPr>
        <w:pStyle w:val="Heading4"/>
        <w:numPr>
          <w:ilvl w:val="3"/>
          <w:numId w:val="1"/>
        </w:numPr>
        <w:rPr/>
      </w:pPr>
      <w:bookmarkStart w:id="676" w:name="__RefHeading___Toc3807559_1067777946"/>
      <w:bookmarkStart w:id="677" w:name="_Toc292"/>
      <w:bookmarkEnd w:id="676"/>
      <w:r>
        <w:rPr>
          <w:rtl w:val="true"/>
        </w:rPr>
        <w:t>آداب ولادت</w:t>
      </w:r>
      <w:bookmarkEnd w:id="677"/>
    </w:p>
    <w:p>
      <w:pPr>
        <w:pStyle w:val="Heading5"/>
        <w:numPr>
          <w:ilvl w:val="4"/>
          <w:numId w:val="1"/>
        </w:numPr>
        <w:rPr/>
      </w:pPr>
      <w:bookmarkStart w:id="678" w:name="__RefHeading___Toc3807561_1067777946"/>
      <w:bookmarkStart w:id="679" w:name="_Toc293"/>
      <w:bookmarkEnd w:id="678"/>
      <w:r>
        <w:rPr>
          <w:rtl w:val="true"/>
        </w:rPr>
        <w:t>رسيدگى به امور حامل</w:t>
      </w:r>
      <w:bookmarkEnd w:id="679"/>
    </w:p>
    <w:p>
      <w:pPr>
        <w:pStyle w:val="BookText"/>
        <w:rPr/>
      </w:pPr>
      <w:r>
        <w:rPr>
          <w:rFonts w:ascii="IRNazanin" w:hAnsi="IRNazanin" w:eastAsia="IRNazanin"/>
          <w:color w:val="111111"/>
          <w:sz w:val="28"/>
          <w:sz w:val="28"/>
          <w:szCs w:val="28"/>
          <w:rtl w:val="true"/>
          <w:lang w:bidi="fa-IR"/>
        </w:rPr>
        <w:t>از واجبات آداب ولادت، استقلال زنها به رسيدگى به امور حامل نزد ولادت است، و براى مردها جايز نيست مگر در صورت فقد زن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مذكوره مى تواند بلكه واجب است بر مردها رسيدگى به حاجت حامل نزد ولادت، و احوط تقديم محارم از مردها است؛ بلى تجاوز از مقدار ضرورت در نظر به عورت و لمس ساير بدن و سماع صوت بنابر قولى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 شوهر مى تواند رسيدگى نمايد به امور ولادت زن خودش اگر چه زنهاى ديگر باشند</w:t>
      </w:r>
      <w:r>
        <w:rPr>
          <w:rFonts w:eastAsia="IRNazanin" w:cs="IRNazanin"/>
          <w:color w:val="111111"/>
          <w:sz w:val="28"/>
          <w:szCs w:val="28"/>
          <w:rtl w:val="true"/>
          <w:lang w:bidi="fa-IR"/>
        </w:rPr>
        <w:t xml:space="preserve">. </w:t>
      </w:r>
      <w:bookmarkStart w:id="680" w:name="pg10265_89887"/>
    </w:p>
    <w:p>
      <w:pPr>
        <w:pStyle w:val="Heading5"/>
        <w:numPr>
          <w:ilvl w:val="4"/>
          <w:numId w:val="1"/>
        </w:numPr>
        <w:rPr/>
      </w:pPr>
      <w:bookmarkStart w:id="681" w:name="__RefHeading___Toc3807563_1067777946"/>
      <w:bookmarkStart w:id="682" w:name="_Toc294"/>
      <w:bookmarkEnd w:id="680"/>
      <w:bookmarkEnd w:id="681"/>
      <w:r>
        <w:rPr>
          <w:rtl w:val="true"/>
        </w:rPr>
        <w:t>آداب مستحبّۀ ولادت</w:t>
      </w:r>
      <w:bookmarkEnd w:id="682"/>
    </w:p>
    <w:p>
      <w:pPr>
        <w:pStyle w:val="BookText"/>
        <w:rPr/>
      </w:pPr>
      <w:r>
        <w:rPr>
          <w:rFonts w:ascii="IRNazanin" w:hAnsi="IRNazanin" w:eastAsia="IRNazanin"/>
          <w:color w:val="111111"/>
          <w:sz w:val="28"/>
          <w:sz w:val="28"/>
          <w:szCs w:val="28"/>
          <w:rtl w:val="true"/>
          <w:lang w:bidi="fa-IR"/>
        </w:rPr>
        <w:t>و آداب مستحبۀ ولادت چند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مولود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احتمال وجوب آن گذشت در اغسال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در گوش راست مولود و اقامه در گوش چپ او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تحنيك او با آب فرات و با تربت 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آب فرات نباشد، آبى ديگر؛ و با خرما و عسل هم مروى است، و جمع افضل است</w:t>
      </w:r>
      <w:r>
        <w:rPr>
          <w:rFonts w:eastAsia="IRNazanin" w:cs="IRNazanin"/>
          <w:color w:val="111111"/>
          <w:sz w:val="28"/>
          <w:szCs w:val="28"/>
          <w:rtl w:val="true"/>
          <w:lang w:bidi="fa-IR"/>
        </w:rPr>
        <w:t>.</w:t>
      </w:r>
    </w:p>
    <w:p>
      <w:pPr>
        <w:pStyle w:val="Heading5"/>
        <w:numPr>
          <w:ilvl w:val="4"/>
          <w:numId w:val="1"/>
        </w:numPr>
        <w:rPr/>
      </w:pPr>
      <w:bookmarkStart w:id="683" w:name="__RefHeading___Toc3807565_1067777946"/>
      <w:bookmarkStart w:id="684" w:name="_Toc295"/>
      <w:bookmarkEnd w:id="683"/>
      <w:r>
        <w:rPr>
          <w:rtl w:val="true"/>
        </w:rPr>
        <w:t>مستحبّات و مكروهات نام گذارى</w:t>
      </w:r>
      <w:bookmarkEnd w:id="684"/>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تسميه به اسماى عبوديّت و اسماى انبيا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مكروه است كه يكى از چهار اولاد، مسمّى به اسم سيد الانبياء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 در زنها به اسماى صالحات خصوصاً سيدۀ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كنيه اختيار نمايد براى اولاد تا ديگران كنيۀ بد اختيار نكنند براى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دور نيست استحباب تسميۀ حمل قبل از ولادت و حين ولادت حتى سقط و بعد از ولادت تا هفتم؛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تسميۀ غير معلوم، به مشتركات، و حين ولادت در ذَكَر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هفتم، پس از آن مى تواند تغيير بدهد يا باقى بدارد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مكروه است كنيه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دادن در صورتى كه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اسماى مكروهه هستند</w:t>
      </w:r>
      <w:r>
        <w:rPr>
          <w:rFonts w:eastAsia="Amiri" w:cs="Amiri" w:ascii="Amiri" w:hAnsi="Amiri"/>
          <w:color w:val="111111"/>
          <w:sz w:val="28"/>
          <w:szCs w:val="28"/>
          <w:rtl w:val="true"/>
          <w:lang w:bidi="ar-SA"/>
        </w:rPr>
        <w:t>.</w:t>
      </w:r>
    </w:p>
    <w:p>
      <w:pPr>
        <w:pStyle w:val="Heading5"/>
        <w:numPr>
          <w:ilvl w:val="4"/>
          <w:numId w:val="1"/>
        </w:numPr>
        <w:rPr/>
      </w:pPr>
      <w:bookmarkStart w:id="685" w:name="__RefHeading___Toc3807567_1067777946"/>
      <w:bookmarkStart w:id="686" w:name="_Toc296"/>
      <w:bookmarkEnd w:id="685"/>
      <w:r>
        <w:rPr>
          <w:rtl w:val="true"/>
        </w:rPr>
        <w:t>آداب روز هفتم ولادت</w:t>
      </w:r>
      <w:bookmarkEnd w:id="686"/>
    </w:p>
    <w:p>
      <w:pPr>
        <w:pStyle w:val="BookText"/>
        <w:rPr/>
      </w:pPr>
      <w:r>
        <w:rPr>
          <w:rFonts w:ascii="IRNazanin" w:hAnsi="IRNazanin" w:eastAsia="IRNazanin"/>
          <w:color w:val="111111"/>
          <w:sz w:val="28"/>
          <w:sz w:val="28"/>
          <w:szCs w:val="28"/>
          <w:rtl w:val="true"/>
          <w:lang w:bidi="fa-IR"/>
        </w:rPr>
        <w:t>و آداب روز هفتم،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ختان و سوراخ كردن گوش و عقيقه</w:t>
      </w:r>
      <w:r>
        <w:rPr>
          <w:rFonts w:eastAsia="IRNazanin" w:cs="IRNazanin"/>
          <w:color w:val="111111"/>
          <w:sz w:val="28"/>
          <w:szCs w:val="28"/>
          <w:rtl w:val="true"/>
          <w:lang w:bidi="fa-IR"/>
        </w:rPr>
        <w:t>.</w:t>
      </w:r>
    </w:p>
    <w:p>
      <w:pPr>
        <w:pStyle w:val="Heading5"/>
        <w:numPr>
          <w:ilvl w:val="4"/>
          <w:numId w:val="1"/>
        </w:numPr>
        <w:rPr/>
      </w:pPr>
      <w:bookmarkStart w:id="687" w:name="__RefHeading___Toc3807569_1067777946"/>
      <w:bookmarkStart w:id="688" w:name="_Toc297"/>
      <w:bookmarkEnd w:id="687"/>
      <w:r>
        <w:rPr>
          <w:rtl w:val="true"/>
        </w:rPr>
        <w:t>حلق</w:t>
      </w:r>
      <w:bookmarkEnd w:id="68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حلق در روز هفتم مستحب است براى ذكر و انثىٰ‌، و تقديم حلق بر عقيقه ايضاً افضل است، و تصدّق مى نمايد به وزن موى سر به نقره يا طلا</w:t>
      </w:r>
      <w:r>
        <w:rPr>
          <w:rFonts w:eastAsia="Amiri" w:cs="Amiri" w:ascii="Amiri" w:hAnsi="Amiri"/>
          <w:color w:val="111111"/>
          <w:sz w:val="28"/>
          <w:szCs w:val="28"/>
          <w:rtl w:val="true"/>
          <w:lang w:bidi="ar-SA"/>
        </w:rPr>
        <w:t xml:space="preserve">. </w:t>
      </w:r>
      <w:bookmarkStart w:id="689" w:name="pg10265_89888"/>
    </w:p>
    <w:p>
      <w:pPr>
        <w:pStyle w:val="Heading5"/>
        <w:numPr>
          <w:ilvl w:val="4"/>
          <w:numId w:val="1"/>
        </w:numPr>
        <w:rPr/>
      </w:pPr>
      <w:bookmarkStart w:id="690" w:name="__RefHeading___Toc3807571_1067777946"/>
      <w:bookmarkStart w:id="691" w:name="_Toc298"/>
      <w:bookmarkEnd w:id="689"/>
      <w:bookmarkEnd w:id="690"/>
      <w:r>
        <w:rPr>
          <w:rtl w:val="true"/>
        </w:rPr>
        <w:t>ختان و سوراخ نمودن گوش</w:t>
      </w:r>
      <w:bookmarkEnd w:id="691"/>
    </w:p>
    <w:p>
      <w:pPr>
        <w:pStyle w:val="BookText"/>
        <w:rPr/>
      </w:pPr>
      <w:r>
        <w:rPr>
          <w:rFonts w:ascii="IRNazanin" w:hAnsi="IRNazanin" w:eastAsia="IRNazanin"/>
          <w:color w:val="111111"/>
          <w:sz w:val="28"/>
          <w:sz w:val="28"/>
          <w:szCs w:val="28"/>
          <w:rtl w:val="true"/>
          <w:lang w:bidi="fa-IR"/>
        </w:rPr>
        <w:t>و ختان در روز هفتم افضل است از تاخيرش از اين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مستحب است بر ولى و واجب است بعد از بلوغ بر خود مولود بنابر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شرطيت آن براى نماز، منتفى به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عدم وجوب بر خنثاى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خفض دخترها در هفت سالگى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كافرى مسلمان شد و مختون نبود، واجب است بر او ختان خود اگر چه مُسنّ باشد؛ و زن اگر مسلمان شد، خفض بر استحباب خود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ثقب اُذُن بلكه اُذُنين مستحب است؛ و مروى تفضيل است در يمنى به اسفل و در يُسرى به اعلىٰ‌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نزد ختان، دعاى مأثور مستحب است</w:t>
      </w:r>
      <w:r>
        <w:rPr>
          <w:rFonts w:eastAsia="IRNazanin" w:cs="IRNazanin"/>
          <w:color w:val="111111"/>
          <w:sz w:val="28"/>
          <w:szCs w:val="28"/>
          <w:rtl w:val="true"/>
          <w:lang w:bidi="fa-IR"/>
        </w:rPr>
        <w:t>.</w:t>
      </w:r>
    </w:p>
    <w:p>
      <w:pPr>
        <w:pStyle w:val="Heading5"/>
        <w:numPr>
          <w:ilvl w:val="4"/>
          <w:numId w:val="1"/>
        </w:numPr>
        <w:rPr/>
      </w:pPr>
      <w:bookmarkStart w:id="692" w:name="__RefHeading___Toc3807573_1067777946"/>
      <w:bookmarkStart w:id="693" w:name="_Toc299"/>
      <w:bookmarkEnd w:id="692"/>
      <w:r>
        <w:rPr>
          <w:rtl w:val="true"/>
        </w:rPr>
        <w:t>عقيقه</w:t>
      </w:r>
      <w:bookmarkEnd w:id="693"/>
    </w:p>
    <w:p>
      <w:pPr>
        <w:pStyle w:val="BookText"/>
        <w:rPr/>
      </w:pPr>
      <w:r>
        <w:rPr>
          <w:rFonts w:ascii="IRNazanin" w:hAnsi="IRNazanin" w:eastAsia="IRNazanin"/>
          <w:color w:val="111111"/>
          <w:sz w:val="28"/>
          <w:sz w:val="28"/>
          <w:szCs w:val="28"/>
          <w:rtl w:val="true"/>
          <w:lang w:bidi="fa-IR"/>
        </w:rPr>
        <w:t>و عقيقه مستحب است؛ و افضل آن است كه از ذَكَرْ ذَكَر باشد آنچه ذبح مى شود، و از انثىٰ انثىٰ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تأديۀ مستحب، به غير نيز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اظهر عدم وجوب عقيقه است؛ و دور نيست استحباب تعدد ذبايح براى عقيقۀ يك مولود؛ و تصدّق به ثَمَن آن مُجزى از سنت نيست؛ و اگر متعذر شد، تأخير مى شود تا زمان تمكّن از نفس ذبح عقيقه اگر چه به عقيقۀ از خودش در زمان پيرى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مستحب است كه شروط اضحيه در عقيقه جمع شود، مثل اينكه سالم از عيوب و سمينه باشد، و بدون اين شروط هم مجزى است و اداى سنت عقيقه مى شود</w:t>
      </w:r>
      <w:r>
        <w:rPr>
          <w:rFonts w:eastAsia="Amiri" w:cs="Amiri" w:ascii="Amiri" w:hAnsi="Amiri"/>
          <w:color w:val="111111"/>
          <w:sz w:val="28"/>
          <w:szCs w:val="28"/>
          <w:rtl w:val="true"/>
          <w:lang w:bidi="ar-SA"/>
        </w:rPr>
        <w:t>.</w:t>
      </w:r>
    </w:p>
    <w:p>
      <w:pPr>
        <w:pStyle w:val="Heading5"/>
        <w:numPr>
          <w:ilvl w:val="4"/>
          <w:numId w:val="1"/>
        </w:numPr>
        <w:rPr/>
      </w:pPr>
      <w:bookmarkStart w:id="694" w:name="__RefHeading___Toc3807575_1067777946"/>
      <w:bookmarkStart w:id="695" w:name="_Toc300"/>
      <w:bookmarkEnd w:id="694"/>
      <w:r>
        <w:rPr>
          <w:rtl w:val="true"/>
        </w:rPr>
        <w:t>اختصاصات قابله از عقيقه</w:t>
      </w:r>
      <w:bookmarkEnd w:id="69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مستحب است تخصيص قابله به رِجل و ورك، و به ثلث يا ربع؛ و افضل جمع </w:t>
      </w:r>
      <w:bookmarkStart w:id="696" w:name="pg10265_89889"/>
    </w:p>
    <w:p>
      <w:pPr>
        <w:pStyle w:val="BookText"/>
        <w:rPr/>
      </w:pPr>
      <w:bookmarkEnd w:id="696"/>
      <w:r>
        <w:rPr>
          <w:rFonts w:ascii="IRNazanin" w:hAnsi="IRNazanin" w:eastAsia="IRNazanin"/>
          <w:color w:val="111111"/>
          <w:sz w:val="28"/>
          <w:sz w:val="28"/>
          <w:szCs w:val="28"/>
          <w:rtl w:val="true"/>
          <w:lang w:bidi="fa-IR"/>
        </w:rPr>
        <w:t>است به اينكه ثلث را مثلاً از اين خصوصيّت اختيار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قابله نباشد، به مادر مولود مى دهند كه صدقه بدهد آن را يا اهدا نمايد به هر كه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قابله، يهوديه بود، ثَمَن آن قدر را به او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مادرِ پدر يا يكى از عيال شخص، قابله بود، حق اختصاصى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 عقيقه نكرد، مستحب است بعد از بلوغ، مولود از خودش عقيقه نمايد؛ و مجزى بودن عقيقۀ اجنبى، مثل اداى اجنبى دين را، محتمل است</w:t>
      </w:r>
      <w:r>
        <w:rPr>
          <w:rFonts w:eastAsia="IRNazanin" w:cs="IRNazanin"/>
          <w:color w:val="111111"/>
          <w:sz w:val="28"/>
          <w:szCs w:val="28"/>
          <w:rtl w:val="true"/>
          <w:lang w:bidi="fa-IR"/>
        </w:rPr>
        <w:t>.</w:t>
      </w:r>
    </w:p>
    <w:p>
      <w:pPr>
        <w:pStyle w:val="Heading5"/>
        <w:numPr>
          <w:ilvl w:val="4"/>
          <w:numId w:val="1"/>
        </w:numPr>
        <w:rPr/>
      </w:pPr>
      <w:bookmarkStart w:id="697" w:name="__RefHeading___Toc3807577_1067777946"/>
      <w:bookmarkStart w:id="698" w:name="_Toc301"/>
      <w:bookmarkEnd w:id="697"/>
      <w:r>
        <w:rPr>
          <w:rtl w:val="true"/>
        </w:rPr>
        <w:t>عقيقه در فرض فوت طفل</w:t>
      </w:r>
      <w:bookmarkEnd w:id="698"/>
    </w:p>
    <w:p>
      <w:pPr>
        <w:pStyle w:val="BookText"/>
        <w:rPr/>
      </w:pPr>
      <w:r>
        <w:rPr>
          <w:rFonts w:ascii="IRNazanin" w:hAnsi="IRNazanin" w:eastAsia="IRNazanin"/>
          <w:color w:val="111111"/>
          <w:sz w:val="28"/>
          <w:sz w:val="28"/>
          <w:szCs w:val="28"/>
          <w:rtl w:val="true"/>
          <w:lang w:bidi="fa-IR"/>
        </w:rPr>
        <w:t>اگر مولود، روز هفتم قبل از زوال وفات كرد، ساقط است استحباب يا شدت آن؛ و اگر بعد از زوال آن روز وفات كرد، ساقط نيست</w:t>
      </w:r>
      <w:r>
        <w:rPr>
          <w:rFonts w:eastAsia="IRNazanin" w:cs="IRNazanin"/>
          <w:color w:val="111111"/>
          <w:sz w:val="28"/>
          <w:szCs w:val="28"/>
          <w:rtl w:val="true"/>
          <w:lang w:bidi="fa-IR"/>
        </w:rPr>
        <w:t>.</w:t>
      </w:r>
    </w:p>
    <w:p>
      <w:pPr>
        <w:pStyle w:val="Heading5"/>
        <w:numPr>
          <w:ilvl w:val="4"/>
          <w:numId w:val="1"/>
        </w:numPr>
        <w:rPr/>
      </w:pPr>
      <w:bookmarkStart w:id="699" w:name="__RefHeading___Toc3807579_1067777946"/>
      <w:bookmarkStart w:id="700" w:name="_Toc302"/>
      <w:bookmarkEnd w:id="699"/>
      <w:r>
        <w:rPr>
          <w:rtl w:val="true"/>
        </w:rPr>
        <w:t>كراهت خوردن اهل خانه از عقيقه</w:t>
      </w:r>
      <w:bookmarkEnd w:id="700"/>
    </w:p>
    <w:p>
      <w:pPr>
        <w:pStyle w:val="BookText"/>
        <w:rPr/>
      </w:pPr>
      <w:r>
        <w:rPr>
          <w:rFonts w:ascii="Amiri" w:hAnsi="Amiri" w:eastAsia="Amiri" w:cs="Amiri"/>
          <w:color w:val="111111"/>
          <w:sz w:val="28"/>
          <w:sz w:val="28"/>
          <w:szCs w:val="28"/>
          <w:rtl w:val="true"/>
          <w:lang w:bidi="ar-SA"/>
        </w:rPr>
        <w:t>مكروه است براى والدين و آنكه از عيال آنها است كه از عقيقه اكل نمايند، و خوردن مادر مولود، كراهت آن اشدّ است</w:t>
      </w:r>
      <w:r>
        <w:rPr>
          <w:rFonts w:eastAsia="Amiri" w:cs="Amiri" w:ascii="Amiri" w:hAnsi="Amiri"/>
          <w:color w:val="111111"/>
          <w:sz w:val="28"/>
          <w:szCs w:val="28"/>
          <w:rtl w:val="true"/>
          <w:lang w:bidi="ar-SA"/>
        </w:rPr>
        <w:t>.</w:t>
      </w:r>
    </w:p>
    <w:p>
      <w:pPr>
        <w:pStyle w:val="Heading5"/>
        <w:numPr>
          <w:ilvl w:val="4"/>
          <w:numId w:val="1"/>
        </w:numPr>
        <w:rPr/>
      </w:pPr>
      <w:bookmarkStart w:id="701" w:name="__RefHeading___Toc3807581_1067777946"/>
      <w:bookmarkStart w:id="702" w:name="_Toc303"/>
      <w:bookmarkEnd w:id="701"/>
      <w:r>
        <w:rPr>
          <w:rtl w:val="true"/>
        </w:rPr>
        <w:t>كيفيّت مصرف عقيقه</w:t>
      </w:r>
      <w:bookmarkEnd w:id="702"/>
    </w:p>
    <w:p>
      <w:pPr>
        <w:pStyle w:val="BookText"/>
        <w:rPr/>
      </w:pPr>
      <w:r>
        <w:rPr>
          <w:rFonts w:ascii="Amiri" w:hAnsi="Amiri" w:eastAsia="Amiri" w:cs="Amiri"/>
          <w:color w:val="111111"/>
          <w:sz w:val="28"/>
          <w:sz w:val="28"/>
          <w:szCs w:val="28"/>
          <w:rtl w:val="true"/>
          <w:lang w:bidi="ar-SA"/>
        </w:rPr>
        <w:t>و ترتيب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طبخ و تقسيم به اهل ولايت است، يا تفريق 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طبخ، ملح و حبوب، اضافۀ آنها مستحب است؛ و دعوت عده اى مثل ده نفر يا بيشتر براى آن مستحب است از همسايه ها و غير؛ و شكستن استخوانها مكروه است يا آنكه خلاف مستحب است، بلكه اعضايش از هم جدا مى شود براى طبخ</w:t>
      </w:r>
      <w:r>
        <w:rPr>
          <w:rFonts w:eastAsia="Amiri" w:cs="Amiri" w:ascii="Amiri" w:hAnsi="Amiri"/>
          <w:color w:val="111111"/>
          <w:sz w:val="28"/>
          <w:szCs w:val="28"/>
          <w:rtl w:val="true"/>
          <w:lang w:bidi="ar-SA"/>
        </w:rPr>
        <w:t>.</w:t>
      </w:r>
    </w:p>
    <w:p>
      <w:pPr>
        <w:pStyle w:val="Heading4"/>
        <w:numPr>
          <w:ilvl w:val="3"/>
          <w:numId w:val="1"/>
        </w:numPr>
        <w:rPr/>
      </w:pPr>
      <w:bookmarkStart w:id="703" w:name="__RefHeading___Toc3807583_1067777946"/>
      <w:bookmarkStart w:id="704" w:name="_Toc304"/>
      <w:bookmarkEnd w:id="703"/>
      <w:r>
        <w:rPr>
          <w:rtl w:val="true"/>
        </w:rPr>
        <w:t>احكام شير دادن</w:t>
      </w:r>
      <w:bookmarkEnd w:id="704"/>
    </w:p>
    <w:p>
      <w:pPr>
        <w:pStyle w:val="Heading5"/>
        <w:numPr>
          <w:ilvl w:val="4"/>
          <w:numId w:val="1"/>
        </w:numPr>
        <w:rPr/>
      </w:pPr>
      <w:bookmarkStart w:id="705" w:name="__RefHeading___Toc3807585_1067777946"/>
      <w:bookmarkStart w:id="706" w:name="_Toc305"/>
      <w:bookmarkEnd w:id="705"/>
      <w:r>
        <w:rPr>
          <w:rtl w:val="true"/>
        </w:rPr>
        <w:t>عدم وجوب ارضاع بر اُم</w:t>
      </w:r>
      <w:bookmarkEnd w:id="706"/>
    </w:p>
    <w:p>
      <w:pPr>
        <w:pStyle w:val="BookText"/>
        <w:rPr/>
      </w:pPr>
      <w:r>
        <w:rPr>
          <w:rFonts w:ascii="IRNazanin" w:hAnsi="IRNazanin" w:eastAsia="IRNazanin"/>
          <w:color w:val="111111"/>
          <w:sz w:val="28"/>
          <w:sz w:val="28"/>
          <w:szCs w:val="28"/>
          <w:rtl w:val="true"/>
          <w:lang w:bidi="fa-IR"/>
        </w:rPr>
        <w:t>واجب نيست بر مادر، ارضاع مولود، و اجبار بر آن نمى شود مگر در صورت انحصار، كه هر كه ارضاع منحصر به او باشد واجب است ارضاع ولد با اجرت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چنين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متوقف شد حيات ولد بر آن، مطلقاً يا تا سه روز</w:t>
      </w:r>
      <w:r>
        <w:rPr>
          <w:rFonts w:eastAsia="IRNazanin" w:cs="IRNazanin"/>
          <w:color w:val="111111"/>
          <w:sz w:val="28"/>
          <w:szCs w:val="28"/>
          <w:rtl w:val="true"/>
          <w:lang w:bidi="fa-IR"/>
        </w:rPr>
        <w:t xml:space="preserve">. </w:t>
      </w:r>
      <w:bookmarkStart w:id="707" w:name="pg10265_89890"/>
    </w:p>
    <w:p>
      <w:pPr>
        <w:pStyle w:val="Heading5"/>
        <w:numPr>
          <w:ilvl w:val="4"/>
          <w:numId w:val="1"/>
        </w:numPr>
        <w:rPr/>
      </w:pPr>
      <w:bookmarkStart w:id="708" w:name="__RefHeading___Toc3807587_1067777946"/>
      <w:bookmarkStart w:id="709" w:name="_Toc306"/>
      <w:bookmarkEnd w:id="707"/>
      <w:bookmarkEnd w:id="708"/>
      <w:r>
        <w:rPr>
          <w:rtl w:val="true"/>
        </w:rPr>
        <w:t>مطالبۀ اجرت شير دادن</w:t>
      </w:r>
      <w:bookmarkEnd w:id="709"/>
    </w:p>
    <w:p>
      <w:pPr>
        <w:pStyle w:val="BookText"/>
        <w:rPr/>
      </w:pPr>
      <w:r>
        <w:rPr>
          <w:rFonts w:ascii="IRNazanin" w:hAnsi="IRNazanin" w:eastAsia="IRNazanin"/>
          <w:color w:val="111111"/>
          <w:sz w:val="28"/>
          <w:sz w:val="28"/>
          <w:szCs w:val="28"/>
          <w:rtl w:val="true"/>
          <w:lang w:bidi="fa-IR"/>
        </w:rPr>
        <w:t xml:space="preserve">و مى تواند مادر اجرت 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مولود اگر صاحب مال باشد، يا از پدر توانگر اگر ولد صاحب مال نباشد، مطالبه نمايد؛ و اگر پدر معسر است بر او تكليف نيست</w:t>
      </w:r>
      <w:r>
        <w:rPr>
          <w:rFonts w:eastAsia="IRNazanin" w:cs="IRNazanin"/>
          <w:color w:val="111111"/>
          <w:sz w:val="28"/>
          <w:szCs w:val="28"/>
          <w:rtl w:val="true"/>
          <w:lang w:bidi="fa-IR"/>
        </w:rPr>
        <w:t>.</w:t>
      </w:r>
    </w:p>
    <w:p>
      <w:pPr>
        <w:pStyle w:val="Heading5"/>
        <w:numPr>
          <w:ilvl w:val="4"/>
          <w:numId w:val="1"/>
        </w:numPr>
        <w:rPr/>
      </w:pPr>
      <w:bookmarkStart w:id="710" w:name="__RefHeading___Toc3807589_1067777946"/>
      <w:bookmarkStart w:id="711" w:name="_Toc307"/>
      <w:bookmarkEnd w:id="710"/>
      <w:r>
        <w:rPr>
          <w:rtl w:val="true"/>
        </w:rPr>
        <w:t>جواز استيجار نفس براى شير دادن</w:t>
      </w:r>
      <w:bookmarkEnd w:id="711"/>
    </w:p>
    <w:p>
      <w:pPr>
        <w:pStyle w:val="BookText"/>
        <w:rPr/>
      </w:pPr>
      <w:r>
        <w:rPr>
          <w:rFonts w:ascii="IRNazanin" w:hAnsi="IRNazanin" w:eastAsia="IRNazanin"/>
          <w:color w:val="111111"/>
          <w:sz w:val="28"/>
          <w:sz w:val="28"/>
          <w:szCs w:val="28"/>
          <w:rtl w:val="true"/>
          <w:lang w:bidi="fa-IR"/>
        </w:rPr>
        <w:t>و مى تواند استيجار نمايد زن خود را براى رضاع، چه آنكه بائن باشد به طلاق و نحو آن، يا در حبالۀ زوج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عقد اجاره مى تواند زن، خودش رضاع نمايد يا ديگرى را استخدام براى اين عمل يا استيجار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عقدى نباشد و بايد طفل نزد مادر باشد، مى تواند رضاع نمايد به اجرت، چه با مباشرت يا استيجار يا غير، و مستحق مطالبۀ اجرت از وصى است اگر پدر وفات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مولى مى تواند اجبار نمايد امۀ خود را بر رضاع ولد، اگر چه ولدِ غير امه و غير مولى باشد</w:t>
      </w:r>
      <w:r>
        <w:rPr>
          <w:rFonts w:eastAsia="IRNazanin" w:cs="IRNazanin"/>
          <w:color w:val="111111"/>
          <w:sz w:val="28"/>
          <w:szCs w:val="28"/>
          <w:rtl w:val="true"/>
          <w:lang w:bidi="fa-IR"/>
        </w:rPr>
        <w:t>.</w:t>
      </w:r>
    </w:p>
    <w:p>
      <w:pPr>
        <w:pStyle w:val="Heading5"/>
        <w:numPr>
          <w:ilvl w:val="4"/>
          <w:numId w:val="1"/>
        </w:numPr>
        <w:rPr/>
      </w:pPr>
      <w:bookmarkStart w:id="712" w:name="__RefHeading___Toc3807591_1067777946"/>
      <w:bookmarkStart w:id="713" w:name="_Toc308"/>
      <w:bookmarkEnd w:id="712"/>
      <w:r>
        <w:rPr>
          <w:rtl w:val="true"/>
        </w:rPr>
        <w:t>حد شير دادن</w:t>
      </w:r>
      <w:bookmarkEnd w:id="713"/>
    </w:p>
    <w:p>
      <w:pPr>
        <w:pStyle w:val="BookText"/>
        <w:rPr/>
      </w:pPr>
      <w:r>
        <w:rPr>
          <w:rFonts w:ascii="Amiri" w:hAnsi="Amiri" w:eastAsia="Amiri" w:cs="Amiri"/>
          <w:color w:val="111111"/>
          <w:sz w:val="28"/>
          <w:sz w:val="28"/>
          <w:szCs w:val="28"/>
          <w:rtl w:val="true"/>
          <w:lang w:bidi="ar-SA"/>
        </w:rPr>
        <w:t>و نهايت رضاع واجب، دو سال كامل است، و جايز است اقتصار بر بيست و يك 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نقص از اين مقدار بدون ضرورت، جَورِ محرَّم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جايز است زيادتى بر دو سال به يك يا دو ماه؛ و در ازيد از اين مقدار با صدق استغنا و عبث بودن ارتضاع، اشكال فضلۀ غير مأكول است نسبت به اين مرتضع</w:t>
      </w:r>
      <w:r>
        <w:rPr>
          <w:rFonts w:eastAsia="Amiri" w:cs="Amiri" w:ascii="Amiri" w:hAnsi="Amiri"/>
          <w:color w:val="111111"/>
          <w:sz w:val="28"/>
          <w:szCs w:val="28"/>
          <w:rtl w:val="true"/>
          <w:lang w:bidi="ar-SA"/>
        </w:rPr>
        <w:t>.</w:t>
      </w:r>
    </w:p>
    <w:p>
      <w:pPr>
        <w:pStyle w:val="Heading5"/>
        <w:numPr>
          <w:ilvl w:val="4"/>
          <w:numId w:val="1"/>
        </w:numPr>
        <w:rPr/>
      </w:pPr>
      <w:bookmarkStart w:id="714" w:name="__RefHeading___Toc3807593_1067777946"/>
      <w:bookmarkStart w:id="715" w:name="_Toc309"/>
      <w:bookmarkEnd w:id="714"/>
      <w:r>
        <w:rPr>
          <w:rtl w:val="true"/>
        </w:rPr>
        <w:t>استحقاق اجرت شير دادن در فرض عدم تبرّع</w:t>
      </w:r>
      <w:bookmarkEnd w:id="71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متصدى ارضاع صبىّ‌، مستحِقّ اجرتِ رضاعِ محقّق در حولين، بر كسى كه بر او واجب است ارضاع صبىّ‌، هست بدون احتياج به معامله، اگر متبرع يا به حكم آن نبوده؛ و مستحق اجرتِ رضاعِ زايد بر دو سال نيست در صورت تحقق آن، مگر با معاملۀ با ولى صبىّ يا مثل معامله، مگر در فرض احتياج صبىّ به زايد، بر خلاف متعارف، به نحوى كه از نفقۀ واجبه محسوب باشد</w:t>
      </w:r>
      <w:r>
        <w:rPr>
          <w:rFonts w:eastAsia="IRNazanin" w:cs="IRNazanin"/>
          <w:color w:val="111111"/>
          <w:sz w:val="28"/>
          <w:szCs w:val="28"/>
          <w:rtl w:val="true"/>
          <w:lang w:bidi="fa-IR"/>
        </w:rPr>
        <w:t xml:space="preserve">. </w:t>
      </w:r>
      <w:bookmarkStart w:id="716" w:name="pg10265_89891"/>
    </w:p>
    <w:p>
      <w:pPr>
        <w:pStyle w:val="BookText"/>
        <w:rPr/>
      </w:pPr>
      <w:bookmarkEnd w:id="716"/>
      <w:r>
        <w:rPr>
          <w:rFonts w:ascii="Amiri" w:hAnsi="Amiri" w:eastAsia="Amiri" w:cs="Amiri"/>
          <w:color w:val="111111"/>
          <w:sz w:val="28"/>
          <w:sz w:val="28"/>
          <w:szCs w:val="28"/>
          <w:rtl w:val="true"/>
          <w:lang w:bidi="ar-SA"/>
        </w:rPr>
        <w:t>و در استحقاق اجرت رضاعِ زايد بر بيست و يك ماه بدون موجب ضمان والد از قبيل اذن يا سكوت، تأمل است و مورد احتياط به صلح است</w:t>
      </w:r>
      <w:r>
        <w:rPr>
          <w:rFonts w:eastAsia="Amiri" w:cs="Amiri" w:ascii="Amiri" w:hAnsi="Amiri"/>
          <w:color w:val="111111"/>
          <w:sz w:val="28"/>
          <w:szCs w:val="28"/>
          <w:rtl w:val="true"/>
          <w:lang w:bidi="ar-SA"/>
        </w:rPr>
        <w:t>.</w:t>
      </w:r>
    </w:p>
    <w:p>
      <w:pPr>
        <w:pStyle w:val="Heading5"/>
        <w:numPr>
          <w:ilvl w:val="4"/>
          <w:numId w:val="1"/>
        </w:numPr>
        <w:rPr/>
      </w:pPr>
      <w:bookmarkStart w:id="717" w:name="__RefHeading___Toc3807595_1067777946"/>
      <w:bookmarkStart w:id="718" w:name="_Toc310"/>
      <w:bookmarkEnd w:id="717"/>
      <w:r>
        <w:rPr>
          <w:rtl w:val="true"/>
        </w:rPr>
        <w:t>تقدم اُم در رضاع و فرض استيجار</w:t>
      </w:r>
      <w:bookmarkEnd w:id="718"/>
    </w:p>
    <w:p>
      <w:pPr>
        <w:pStyle w:val="BookText"/>
        <w:rPr/>
      </w:pPr>
      <w:r>
        <w:rPr>
          <w:rFonts w:ascii="IRNazanin" w:hAnsi="IRNazanin" w:eastAsia="IRNazanin"/>
          <w:color w:val="111111"/>
          <w:sz w:val="28"/>
          <w:sz w:val="28"/>
          <w:szCs w:val="28"/>
          <w:rtl w:val="true"/>
          <w:lang w:bidi="fa-IR"/>
        </w:rPr>
        <w:t>و مادر طفل، احق به ارضاع ولد است اگر طالب زيادتى اجرت بر آنچه ديگرى حاضر است نباشد، وگرنه مى تواند والد، استيجار غيرِ مادر براى رضاع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با متبرعۀ اجنبيه كه با تبرّع، مادر مقدم است بر اجنبى؛ و با عدم تبرّعِ مادر، مى تواند پدر طفل را تسليم به متبرعه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عصيان كرد و تسليم والد براى استيجار به اقل يا دفع به متبرّعه نكرد، اظهر سقوط حق مادر است نسبت به زايد از اجرت ديگرى و نسبت به اصل اجرت در صورت تبرّع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نزاع در وجود متبرعه كردند، اظهر تقدم قول مادر است تا آنكه والد اثبات نمايد وجود متبرعه يا راضى به اقل را، چه آنكه قبل از اتمام رضاع باشد يا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ارضاع صبىّ به لبن مادرش، و با مساوات در ساير خصوصيات، مادر بودن 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براى مرضعه كه از دو پستان شير بدهد به طفل، نه از خصوص يكى</w:t>
      </w:r>
      <w:r>
        <w:rPr>
          <w:rFonts w:eastAsia="IRNazanin" w:cs="IRNazanin"/>
          <w:color w:val="111111"/>
          <w:sz w:val="28"/>
          <w:szCs w:val="28"/>
          <w:rtl w:val="true"/>
          <w:lang w:bidi="fa-IR"/>
        </w:rPr>
        <w:t>.</w:t>
      </w:r>
    </w:p>
    <w:p>
      <w:pPr>
        <w:pStyle w:val="Heading4"/>
        <w:numPr>
          <w:ilvl w:val="3"/>
          <w:numId w:val="1"/>
        </w:numPr>
        <w:rPr/>
      </w:pPr>
      <w:bookmarkStart w:id="719" w:name="__RefHeading___Toc3807597_1067777946"/>
      <w:bookmarkStart w:id="720" w:name="_Toc311"/>
      <w:bookmarkEnd w:id="719"/>
      <w:r>
        <w:rPr>
          <w:rtl w:val="true"/>
        </w:rPr>
        <w:t>حضانت</w:t>
      </w:r>
      <w:bookmarkEnd w:id="720"/>
    </w:p>
    <w:p>
      <w:pPr>
        <w:pStyle w:val="Heading5"/>
        <w:numPr>
          <w:ilvl w:val="4"/>
          <w:numId w:val="1"/>
        </w:numPr>
        <w:rPr/>
      </w:pPr>
      <w:bookmarkStart w:id="721" w:name="__RefHeading___Toc3807599_1067777946"/>
      <w:bookmarkStart w:id="722" w:name="_Toc312"/>
      <w:bookmarkEnd w:id="721"/>
      <w:r>
        <w:rPr>
          <w:rtl w:val="true"/>
        </w:rPr>
        <w:t>حضانت مادر و شرايط آن</w:t>
      </w:r>
      <w:bookmarkEnd w:id="722"/>
    </w:p>
    <w:p>
      <w:pPr>
        <w:pStyle w:val="BookText"/>
        <w:rPr/>
      </w:pPr>
      <w:r>
        <w:rPr>
          <w:rFonts w:ascii="IRNazanin" w:hAnsi="IRNazanin" w:eastAsia="IRNazanin"/>
          <w:color w:val="111111"/>
          <w:sz w:val="28"/>
          <w:sz w:val="28"/>
          <w:szCs w:val="28"/>
          <w:rtl w:val="true"/>
          <w:lang w:bidi="fa-IR"/>
        </w:rPr>
        <w:t xml:space="preserve">حضانت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حق حافظيت ولد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مادر ثابت است و او احق است به حضانت ولد در مدت رضاع كه دو سال است، چه پسر باشد و چه دختر، در صورتى كه مادر ارضاع كند ولد را؛ و در غير اين صورت خلاف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معتبر است در احقيت مادر به حضانت ولد، اينكه حرّه و مسلمه و عاقله و غير متزوّجه به غير والد طفل باشد</w:t>
      </w:r>
      <w:r>
        <w:rPr>
          <w:rFonts w:eastAsia="Amiri" w:cs="Amiri" w:ascii="Amiri" w:hAnsi="Amiri"/>
          <w:color w:val="111111"/>
          <w:sz w:val="28"/>
          <w:szCs w:val="28"/>
          <w:rtl w:val="true"/>
          <w:lang w:bidi="ar-SA"/>
        </w:rPr>
        <w:t xml:space="preserve">. </w:t>
      </w:r>
      <w:bookmarkStart w:id="723" w:name="pg10265_89892"/>
    </w:p>
    <w:p>
      <w:pPr>
        <w:pStyle w:val="BookText"/>
        <w:rPr/>
      </w:pPr>
      <w:bookmarkEnd w:id="723"/>
      <w:r>
        <w:rPr>
          <w:rFonts w:ascii="IRNazanin" w:hAnsi="IRNazanin" w:eastAsia="IRNazanin"/>
          <w:color w:val="111111"/>
          <w:sz w:val="28"/>
          <w:sz w:val="28"/>
          <w:szCs w:val="28"/>
          <w:rtl w:val="true"/>
          <w:lang w:bidi="fa-IR"/>
        </w:rPr>
        <w:t>و فرقى بين اقسام مملوكه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مبعّضه، مانعى از ثبوت حق حضانت در نوبت مهايات مادر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مادر مملوكه است، حضانت حق پدر 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ولد مبعّض بود، حضانت او در نصف مثلاً با مولىٰ و در نصف ديگر با مادر و آنكه در صورت حريت حق حضانت داشت مى شود</w:t>
      </w:r>
      <w:r>
        <w:rPr>
          <w:rFonts w:eastAsia="IRNazanin" w:cs="IRNazanin"/>
          <w:color w:val="111111"/>
          <w:sz w:val="28"/>
          <w:szCs w:val="28"/>
          <w:rtl w:val="true"/>
          <w:lang w:bidi="fa-IR"/>
        </w:rPr>
        <w:t>.</w:t>
      </w:r>
    </w:p>
    <w:p>
      <w:pPr>
        <w:pStyle w:val="Heading5"/>
        <w:numPr>
          <w:ilvl w:val="4"/>
          <w:numId w:val="1"/>
        </w:numPr>
        <w:rPr/>
      </w:pPr>
      <w:bookmarkStart w:id="724" w:name="__RefHeading___Toc3807601_1067777946"/>
      <w:bookmarkStart w:id="725" w:name="_Toc313"/>
      <w:bookmarkEnd w:id="724"/>
      <w:r>
        <w:rPr>
          <w:rtl w:val="true"/>
        </w:rPr>
        <w:t>اختلاف در مهايات يا استيجار متصدى حضانت</w:t>
      </w:r>
      <w:bookmarkEnd w:id="725"/>
    </w:p>
    <w:p>
      <w:pPr>
        <w:pStyle w:val="BookText"/>
        <w:rPr/>
      </w:pPr>
      <w:r>
        <w:rPr>
          <w:rFonts w:ascii="IRNazanin" w:hAnsi="IRNazanin" w:eastAsia="IRNazanin"/>
          <w:color w:val="111111"/>
          <w:sz w:val="28"/>
          <w:sz w:val="28"/>
          <w:szCs w:val="28"/>
          <w:rtl w:val="true"/>
          <w:lang w:bidi="fa-IR"/>
        </w:rPr>
        <w:t>و اگر در مهايات يا استيجار متصدىِ حضانت، اختلاف شد بين دو صاحب حق، حاكم مداخله مى نمايد و استيجار مى نمايد متصدى را به نظر خودش، و مؤونه را بر هر كه ثابت است از سيّد و آنكه واجب است بر او با اداى مال ايجاب مى نمايد اگر چه نظرش به تنصيف اجرت تعلق بگيرد</w:t>
      </w:r>
      <w:r>
        <w:rPr>
          <w:rFonts w:eastAsia="IRNazanin" w:cs="IRNazanin"/>
          <w:color w:val="111111"/>
          <w:sz w:val="28"/>
          <w:szCs w:val="28"/>
          <w:rtl w:val="true"/>
          <w:lang w:bidi="fa-IR"/>
        </w:rPr>
        <w:t>.</w:t>
      </w:r>
    </w:p>
    <w:p>
      <w:pPr>
        <w:pStyle w:val="Heading5"/>
        <w:numPr>
          <w:ilvl w:val="4"/>
          <w:numId w:val="1"/>
        </w:numPr>
        <w:rPr/>
      </w:pPr>
      <w:bookmarkStart w:id="726" w:name="__RefHeading___Toc3807603_1067777946"/>
      <w:bookmarkStart w:id="727" w:name="_Toc314"/>
      <w:bookmarkEnd w:id="726"/>
      <w:r>
        <w:rPr>
          <w:rtl w:val="true"/>
        </w:rPr>
        <w:t>موارد سقوط حضانت اُم</w:t>
      </w:r>
      <w:bookmarkEnd w:id="727"/>
    </w:p>
    <w:p>
      <w:pPr>
        <w:pStyle w:val="BookText"/>
        <w:rPr/>
      </w:pPr>
      <w:r>
        <w:rPr>
          <w:rFonts w:ascii="IRNazanin" w:hAnsi="IRNazanin" w:eastAsia="IRNazanin"/>
          <w:color w:val="111111"/>
          <w:sz w:val="28"/>
          <w:sz w:val="28"/>
          <w:szCs w:val="28"/>
          <w:rtl w:val="true"/>
          <w:lang w:bidi="fa-IR"/>
        </w:rPr>
        <w:t>اگر ولد محكوم به اسلام باشد و مادر كافره باشد، حق حضانت ولد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محكوم به كفر باشد، تا فطام مانعى از حضانت كافره نيست؛ و پس از آن اگر امر مربوط به حاكم مسلمين بود، مى تواند ولدى را كه توصيف اسلام خود مى نمايد از كفار بگيرد و به مسلم حضانت او را احاله نمايد تا از خوف منحرف نمودن كفار مأمون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مجنونه اى كه مخوف است حضانت او ولد را، اهليت حضانت ندارد؛ و مجنونۀ ادوارى كه منظم است اوقات او، مانعى در حضانت او در وقت افاقه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مريض غير متمكن از حضانت به مباشرت و استنابت، ساقط است حضانت او مثل مجنونه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مريضه به مرض متعدى به طفل، به نظر طبيب ماهر، در صورت عدم امكان استنابه، حضانت ندارد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عدالت معتبر نيست در حضانت مادر، بلكه ظهور خيانت در حفظ كه خيلى نادر است، مانع است</w:t>
      </w:r>
      <w:r>
        <w:rPr>
          <w:rFonts w:eastAsia="Amiri" w:cs="Amiri" w:ascii="Amiri" w:hAnsi="Amiri"/>
          <w:color w:val="111111"/>
          <w:sz w:val="28"/>
          <w:szCs w:val="28"/>
          <w:rtl w:val="true"/>
          <w:lang w:bidi="ar-SA"/>
        </w:rPr>
        <w:t xml:space="preserve">. </w:t>
      </w:r>
      <w:bookmarkStart w:id="728" w:name="pg10265_89893"/>
    </w:p>
    <w:p>
      <w:pPr>
        <w:pStyle w:val="Heading5"/>
        <w:numPr>
          <w:ilvl w:val="4"/>
          <w:numId w:val="1"/>
        </w:numPr>
        <w:rPr/>
      </w:pPr>
      <w:bookmarkStart w:id="729" w:name="__RefHeading___Toc3807605_1067777946"/>
      <w:bookmarkStart w:id="730" w:name="_Toc315"/>
      <w:bookmarkEnd w:id="728"/>
      <w:bookmarkEnd w:id="729"/>
      <w:r>
        <w:rPr>
          <w:rtl w:val="true"/>
        </w:rPr>
        <w:t>مسقطيّت ازدواج جديد</w:t>
      </w:r>
      <w:bookmarkEnd w:id="730"/>
    </w:p>
    <w:p>
      <w:pPr>
        <w:pStyle w:val="BookText"/>
        <w:rPr/>
      </w:pPr>
      <w:r>
        <w:rPr>
          <w:rFonts w:ascii="IRNazanin" w:hAnsi="IRNazanin" w:eastAsia="IRNazanin"/>
          <w:color w:val="111111"/>
          <w:sz w:val="28"/>
          <w:sz w:val="28"/>
          <w:szCs w:val="28"/>
          <w:rtl w:val="true"/>
          <w:lang w:bidi="fa-IR"/>
        </w:rPr>
        <w:t>و هم چنين ازدواج جديد، مسقط حضانت مزوّجه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اقرب عود حضانت است به مجرد طلاق زوج ثانى، اگر چه رجعى باشد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نكرده است</w:t>
      </w:r>
      <w:r>
        <w:rPr>
          <w:rFonts w:eastAsia="IRNazanin" w:cs="IRNazanin"/>
          <w:color w:val="111111"/>
          <w:sz w:val="28"/>
          <w:szCs w:val="28"/>
          <w:rtl w:val="true"/>
          <w:lang w:bidi="fa-IR"/>
        </w:rPr>
        <w:t>.</w:t>
      </w:r>
    </w:p>
    <w:p>
      <w:pPr>
        <w:pStyle w:val="Heading5"/>
        <w:numPr>
          <w:ilvl w:val="4"/>
          <w:numId w:val="1"/>
        </w:numPr>
        <w:rPr/>
      </w:pPr>
      <w:bookmarkStart w:id="731" w:name="__RefHeading___Toc3807607_1067777946"/>
      <w:bookmarkStart w:id="732" w:name="_Toc316"/>
      <w:bookmarkEnd w:id="731"/>
      <w:r>
        <w:rPr>
          <w:rtl w:val="true"/>
        </w:rPr>
        <w:t>ميزان انتهاى حضانت</w:t>
      </w:r>
      <w:bookmarkEnd w:id="732"/>
    </w:p>
    <w:p>
      <w:pPr>
        <w:pStyle w:val="BookText"/>
        <w:rPr/>
      </w:pPr>
      <w:r>
        <w:rPr>
          <w:rFonts w:ascii="IRNazanin" w:hAnsi="IRNazanin" w:eastAsia="IRNazanin"/>
          <w:color w:val="111111"/>
          <w:sz w:val="28"/>
          <w:sz w:val="28"/>
          <w:szCs w:val="28"/>
          <w:rtl w:val="true"/>
          <w:lang w:bidi="fa-IR"/>
        </w:rPr>
        <w:t xml:space="preserve">و اعتبار در حضانت مادر به فطام خارجى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مدت آن كه دو سال است‌؟ اظهر دوّم است؛ و عدم فطام بعد از دو سال اثرى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فطام و مدت آن كه دو سال است، منتهاى حضانت پدر و مادر هفت سال است، و احوط اختصاص حضانت پسر در مدت مذكوره به پدر و حضانت دختر به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هفت سال، حق حضانت مربوط به پدر است؛ و هم چنين در صورت ازدواج زن به غير والد، حضانت او ساقط و مربوط به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حال حضانت هر يك از والدين، از زيارت ديگرى و مواصلت و اجتماع با ديگرى براى صله و دفع يا رفع عُسر و ضرر، مانع نمى شود، به فرستادن طفل يا آوردن ديگرى براى او، اگر چه در غير حال مرض و موت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خنثاى مشكل، ولايت در حولين براى امّ‌، مستصحب است تا هفت سال، و احوط رعايت رضاى والد است</w:t>
      </w:r>
      <w:r>
        <w:rPr>
          <w:rFonts w:eastAsia="Amiri" w:cs="Amiri" w:ascii="Amiri" w:hAnsi="Amiri"/>
          <w:color w:val="111111"/>
          <w:sz w:val="28"/>
          <w:szCs w:val="28"/>
          <w:rtl w:val="true"/>
          <w:lang w:bidi="ar-SA"/>
        </w:rPr>
        <w:t>.</w:t>
      </w:r>
    </w:p>
    <w:p>
      <w:pPr>
        <w:pStyle w:val="Heading5"/>
        <w:numPr>
          <w:ilvl w:val="4"/>
          <w:numId w:val="1"/>
        </w:numPr>
        <w:rPr/>
      </w:pPr>
      <w:bookmarkStart w:id="733" w:name="__RefHeading___Toc3807609_1067777946"/>
      <w:bookmarkStart w:id="734" w:name="_Toc317"/>
      <w:bookmarkEnd w:id="733"/>
      <w:r>
        <w:rPr>
          <w:rtl w:val="true"/>
        </w:rPr>
        <w:t>حق حضانت در صورت فوت والدين</w:t>
      </w:r>
      <w:bookmarkEnd w:id="734"/>
    </w:p>
    <w:p>
      <w:pPr>
        <w:pStyle w:val="BookText"/>
        <w:rPr/>
      </w:pPr>
      <w:r>
        <w:rPr>
          <w:rFonts w:ascii="IRNazanin" w:hAnsi="IRNazanin" w:eastAsia="IRNazanin"/>
          <w:color w:val="111111"/>
          <w:sz w:val="28"/>
          <w:sz w:val="28"/>
          <w:szCs w:val="28"/>
          <w:rtl w:val="true"/>
          <w:lang w:bidi="fa-IR"/>
        </w:rPr>
        <w:t>و هر كدام از پدر و مادر اگر وفات كردند اگر چه پدر قبل از وصول نوبت به او وفات كند، حضانت مخصوص ديگرى مى شود، نه سايرين از وصى ديگرى يا اقارب متوفّىٰ‌؛ و در صورت ازدواج مادر در مفروض از وفات پدر، تأمل است، و احوط رعايت رضاى صاحب حق كه متأخر است از اب و ام مى باشد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ابْ مملوك يا كافر بود، مادر حرّۀ مسلمه، احق به حضانت ولد است، چه ذكر باشد چه انثىٰ‌، حتى با ازدواج به غير والد</w:t>
      </w:r>
      <w:r>
        <w:rPr>
          <w:rFonts w:eastAsia="IRNazanin" w:cs="IRNazanin"/>
          <w:color w:val="111111"/>
          <w:sz w:val="28"/>
          <w:szCs w:val="28"/>
          <w:rtl w:val="true"/>
          <w:lang w:bidi="fa-IR"/>
        </w:rPr>
        <w:t xml:space="preserve">. </w:t>
      </w:r>
      <w:bookmarkStart w:id="735" w:name="pg10265_89894"/>
    </w:p>
    <w:p>
      <w:pPr>
        <w:pStyle w:val="Heading5"/>
        <w:numPr>
          <w:ilvl w:val="4"/>
          <w:numId w:val="1"/>
        </w:numPr>
        <w:rPr/>
      </w:pPr>
      <w:bookmarkStart w:id="736" w:name="__RefHeading___Toc3807611_1067777946"/>
      <w:bookmarkStart w:id="737" w:name="_Toc318"/>
      <w:bookmarkEnd w:id="735"/>
      <w:bookmarkEnd w:id="736"/>
      <w:r>
        <w:rPr>
          <w:rtl w:val="true"/>
        </w:rPr>
        <w:t>شرايط حضانت اب</w:t>
      </w:r>
      <w:bookmarkEnd w:id="737"/>
    </w:p>
    <w:p>
      <w:pPr>
        <w:pStyle w:val="BookText"/>
        <w:rPr/>
      </w:pPr>
      <w:r>
        <w:rPr>
          <w:rFonts w:ascii="IRNazanin" w:hAnsi="IRNazanin" w:eastAsia="IRNazanin"/>
          <w:color w:val="111111"/>
          <w:sz w:val="28"/>
          <w:sz w:val="28"/>
          <w:szCs w:val="28"/>
          <w:rtl w:val="true"/>
          <w:lang w:bidi="fa-IR"/>
        </w:rPr>
        <w:t>و معتبر است در حضانت اب، آنچه معتبر است در حضانت ام، غير از ازدواج، چنانچه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كدام از ابوين بعض شروط حضانت منتفى باشد، متعين مى شود حضانت براى ديگرى كه واجد شروط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اب مملوك، معتَق شد، حكم حر را در حضانت دارد؛ و هم چنين ساير شروط مفقوده اگر متجدد شد، مقتضىِ ولايت حضانت ثابت و ملاحظۀ معارض او بايد نمود</w:t>
      </w:r>
      <w:r>
        <w:rPr>
          <w:rFonts w:eastAsia="IRNazanin" w:cs="IRNazanin"/>
          <w:color w:val="111111"/>
          <w:sz w:val="28"/>
          <w:szCs w:val="28"/>
          <w:rtl w:val="true"/>
          <w:lang w:bidi="fa-IR"/>
        </w:rPr>
        <w:t>.</w:t>
      </w:r>
    </w:p>
    <w:p>
      <w:pPr>
        <w:pStyle w:val="Heading5"/>
        <w:numPr>
          <w:ilvl w:val="4"/>
          <w:numId w:val="1"/>
        </w:numPr>
        <w:rPr/>
      </w:pPr>
      <w:bookmarkStart w:id="738" w:name="__RefHeading___Toc3807613_1067777946"/>
      <w:bookmarkStart w:id="739" w:name="_Toc319"/>
      <w:bookmarkEnd w:id="738"/>
      <w:r>
        <w:rPr>
          <w:rtl w:val="true"/>
        </w:rPr>
        <w:t>مفقود شدن ابوين</w:t>
      </w:r>
      <w:bookmarkEnd w:id="739"/>
    </w:p>
    <w:p>
      <w:pPr>
        <w:pStyle w:val="BookText"/>
        <w:rPr/>
      </w:pPr>
      <w:r>
        <w:rPr>
          <w:rFonts w:ascii="IRNazanin" w:hAnsi="IRNazanin" w:eastAsia="IRNazanin"/>
          <w:color w:val="111111"/>
          <w:sz w:val="28"/>
          <w:sz w:val="28"/>
          <w:szCs w:val="28"/>
          <w:rtl w:val="true"/>
          <w:lang w:bidi="fa-IR"/>
        </w:rPr>
        <w:t xml:space="preserve">اگر ابوين مفقود شدند، حضانت بين اب و ام از طريق پدر 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نحوى كه براى ابوين در صورت وجود ايشان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بنابر اظهر، و احتياط، در رعايت رضايت جدّ ابى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مفقود شد ابوين در بالا به نحو مذكور، حضانت براى اقرب به ولد است؛ و تعيين آن به اقرب در مراتب ارث، خالى از 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وارث خاص نباشد، استحقاق و وجوب كفايى براى مسلمين است، و حاكم از بيت المال متصدى، يا عدول مؤمنين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استثناى مخصوص از قاعدۀ اقربيت در ارث، منتفى است در اين مقام، و ذكَر و انثى در يك درجه فرقى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تعدّد صاحب حق، با قرعه يا تراضى، تعيين مى شود</w:t>
      </w:r>
      <w:r>
        <w:rPr>
          <w:rFonts w:eastAsia="Amiri" w:cs="Amiri" w:ascii="Amiri" w:hAnsi="Amiri"/>
          <w:color w:val="111111"/>
          <w:sz w:val="28"/>
          <w:szCs w:val="28"/>
          <w:rtl w:val="true"/>
          <w:lang w:bidi="ar-SA"/>
        </w:rPr>
        <w:t>.</w:t>
      </w:r>
    </w:p>
    <w:p>
      <w:pPr>
        <w:pStyle w:val="Heading5"/>
        <w:numPr>
          <w:ilvl w:val="4"/>
          <w:numId w:val="1"/>
        </w:numPr>
        <w:rPr/>
      </w:pPr>
      <w:bookmarkStart w:id="740" w:name="__RefHeading___Toc3807615_1067777946"/>
      <w:bookmarkStart w:id="741" w:name="_Toc320"/>
      <w:bookmarkEnd w:id="740"/>
      <w:r>
        <w:rPr>
          <w:rtl w:val="true"/>
        </w:rPr>
        <w:t>عدم حضانت بعد از بلوغ</w:t>
      </w:r>
      <w:bookmarkEnd w:id="741"/>
    </w:p>
    <w:p>
      <w:pPr>
        <w:pStyle w:val="BookText"/>
        <w:rPr/>
      </w:pPr>
      <w:r>
        <w:rPr>
          <w:rFonts w:ascii="Amiri" w:hAnsi="Amiri" w:eastAsia="Amiri" w:cs="Amiri"/>
          <w:color w:val="111111"/>
          <w:sz w:val="28"/>
          <w:sz w:val="28"/>
          <w:szCs w:val="28"/>
          <w:rtl w:val="true"/>
          <w:lang w:bidi="ar-SA"/>
        </w:rPr>
        <w:t>و بعد از بلوغ ولد، حضانت او براى كسى ثابت نيست</w:t>
      </w:r>
      <w:r>
        <w:rPr>
          <w:rFonts w:eastAsia="Amiri" w:cs="Amiri" w:ascii="Amiri" w:hAnsi="Amiri"/>
          <w:color w:val="111111"/>
          <w:sz w:val="28"/>
          <w:szCs w:val="28"/>
          <w:rtl w:val="true"/>
          <w:lang w:bidi="ar-SA"/>
        </w:rPr>
        <w:t>.</w:t>
      </w:r>
    </w:p>
    <w:p>
      <w:pPr>
        <w:pStyle w:val="Heading5"/>
        <w:numPr>
          <w:ilvl w:val="4"/>
          <w:numId w:val="1"/>
        </w:numPr>
        <w:rPr/>
      </w:pPr>
      <w:bookmarkStart w:id="742" w:name="__RefHeading___Toc3807617_1067777946"/>
      <w:bookmarkStart w:id="743" w:name="_Toc321"/>
      <w:bookmarkEnd w:id="742"/>
      <w:r>
        <w:rPr>
          <w:rtl w:val="true"/>
        </w:rPr>
        <w:t>وجوب و عدم وجوب حق حضانت، بر غير والدين</w:t>
      </w:r>
      <w:bookmarkEnd w:id="74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حضانت، حق صاحب آن است؛ و در وجوب بر آن اگر چه غير اب باشد در </w:t>
      </w:r>
      <w:bookmarkStart w:id="744" w:name="pg10265_89895"/>
    </w:p>
    <w:p>
      <w:pPr>
        <w:pStyle w:val="BookText"/>
        <w:rPr/>
      </w:pPr>
      <w:bookmarkEnd w:id="744"/>
      <w:r>
        <w:rPr>
          <w:rFonts w:ascii="Amiri" w:hAnsi="Amiri" w:eastAsia="Amiri" w:cs="Amiri"/>
          <w:color w:val="111111"/>
          <w:sz w:val="28"/>
          <w:sz w:val="28"/>
          <w:szCs w:val="28"/>
          <w:rtl w:val="true"/>
          <w:lang w:bidi="ar-SA"/>
        </w:rPr>
        <w:t>صورتى كه تضييع نباشد، تأمل است؛ و در خصوص كسى كه انفاق بر او واجب است، وجوب و اجبار اقرب است، و اللّٰه العالم</w:t>
      </w:r>
      <w:r>
        <w:rPr>
          <w:rFonts w:eastAsia="Amiri" w:cs="Amiri" w:ascii="Amiri" w:hAnsi="Amiri"/>
          <w:color w:val="111111"/>
          <w:sz w:val="28"/>
          <w:szCs w:val="28"/>
          <w:rtl w:val="true"/>
          <w:lang w:bidi="ar-SA"/>
        </w:rPr>
        <w:t>.</w:t>
      </w:r>
    </w:p>
    <w:p>
      <w:pPr>
        <w:pStyle w:val="Heading5"/>
        <w:numPr>
          <w:ilvl w:val="4"/>
          <w:numId w:val="1"/>
        </w:numPr>
        <w:rPr/>
      </w:pPr>
      <w:bookmarkStart w:id="745" w:name="__RefHeading___Toc3807619_1067777946"/>
      <w:bookmarkStart w:id="746" w:name="_Toc322"/>
      <w:bookmarkEnd w:id="745"/>
      <w:r>
        <w:rPr>
          <w:rtl w:val="true"/>
        </w:rPr>
        <w:t>عود حضانت بعد از طلاق</w:t>
      </w:r>
      <w:bookmarkEnd w:id="74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طلاق داد و بينونت حاصل شد، پس از آن به عقد جديد برگشت به زوج اوّل، عود مى كند حضانت، چنانچه واضح است</w:t>
      </w:r>
      <w:r>
        <w:rPr>
          <w:rFonts w:eastAsia="IRNazanin" w:cs="IRNazanin"/>
          <w:color w:val="111111"/>
          <w:sz w:val="28"/>
          <w:szCs w:val="28"/>
          <w:rtl w:val="true"/>
          <w:lang w:bidi="fa-IR"/>
        </w:rPr>
        <w:t xml:space="preserve">. </w:t>
      </w:r>
      <w:bookmarkStart w:id="747" w:name="pg10265_89896"/>
    </w:p>
    <w:p>
      <w:pPr>
        <w:pStyle w:val="Heading3"/>
        <w:numPr>
          <w:ilvl w:val="2"/>
          <w:numId w:val="1"/>
        </w:numPr>
        <w:rPr/>
      </w:pPr>
      <w:bookmarkStart w:id="748" w:name="__RefHeading___Toc3807621_1067777946"/>
      <w:bookmarkStart w:id="749" w:name="_Toc323"/>
      <w:bookmarkEnd w:id="747"/>
      <w:bookmarkEnd w:id="748"/>
      <w:r>
        <w:rPr>
          <w:rtl w:val="true"/>
        </w:rPr>
        <w:t>فصل دوازدهم نفقات</w:t>
      </w:r>
      <w:bookmarkEnd w:id="749"/>
    </w:p>
    <w:p>
      <w:pPr>
        <w:pStyle w:val="Heading4"/>
        <w:numPr>
          <w:ilvl w:val="3"/>
          <w:numId w:val="1"/>
        </w:numPr>
        <w:rPr/>
      </w:pPr>
      <w:bookmarkStart w:id="750" w:name="__RefHeading___Toc3807623_1067777946"/>
      <w:bookmarkStart w:id="751" w:name="_Toc324"/>
      <w:bookmarkEnd w:id="750"/>
      <w:r>
        <w:rPr>
          <w:rtl w:val="true"/>
        </w:rPr>
        <w:t>اشاره</w:t>
      </w:r>
      <w:bookmarkEnd w:id="751"/>
    </w:p>
    <w:p>
      <w:pPr>
        <w:pStyle w:val="BookText"/>
        <w:rPr/>
      </w:pPr>
      <w:r>
        <w:rPr>
          <w:rFonts w:ascii="IRNazanin" w:hAnsi="IRNazanin" w:eastAsia="IRNazanin"/>
          <w:color w:val="111111"/>
          <w:sz w:val="28"/>
          <w:sz w:val="28"/>
          <w:szCs w:val="28"/>
          <w:rtl w:val="true"/>
          <w:lang w:bidi="fa-IR"/>
        </w:rPr>
        <w:t>كسى واجب النفقۀ شخص نمى شود مگر به زوجيّت يا قرابت يا مملوكيت</w:t>
      </w:r>
      <w:r>
        <w:rPr>
          <w:rFonts w:eastAsia="IRNazanin" w:cs="IRNazanin"/>
          <w:color w:val="111111"/>
          <w:sz w:val="28"/>
          <w:szCs w:val="28"/>
          <w:rtl w:val="true"/>
          <w:lang w:bidi="fa-IR"/>
        </w:rPr>
        <w:t>.</w:t>
      </w:r>
    </w:p>
    <w:p>
      <w:pPr>
        <w:pStyle w:val="Heading4"/>
        <w:numPr>
          <w:ilvl w:val="3"/>
          <w:numId w:val="1"/>
        </w:numPr>
        <w:rPr/>
      </w:pPr>
      <w:bookmarkStart w:id="752" w:name="__RefHeading___Toc3807625_1067777946"/>
      <w:bookmarkStart w:id="753" w:name="_Toc325"/>
      <w:bookmarkEnd w:id="752"/>
      <w:r>
        <w:rPr>
          <w:rtl w:val="true"/>
        </w:rPr>
        <w:t>نفقۀ زوجه</w:t>
      </w:r>
      <w:bookmarkEnd w:id="753"/>
    </w:p>
    <w:p>
      <w:pPr>
        <w:pStyle w:val="Heading5"/>
        <w:numPr>
          <w:ilvl w:val="4"/>
          <w:numId w:val="1"/>
        </w:numPr>
        <w:rPr/>
      </w:pPr>
      <w:bookmarkStart w:id="754" w:name="__RefHeading___Toc3807627_1067777946"/>
      <w:bookmarkStart w:id="755" w:name="_Toc326"/>
      <w:bookmarkEnd w:id="754"/>
      <w:r>
        <w:rPr>
          <w:rtl w:val="true"/>
        </w:rPr>
        <w:t>شرايط وجوب نفقۀ زوجه</w:t>
      </w:r>
      <w:bookmarkEnd w:id="755"/>
    </w:p>
    <w:p>
      <w:pPr>
        <w:pStyle w:val="BookText"/>
        <w:rPr/>
      </w:pPr>
      <w:r>
        <w:rPr>
          <w:rFonts w:ascii="IRNazanin" w:hAnsi="IRNazanin" w:eastAsia="IRNazanin"/>
          <w:color w:val="111111"/>
          <w:sz w:val="28"/>
          <w:sz w:val="28"/>
          <w:szCs w:val="28"/>
          <w:rtl w:val="true"/>
          <w:lang w:bidi="fa-IR"/>
        </w:rPr>
        <w:t>زوجه، واجب است نفقۀ او بر زوج در عقد دائم نه منقطع، و با تمكين تام از حيث وقت و مكان و وجوه استمتاع جايز، نه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نقص ساقط است تماماً يا بعضى از نفقه‌؟ محتاج به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تأمل در شرطيت تمكين يا مانعيت نشوز، كه به بعضى از ثمرات آن اشاره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تعالى</w:t>
      </w:r>
      <w:r>
        <w:rPr>
          <w:rFonts w:eastAsia="IRNazanin" w:cs="IRNazanin"/>
          <w:color w:val="111111"/>
          <w:sz w:val="28"/>
          <w:szCs w:val="28"/>
          <w:rtl w:val="true"/>
          <w:lang w:bidi="fa-IR"/>
        </w:rPr>
        <w:t>.</w:t>
      </w:r>
    </w:p>
    <w:p>
      <w:pPr>
        <w:pStyle w:val="Heading5"/>
        <w:numPr>
          <w:ilvl w:val="4"/>
          <w:numId w:val="1"/>
        </w:numPr>
        <w:rPr/>
      </w:pPr>
      <w:bookmarkStart w:id="756" w:name="__RefHeading___Toc3807629_1067777946"/>
      <w:bookmarkStart w:id="757" w:name="_Toc327"/>
      <w:bookmarkEnd w:id="756"/>
      <w:r>
        <w:rPr>
          <w:rtl w:val="true"/>
        </w:rPr>
        <w:t>نفقۀ صغيره</w:t>
      </w:r>
      <w:bookmarkEnd w:id="757"/>
    </w:p>
    <w:p>
      <w:pPr>
        <w:pStyle w:val="BookText"/>
        <w:rPr/>
      </w:pPr>
      <w:r>
        <w:rPr>
          <w:rFonts w:ascii="IRNazanin" w:hAnsi="IRNazanin" w:eastAsia="IRNazanin"/>
          <w:color w:val="111111"/>
          <w:sz w:val="28"/>
          <w:sz w:val="28"/>
          <w:szCs w:val="28"/>
          <w:rtl w:val="true"/>
          <w:lang w:bidi="fa-IR"/>
        </w:rPr>
        <w:t>صغيره كه قابل بعض استمتاعات است و تمكين نفس مى نمايد، واجب است نفقۀ او، اگر چه محرّم است وطى او و مانع است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وجوب نفقه بر ولى صغير تأمل است</w:t>
      </w:r>
      <w:r>
        <w:rPr>
          <w:rFonts w:eastAsia="IRNazanin" w:cs="IRNazanin"/>
          <w:color w:val="111111"/>
          <w:sz w:val="28"/>
          <w:szCs w:val="28"/>
          <w:rtl w:val="true"/>
          <w:lang w:bidi="fa-IR"/>
        </w:rPr>
        <w:t>.</w:t>
      </w:r>
    </w:p>
    <w:p>
      <w:pPr>
        <w:pStyle w:val="Heading5"/>
        <w:numPr>
          <w:ilvl w:val="4"/>
          <w:numId w:val="1"/>
        </w:numPr>
        <w:rPr/>
      </w:pPr>
      <w:bookmarkStart w:id="758" w:name="__RefHeading___Toc3807631_1067777946"/>
      <w:bookmarkStart w:id="759" w:name="_Toc328"/>
      <w:bookmarkEnd w:id="758"/>
      <w:r>
        <w:rPr>
          <w:rtl w:val="true"/>
        </w:rPr>
        <w:t>نفقۀ حائض و امثال آن</w:t>
      </w:r>
      <w:bookmarkEnd w:id="75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چنين واجب است نفقۀ حائض، و مريضۀ مرجوّ البرء، و رتقاء، و قرناء، و مسافره براى عذر شرعى يا با اذن زوج، چون ناشزه نيستند و مطيعه هستند؛ و هم </w:t>
      </w:r>
      <w:bookmarkStart w:id="760" w:name="pg10265_89897"/>
    </w:p>
    <w:p>
      <w:pPr>
        <w:pStyle w:val="BookText"/>
        <w:rPr/>
      </w:pPr>
      <w:bookmarkEnd w:id="760"/>
      <w:r>
        <w:rPr>
          <w:rFonts w:ascii="IRNazanin" w:hAnsi="IRNazanin" w:eastAsia="IRNazanin"/>
          <w:color w:val="111111"/>
          <w:sz w:val="28"/>
          <w:sz w:val="28"/>
          <w:szCs w:val="28"/>
          <w:rtl w:val="true"/>
          <w:lang w:bidi="fa-IR"/>
        </w:rPr>
        <w:t xml:space="preserve">چنين عدم تناسب زوجين به نحو مانع از وطى يا مضرّ به زوجه از حيث كبر و صغر و نحو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از وجوب نفقه نيست</w:t>
      </w:r>
      <w:r>
        <w:rPr>
          <w:rFonts w:eastAsia="IRNazanin" w:cs="IRNazanin"/>
          <w:color w:val="111111"/>
          <w:sz w:val="28"/>
          <w:szCs w:val="28"/>
          <w:rtl w:val="true"/>
          <w:lang w:bidi="fa-IR"/>
        </w:rPr>
        <w:t>].</w:t>
      </w:r>
    </w:p>
    <w:p>
      <w:pPr>
        <w:pStyle w:val="Heading5"/>
        <w:numPr>
          <w:ilvl w:val="4"/>
          <w:numId w:val="1"/>
        </w:numPr>
        <w:rPr/>
      </w:pPr>
      <w:bookmarkStart w:id="761" w:name="__RefHeading___Toc3807633_1067777946"/>
      <w:bookmarkStart w:id="762" w:name="_Toc329"/>
      <w:bookmarkEnd w:id="761"/>
      <w:r>
        <w:rPr>
          <w:rtl w:val="true"/>
        </w:rPr>
        <w:t>نفقه در عدّه و زمان حمل</w:t>
      </w:r>
      <w:bookmarkEnd w:id="762"/>
    </w:p>
    <w:p>
      <w:pPr>
        <w:pStyle w:val="BookText"/>
        <w:rPr/>
      </w:pPr>
      <w:r>
        <w:rPr>
          <w:rFonts w:ascii="Amiri" w:hAnsi="Amiri" w:eastAsia="Amiri" w:cs="Amiri"/>
          <w:color w:val="111111"/>
          <w:sz w:val="28"/>
          <w:sz w:val="28"/>
          <w:szCs w:val="28"/>
          <w:rtl w:val="true"/>
          <w:lang w:bidi="ar-SA"/>
        </w:rPr>
        <w:t>مطلّقۀ به طلاق رجعى تا عدّۀ او منقضى نشده، استحقاق نفقه دارد، به خلاف بائن، و فرقى بين حره و امه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عدۀ وطى شبهه كه مقدم بر عدۀ زوجيّت باشد، تأمل است در وجوب نفقه، بلكه اظهر عدم استحقاق است، به جهت عدم جواز رجوع در اين زمان خاص؛ و اگر دفع كرده، استرجاع مى نمايد اگر چه مدلّسه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تشخيص انقضاى عده از اظهارات او در عادتش مى شود با يمين او؛ وگرنه در متيقن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نفقه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زايد بر آن، پس مورد تعارض اصل و ظاهر است اگر غالبْ حدى غير متيقن باشد، و احوط صلح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 از اقراء، حامل بود و ولد ممكن بود لحوق او به زوج، عده به وضع او منقضى مى شود و نفقه بر زوج است، و الا بر زوج نيست، و نفقۀ ما بعد از اقراء، استرجاع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ادّعاى وطى غير، بعد از دو قرء بود، نفقۀ ما بعد آن استرجاع مى شود و بعد از اعتداد به قرء ثالث، نفقۀ قرء سوّم بر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ادّعاى وطى عقيب طلاق نمود، نفقۀ سه قُرء بعد از وضع بر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تقدير نفقۀ زمان حمل بر او نيست مگر با لحوق ولد در زمان قابل براى احتساب از 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حكم صورت تحقق حمل و عدم آن در آنچه مربوط به نفقۀ زوجه است در مطلقۀ رجعيه، فرقى ندارد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قريب در موطوئه به شبهه در نكاح ديگرى در زمان اعتداد از شبهه، وجوب نفقه است بر زوج اگر چه ممنوع از وطى است</w:t>
      </w:r>
      <w:r>
        <w:rPr>
          <w:rFonts w:eastAsia="IRNazanin" w:cs="IRNazanin"/>
          <w:color w:val="111111"/>
          <w:sz w:val="28"/>
          <w:szCs w:val="28"/>
          <w:rtl w:val="true"/>
          <w:lang w:bidi="fa-IR"/>
        </w:rPr>
        <w:t xml:space="preserve">. </w:t>
      </w:r>
      <w:bookmarkStart w:id="763" w:name="pg10265_89898"/>
    </w:p>
    <w:p>
      <w:pPr>
        <w:pStyle w:val="Heading5"/>
        <w:numPr>
          <w:ilvl w:val="4"/>
          <w:numId w:val="1"/>
        </w:numPr>
        <w:rPr/>
      </w:pPr>
      <w:bookmarkStart w:id="764" w:name="__RefHeading___Toc3807635_1067777946"/>
      <w:bookmarkStart w:id="765" w:name="_Toc330"/>
      <w:bookmarkEnd w:id="763"/>
      <w:bookmarkEnd w:id="764"/>
      <w:r>
        <w:rPr>
          <w:rtl w:val="true"/>
        </w:rPr>
        <w:t>عدم نفقه در عدّه بائن مگر حامل</w:t>
      </w:r>
      <w:bookmarkEnd w:id="765"/>
    </w:p>
    <w:p>
      <w:pPr>
        <w:pStyle w:val="BookText"/>
        <w:rPr/>
      </w:pPr>
      <w:r>
        <w:rPr>
          <w:rFonts w:ascii="IRNazanin" w:hAnsi="IRNazanin" w:eastAsia="IRNazanin"/>
          <w:color w:val="111111"/>
          <w:sz w:val="28"/>
          <w:sz w:val="28"/>
          <w:szCs w:val="28"/>
          <w:rtl w:val="true"/>
          <w:lang w:bidi="fa-IR"/>
        </w:rPr>
        <w:t>بائن به طلاق يا فسخ، استحقاق نفقه و سكنى ندارد؛ مگر آنكه مطلّقۀ بائن، حامل باشد كه تا وضع حمل انفاق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حامل بائن به فسخ، تأمل است مگر آنكه نفقه براى حمل باشد نه حامل</w:t>
      </w:r>
      <w:r>
        <w:rPr>
          <w:rFonts w:eastAsia="IRNazanin" w:cs="IRNazanin"/>
          <w:color w:val="111111"/>
          <w:sz w:val="28"/>
          <w:szCs w:val="28"/>
          <w:rtl w:val="true"/>
          <w:lang w:bidi="fa-IR"/>
        </w:rPr>
        <w:t>.</w:t>
      </w:r>
    </w:p>
    <w:p>
      <w:pPr>
        <w:pStyle w:val="Heading5"/>
        <w:numPr>
          <w:ilvl w:val="4"/>
          <w:numId w:val="1"/>
        </w:numPr>
        <w:rPr/>
      </w:pPr>
      <w:bookmarkStart w:id="766" w:name="__RefHeading___Toc3807637_1067777946"/>
      <w:bookmarkStart w:id="767" w:name="_Toc331"/>
      <w:bookmarkEnd w:id="766"/>
      <w:r>
        <w:rPr>
          <w:rtl w:val="true"/>
        </w:rPr>
        <w:t>ثمرات تفرقه بين ثبوت نفقه براى حامل يا حمل</w:t>
      </w:r>
      <w:bookmarkEnd w:id="767"/>
    </w:p>
    <w:p>
      <w:pPr>
        <w:pStyle w:val="BookText"/>
        <w:rPr/>
      </w:pPr>
      <w:r>
        <w:rPr>
          <w:rFonts w:ascii="Amiri" w:hAnsi="Amiri" w:eastAsia="Amiri" w:cs="Amiri"/>
          <w:color w:val="111111"/>
          <w:sz w:val="28"/>
          <w:sz w:val="28"/>
          <w:szCs w:val="28"/>
          <w:rtl w:val="true"/>
          <w:lang w:bidi="ar-SA"/>
        </w:rPr>
        <w:t>و در اين كه نفقه براى حامل يا حمل است، خلاف است و ثمراتى براى دو قول مذكور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آن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حرّ با امه با شرط رقّيت ولد از مالك امه، بنا بر صحّت اين شرط و تعقّب به طلاق بائن حامل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انفاق بر او تا بعد از عده، پس نفقۀ حمل قضا ندارد، مثل ساير اقارب، و نفقۀ زوجه حق مالى است و قضا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نشوز در حال طلاق يا بعد از آن، كه مطلّقه مثل زوجه است در دَوَران نفقه مدار عدم نشوز، به خلاف نفقۀ حمل؛ و اين ثمره محل تأمل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بعد از طلاق؛ پس نفقه ندارد حامل، به خلاف حمل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بودن ضمان نفقۀ ماضيه براى حامل، نه حمل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نفقه به موت زوج بنا بر ثانى، و ساقط نمى شود نفقۀ حامل به قولى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نفقه به ابراء بعد از طلوع فجر بنابر نفقۀ حامل، و عدم آن بنابر نفقۀ حمل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استرداد نفقۀ روز بعد از تسليم اگر ولد ميّت بود و خارج در اوّل روز بود بنابر نفقه حمل نه حامل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فطرۀ حامل بنابر اوّل، نه دوّم مگر به احتمالى</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عبد ازدواج كرد با حرّه يا امه و مولى شرط انفراد به رقّ ولد </w:t>
      </w:r>
      <w:bookmarkStart w:id="768" w:name="pg10265_89899"/>
    </w:p>
    <w:p>
      <w:pPr>
        <w:pStyle w:val="BookText"/>
        <w:rPr/>
      </w:pPr>
      <w:bookmarkEnd w:id="768"/>
      <w:r>
        <w:rPr>
          <w:rFonts w:ascii="IRNazanin" w:hAnsi="IRNazanin" w:eastAsia="IRNazanin"/>
          <w:color w:val="111111"/>
          <w:sz w:val="28"/>
          <w:sz w:val="28"/>
          <w:szCs w:val="28"/>
          <w:rtl w:val="true"/>
          <w:lang w:bidi="fa-IR"/>
        </w:rPr>
        <w:t>كرد، كه نفقۀ ولد چون مملوك است بر مولى است نه بر زوج، و نفقۀ حامل بر مولاى عبد يا بر زوج در كسب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احتياط در آثار مختصّه به نفقۀ زوجيّت يا قرابت ترك نشود؛ اگر چه اظهر سببيّت حمل است نه موضوعيّت براى انفاق واجب</w:t>
      </w:r>
      <w:r>
        <w:rPr>
          <w:rFonts w:eastAsia="IRNazanin" w:cs="IRNazanin"/>
          <w:color w:val="111111"/>
          <w:sz w:val="28"/>
          <w:szCs w:val="28"/>
          <w:rtl w:val="true"/>
          <w:lang w:bidi="fa-IR"/>
        </w:rPr>
        <w:t>.</w:t>
      </w:r>
    </w:p>
    <w:p>
      <w:pPr>
        <w:pStyle w:val="Heading5"/>
        <w:numPr>
          <w:ilvl w:val="4"/>
          <w:numId w:val="1"/>
        </w:numPr>
        <w:rPr/>
      </w:pPr>
      <w:bookmarkStart w:id="769" w:name="__RefHeading___Toc3807639_1067777946"/>
      <w:bookmarkStart w:id="770" w:name="_Toc332"/>
      <w:bookmarkEnd w:id="769"/>
      <w:r>
        <w:rPr>
          <w:rtl w:val="true"/>
        </w:rPr>
        <w:t>نفقۀ حاملى كه زوجش وفات نموده</w:t>
      </w:r>
      <w:bookmarkEnd w:id="770"/>
    </w:p>
    <w:p>
      <w:pPr>
        <w:pStyle w:val="BookText"/>
        <w:rPr/>
      </w:pPr>
      <w:r>
        <w:rPr>
          <w:rFonts w:ascii="IRNazanin" w:hAnsi="IRNazanin" w:eastAsia="IRNazanin"/>
          <w:color w:val="111111"/>
          <w:sz w:val="28"/>
          <w:sz w:val="28"/>
          <w:szCs w:val="28"/>
          <w:rtl w:val="true"/>
          <w:lang w:bidi="fa-IR"/>
        </w:rPr>
        <w:t>و در حاملى كه زوجش وفات كرده است، خلاف است، اظهر عدم استحقاق انفاق است از مالى كه محكوم به ارث است، پس از مال خود زوجه يا ميراث او يا ميراث تقديرى ولد بر او انفاق مى شود، نه از مال ميّت به نحو اداى حق دائن، اگر چه مستحب و احوط است براى ورثه انفاق قبل از وراثت و قسمت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زوجه دائميّه، استحقاق نفقه دارد، چه مسلمه باشد يا ذمّيه يا امۀ مزوّجه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وجوب انفاق بر امه است اگر مالك تسليم نكرد در روز، بنابر جواز ترك تسليم در غير شب؛ پس مثل مريضه و مسافره در مضيق و صائمه در واجب و حائض، واجب النفقه است چون غير ناشزه است؛ لكن جواز اين تقسيم بر مالك محل تأمل است</w:t>
      </w:r>
      <w:r>
        <w:rPr>
          <w:rFonts w:eastAsia="IRNazanin" w:cs="IRNazanin"/>
          <w:color w:val="111111"/>
          <w:sz w:val="28"/>
          <w:szCs w:val="28"/>
          <w:rtl w:val="true"/>
          <w:lang w:bidi="fa-IR"/>
        </w:rPr>
        <w:t>.</w:t>
      </w:r>
    </w:p>
    <w:p>
      <w:pPr>
        <w:pStyle w:val="Heading4"/>
        <w:numPr>
          <w:ilvl w:val="3"/>
          <w:numId w:val="1"/>
        </w:numPr>
        <w:rPr/>
      </w:pPr>
      <w:bookmarkStart w:id="771" w:name="__RefHeading___Toc3807641_1067777946"/>
      <w:bookmarkStart w:id="772" w:name="_Toc333"/>
      <w:bookmarkEnd w:id="771"/>
      <w:r>
        <w:rPr>
          <w:rtl w:val="true"/>
        </w:rPr>
        <w:t>مقدار نفقۀ زوجه</w:t>
      </w:r>
      <w:bookmarkEnd w:id="772"/>
    </w:p>
    <w:p>
      <w:pPr>
        <w:pStyle w:val="Heading5"/>
        <w:numPr>
          <w:ilvl w:val="4"/>
          <w:numId w:val="1"/>
        </w:numPr>
        <w:rPr/>
      </w:pPr>
      <w:bookmarkStart w:id="773" w:name="__RefHeading___Toc3807643_1067777946"/>
      <w:bookmarkStart w:id="774" w:name="_Toc334"/>
      <w:bookmarkEnd w:id="773"/>
      <w:r>
        <w:rPr>
          <w:rtl w:val="true"/>
        </w:rPr>
        <w:t>رعايت متعارف اهل بلد به حسب مرتبه</w:t>
      </w:r>
      <w:bookmarkEnd w:id="77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است اطعام زوجه، به حسب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احتياج او و ايصال او از جوع به شبع، و به حسب كيفيّت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معتاد اهل بلد از امثال زوجين به حسب شرافت و ضِعَت از حيث جو و گندم و اُرز و نحو اينها؛ و در ادام لازم هم ملاحظۀ عادت امثال زن يا ملاحظۀ حال زوجين در مقدار و كيفيّت جنس مى شود</w:t>
      </w:r>
      <w:r>
        <w:rPr>
          <w:rFonts w:eastAsia="IRNazanin" w:cs="IRNazanin"/>
          <w:color w:val="111111"/>
          <w:sz w:val="28"/>
          <w:szCs w:val="28"/>
          <w:rtl w:val="true"/>
          <w:lang w:bidi="fa-IR"/>
        </w:rPr>
        <w:t xml:space="preserve">. </w:t>
      </w:r>
      <w:bookmarkStart w:id="775" w:name="pg10265_89900"/>
    </w:p>
    <w:p>
      <w:pPr>
        <w:pStyle w:val="BookText"/>
        <w:rPr/>
      </w:pPr>
      <w:bookmarkEnd w:id="775"/>
      <w:r>
        <w:rPr>
          <w:rFonts w:ascii="IRNazanin" w:hAnsi="IRNazanin" w:eastAsia="IRNazanin"/>
          <w:color w:val="111111"/>
          <w:sz w:val="28"/>
          <w:sz w:val="28"/>
          <w:szCs w:val="28"/>
          <w:rtl w:val="true"/>
          <w:lang w:bidi="fa-IR"/>
        </w:rPr>
        <w:t>و واجب است پوشانيدن زوجه، در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سرما و گرما حافظ و از تكشف قبيح در عرف و شرع، مانع باشد؛ و در كيفيّت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مذكور در اطعام</w:t>
      </w:r>
      <w:r>
        <w:rPr>
          <w:rFonts w:eastAsia="IRNazanin" w:cs="IRNazanin"/>
          <w:color w:val="111111"/>
          <w:sz w:val="28"/>
          <w:szCs w:val="28"/>
          <w:rtl w:val="true"/>
          <w:lang w:bidi="fa-IR"/>
        </w:rPr>
        <w:t>.</w:t>
      </w:r>
    </w:p>
    <w:p>
      <w:pPr>
        <w:pStyle w:val="Heading5"/>
        <w:numPr>
          <w:ilvl w:val="4"/>
          <w:numId w:val="1"/>
        </w:numPr>
        <w:rPr/>
      </w:pPr>
      <w:bookmarkStart w:id="776" w:name="__RefHeading___Toc3807645_1067777946"/>
      <w:bookmarkStart w:id="777" w:name="_Toc335"/>
      <w:bookmarkEnd w:id="776"/>
      <w:r>
        <w:rPr>
          <w:rtl w:val="true"/>
        </w:rPr>
        <w:t>عدم قدرت زوج، بر نفقۀ لازمه</w:t>
      </w:r>
      <w:bookmarkEnd w:id="777"/>
    </w:p>
    <w:p>
      <w:pPr>
        <w:pStyle w:val="BookText"/>
        <w:rPr/>
      </w:pPr>
      <w:r>
        <w:rPr>
          <w:rFonts w:ascii="IRNazanin" w:hAnsi="IRNazanin" w:eastAsia="IRNazanin"/>
          <w:color w:val="111111"/>
          <w:sz w:val="28"/>
          <w:sz w:val="28"/>
          <w:szCs w:val="28"/>
          <w:rtl w:val="true"/>
          <w:lang w:bidi="fa-IR"/>
        </w:rPr>
        <w:t>و اگر مرتبۀ مناسبۀ لازمه، مقدور زوج نشد، پس اگر اكتفا نمود زوجه به مقدور زوج فعلاً، حال معلوم است؛ وگرنه آنچه مقدور است لازم است، و در دَين بودن غيرِ مقدور، تأمل است، منشأ آن آنچه ذكر شد از اعتبار حال زوجين در تشخيص حد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وقت نفقۀ واجبه آن را تسلّم كرد، مالك مى شود اگر چه آن را صرف در اكل ننمايد</w:t>
      </w:r>
      <w:r>
        <w:rPr>
          <w:rFonts w:eastAsia="IRNazanin" w:cs="IRNazanin"/>
          <w:color w:val="111111"/>
          <w:sz w:val="28"/>
          <w:szCs w:val="28"/>
          <w:rtl w:val="true"/>
          <w:lang w:bidi="fa-IR"/>
        </w:rPr>
        <w:t>.</w:t>
      </w:r>
    </w:p>
    <w:p>
      <w:pPr>
        <w:pStyle w:val="Heading5"/>
        <w:numPr>
          <w:ilvl w:val="4"/>
          <w:numId w:val="1"/>
        </w:numPr>
        <w:rPr/>
      </w:pPr>
      <w:bookmarkStart w:id="778" w:name="__RefHeading___Toc3807647_1067777946"/>
      <w:bookmarkStart w:id="779" w:name="_Toc336"/>
      <w:bookmarkEnd w:id="778"/>
      <w:r>
        <w:rPr>
          <w:rtl w:val="true"/>
        </w:rPr>
        <w:t>رعايت عادت امثال در لوازم زندگى</w:t>
      </w:r>
      <w:bookmarkEnd w:id="779"/>
    </w:p>
    <w:p>
      <w:pPr>
        <w:pStyle w:val="BookText"/>
        <w:rPr/>
      </w:pPr>
      <w:r>
        <w:rPr>
          <w:rFonts w:ascii="Amiri" w:hAnsi="Amiri" w:eastAsia="Amiri" w:cs="Amiri"/>
          <w:color w:val="111111"/>
          <w:sz w:val="28"/>
          <w:sz w:val="28"/>
          <w:szCs w:val="28"/>
          <w:rtl w:val="true"/>
          <w:lang w:bidi="ar-SA"/>
        </w:rPr>
        <w:t>و در فرش جلوس زن و خادمۀ او و وسايل رختخواب براى هر دو، ملاحظۀ عادت امثال و حال زوجين در مقدار و كيفيّت مى شود و با عرف و عادت امثال در بلد، تشخيص و تعيين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چنين در آلات طبخ، و ظروف تغذّى و شرب، به حسب كميّت و جنس و كيفيّت، ملاحظۀ عادت اهل بلد و عرف آنها مى شود به نحو متقدّم</w:t>
      </w:r>
      <w:r>
        <w:rPr>
          <w:rFonts w:eastAsia="IRNazanin" w:cs="IRNazanin"/>
          <w:color w:val="111111"/>
          <w:sz w:val="28"/>
          <w:szCs w:val="28"/>
          <w:rtl w:val="true"/>
          <w:lang w:bidi="fa-IR"/>
        </w:rPr>
        <w:t>.</w:t>
      </w:r>
    </w:p>
    <w:p>
      <w:pPr>
        <w:pStyle w:val="Heading5"/>
        <w:numPr>
          <w:ilvl w:val="4"/>
          <w:numId w:val="1"/>
        </w:numPr>
        <w:rPr/>
      </w:pPr>
      <w:bookmarkStart w:id="780" w:name="__RefHeading___Toc3807649_1067777946"/>
      <w:bookmarkStart w:id="781" w:name="_Toc337"/>
      <w:bookmarkEnd w:id="780"/>
      <w:r>
        <w:rPr>
          <w:rtl w:val="true"/>
        </w:rPr>
        <w:t>آنچه براى بقاى خود زن لازم است</w:t>
      </w:r>
      <w:bookmarkEnd w:id="781"/>
    </w:p>
    <w:p>
      <w:pPr>
        <w:pStyle w:val="BookText"/>
        <w:rPr/>
      </w:pPr>
      <w:r>
        <w:rPr>
          <w:rFonts w:ascii="IRNazanin" w:hAnsi="IRNazanin" w:eastAsia="IRNazanin"/>
          <w:color w:val="111111"/>
          <w:sz w:val="28"/>
          <w:sz w:val="28"/>
          <w:szCs w:val="28"/>
          <w:rtl w:val="true"/>
          <w:lang w:bidi="fa-IR"/>
        </w:rPr>
        <w:t>آلت تنظيفاتى كه شوهر مى خواهد بر او است؛ و آنچه براى بقاى خود زن لازم است مثل اجرت حمّام و حجامت و دواء لازم براى امراض، پس وجوب آنها بر زوج،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زوج است، منع زن از منفّرات مطلقاً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مسكن هم بايد مناسب زن باشد و لائق به حال هر دو باشد، چه استيجار يا استعاره يا تملك باشد</w:t>
      </w:r>
      <w:r>
        <w:rPr>
          <w:rFonts w:eastAsia="IRNazanin" w:cs="IRNazanin"/>
          <w:color w:val="111111"/>
          <w:sz w:val="28"/>
          <w:szCs w:val="28"/>
          <w:rtl w:val="true"/>
          <w:lang w:bidi="fa-IR"/>
        </w:rPr>
        <w:t xml:space="preserve">. </w:t>
      </w:r>
      <w:bookmarkStart w:id="782" w:name="pg10265_89901"/>
    </w:p>
    <w:p>
      <w:pPr>
        <w:pStyle w:val="Heading5"/>
        <w:numPr>
          <w:ilvl w:val="4"/>
          <w:numId w:val="1"/>
        </w:numPr>
        <w:rPr/>
      </w:pPr>
      <w:bookmarkStart w:id="783" w:name="__RefHeading___Toc3807651_1067777946"/>
      <w:bookmarkStart w:id="784" w:name="_Toc338"/>
      <w:bookmarkEnd w:id="782"/>
      <w:bookmarkEnd w:id="783"/>
      <w:r>
        <w:rPr>
          <w:rtl w:val="true"/>
        </w:rPr>
        <w:t>معاشرت به معروف</w:t>
      </w:r>
      <w:bookmarkEnd w:id="784"/>
    </w:p>
    <w:p>
      <w:pPr>
        <w:pStyle w:val="BookText"/>
        <w:rPr/>
      </w:pPr>
      <w:r>
        <w:rPr>
          <w:rFonts w:ascii="Amiri" w:hAnsi="Amiri" w:eastAsia="Amiri" w:cs="Amiri"/>
          <w:color w:val="111111"/>
          <w:sz w:val="28"/>
          <w:sz w:val="28"/>
          <w:szCs w:val="28"/>
          <w:rtl w:val="true"/>
          <w:lang w:bidi="ar-SA"/>
        </w:rPr>
        <w:t>مراتب معاشرت به معروف، مطلوب است بلكه بعضى از آنها كه مورد احتياج زن است و ترك آنها ضرر بدنى يا حالى و جاهى دارد، محل احتياط است</w:t>
      </w:r>
      <w:r>
        <w:rPr>
          <w:rFonts w:eastAsia="Amiri" w:cs="Amiri" w:ascii="Amiri" w:hAnsi="Amiri"/>
          <w:color w:val="111111"/>
          <w:sz w:val="28"/>
          <w:szCs w:val="28"/>
          <w:rtl w:val="true"/>
          <w:lang w:bidi="ar-SA"/>
        </w:rPr>
        <w:t>.</w:t>
      </w:r>
    </w:p>
    <w:p>
      <w:pPr>
        <w:pStyle w:val="Heading4"/>
        <w:numPr>
          <w:ilvl w:val="3"/>
          <w:numId w:val="1"/>
        </w:numPr>
        <w:rPr/>
      </w:pPr>
      <w:bookmarkStart w:id="785" w:name="__RefHeading___Toc3807653_1067777946"/>
      <w:bookmarkStart w:id="786" w:name="_Toc339"/>
      <w:bookmarkEnd w:id="785"/>
      <w:r>
        <w:rPr>
          <w:rtl w:val="true"/>
        </w:rPr>
        <w:t>احكام نفقۀ زوجه</w:t>
      </w:r>
      <w:bookmarkEnd w:id="786"/>
    </w:p>
    <w:p>
      <w:pPr>
        <w:pStyle w:val="Heading5"/>
        <w:numPr>
          <w:ilvl w:val="4"/>
          <w:numId w:val="1"/>
        </w:numPr>
        <w:rPr/>
      </w:pPr>
      <w:bookmarkStart w:id="787" w:name="__RefHeading___Toc3807655_1067777946"/>
      <w:bookmarkStart w:id="788" w:name="_Toc340"/>
      <w:bookmarkEnd w:id="787"/>
      <w:r>
        <w:rPr>
          <w:rtl w:val="true"/>
        </w:rPr>
        <w:t>تخيير در نحوۀ خدمت</w:t>
      </w:r>
      <w:bookmarkEnd w:id="7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موارد لزوم خدمت يا اخدام، تخيير با زوج است؛ و اختيار زوجه تبديل به ماليّت را با خدمت خودش، الزام نمى آورد</w:t>
      </w:r>
      <w:r>
        <w:rPr>
          <w:rFonts w:eastAsia="Amiri" w:cs="Amiri" w:ascii="Amiri" w:hAnsi="Amiri"/>
          <w:color w:val="111111"/>
          <w:sz w:val="28"/>
          <w:szCs w:val="28"/>
          <w:rtl w:val="true"/>
          <w:lang w:bidi="ar-SA"/>
        </w:rPr>
        <w:t>.</w:t>
      </w:r>
    </w:p>
    <w:p>
      <w:pPr>
        <w:pStyle w:val="Heading5"/>
        <w:numPr>
          <w:ilvl w:val="4"/>
          <w:numId w:val="1"/>
        </w:numPr>
        <w:rPr/>
      </w:pPr>
      <w:bookmarkStart w:id="789" w:name="__RefHeading___Toc3807657_1067777946"/>
      <w:bookmarkStart w:id="790" w:name="_Toc341"/>
      <w:bookmarkEnd w:id="789"/>
      <w:r>
        <w:rPr>
          <w:rtl w:val="true"/>
        </w:rPr>
        <w:t>وجوب نفقۀ هر روز و اناطه به تمكين</w:t>
      </w:r>
      <w:bookmarkEnd w:id="79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واجب در هر روزى نفقۀ همان روز از صبح آن روز است و مالكيّت زن آن را متوقف بر تمكين در تمام آن روز است؛ و به تمكين در تمام، كشف مالكيّت به قبض مى شود</w:t>
      </w:r>
      <w:r>
        <w:rPr>
          <w:rFonts w:eastAsia="Amiri" w:cs="Amiri" w:ascii="Amiri" w:hAnsi="Amiri"/>
          <w:color w:val="111111"/>
          <w:sz w:val="28"/>
          <w:szCs w:val="28"/>
          <w:rtl w:val="true"/>
          <w:lang w:bidi="ar-SA"/>
        </w:rPr>
        <w:t>.</w:t>
      </w:r>
    </w:p>
    <w:p>
      <w:pPr>
        <w:pStyle w:val="Heading5"/>
        <w:numPr>
          <w:ilvl w:val="4"/>
          <w:numId w:val="1"/>
        </w:numPr>
        <w:rPr/>
      </w:pPr>
      <w:bookmarkStart w:id="791" w:name="__RefHeading___Toc3807659_1067777946"/>
      <w:bookmarkStart w:id="792" w:name="_Toc342"/>
      <w:bookmarkEnd w:id="791"/>
      <w:r>
        <w:rPr>
          <w:rtl w:val="true"/>
        </w:rPr>
        <w:t>مقدّمات اطعام</w:t>
      </w:r>
      <w:bookmarkEnd w:id="792"/>
    </w:p>
    <w:p>
      <w:pPr>
        <w:pStyle w:val="BookText"/>
        <w:rPr/>
      </w:pPr>
      <w:r>
        <w:rPr>
          <w:rFonts w:ascii="IRNazanin" w:hAnsi="IRNazanin" w:eastAsia="IRNazanin"/>
          <w:color w:val="111111"/>
          <w:sz w:val="28"/>
          <w:sz w:val="28"/>
          <w:szCs w:val="28"/>
          <w:rtl w:val="true"/>
          <w:lang w:bidi="fa-IR"/>
        </w:rPr>
        <w:t>و واجب اطعام است به نحوى كه محتاج به مقدمات نباشد مگر آنكه معتاد بلد، دفع مقدمات باشد يا آنكه تراضى به آن بشود؛ و هم چنين تسليم قيمت</w:t>
      </w:r>
      <w:r>
        <w:rPr>
          <w:rFonts w:eastAsia="IRNazanin" w:cs="IRNazanin"/>
          <w:color w:val="111111"/>
          <w:sz w:val="28"/>
          <w:szCs w:val="28"/>
          <w:rtl w:val="true"/>
          <w:lang w:bidi="fa-IR"/>
        </w:rPr>
        <w:t>.</w:t>
      </w:r>
    </w:p>
    <w:p>
      <w:pPr>
        <w:pStyle w:val="Heading5"/>
        <w:numPr>
          <w:ilvl w:val="4"/>
          <w:numId w:val="1"/>
        </w:numPr>
        <w:rPr/>
      </w:pPr>
      <w:bookmarkStart w:id="793" w:name="__RefHeading___Toc3807661_1067777946"/>
      <w:bookmarkStart w:id="794" w:name="_Toc343"/>
      <w:bookmarkEnd w:id="793"/>
      <w:r>
        <w:rPr>
          <w:rtl w:val="true"/>
        </w:rPr>
        <w:t>استقرار در ذمّه با تمكين و عدم دفع</w:t>
      </w:r>
      <w:bookmarkEnd w:id="794"/>
    </w:p>
    <w:p>
      <w:pPr>
        <w:pStyle w:val="BookText"/>
        <w:rPr/>
      </w:pPr>
      <w:r>
        <w:rPr>
          <w:rFonts w:ascii="IRNazanin" w:hAnsi="IRNazanin" w:eastAsia="IRNazanin"/>
          <w:color w:val="111111"/>
          <w:sz w:val="28"/>
          <w:sz w:val="28"/>
          <w:szCs w:val="28"/>
          <w:rtl w:val="true"/>
          <w:lang w:bidi="fa-IR"/>
        </w:rPr>
        <w:t>و اگر دفع نكرد با تمكين، در ذمّۀ زوج مستقر و دَين مى شود اگر چه حاكم حكم نكرده باشد</w:t>
      </w:r>
      <w:r>
        <w:rPr>
          <w:rFonts w:eastAsia="IRNazanin" w:cs="IRNazanin"/>
          <w:color w:val="111111"/>
          <w:sz w:val="28"/>
          <w:szCs w:val="28"/>
          <w:rtl w:val="true"/>
          <w:lang w:bidi="fa-IR"/>
        </w:rPr>
        <w:t>.</w:t>
      </w:r>
    </w:p>
    <w:p>
      <w:pPr>
        <w:pStyle w:val="Heading5"/>
        <w:numPr>
          <w:ilvl w:val="4"/>
          <w:numId w:val="1"/>
        </w:numPr>
        <w:rPr/>
      </w:pPr>
      <w:bookmarkStart w:id="795" w:name="__RefHeading___Toc3807663_1067777946"/>
      <w:bookmarkStart w:id="796" w:name="_Toc344"/>
      <w:bookmarkEnd w:id="795"/>
      <w:r>
        <w:rPr>
          <w:rtl w:val="true"/>
        </w:rPr>
        <w:t>استرداد در فرض موت يا طلاق يا نشوز زوجه</w:t>
      </w:r>
      <w:bookmarkEnd w:id="79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اظهر جواز استردادِ مدفوع است با موت زوجه يا طلاق او به طلاقى كه نفقه ندارد يا نشوز در اثناى روز، بالنسبه به آنچه توزيع به ما بعد اين عوارض مى شود</w:t>
      </w:r>
      <w:r>
        <w:rPr>
          <w:rFonts w:eastAsia="IRNazanin" w:cs="IRNazanin"/>
          <w:color w:val="111111"/>
          <w:sz w:val="28"/>
          <w:szCs w:val="28"/>
          <w:rtl w:val="true"/>
          <w:lang w:bidi="fa-IR"/>
        </w:rPr>
        <w:t xml:space="preserve">. </w:t>
      </w:r>
      <w:bookmarkStart w:id="797" w:name="pg10265_89902"/>
    </w:p>
    <w:p>
      <w:pPr>
        <w:pStyle w:val="BookText"/>
        <w:rPr/>
      </w:pPr>
      <w:bookmarkEnd w:id="797"/>
      <w:r>
        <w:rPr>
          <w:rFonts w:ascii="Amiri" w:hAnsi="Amiri" w:eastAsia="Amiri" w:cs="Amiri"/>
          <w:color w:val="111111"/>
          <w:sz w:val="28"/>
          <w:sz w:val="28"/>
          <w:szCs w:val="28"/>
          <w:rtl w:val="true"/>
          <w:lang w:bidi="ar-SA"/>
        </w:rPr>
        <w:t>و اظهر عدم فرق بين صورت اتلاف عين و عدم آن است</w:t>
      </w:r>
      <w:r>
        <w:rPr>
          <w:rFonts w:eastAsia="Amiri" w:cs="Amiri" w:ascii="Amiri" w:hAnsi="Amiri"/>
          <w:color w:val="111111"/>
          <w:sz w:val="28"/>
          <w:szCs w:val="28"/>
          <w:rtl w:val="true"/>
          <w:lang w:bidi="ar-SA"/>
        </w:rPr>
        <w:t>.</w:t>
      </w:r>
    </w:p>
    <w:p>
      <w:pPr>
        <w:pStyle w:val="Heading5"/>
        <w:numPr>
          <w:ilvl w:val="4"/>
          <w:numId w:val="1"/>
        </w:numPr>
        <w:rPr/>
      </w:pPr>
      <w:bookmarkStart w:id="798" w:name="__RefHeading___Toc3807665_1067777946"/>
      <w:bookmarkStart w:id="799" w:name="_Toc345"/>
      <w:bookmarkEnd w:id="798"/>
      <w:r>
        <w:rPr>
          <w:rtl w:val="true"/>
        </w:rPr>
        <w:t>مالكيّت زن بر نفقه و لو صرف نكند</w:t>
      </w:r>
      <w:bookmarkEnd w:id="799"/>
    </w:p>
    <w:p>
      <w:pPr>
        <w:pStyle w:val="BookText"/>
        <w:rPr/>
      </w:pPr>
      <w:r>
        <w:rPr>
          <w:rFonts w:ascii="IRNazanin" w:hAnsi="IRNazanin" w:eastAsia="IRNazanin"/>
          <w:color w:val="111111"/>
          <w:sz w:val="28"/>
          <w:sz w:val="28"/>
          <w:szCs w:val="28"/>
          <w:rtl w:val="true"/>
          <w:lang w:bidi="fa-IR"/>
        </w:rPr>
        <w:t>اگر دفع كرد نفقۀ ايام را پس گذشت آن ايام با تمكين و لكن آن مقدار را يا بعض آن را صرف نكرد و زياد آورد، تمام ملك زن است</w:t>
      </w:r>
      <w:r>
        <w:rPr>
          <w:rFonts w:eastAsia="IRNazanin" w:cs="IRNazanin"/>
          <w:color w:val="111111"/>
          <w:sz w:val="28"/>
          <w:szCs w:val="28"/>
          <w:rtl w:val="true"/>
          <w:lang w:bidi="fa-IR"/>
        </w:rPr>
        <w:t>.</w:t>
      </w:r>
    </w:p>
    <w:p>
      <w:pPr>
        <w:pStyle w:val="Heading5"/>
        <w:numPr>
          <w:ilvl w:val="4"/>
          <w:numId w:val="1"/>
        </w:numPr>
        <w:rPr/>
      </w:pPr>
      <w:bookmarkStart w:id="800" w:name="__RefHeading___Toc3807667_1067777946"/>
      <w:bookmarkStart w:id="801" w:name="_Toc346"/>
      <w:bookmarkEnd w:id="800"/>
      <w:r>
        <w:rPr>
          <w:rtl w:val="true"/>
        </w:rPr>
        <w:t>وفات شوهر</w:t>
      </w:r>
      <w:bookmarkEnd w:id="801"/>
    </w:p>
    <w:p>
      <w:pPr>
        <w:pStyle w:val="BookText"/>
        <w:rPr/>
      </w:pPr>
      <w:r>
        <w:rPr>
          <w:rFonts w:ascii="IRNazanin" w:hAnsi="IRNazanin" w:eastAsia="IRNazanin"/>
          <w:color w:val="111111"/>
          <w:sz w:val="28"/>
          <w:sz w:val="28"/>
          <w:szCs w:val="28"/>
          <w:rtl w:val="true"/>
          <w:lang w:bidi="fa-IR"/>
        </w:rPr>
        <w:t>و اگر در اثناى مدتى كه نفقۀ آن را داده است خود شوهر وفات نمايد، نفقۀ موزّعه بر ما بعد از وفات بر مى گردد به ورّاث</w:t>
      </w:r>
      <w:r>
        <w:rPr>
          <w:rFonts w:eastAsia="IRNazanin" w:cs="IRNazanin"/>
          <w:color w:val="111111"/>
          <w:sz w:val="28"/>
          <w:szCs w:val="28"/>
          <w:rtl w:val="true"/>
          <w:lang w:bidi="fa-IR"/>
        </w:rPr>
        <w:t>.</w:t>
      </w:r>
    </w:p>
    <w:p>
      <w:pPr>
        <w:pStyle w:val="Heading5"/>
        <w:numPr>
          <w:ilvl w:val="4"/>
          <w:numId w:val="1"/>
        </w:numPr>
        <w:rPr/>
      </w:pPr>
      <w:bookmarkStart w:id="802" w:name="__RefHeading___Toc3807669_1067777946"/>
      <w:bookmarkStart w:id="803" w:name="_Toc347"/>
      <w:bookmarkEnd w:id="802"/>
      <w:r>
        <w:rPr>
          <w:rtl w:val="true"/>
        </w:rPr>
        <w:t>موارد تمليك و اباحه در نفقه</w:t>
      </w:r>
      <w:bookmarkEnd w:id="803"/>
    </w:p>
    <w:p>
      <w:pPr>
        <w:pStyle w:val="BookText"/>
        <w:rPr/>
      </w:pPr>
      <w:r>
        <w:rPr>
          <w:rFonts w:ascii="IRNazanin" w:hAnsi="IRNazanin" w:eastAsia="IRNazanin"/>
          <w:color w:val="111111"/>
          <w:sz w:val="28"/>
          <w:sz w:val="28"/>
          <w:szCs w:val="28"/>
          <w:rtl w:val="true"/>
          <w:lang w:bidi="fa-IR"/>
        </w:rPr>
        <w:t>اطعامْ مستلزم تمليك است به نحو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اسكان و اخدام و نحو اينها اباحۀ انتفاع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در كسوه، اباحۀ انتفاع است مگر با قصد تمليك غير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ضمانِ حق انتفاع به ترك كسوه در مدتى از قِبل زوج با تمكين، خالى از وجه نيست؛ و هم چنين معاوضۀ بر او اگر چه براى اسقاط از مديون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پوشانيدن تمليك نيست، تبديل آن در هر وقت براى زوج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معاوضه بر عين ملبوس، جايز نيست، بلكه فقط حق انتفاع دارد؛ و اگر تمليك بود مثل مأكول بود و قابل تبديل معاوضى بود با محفوظيت شرط در تمام مدت بقاى لباس مخصوص به نحو مراعىٰ يا معاملۀ فضولى به نحو كشف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اثناى مدت يك لباس مدفوع، مانعى از طلاق و نحو آن واقع شد، اظهر استعاده است حتى بنابر تمليك كه به عنوان كسوۀ واجبه با خصوصيات است</w:t>
      </w:r>
      <w:r>
        <w:rPr>
          <w:rFonts w:eastAsia="IRNazanin" w:cs="IRNazanin"/>
          <w:color w:val="111111"/>
          <w:sz w:val="28"/>
          <w:szCs w:val="28"/>
          <w:rtl w:val="true"/>
          <w:lang w:bidi="fa-IR"/>
        </w:rPr>
        <w:t>.</w:t>
      </w:r>
    </w:p>
    <w:p>
      <w:pPr>
        <w:pStyle w:val="Heading5"/>
        <w:numPr>
          <w:ilvl w:val="4"/>
          <w:numId w:val="1"/>
        </w:numPr>
        <w:rPr/>
      </w:pPr>
      <w:bookmarkStart w:id="804" w:name="__RefHeading___Toc3807671_1067777946"/>
      <w:bookmarkStart w:id="805" w:name="_Toc348"/>
      <w:bookmarkEnd w:id="804"/>
      <w:r>
        <w:rPr>
          <w:rtl w:val="true"/>
        </w:rPr>
        <w:t>اسقاط حق مطالبه با شركت در اكل و شرب با زوج</w:t>
      </w:r>
      <w:bookmarkEnd w:id="80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زوجه با زوج در اكل و شرب شركت داشت، نمى تواند نفقۀ آن مدت را مطالبه نمايد؛ و در استحقاق مطالبۀ انفراد در اكل تأمل است، مگر آنكه مولّى عليها باشد</w:t>
      </w:r>
      <w:bookmarkStart w:id="806" w:name="pg10265_89903"/>
    </w:p>
    <w:p>
      <w:pPr>
        <w:pStyle w:val="BookText"/>
        <w:rPr/>
      </w:pPr>
      <w:bookmarkEnd w:id="806"/>
      <w:r>
        <w:rPr>
          <w:rFonts w:ascii="IRNazanin" w:hAnsi="IRNazanin" w:eastAsia="IRNazanin"/>
          <w:color w:val="111111"/>
          <w:sz w:val="28"/>
          <w:sz w:val="28"/>
          <w:szCs w:val="28"/>
          <w:rtl w:val="true"/>
          <w:lang w:bidi="fa-IR"/>
        </w:rPr>
        <w:t>كه رضاى ولىّ و قبض او اگر چه كشف شود از رضاى او به اجتماع در اكل، لازم است در تمليك، به خلاف صورت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مدتى با زوج بود و دخول نكرد، پس اگر وثوق به تمكين حاصل بود از امارات، استحقاق مطالبۀ نفقه آن مدت را دارد اگر با او اجتماع در اكل و شرب نداشته است، وگرنه استحقاق ندارد</w:t>
      </w:r>
      <w:r>
        <w:rPr>
          <w:rFonts w:eastAsia="IRNazanin" w:cs="IRNazanin"/>
          <w:color w:val="111111"/>
          <w:sz w:val="28"/>
          <w:szCs w:val="28"/>
          <w:rtl w:val="true"/>
          <w:lang w:bidi="fa-IR"/>
        </w:rPr>
        <w:t>.</w:t>
      </w:r>
    </w:p>
    <w:p>
      <w:pPr>
        <w:pStyle w:val="Heading5"/>
        <w:numPr>
          <w:ilvl w:val="4"/>
          <w:numId w:val="1"/>
        </w:numPr>
        <w:rPr/>
      </w:pPr>
      <w:bookmarkStart w:id="807" w:name="__RefHeading___Toc3807673_1067777946"/>
      <w:bookmarkStart w:id="808" w:name="_Toc349"/>
      <w:bookmarkEnd w:id="807"/>
      <w:r>
        <w:rPr>
          <w:rtl w:val="true"/>
        </w:rPr>
        <w:t>حكم نفقه در فرض غايب بودن زوج</w:t>
      </w:r>
      <w:bookmarkEnd w:id="808"/>
    </w:p>
    <w:p>
      <w:pPr>
        <w:pStyle w:val="BookText"/>
        <w:rPr/>
      </w:pPr>
      <w:r>
        <w:rPr>
          <w:rFonts w:ascii="IRNazanin" w:hAnsi="IRNazanin" w:eastAsia="IRNazanin"/>
          <w:color w:val="111111"/>
          <w:sz w:val="28"/>
          <w:sz w:val="28"/>
          <w:szCs w:val="28"/>
          <w:rtl w:val="true"/>
          <w:lang w:bidi="fa-IR"/>
        </w:rPr>
        <w:t>اگر زوج غايب بود، بعد از تمكين زوجه و يا بقائش به صفت تمكين، واجب است نفقۀ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دخول نكرده بوده و تمكين حاصل نشده بود، پس حاضر شد نزد حاكم و اعلام تمكين كرد يا به واسطۀ غير حاكم، پس از زمان اعلام به حاكم و وساطت او براى وصول زوج يا وكيل او نزد زن و حاضر شدن زن براى رفتن نزد زوج هركجا باشد، نفقۀ تا زمان وصولِ ممكن، ساقط است به حكم ظاهرى استصحابى نه واقعى كه داير است مدار تمكين واقعى در زمانى؛ و نفقۀ بعد از زمان امكان وصول و معلوميّت آن،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بعد از نشوز و غيبت، ساقط است نفقۀ زمان نشوز و اعلام تمكين به حاكم يا واسطۀ غير حاكم و مقدار زمان وصول غايب يا وكيل او نزد زوجه كه حاضر به انتقال به هر جا كه زوج بخواهد هست، به حسب حكم ظاهرى استصحابى، نه واقعى كه داير مدارِ تمكينِ واقعى است؛ و ثابت است نفقۀ ما بعد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عذرهاى ديگر براى زوج، وجود و عدم آنها مساوى در تحقق تمكين زوجه است</w:t>
      </w:r>
      <w:r>
        <w:rPr>
          <w:rFonts w:eastAsia="IRNazanin" w:cs="IRNazanin"/>
          <w:color w:val="111111"/>
          <w:sz w:val="28"/>
          <w:szCs w:val="28"/>
          <w:rtl w:val="true"/>
          <w:lang w:bidi="fa-IR"/>
        </w:rPr>
        <w:t>.</w:t>
      </w:r>
    </w:p>
    <w:p>
      <w:pPr>
        <w:pStyle w:val="Heading5"/>
        <w:numPr>
          <w:ilvl w:val="4"/>
          <w:numId w:val="1"/>
        </w:numPr>
        <w:rPr/>
      </w:pPr>
      <w:bookmarkStart w:id="809" w:name="__RefHeading___Toc3807675_1067777946"/>
      <w:bookmarkStart w:id="810" w:name="_Toc350"/>
      <w:bookmarkEnd w:id="809"/>
      <w:r>
        <w:rPr>
          <w:rtl w:val="true"/>
        </w:rPr>
        <w:t>حكم ارتداد و نشوز در فرض مسأله</w:t>
      </w:r>
      <w:bookmarkEnd w:id="81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اظهر در ارتداد زوجه با رجوع به اسلام در عدّه در غيبت زوج و نشوز زوجه در غيبت، اين است كه حكم واقعى ثبوت نفقه و سقوط آن داير مدار واقع ارتداد و نشوز و ارتفاع واقعى آنها است، و ثبوت و سقوط علمى يا استصحابى ظاهرى، داير </w:t>
      </w:r>
      <w:bookmarkStart w:id="811" w:name="pg10265_89904"/>
    </w:p>
    <w:p>
      <w:pPr>
        <w:pStyle w:val="BookText"/>
        <w:rPr/>
      </w:pPr>
      <w:bookmarkEnd w:id="811"/>
      <w:r>
        <w:rPr>
          <w:rFonts w:ascii="IRNazanin" w:hAnsi="IRNazanin" w:eastAsia="IRNazanin"/>
          <w:color w:val="111111"/>
          <w:sz w:val="28"/>
          <w:sz w:val="28"/>
          <w:szCs w:val="28"/>
          <w:rtl w:val="true"/>
          <w:lang w:bidi="fa-IR"/>
        </w:rPr>
        <w:t>مدار تحقق معلوم و ارتفاع معلوم است؛ پس اگر عالم به اينها بود، بايد در حكم ظاهرى، عالم به ارتفاع باشد؛ و اگر عالم نبود ظاهراً واجب است بر او نفقه، مثل زمان حضور و عدم اطلاع، نه در واقع در زمان تخلّل اين امور تا زمان تمكّن از اطلاع از زوال عارض</w:t>
      </w:r>
      <w:r>
        <w:rPr>
          <w:rFonts w:eastAsia="IRNazanin" w:cs="IRNazanin"/>
          <w:color w:val="111111"/>
          <w:sz w:val="28"/>
          <w:szCs w:val="28"/>
          <w:rtl w:val="true"/>
          <w:lang w:bidi="fa-IR"/>
        </w:rPr>
        <w:t>.</w:t>
      </w:r>
    </w:p>
    <w:p>
      <w:pPr>
        <w:pStyle w:val="Heading5"/>
        <w:numPr>
          <w:ilvl w:val="4"/>
          <w:numId w:val="1"/>
        </w:numPr>
        <w:rPr/>
      </w:pPr>
      <w:bookmarkStart w:id="812" w:name="__RefHeading___Toc3807677_1067777946"/>
      <w:bookmarkStart w:id="813" w:name="_Toc351"/>
      <w:bookmarkEnd w:id="812"/>
      <w:r>
        <w:rPr>
          <w:rtl w:val="true"/>
        </w:rPr>
        <w:t>ادّعاى حمل توسط مطلّقۀ بائن</w:t>
      </w:r>
      <w:bookmarkEnd w:id="81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مطلقۀ بائن ادّعاى حمل كرد به نحوى كه با صحّت طلاق جمع بشود، پس اگر مدّعىٰ اوايل حمل بود، احوط انفاق با كفيل است در هر روز كفايت آن روز را، و استعاده با عدم ظهور در وقت تا آخر امكان ثابت است با عدم نفى خبره قبل از آن؛ و اگر در وقت، ظهور آن بر اهل خبره و اطلاع از زنها و مردها بود بر تقدير ثبوت، اظهر عدم وجوب است با نفى خبره، و وجوب است با اثبات آنها</w:t>
      </w:r>
      <w:r>
        <w:rPr>
          <w:rFonts w:eastAsia="IRNazanin" w:cs="IRNazanin"/>
          <w:color w:val="111111"/>
          <w:sz w:val="28"/>
          <w:szCs w:val="28"/>
          <w:rtl w:val="true"/>
          <w:lang w:bidi="fa-IR"/>
        </w:rPr>
        <w:t>.</w:t>
      </w:r>
    </w:p>
    <w:p>
      <w:pPr>
        <w:pStyle w:val="Heading5"/>
        <w:numPr>
          <w:ilvl w:val="4"/>
          <w:numId w:val="1"/>
        </w:numPr>
        <w:rPr/>
      </w:pPr>
      <w:bookmarkStart w:id="814" w:name="__RefHeading___Toc3807679_1067777946"/>
      <w:bookmarkStart w:id="815" w:name="_Toc352"/>
      <w:bookmarkEnd w:id="814"/>
      <w:r>
        <w:rPr>
          <w:rtl w:val="true"/>
        </w:rPr>
        <w:t>ثبوت نفقه براى بائن حامل</w:t>
      </w:r>
      <w:bookmarkEnd w:id="815"/>
    </w:p>
    <w:p>
      <w:pPr>
        <w:pStyle w:val="BookText"/>
        <w:rPr/>
      </w:pPr>
      <w:r>
        <w:rPr>
          <w:rFonts w:ascii="IRNazanin" w:hAnsi="IRNazanin" w:eastAsia="IRNazanin"/>
          <w:color w:val="111111"/>
          <w:sz w:val="28"/>
          <w:sz w:val="28"/>
          <w:szCs w:val="28"/>
          <w:rtl w:val="true"/>
          <w:lang w:bidi="fa-IR"/>
        </w:rPr>
        <w:t xml:space="preserve">و براى مطلقۀ بائن حامل، نفقه ثابت است؛ و براى بائن حامل اگر مطلقه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موطوئه به شبهه يا بائن به فسخ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نفقه، محل تأمل است، و احوط انفاق است بر كسى كه حمل از او است، چنانچه مقتضاىِ اطلاقِ روايت است</w:t>
      </w:r>
      <w:r>
        <w:rPr>
          <w:rFonts w:eastAsia="IRNazanin" w:cs="IRNazanin"/>
          <w:color w:val="111111"/>
          <w:sz w:val="28"/>
          <w:szCs w:val="28"/>
          <w:rtl w:val="true"/>
          <w:lang w:bidi="fa-IR"/>
        </w:rPr>
        <w:t>.</w:t>
      </w:r>
    </w:p>
    <w:p>
      <w:pPr>
        <w:pStyle w:val="Heading5"/>
        <w:numPr>
          <w:ilvl w:val="4"/>
          <w:numId w:val="1"/>
        </w:numPr>
        <w:rPr/>
      </w:pPr>
      <w:bookmarkStart w:id="816" w:name="__RefHeading___Toc3807681_1067777946"/>
      <w:bookmarkStart w:id="817" w:name="_Toc353"/>
      <w:bookmarkEnd w:id="816"/>
      <w:r>
        <w:rPr>
          <w:rtl w:val="true"/>
        </w:rPr>
        <w:t>نفقه در فرض لعان</w:t>
      </w:r>
      <w:bookmarkEnd w:id="817"/>
    </w:p>
    <w:p>
      <w:pPr>
        <w:pStyle w:val="BookText"/>
        <w:rPr/>
      </w:pPr>
      <w:r>
        <w:rPr>
          <w:rFonts w:ascii="IRNazanin" w:hAnsi="IRNazanin" w:eastAsia="IRNazanin"/>
          <w:color w:val="111111"/>
          <w:sz w:val="28"/>
          <w:sz w:val="28"/>
          <w:szCs w:val="28"/>
          <w:rtl w:val="true"/>
          <w:lang w:bidi="fa-IR"/>
        </w:rPr>
        <w:t>و هم چنين است احتياط در لعان براى قذف زوجه با اعتراف به ولد؛ و اما لعان براى نفى ولد، پس چون ولد منتفى مى شود و صاحب ولد نيست، بر او نفقۀ حامل نيست به هر دو قول در حامل بائن به غير طلاق، مثل 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طلاق بائن داد، پس از آن حمل ظاهر شد و انكار كرد و لعان براى نفى ولد نمود، كه نفقۀ حامل بر ملاعِن نيست و به منزلۀ غير حامل است نسبت به طلاق دهنده قبل از لعان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لعان اگر اكذاب كرد خود را و ولد را ملحق نمود به اقرار خود، بر او است </w:t>
      </w:r>
      <w:bookmarkStart w:id="818" w:name="pg10265_89905"/>
    </w:p>
    <w:p>
      <w:pPr>
        <w:pStyle w:val="BookText"/>
        <w:rPr/>
      </w:pPr>
      <w:bookmarkEnd w:id="818"/>
      <w:r>
        <w:rPr>
          <w:rFonts w:ascii="Amiri" w:hAnsi="Amiri" w:eastAsia="Amiri" w:cs="Amiri"/>
          <w:color w:val="111111"/>
          <w:sz w:val="28"/>
          <w:sz w:val="28"/>
          <w:szCs w:val="28"/>
          <w:rtl w:val="true"/>
          <w:lang w:bidi="ar-SA"/>
        </w:rPr>
        <w:t>نفقۀ مطلّقۀ حامل كه لعان او بى اثر به حسب اقرار لاحق شده است در نفى ولد بنابر اظهر؛ و بينونت، حاصل به طلاق بوده و احتياج به لعان نداشته تا آنكه بائن به لعان صدق نمايد</w:t>
      </w:r>
      <w:r>
        <w:rPr>
          <w:rFonts w:eastAsia="Amiri" w:cs="Amiri" w:ascii="Amiri" w:hAnsi="Amiri"/>
          <w:color w:val="111111"/>
          <w:sz w:val="28"/>
          <w:szCs w:val="28"/>
          <w:rtl w:val="true"/>
          <w:lang w:bidi="ar-SA"/>
        </w:rPr>
        <w:t>.</w:t>
      </w:r>
    </w:p>
    <w:p>
      <w:pPr>
        <w:pStyle w:val="Heading5"/>
        <w:numPr>
          <w:ilvl w:val="4"/>
          <w:numId w:val="1"/>
        </w:numPr>
        <w:rPr/>
      </w:pPr>
      <w:bookmarkStart w:id="819" w:name="__RefHeading___Toc3807683_1067777946"/>
      <w:bookmarkStart w:id="820" w:name="_Toc354"/>
      <w:bookmarkEnd w:id="819"/>
      <w:r>
        <w:rPr>
          <w:rtl w:val="true"/>
        </w:rPr>
        <w:t>نفقۀ زوجۀ مملوك</w:t>
      </w:r>
      <w:bookmarkEnd w:id="82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اظهر در نفقۀ زوجۀ مملوكِ متزوجِ با اذن مالك، اين است كه بر مالك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زوج مكاتَب بود، نفقۀ ولد او از زوجۀ او بر او نيست، چه آنكه ولد حرّه باشد، يا ولد امه مملوك مالك 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شرط يا مملوك مالكين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ولدش از امۀ مشترىٰ به اذن سيد باشد، از كسب خودش بر او انفاق مى كند اگر كتابت مقتضى اين انفاق باشد و در محلّش بيان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بعضى از مكاتب آزاد است، به قدر آزادى خود، انفاق ولد حرّ بر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نفقۀ زوجۀ مكاتب بر مالك است تا آنكه آزاد شود تمام او براى تمام نفقه و بعض او براى بعض آن</w:t>
      </w:r>
      <w:r>
        <w:rPr>
          <w:rFonts w:eastAsia="Amiri" w:cs="Amiri" w:ascii="Amiri" w:hAnsi="Amiri"/>
          <w:color w:val="111111"/>
          <w:sz w:val="28"/>
          <w:szCs w:val="28"/>
          <w:rtl w:val="true"/>
          <w:lang w:bidi="ar-SA"/>
        </w:rPr>
        <w:t>.</w:t>
      </w:r>
    </w:p>
    <w:p>
      <w:pPr>
        <w:pStyle w:val="Heading5"/>
        <w:numPr>
          <w:ilvl w:val="4"/>
          <w:numId w:val="1"/>
        </w:numPr>
        <w:rPr/>
      </w:pPr>
      <w:bookmarkStart w:id="821" w:name="__RefHeading___Toc3807685_1067777946"/>
      <w:bookmarkStart w:id="822" w:name="_Toc355"/>
      <w:bookmarkEnd w:id="821"/>
      <w:r>
        <w:rPr>
          <w:rtl w:val="true"/>
        </w:rPr>
        <w:t>اختلاف در تقدم و تأخّر حمل از طلاق</w:t>
      </w:r>
      <w:bookmarkEnd w:id="82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طلاق داد حامل را به طلاق رجعى،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استحقاق نفقه كرد به اينكه طلاق بعد از وضع حمل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كرد، مسموع است قول زن در بقاى عدّه و بقاى استحقاق نفقه، و قول مرد به اقرار او در عدم جواز رجوع و در حصول بينونت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عكس فرض، قول زوج مسموع است و رجوع او جايز و زن استحقاق نفقه ندارد به اقرار خودش بودن طلاق را قبل از وضع</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هر دو صورت اگر زمانِ يكى از طلاق و وضع، متفق عليه بود و اختلاف در تقدم و تأخر ديگرى بود، متجه است تقديم قول مدعىِ تاخّرِ مجهول التاريخ از معلوم التاريخ، به حسب استصحاب عدم مجهول تا زمان معلوم؛ پس احكام عدم خاص، مترتب است در دو مسأله، و لوازمش مرتّب است</w:t>
      </w:r>
      <w:r>
        <w:rPr>
          <w:rFonts w:eastAsia="IRNazanin" w:cs="IRNazanin"/>
          <w:color w:val="111111"/>
          <w:sz w:val="28"/>
          <w:szCs w:val="28"/>
          <w:rtl w:val="true"/>
          <w:lang w:bidi="fa-IR"/>
        </w:rPr>
        <w:t xml:space="preserve">. </w:t>
      </w:r>
      <w:bookmarkStart w:id="823" w:name="pg10265_89906"/>
    </w:p>
    <w:p>
      <w:pPr>
        <w:pStyle w:val="Heading5"/>
        <w:numPr>
          <w:ilvl w:val="4"/>
          <w:numId w:val="1"/>
        </w:numPr>
        <w:rPr/>
      </w:pPr>
      <w:bookmarkStart w:id="824" w:name="__RefHeading___Toc3807687_1067777946"/>
      <w:bookmarkStart w:id="825" w:name="_Toc356"/>
      <w:bookmarkEnd w:id="823"/>
      <w:bookmarkEnd w:id="824"/>
      <w:r>
        <w:rPr>
          <w:rtl w:val="true"/>
        </w:rPr>
        <w:t>بدهكار بودن زن و تقاصّ آن از نفقه</w:t>
      </w:r>
      <w:bookmarkEnd w:id="825"/>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 زن دَين داشت و امتناع از اداى آن كرد با ايسار، مى تواند مقاصّه نمايد حق هر روز را در همان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اِعسار زن جايز نيست، زيرا قضاى دين از فاضل قوت شبانه روز است، مگر آنكه هر دو راضى بشوند</w:t>
      </w:r>
      <w:r>
        <w:rPr>
          <w:rFonts w:eastAsia="IRNazanin" w:cs="IRNazanin"/>
          <w:color w:val="111111"/>
          <w:sz w:val="28"/>
          <w:szCs w:val="28"/>
          <w:rtl w:val="true"/>
          <w:lang w:bidi="fa-IR"/>
        </w:rPr>
        <w:t>.</w:t>
      </w:r>
    </w:p>
    <w:p>
      <w:pPr>
        <w:pStyle w:val="Heading5"/>
        <w:numPr>
          <w:ilvl w:val="4"/>
          <w:numId w:val="1"/>
        </w:numPr>
        <w:rPr/>
      </w:pPr>
      <w:bookmarkStart w:id="826" w:name="__RefHeading___Toc3807689_1067777946"/>
      <w:bookmarkStart w:id="827" w:name="_Toc357"/>
      <w:bookmarkEnd w:id="826"/>
      <w:r>
        <w:rPr>
          <w:rtl w:val="true"/>
        </w:rPr>
        <w:t>تقدم نفقۀ نفس بر نفقۀ زوجه و نفقۀ زوجه بر نفقۀ اقارب</w:t>
      </w:r>
      <w:bookmarkEnd w:id="827"/>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نفقۀ نفس مقدم است بر نفقۀ زوجه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اينكه تقدم تمام بر تمام باشد در مقابل توزيع نفقۀ شبانه روز، يا تقدم بعض بر بعض، يا لزوم در وقت واحد، و اينكه تقدم وجوبى باشد در مقابل جوازى، تأمل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نفقۀ زوجه كه حق مالى ثابت در ذمّه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غنى و فقر زوجه يا غنى و فقر 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نفقۀ اقارب كه مجرّد تكليف ادائى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فاضل از نفقۀ نفس در شبانه روز، صرف در زوجه؛ و فاضل از نفقۀ زوجه در شبانه روز، صرف در نفقۀ اقارب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نفقۀ حاضره بر حاضره مقدم؛ و اما آنچه دَين شد، پس نفقۀ حاضرۀ اقارب، بر دين زوجه از نفقه تقدم دارد</w:t>
      </w:r>
      <w:r>
        <w:rPr>
          <w:rFonts w:eastAsia="IRNazanin" w:cs="IRNazanin"/>
          <w:color w:val="111111"/>
          <w:sz w:val="28"/>
          <w:szCs w:val="28"/>
          <w:rtl w:val="true"/>
          <w:lang w:bidi="fa-IR"/>
        </w:rPr>
        <w:t>.</w:t>
      </w:r>
    </w:p>
    <w:p>
      <w:pPr>
        <w:pStyle w:val="Heading4"/>
        <w:numPr>
          <w:ilvl w:val="3"/>
          <w:numId w:val="1"/>
        </w:numPr>
        <w:rPr/>
      </w:pPr>
      <w:bookmarkStart w:id="828" w:name="__RefHeading___Toc3807691_1067777946"/>
      <w:bookmarkStart w:id="829" w:name="_Toc358"/>
      <w:bookmarkEnd w:id="828"/>
      <w:r>
        <w:rPr>
          <w:rtl w:val="true"/>
        </w:rPr>
        <w:t>در نفقۀ اقارب</w:t>
      </w:r>
      <w:bookmarkEnd w:id="829"/>
    </w:p>
    <w:p>
      <w:pPr>
        <w:pStyle w:val="Heading5"/>
        <w:numPr>
          <w:ilvl w:val="4"/>
          <w:numId w:val="1"/>
        </w:numPr>
        <w:rPr/>
      </w:pPr>
      <w:bookmarkStart w:id="830" w:name="__RefHeading___Toc3807693_1067777946"/>
      <w:bookmarkStart w:id="831" w:name="_Toc359"/>
      <w:bookmarkEnd w:id="830"/>
      <w:r>
        <w:rPr>
          <w:rtl w:val="true"/>
        </w:rPr>
        <w:t>نزديكانى كه نفقۀ آنها واجب است</w:t>
      </w:r>
      <w:bookmarkEnd w:id="831"/>
    </w:p>
    <w:p>
      <w:pPr>
        <w:pStyle w:val="BookText"/>
        <w:rPr/>
      </w:pPr>
      <w:r>
        <w:rPr>
          <w:rFonts w:ascii="IRNazanin" w:hAnsi="IRNazanin" w:eastAsia="IRNazanin"/>
          <w:color w:val="111111"/>
          <w:sz w:val="28"/>
          <w:sz w:val="28"/>
          <w:szCs w:val="28"/>
          <w:rtl w:val="true"/>
          <w:lang w:bidi="fa-IR"/>
        </w:rPr>
        <w:t>واجب است نفقۀ ابوين، و آبا و امهات ايشان، و اولاد، و ابنا و بنات ايشان؛ و واجب نيست نفقۀ غير اينها از اخوه و اخوات و اعمام و اخوال اگر چه مستحبّ مؤكد است</w:t>
      </w:r>
      <w:r>
        <w:rPr>
          <w:rFonts w:eastAsia="IRNazanin" w:cs="IRNazanin"/>
          <w:color w:val="111111"/>
          <w:sz w:val="28"/>
          <w:szCs w:val="28"/>
          <w:rtl w:val="true"/>
          <w:lang w:bidi="fa-IR"/>
        </w:rPr>
        <w:t>.</w:t>
      </w:r>
    </w:p>
    <w:p>
      <w:pPr>
        <w:pStyle w:val="Heading5"/>
        <w:numPr>
          <w:ilvl w:val="4"/>
          <w:numId w:val="1"/>
        </w:numPr>
        <w:rPr/>
      </w:pPr>
      <w:bookmarkStart w:id="832" w:name="__RefHeading___Toc3807695_1067777946"/>
      <w:bookmarkStart w:id="833" w:name="_Toc360"/>
      <w:bookmarkEnd w:id="832"/>
      <w:r>
        <w:rPr>
          <w:rtl w:val="true"/>
        </w:rPr>
        <w:t>اعتبار فقر در وجوب انفاق بر قريب و عدم اعتبار نقصان خلقت يا محجوريّت</w:t>
      </w:r>
      <w:bookmarkEnd w:id="83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معتبر است در وجوب انفاق بر قريب، فقر، به نحوى كه مانع است از اعطاى زكات به قريب واجب النفقه، و گذشت بيان حكم قادر بر اكتساب لايق به حال، مادام كه مكتسب بالفعل نباشد در زكات</w:t>
      </w:r>
      <w:r>
        <w:rPr>
          <w:rFonts w:eastAsia="IRNazanin" w:cs="IRNazanin"/>
          <w:color w:val="111111"/>
          <w:sz w:val="28"/>
          <w:szCs w:val="28"/>
          <w:rtl w:val="true"/>
          <w:lang w:bidi="fa-IR"/>
        </w:rPr>
        <w:t xml:space="preserve">. </w:t>
      </w:r>
      <w:bookmarkStart w:id="834" w:name="pg10265_89907"/>
    </w:p>
    <w:p>
      <w:pPr>
        <w:pStyle w:val="BookText"/>
        <w:rPr/>
      </w:pPr>
      <w:bookmarkEnd w:id="834"/>
      <w:r>
        <w:rPr>
          <w:rFonts w:ascii="Amiri" w:hAnsi="Amiri" w:eastAsia="Amiri" w:cs="Amiri"/>
          <w:color w:val="111111"/>
          <w:sz w:val="28"/>
          <w:sz w:val="28"/>
          <w:szCs w:val="28"/>
          <w:rtl w:val="true"/>
          <w:lang w:bidi="ar-SA"/>
        </w:rPr>
        <w:t>و نقصان خلقت يا محجوريّت، در وجوب انفاق بر قريب، معتبر نيست</w:t>
      </w:r>
      <w:r>
        <w:rPr>
          <w:rFonts w:eastAsia="Amiri" w:cs="Amiri" w:ascii="Amiri" w:hAnsi="Amiri"/>
          <w:color w:val="111111"/>
          <w:sz w:val="28"/>
          <w:szCs w:val="28"/>
          <w:rtl w:val="true"/>
          <w:lang w:bidi="ar-SA"/>
        </w:rPr>
        <w:t>.</w:t>
      </w:r>
    </w:p>
    <w:p>
      <w:pPr>
        <w:pStyle w:val="Heading5"/>
        <w:numPr>
          <w:ilvl w:val="4"/>
          <w:numId w:val="1"/>
        </w:numPr>
        <w:rPr/>
      </w:pPr>
      <w:bookmarkStart w:id="835" w:name="__RefHeading___Toc3807697_1067777946"/>
      <w:bookmarkStart w:id="836" w:name="_Toc361"/>
      <w:bookmarkEnd w:id="835"/>
      <w:r>
        <w:rPr>
          <w:rtl w:val="true"/>
        </w:rPr>
        <w:t>طفل قادر بر كسب</w:t>
      </w:r>
      <w:bookmarkEnd w:id="836"/>
    </w:p>
    <w:p>
      <w:pPr>
        <w:pStyle w:val="BookText"/>
        <w:rPr/>
      </w:pPr>
      <w:r>
        <w:rPr>
          <w:rFonts w:ascii="IRNazanin" w:hAnsi="IRNazanin" w:eastAsia="IRNazanin"/>
          <w:color w:val="111111"/>
          <w:sz w:val="28"/>
          <w:sz w:val="28"/>
          <w:szCs w:val="28"/>
          <w:rtl w:val="true"/>
          <w:lang w:bidi="fa-IR"/>
        </w:rPr>
        <w:t>و در طفل قادر بر تكسب براى نفقۀ خود يا بعض آن در صورت حصول اذن از ولى شرعى، جارى است آنچه ثابت است براى غير طفل اگر مكتسب بالفعل نباشد اگر چه قادر بر اكتساب باشد</w:t>
      </w:r>
      <w:r>
        <w:rPr>
          <w:rFonts w:eastAsia="IRNazanin" w:cs="IRNazanin"/>
          <w:color w:val="111111"/>
          <w:sz w:val="28"/>
          <w:szCs w:val="28"/>
          <w:rtl w:val="true"/>
          <w:lang w:bidi="fa-IR"/>
        </w:rPr>
        <w:t>.</w:t>
      </w:r>
    </w:p>
    <w:p>
      <w:pPr>
        <w:pStyle w:val="Heading5"/>
        <w:numPr>
          <w:ilvl w:val="4"/>
          <w:numId w:val="1"/>
        </w:numPr>
        <w:rPr/>
      </w:pPr>
      <w:bookmarkStart w:id="837" w:name="__RefHeading___Toc3807699_1067777946"/>
      <w:bookmarkStart w:id="838" w:name="_Toc362"/>
      <w:bookmarkEnd w:id="837"/>
      <w:r>
        <w:rPr>
          <w:rtl w:val="true"/>
        </w:rPr>
        <w:t>عدم مانعيت فسق و كفر از وجوب انفاق</w:t>
      </w:r>
      <w:bookmarkEnd w:id="838"/>
    </w:p>
    <w:p>
      <w:pPr>
        <w:pStyle w:val="BookText"/>
        <w:rPr/>
      </w:pPr>
      <w:r>
        <w:rPr>
          <w:rFonts w:ascii="IRNazanin" w:hAnsi="IRNazanin" w:eastAsia="IRNazanin"/>
          <w:color w:val="111111"/>
          <w:sz w:val="28"/>
          <w:sz w:val="28"/>
          <w:szCs w:val="28"/>
          <w:rtl w:val="true"/>
          <w:lang w:bidi="fa-IR"/>
        </w:rPr>
        <w:t xml:space="preserve">و فسق و كفر در قريب فقير، مانع از وجوب انفاق نيست؛ و وجوب قتل بعضى از كفار، منافى با ايجاب انفاق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نشده است نيست، مگر آنكه جايز باشد اتلاف او به هر طورى كه ممكن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نفقۀ مملوك قريب، بر مالك است نه بر قريب، مگر با امتناع مالك از انفاق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قدرت بر انفاق و وصول نوبت به انفاق به 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 در تكليف به انفاق</w:t>
      </w:r>
      <w:r>
        <w:rPr>
          <w:rFonts w:eastAsia="IRNazanin" w:cs="IRNazanin"/>
          <w:color w:val="111111"/>
          <w:sz w:val="28"/>
          <w:szCs w:val="28"/>
          <w:rtl w:val="true"/>
          <w:lang w:bidi="fa-IR"/>
        </w:rPr>
        <w:t>.</w:t>
      </w:r>
    </w:p>
    <w:p>
      <w:pPr>
        <w:pStyle w:val="Heading5"/>
        <w:numPr>
          <w:ilvl w:val="4"/>
          <w:numId w:val="1"/>
        </w:numPr>
        <w:rPr/>
      </w:pPr>
      <w:bookmarkStart w:id="839" w:name="__RefHeading___Toc3807701_1067777946"/>
      <w:bookmarkStart w:id="840" w:name="_Toc363"/>
      <w:bookmarkEnd w:id="839"/>
      <w:r>
        <w:rPr>
          <w:rtl w:val="true"/>
        </w:rPr>
        <w:t>وجوب تكسّب</w:t>
      </w:r>
      <w:bookmarkEnd w:id="840"/>
    </w:p>
    <w:p>
      <w:pPr>
        <w:pStyle w:val="BookText"/>
        <w:rPr/>
      </w:pPr>
      <w:r>
        <w:rPr>
          <w:rFonts w:ascii="IRNazanin" w:hAnsi="IRNazanin" w:eastAsia="IRNazanin"/>
          <w:color w:val="111111"/>
          <w:sz w:val="28"/>
          <w:sz w:val="28"/>
          <w:szCs w:val="28"/>
          <w:rtl w:val="true"/>
          <w:lang w:bidi="fa-IR"/>
        </w:rPr>
        <w:t>و واجب است تكسّب مقدور براى حفظ نفس از تلف؛ و هم چنين در تحصيل نفقۀ زوجۀ واجب النفقه؛ و در ساير اقارب، اقرب وجوب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مثل ضيافت در قريب، اطعام بر او ساقط است، به خلاف زوجه</w:t>
      </w:r>
      <w:r>
        <w:rPr>
          <w:rFonts w:eastAsia="Amiri" w:cs="Amiri" w:ascii="Amiri" w:hAnsi="Amiri"/>
          <w:color w:val="111111"/>
          <w:sz w:val="28"/>
          <w:szCs w:val="28"/>
          <w:rtl w:val="true"/>
          <w:lang w:bidi="ar-SA"/>
        </w:rPr>
        <w:t>.</w:t>
      </w:r>
    </w:p>
    <w:p>
      <w:pPr>
        <w:pStyle w:val="Heading5"/>
        <w:numPr>
          <w:ilvl w:val="4"/>
          <w:numId w:val="1"/>
        </w:numPr>
        <w:rPr/>
      </w:pPr>
      <w:bookmarkStart w:id="841" w:name="__RefHeading___Toc3807703_1067777946"/>
      <w:bookmarkStart w:id="842" w:name="_Toc364"/>
      <w:bookmarkEnd w:id="841"/>
      <w:r>
        <w:rPr>
          <w:rtl w:val="true"/>
        </w:rPr>
        <w:t>تزويج واجب النفقه</w:t>
      </w:r>
      <w:bookmarkEnd w:id="842"/>
    </w:p>
    <w:p>
      <w:pPr>
        <w:pStyle w:val="BookText"/>
        <w:rPr/>
      </w:pPr>
      <w:r>
        <w:rPr>
          <w:rFonts w:ascii="IRNazanin" w:hAnsi="IRNazanin" w:eastAsia="IRNazanin"/>
          <w:color w:val="111111"/>
          <w:sz w:val="28"/>
          <w:sz w:val="28"/>
          <w:szCs w:val="28"/>
          <w:rtl w:val="true"/>
          <w:lang w:bidi="fa-IR"/>
        </w:rPr>
        <w:t>و اعفاف واجب النفقه به تزويج و نحو آن واجب نيست مگر آنكه به حدّ مؤدّىِ به مرض برسد كه حكم معالجه و دوا را دارد، نه حكم نفقۀ واجبه</w:t>
      </w:r>
      <w:r>
        <w:rPr>
          <w:rFonts w:eastAsia="IRNazanin" w:cs="IRNazanin"/>
          <w:color w:val="111111"/>
          <w:sz w:val="28"/>
          <w:szCs w:val="28"/>
          <w:rtl w:val="true"/>
          <w:lang w:bidi="fa-IR"/>
        </w:rPr>
        <w:t>.</w:t>
      </w:r>
    </w:p>
    <w:p>
      <w:pPr>
        <w:pStyle w:val="Heading5"/>
        <w:numPr>
          <w:ilvl w:val="4"/>
          <w:numId w:val="1"/>
        </w:numPr>
        <w:rPr/>
      </w:pPr>
      <w:bookmarkStart w:id="843" w:name="__RefHeading___Toc3807705_1067777946"/>
      <w:bookmarkStart w:id="844" w:name="_Toc365"/>
      <w:bookmarkEnd w:id="843"/>
      <w:r>
        <w:rPr>
          <w:rtl w:val="true"/>
        </w:rPr>
        <w:t>نفقۀ همسر پدر يا فرزند</w:t>
      </w:r>
      <w:bookmarkEnd w:id="84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چنين نفقۀ زوجۀ اب يا ابن، واجب نيست مگر اينكه به منزلۀ خادم و مركوب، </w:t>
      </w:r>
      <w:bookmarkStart w:id="845" w:name="pg10265_89908"/>
    </w:p>
    <w:p>
      <w:pPr>
        <w:pStyle w:val="BookText"/>
        <w:rPr/>
      </w:pPr>
      <w:bookmarkEnd w:id="845"/>
      <w:r>
        <w:rPr>
          <w:rFonts w:ascii="IRNazanin" w:hAnsi="IRNazanin" w:eastAsia="IRNazanin"/>
          <w:color w:val="111111"/>
          <w:sz w:val="28"/>
          <w:sz w:val="28"/>
          <w:szCs w:val="28"/>
          <w:rtl w:val="true"/>
          <w:lang w:bidi="fa-IR"/>
        </w:rPr>
        <w:t>از ضروريات منفَق عليه باشد و واجب باشد غير سكنى و كسوه و اطعام در واجب النفقه از باب نفقۀ واجبۀ مملوكه، نه از جهت ديگر</w:t>
      </w:r>
      <w:r>
        <w:rPr>
          <w:rFonts w:eastAsia="IRNazanin" w:cs="IRNazanin"/>
          <w:color w:val="111111"/>
          <w:sz w:val="28"/>
          <w:szCs w:val="28"/>
          <w:rtl w:val="true"/>
          <w:lang w:bidi="fa-IR"/>
        </w:rPr>
        <w:t>.</w:t>
      </w:r>
    </w:p>
    <w:p>
      <w:pPr>
        <w:pStyle w:val="Heading5"/>
        <w:numPr>
          <w:ilvl w:val="4"/>
          <w:numId w:val="1"/>
        </w:numPr>
        <w:rPr/>
      </w:pPr>
      <w:bookmarkStart w:id="846" w:name="__RefHeading___Toc3807707_1067777946"/>
      <w:bookmarkStart w:id="847" w:name="_Toc366"/>
      <w:bookmarkEnd w:id="846"/>
      <w:r>
        <w:rPr>
          <w:rtl w:val="true"/>
        </w:rPr>
        <w:t>قضايى نبودن و ذمّى نبودن نفقۀ اقارب</w:t>
      </w:r>
      <w:bookmarkEnd w:id="847"/>
    </w:p>
    <w:p>
      <w:pPr>
        <w:pStyle w:val="BookText"/>
        <w:rPr/>
      </w:pPr>
      <w:r>
        <w:rPr>
          <w:rFonts w:ascii="IRNazanin" w:hAnsi="IRNazanin" w:eastAsia="IRNazanin"/>
          <w:color w:val="111111"/>
          <w:sz w:val="28"/>
          <w:sz w:val="28"/>
          <w:szCs w:val="28"/>
          <w:rtl w:val="true"/>
          <w:lang w:bidi="fa-IR"/>
        </w:rPr>
        <w:t>و نفقۀ اقارب قضا نمى شود و دَين ثابت در ذمّه نيست مگر آنكه به وجه صحيحى به وسيلۀ حاكم يا عدول مؤمنين استدانه بشود بر ذمۀ منفق، كه واجب است اداى اين دين</w:t>
      </w:r>
      <w:r>
        <w:rPr>
          <w:rFonts w:eastAsia="IRNazanin" w:cs="IRNazanin"/>
          <w:color w:val="111111"/>
          <w:sz w:val="28"/>
          <w:szCs w:val="28"/>
          <w:rtl w:val="true"/>
          <w:lang w:bidi="fa-IR"/>
        </w:rPr>
        <w:t>.</w:t>
      </w:r>
    </w:p>
    <w:p>
      <w:pPr>
        <w:pStyle w:val="Heading4"/>
        <w:numPr>
          <w:ilvl w:val="3"/>
          <w:numId w:val="1"/>
        </w:numPr>
        <w:rPr/>
      </w:pPr>
      <w:bookmarkStart w:id="848" w:name="__RefHeading___Toc3807709_1067777946"/>
      <w:bookmarkStart w:id="849" w:name="_Toc367"/>
      <w:bookmarkEnd w:id="848"/>
      <w:r>
        <w:rPr>
          <w:rtl w:val="true"/>
        </w:rPr>
        <w:t>احكام نفقۀ اقارب</w:t>
      </w:r>
      <w:bookmarkEnd w:id="849"/>
    </w:p>
    <w:p>
      <w:pPr>
        <w:pStyle w:val="Heading5"/>
        <w:numPr>
          <w:ilvl w:val="4"/>
          <w:numId w:val="1"/>
        </w:numPr>
        <w:rPr/>
      </w:pPr>
      <w:bookmarkStart w:id="850" w:name="__RefHeading___Toc3807711_1067777946"/>
      <w:bookmarkStart w:id="851" w:name="_Toc368"/>
      <w:bookmarkEnd w:id="850"/>
      <w:r>
        <w:rPr>
          <w:rtl w:val="true"/>
        </w:rPr>
        <w:t>ترتيب در منفِق در نفقۀ اقارب</w:t>
      </w:r>
      <w:bookmarkEnd w:id="8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نفقۀ ولد، چه پسر باشد چه دختر، بر پدر است؛ و اگر پدر نباشد يا فقير باشد، بر پدر پدر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ترتيب در اجداد پدرى؛ و اگر هيچ كدام نباشند يا همه فقير باشند بر مادر ولد است؛ و اگر نباشد يا آنكه فقير باشد، بر پدر و مادر مادر است به ترتيب الاقرب فالاقرب اگر چه اقرب انثىٰ و ابعد ذكر باشد، مثل جدّ امّ و مادر امّ و جدّۀ مادر با پدر مادر، كه انفاق بر اقرب به امّ است؛ و با مساوات شريكند در انفاق اگر چه مختلف در ذكورت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آباى امهات اب با امهات امهات اب در صورت اتّحاد درجه شريكند؛ و با تفاوت، اقرب منفق است اگر چه ام اب باشد، نه ابعد اگر اب ام 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والد و ولد داشته باشد، شريك هستند در انفاق بر متوسط فقير، و اقربيّت به اين فقير، موجب تقدم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 ولد با جدّ شريك مى شود در انفاق، و محتمل است تقدم بنوّت اگر چه در بنت باشد، بر امومت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اجتماع اب و جدّ ابى، نفقه بر اب است؛ و اگر مادر و جدّۀ مادرى باشد، چه ابى و چه امى از مادر، نفقه بر مادر است؛ و اگر مادر با جد ابى باشد يعنى از پدر، نفقه بر 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صاحبِ اولاد اغنيا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ذكور باشند چه اناث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متشارك در نفقه و مقدار آن هستند؛ و اگر مختلف باشند، اظهر اشتراك در نفقه على السويه مى باشد، و موسر و مكتسب فرقى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بنت با ابن ابن باشند، نفقه </w:t>
      </w:r>
      <w:bookmarkStart w:id="852" w:name="pg10265_89909"/>
    </w:p>
    <w:p>
      <w:pPr>
        <w:pStyle w:val="BookText"/>
        <w:rPr/>
      </w:pPr>
      <w:bookmarkEnd w:id="852"/>
      <w:r>
        <w:rPr>
          <w:rFonts w:ascii="Amiri" w:hAnsi="Amiri" w:eastAsia="Amiri" w:cs="Amiri"/>
          <w:color w:val="111111"/>
          <w:sz w:val="28"/>
          <w:sz w:val="28"/>
          <w:szCs w:val="28"/>
          <w:rtl w:val="true"/>
          <w:lang w:bidi="ar-SA"/>
        </w:rPr>
        <w:t>بر بنت است كه اقرب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اجتماع ام و بنت، آيا رجحان با بنت است يا مساوى هستند؟ محل تأمل است، و احتياط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اب با ولد ولد باشد، نفقه بر 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جدّ با ولد ولد باشند، شريك هستند</w:t>
      </w:r>
      <w:r>
        <w:rPr>
          <w:rFonts w:eastAsia="IRNazanin" w:cs="IRNazanin"/>
          <w:color w:val="111111"/>
          <w:sz w:val="28"/>
          <w:szCs w:val="28"/>
          <w:rtl w:val="true"/>
          <w:lang w:bidi="fa-IR"/>
        </w:rPr>
        <w:t>.</w:t>
      </w:r>
    </w:p>
    <w:p>
      <w:pPr>
        <w:pStyle w:val="Heading5"/>
        <w:numPr>
          <w:ilvl w:val="4"/>
          <w:numId w:val="1"/>
        </w:numPr>
        <w:rPr/>
      </w:pPr>
      <w:bookmarkStart w:id="853" w:name="__RefHeading___Toc3807713_1067777946"/>
      <w:bookmarkStart w:id="854" w:name="_Toc369"/>
      <w:bookmarkEnd w:id="853"/>
      <w:r>
        <w:rPr>
          <w:rtl w:val="true"/>
        </w:rPr>
        <w:t>چندين مسأله دربارۀ ترتيب در انفاق</w:t>
      </w:r>
      <w:bookmarkEnd w:id="85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ترتيب منفق عليه، نفس اولى است و مقدم است بر زوجه؛ لكن تقدم مملوك و دابۀ شخص بر نفقۀ زوجه، ثابت نيست، بلكه اظهر عكس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نفقۀ زوجه بر اقارب مقدّم است، چنانكه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تمكّن از نفقۀ همه اقارب، انفاق بر همه لازم است؛ و در صورت مزاحمت در تمكّن، اقرب مقدم است در انفاق بر اَبعد؛ و در صورت تساوى در درجه، شريكند در قدر انفاق، مثل ابوين يا ابن و بنت يا اب با ابن، به خلاف اب و جدّ يا ام و جدّه كه اقرب مخصوص به نفقۀ حاضره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تنصيف بين دو شريك مثلاً، نافع به هيچ كدام نمى شود، با قرعه تعيين مى شود مخصوص به نفقه بنابر احوط؛ و احتمال تقسيم اگر چه به نصف كفايت شبانه روزى، قائم است، و تراضى همه به قرعه يا تقسيم مذكور، احوط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ترجيح به اشدّيّت حاجت، محتمل و مقتضاى احتياط است؛ و در تعارض احتياطها مخيّر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اجداد از 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 و 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اجداد از 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 و 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 درجه، متساوى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چنين اولاد اولاد، با اجداد شريك مى شوند با تساوى در نسبت به شخص از حيث قلّت واسطه يا كثرت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يك درجه، ذكور و اناث متساوى هستند اگر چه در ارث مختلف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اب و جدّ موسر داشته باشد، نفقه بر پدر؛ و اگر ابن و اب موسر داشته باشد،</w:t>
      </w:r>
      <w:bookmarkStart w:id="855" w:name="pg10265_89910"/>
    </w:p>
    <w:p>
      <w:pPr>
        <w:pStyle w:val="BookText"/>
        <w:rPr/>
      </w:pPr>
      <w:bookmarkEnd w:id="855"/>
      <w:r>
        <w:rPr>
          <w:rFonts w:ascii="Amiri" w:hAnsi="Amiri" w:eastAsia="Amiri" w:cs="Amiri"/>
          <w:color w:val="111111"/>
          <w:sz w:val="28"/>
          <w:sz w:val="28"/>
          <w:szCs w:val="28"/>
          <w:rtl w:val="true"/>
          <w:lang w:bidi="ar-SA"/>
        </w:rPr>
        <w:t>نفقه بر هر دو بالسّويّه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صاحب دو ولد بود و قادر بر نفقۀ يكى بيش نبود و پدرى داشت موسر، نفقۀ ديگرى بر پدر است، كه از اولاد او است و منفق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يكى از آنها به واسطۀ قلت مال و قلت نفقۀ يكى مخصوص به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مختص به همان يكى مى شود؛ و اگر متساوى باشند، شريك در انفاق هر دو مى شوند</w:t>
      </w:r>
      <w:r>
        <w:rPr>
          <w:rFonts w:eastAsia="IRNazanin" w:cs="IRNazanin"/>
          <w:color w:val="111111"/>
          <w:sz w:val="28"/>
          <w:szCs w:val="28"/>
          <w:rtl w:val="true"/>
          <w:lang w:bidi="fa-IR"/>
        </w:rPr>
        <w:t>.</w:t>
      </w:r>
    </w:p>
    <w:p>
      <w:pPr>
        <w:pStyle w:val="Heading5"/>
        <w:numPr>
          <w:ilvl w:val="4"/>
          <w:numId w:val="1"/>
        </w:numPr>
        <w:rPr/>
      </w:pPr>
      <w:bookmarkStart w:id="856" w:name="__RefHeading___Toc3807715_1067777946"/>
      <w:bookmarkStart w:id="857" w:name="_Toc370"/>
      <w:bookmarkEnd w:id="856"/>
      <w:r>
        <w:rPr>
          <w:rtl w:val="true"/>
        </w:rPr>
        <w:t>امتناع از انفاق</w:t>
      </w:r>
      <w:bookmarkEnd w:id="85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امتناع كرد از انفاق واجب در وقت مطلقاً و در زوجه مطلقاً، حاكم اجبار بر آن مى نمايد؛ و اگر ممكن نباشد، عدول مؤمنين؛ پس اگر ممتنع شد، حبس مى نمايد او را؛ پس اگر مالى ظاهر داشته باشد و بر امتناع مصرّ باشد، جايز است از مال او صرف در واجب مالى او نمايد؛ و اگر از عروض است مى تواند بيع نمايد و از ثمن آنها صرف در انفاق نمايد</w:t>
      </w:r>
      <w:r>
        <w:rPr>
          <w:rFonts w:eastAsia="IRNazanin" w:cs="IRNazanin"/>
          <w:color w:val="111111"/>
          <w:sz w:val="28"/>
          <w:szCs w:val="28"/>
          <w:rtl w:val="true"/>
          <w:lang w:bidi="fa-IR"/>
        </w:rPr>
        <w:t>.</w:t>
      </w:r>
    </w:p>
    <w:p>
      <w:pPr>
        <w:pStyle w:val="Heading4"/>
        <w:numPr>
          <w:ilvl w:val="3"/>
          <w:numId w:val="1"/>
        </w:numPr>
        <w:rPr/>
      </w:pPr>
      <w:bookmarkStart w:id="858" w:name="__RefHeading___Toc3807717_1067777946"/>
      <w:bookmarkStart w:id="859" w:name="_Toc371"/>
      <w:bookmarkEnd w:id="858"/>
      <w:r>
        <w:rPr>
          <w:rtl w:val="true"/>
        </w:rPr>
        <w:t>نفقۀ مملوك</w:t>
      </w:r>
      <w:bookmarkEnd w:id="859"/>
    </w:p>
    <w:p>
      <w:pPr>
        <w:pStyle w:val="Heading5"/>
        <w:numPr>
          <w:ilvl w:val="4"/>
          <w:numId w:val="1"/>
        </w:numPr>
        <w:rPr/>
      </w:pPr>
      <w:bookmarkStart w:id="860" w:name="__RefHeading___Toc3807719_1067777946"/>
      <w:bookmarkStart w:id="861" w:name="_Toc372"/>
      <w:bookmarkEnd w:id="860"/>
      <w:r>
        <w:rPr>
          <w:rtl w:val="true"/>
        </w:rPr>
        <w:t>اشاره</w:t>
      </w:r>
      <w:bookmarkEnd w:id="861"/>
    </w:p>
    <w:p>
      <w:pPr>
        <w:pStyle w:val="BookText"/>
        <w:rPr/>
      </w:pPr>
      <w:r>
        <w:rPr>
          <w:rFonts w:ascii="IRNazanin" w:hAnsi="IRNazanin" w:eastAsia="IRNazanin"/>
          <w:color w:val="111111"/>
          <w:sz w:val="28"/>
          <w:sz w:val="28"/>
          <w:szCs w:val="28"/>
          <w:rtl w:val="true"/>
          <w:lang w:bidi="fa-IR"/>
        </w:rPr>
        <w:t>واجب است انفاق به قدر كفايت به نحو آتى بر مملوك، چه غلام و كنيز باشد، يا از بهائم باشد</w:t>
      </w:r>
      <w:r>
        <w:rPr>
          <w:rFonts w:eastAsia="IRNazanin" w:cs="IRNazanin"/>
          <w:color w:val="111111"/>
          <w:sz w:val="28"/>
          <w:szCs w:val="28"/>
          <w:rtl w:val="true"/>
          <w:lang w:bidi="fa-IR"/>
        </w:rPr>
        <w:t>.</w:t>
      </w:r>
    </w:p>
    <w:p>
      <w:pPr>
        <w:pStyle w:val="Heading5"/>
        <w:numPr>
          <w:ilvl w:val="4"/>
          <w:numId w:val="1"/>
        </w:numPr>
        <w:rPr/>
      </w:pPr>
      <w:bookmarkStart w:id="862" w:name="__RefHeading___Toc3807721_1067777946"/>
      <w:bookmarkStart w:id="863" w:name="_Toc373"/>
      <w:bookmarkEnd w:id="862"/>
      <w:r>
        <w:rPr>
          <w:rtl w:val="true"/>
        </w:rPr>
        <w:t>نفقۀ غلام و كنيز</w:t>
      </w:r>
      <w:bookmarkEnd w:id="863"/>
    </w:p>
    <w:p>
      <w:pPr>
        <w:pStyle w:val="BookText"/>
        <w:rPr/>
      </w:pPr>
      <w:r>
        <w:rPr>
          <w:rFonts w:ascii="IRNazanin" w:hAnsi="IRNazanin" w:eastAsia="IRNazanin"/>
          <w:color w:val="111111"/>
          <w:sz w:val="28"/>
          <w:sz w:val="28"/>
          <w:szCs w:val="28"/>
          <w:rtl w:val="true"/>
          <w:lang w:bidi="fa-IR"/>
        </w:rPr>
        <w:t>در مملوك، فرقى بين اقسام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كَسوب مخيّر است مولى بين انفاق از كسب و غير آن از ساير اموال خودش، و بر او است اتمام ناقص، و براى او است زيادتى كسب از نفقۀ واجبه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كيفيّت انفاق و جنس نفقه، مرجع، معتاد بلد با ملاحظۀ حال مالك و مملوك است چنانچه در نفقۀ زوجه گذشت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امتناع از انفاق واجب كرد، اجبار مى شود به يكى از بيع و انفاق اگر چه از كسب مملوك باشد؛ و با عدم امكان يكى، ديگرى متعين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داخل است در </w:t>
      </w:r>
      <w:bookmarkStart w:id="864" w:name="pg10265_89911"/>
    </w:p>
    <w:p>
      <w:pPr>
        <w:pStyle w:val="BookText"/>
        <w:rPr/>
      </w:pPr>
      <w:bookmarkEnd w:id="864"/>
      <w:r>
        <w:rPr>
          <w:rFonts w:ascii="IRNazanin" w:hAnsi="IRNazanin" w:eastAsia="IRNazanin"/>
          <w:color w:val="111111"/>
          <w:sz w:val="28"/>
          <w:sz w:val="28"/>
          <w:szCs w:val="28"/>
          <w:rtl w:val="true"/>
          <w:lang w:bidi="fa-IR"/>
        </w:rPr>
        <w:t>اين حكم، اقسام مملوك؛ اما امّ ولد پس با تعذر جميع انحا انفاق بر او حتى بيت المال و مال عموم مسلمين و مثل تزويج يا امر او به تكسب و نحو اينها، جايز است بيع او بنابر اظهر، براى تخلص از مهلكه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جايز است معامله با عبد به جعل ضريبه اى از كسب او براى مالك، و زايد براى انفاق بر خود با قبول عبد بنابر احوط؛ و زايد اگر كافى براى نفقه نشد، بر مولىٰ 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جايز نيست جعل بر عبد مقدارى را كه كسب او كافى براى آن مقدار نيست و چنين قرارى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زيادتى، كافى براى نفقه نيست، مانعى از نفوذ قرار و وجوب تكميل بر مولى نيست، و در لزوم اين معامله و عدم جوازِ رجوعِ مولى، تأمل است</w:t>
      </w:r>
      <w:r>
        <w:rPr>
          <w:rFonts w:eastAsia="IRNazanin" w:cs="IRNazanin"/>
          <w:color w:val="111111"/>
          <w:sz w:val="28"/>
          <w:szCs w:val="28"/>
          <w:rtl w:val="true"/>
          <w:lang w:bidi="fa-IR"/>
        </w:rPr>
        <w:t>.</w:t>
      </w:r>
    </w:p>
    <w:p>
      <w:pPr>
        <w:pStyle w:val="Heading5"/>
        <w:numPr>
          <w:ilvl w:val="4"/>
          <w:numId w:val="1"/>
        </w:numPr>
        <w:rPr/>
      </w:pPr>
      <w:bookmarkStart w:id="865" w:name="__RefHeading___Toc3807723_1067777946"/>
      <w:bookmarkStart w:id="866" w:name="_Toc374"/>
      <w:bookmarkEnd w:id="865"/>
      <w:r>
        <w:rPr>
          <w:rtl w:val="true"/>
        </w:rPr>
        <w:t>نفقۀ بهائم</w:t>
      </w:r>
      <w:bookmarkEnd w:id="866"/>
    </w:p>
    <w:p>
      <w:pPr>
        <w:pStyle w:val="Heading6"/>
        <w:numPr>
          <w:ilvl w:val="5"/>
          <w:numId w:val="1"/>
        </w:numPr>
        <w:rPr/>
      </w:pPr>
      <w:bookmarkStart w:id="867" w:name="__RefHeading___Toc3807725_1067777946"/>
      <w:bookmarkStart w:id="868" w:name="_Toc375"/>
      <w:bookmarkEnd w:id="867"/>
      <w:r>
        <w:rPr>
          <w:rtl w:val="true"/>
        </w:rPr>
        <w:t>وجوب انفاق بر بهائم مملوكه</w:t>
      </w:r>
      <w:bookmarkEnd w:id="868"/>
    </w:p>
    <w:p>
      <w:pPr>
        <w:pStyle w:val="BookText"/>
        <w:rPr/>
      </w:pPr>
      <w:r>
        <w:rPr>
          <w:rFonts w:ascii="IRNazanin" w:hAnsi="IRNazanin" w:eastAsia="IRNazanin"/>
          <w:color w:val="111111"/>
          <w:sz w:val="28"/>
          <w:sz w:val="28"/>
          <w:szCs w:val="28"/>
          <w:rtl w:val="true"/>
          <w:lang w:bidi="fa-IR"/>
        </w:rPr>
        <w:t>بر مالك است انفاق بر بهائم مملوكۀ خود به نحو كافى از همۀ جهات معتاده، چه مأكول باشد يا نه، اگر چه به رها كردن آن براى چريدن باشد؛ و اگر امتناع كرد، حاكم اجبار مى نمايد او را بر بيع، يا انفاق، يا ذبح در مقصود براى ذبح اگر چه براى پوست باشد؛ و اگر امتناع كرد، خود حاكم نايب مى شود براى آنچه اصلح به حال مالك است و در او نجات مملوك است؛ پس اگر اصلح اجارۀ آن را دانست به نحوى كه اجرت، كافى در انفاق است، همان را اختيار مى نمايد، و در بيع هم اگر كافى و اصلح و ميسور، بيع بعض است، نوبت به بيع تمام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يك فرد از اطراف تخيير ممكن نشد، واجب متعيّن اختيار غير آن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صورت عدم وجود علف مگر نزد كسى كه راضى به بيع نباشد و مضر به حال او نباشد، و غير انفاق، مضر به حال مالك دابه باشد، احوط رجوع به حاكم است</w:t>
      </w:r>
      <w:r>
        <w:rPr>
          <w:rFonts w:eastAsia="IRNazanin" w:cs="IRNazanin"/>
          <w:color w:val="111111"/>
          <w:sz w:val="28"/>
          <w:szCs w:val="28"/>
          <w:rtl w:val="true"/>
          <w:lang w:bidi="fa-IR"/>
        </w:rPr>
        <w:t xml:space="preserve">. </w:t>
      </w:r>
      <w:bookmarkStart w:id="869" w:name="pg10265_89912"/>
    </w:p>
    <w:p>
      <w:pPr>
        <w:pStyle w:val="Heading6"/>
        <w:numPr>
          <w:ilvl w:val="5"/>
          <w:numId w:val="1"/>
        </w:numPr>
        <w:rPr/>
      </w:pPr>
      <w:bookmarkStart w:id="870" w:name="__RefHeading___Toc3807727_1067777946"/>
      <w:bookmarkStart w:id="871" w:name="_Toc376"/>
      <w:bookmarkEnd w:id="869"/>
      <w:bookmarkEnd w:id="870"/>
      <w:r>
        <w:rPr>
          <w:rtl w:val="true"/>
        </w:rPr>
        <w:t>احكام دوشيدن شير حيوان</w:t>
      </w:r>
      <w:bookmarkEnd w:id="871"/>
    </w:p>
    <w:p>
      <w:pPr>
        <w:pStyle w:val="BookText"/>
        <w:rPr/>
      </w:pPr>
      <w:r>
        <w:rPr>
          <w:rFonts w:ascii="IRNazanin" w:hAnsi="IRNazanin" w:eastAsia="IRNazanin"/>
          <w:color w:val="111111"/>
          <w:sz w:val="28"/>
          <w:sz w:val="28"/>
          <w:szCs w:val="28"/>
          <w:rtl w:val="true"/>
          <w:lang w:bidi="fa-IR"/>
        </w:rPr>
        <w:t xml:space="preserve">و اگر دابه ولدى دارد، به قدر كفايت از 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تنهايى يا با ضميمۀ علف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ولد قرار مى دهد و در باقى، مالك تصرف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حلب نمى نمايد در صورت اضرار بخود دابه؛ و اگر مضرّ نيست، گاهى واجب است حلب اگر ترك آن تضييع مال است يا اضرار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مبالغه و استقصا در حلب نمى كند، چون كه اضرار است</w:t>
      </w:r>
      <w:r>
        <w:rPr>
          <w:rFonts w:eastAsia="IRNazanin" w:cs="IRNazanin"/>
          <w:color w:val="111111"/>
          <w:sz w:val="28"/>
          <w:szCs w:val="28"/>
          <w:rtl w:val="true"/>
          <w:lang w:bidi="fa-IR"/>
        </w:rPr>
        <w:t>.</w:t>
      </w:r>
    </w:p>
    <w:p>
      <w:pPr>
        <w:pStyle w:val="Heading4"/>
        <w:numPr>
          <w:ilvl w:val="3"/>
          <w:numId w:val="1"/>
        </w:numPr>
        <w:rPr/>
      </w:pPr>
      <w:bookmarkStart w:id="872" w:name="__RefHeading___Toc3807729_1067777946"/>
      <w:bookmarkStart w:id="873" w:name="_Toc377"/>
      <w:bookmarkEnd w:id="872"/>
      <w:r>
        <w:rPr>
          <w:rtl w:val="true"/>
        </w:rPr>
        <w:t>نفقۀ اموال</w:t>
      </w:r>
      <w:bookmarkEnd w:id="87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وجوب تعمير مناسب در آنچه ترك آن مؤدى به خراب است، از خانه و زمين زراعت و اشجار، پس داير مدار عنوان تضييع مال و اسراف با قدرت است</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4" w:name="pg10265_89914"/>
      <w:bookmarkStart w:id="875" w:name="pg10265_89914"/>
      <w:bookmarkEnd w:id="875"/>
    </w:p>
    <w:p>
      <w:pPr>
        <w:pStyle w:val="Heading2"/>
        <w:numPr>
          <w:ilvl w:val="1"/>
          <w:numId w:val="1"/>
        </w:numPr>
        <w:rPr/>
      </w:pPr>
      <w:bookmarkStart w:id="876" w:name="pg10265_89914"/>
      <w:bookmarkStart w:id="877" w:name="__RefHeading___Toc3807731_1067777946"/>
      <w:bookmarkStart w:id="878" w:name="_Toc378"/>
      <w:bookmarkEnd w:id="876"/>
      <w:bookmarkEnd w:id="877"/>
      <w:r>
        <w:rPr>
          <w:rtl w:val="true"/>
        </w:rPr>
        <w:t>كتاب طلاق</w:t>
      </w:r>
      <w:bookmarkEnd w:id="878"/>
    </w:p>
    <w:p>
      <w:pPr>
        <w:pStyle w:val="Heading3"/>
        <w:numPr>
          <w:ilvl w:val="2"/>
          <w:numId w:val="1"/>
        </w:numPr>
        <w:rPr/>
      </w:pPr>
      <w:bookmarkStart w:id="879" w:name="__RefHeading___Toc3807733_1067777946"/>
      <w:bookmarkStart w:id="880" w:name="_Toc379"/>
      <w:bookmarkEnd w:id="879"/>
      <w:r>
        <w:rPr>
          <w:rtl w:val="true"/>
        </w:rPr>
        <w:t>اشاره</w:t>
      </w:r>
      <w:bookmarkEnd w:id="880"/>
    </w:p>
    <w:p>
      <w:pPr>
        <w:pStyle w:val="BookText"/>
        <w:rPr/>
      </w:pPr>
      <w:r>
        <w:rPr>
          <w:rFonts w:ascii="Amiri" w:hAnsi="Amiri" w:eastAsia="Amiri" w:cs="Amiri"/>
          <w:color w:val="111111"/>
          <w:sz w:val="28"/>
          <w:sz w:val="28"/>
          <w:szCs w:val="28"/>
          <w:rtl w:val="true"/>
          <w:lang w:bidi="ar-SA"/>
        </w:rPr>
        <w:t>شرايط طلاق دهنده</w:t>
      </w:r>
    </w:p>
    <w:p>
      <w:pPr>
        <w:pStyle w:val="BookText"/>
        <w:rPr/>
      </w:pPr>
      <w:r>
        <w:rPr>
          <w:rFonts w:ascii="Amiri" w:hAnsi="Amiri" w:eastAsia="Amiri" w:cs="Amiri"/>
          <w:color w:val="111111"/>
          <w:sz w:val="28"/>
          <w:sz w:val="28"/>
          <w:szCs w:val="28"/>
          <w:rtl w:val="true"/>
          <w:lang w:bidi="ar-SA"/>
        </w:rPr>
        <w:t>شرايط مطلَّقه</w:t>
      </w:r>
    </w:p>
    <w:p>
      <w:pPr>
        <w:pStyle w:val="BookText"/>
        <w:rPr/>
      </w:pPr>
      <w:r>
        <w:rPr>
          <w:rFonts w:ascii="IRNazanin" w:hAnsi="IRNazanin" w:eastAsia="IRNazanin"/>
          <w:color w:val="111111"/>
          <w:sz w:val="28"/>
          <w:sz w:val="28"/>
          <w:szCs w:val="28"/>
          <w:rtl w:val="true"/>
          <w:lang w:bidi="fa-IR"/>
        </w:rPr>
        <w:t>اشهاد در طلاق</w:t>
      </w:r>
    </w:p>
    <w:p>
      <w:pPr>
        <w:pStyle w:val="BookText"/>
        <w:rPr/>
      </w:pPr>
      <w:r>
        <w:rPr>
          <w:rFonts w:ascii="Amiri" w:hAnsi="Amiri" w:eastAsia="Amiri" w:cs="Amiri"/>
          <w:color w:val="111111"/>
          <w:sz w:val="28"/>
          <w:sz w:val="28"/>
          <w:szCs w:val="28"/>
          <w:rtl w:val="true"/>
          <w:lang w:bidi="ar-SA"/>
        </w:rPr>
        <w:t>اقسام طلاق و صيغۀ آن</w:t>
      </w:r>
    </w:p>
    <w:p>
      <w:pPr>
        <w:pStyle w:val="BookText"/>
        <w:rPr/>
      </w:pPr>
      <w:r>
        <w:rPr>
          <w:rFonts w:ascii="Amiri" w:hAnsi="Amiri" w:eastAsia="Amiri" w:cs="Amiri"/>
          <w:color w:val="111111"/>
          <w:sz w:val="28"/>
          <w:sz w:val="28"/>
          <w:szCs w:val="28"/>
          <w:rtl w:val="true"/>
          <w:lang w:bidi="ar-SA"/>
        </w:rPr>
        <w:t>طلاق غايب و مريض</w:t>
      </w:r>
    </w:p>
    <w:p>
      <w:pPr>
        <w:pStyle w:val="BookText"/>
        <w:rPr/>
      </w:pPr>
      <w:r>
        <w:rPr>
          <w:rFonts w:ascii="Amiri" w:hAnsi="Amiri" w:eastAsia="Amiri" w:cs="Amiri"/>
          <w:color w:val="111111"/>
          <w:sz w:val="28"/>
          <w:sz w:val="28"/>
          <w:szCs w:val="28"/>
          <w:rtl w:val="true"/>
          <w:lang w:bidi="ar-SA"/>
        </w:rPr>
        <w:t>شروط تحليل</w:t>
      </w:r>
    </w:p>
    <w:p>
      <w:pPr>
        <w:pStyle w:val="BookText"/>
        <w:rPr/>
      </w:pPr>
      <w:r>
        <w:rPr>
          <w:rFonts w:ascii="Amiri" w:hAnsi="Amiri" w:eastAsia="Amiri" w:cs="Amiri"/>
          <w:color w:val="111111"/>
          <w:sz w:val="28"/>
          <w:sz w:val="28"/>
          <w:szCs w:val="28"/>
          <w:rtl w:val="true"/>
          <w:lang w:bidi="ar-SA"/>
        </w:rPr>
        <w:t>رجوع به نكاح</w:t>
      </w:r>
    </w:p>
    <w:p>
      <w:pPr>
        <w:pStyle w:val="BookText"/>
        <w:rPr/>
      </w:pPr>
      <w:r>
        <w:rPr>
          <w:rFonts w:ascii="IRNazanin" w:hAnsi="IRNazanin" w:eastAsia="IRNazanin"/>
          <w:color w:val="111111"/>
          <w:sz w:val="28"/>
          <w:sz w:val="28"/>
          <w:szCs w:val="28"/>
          <w:rtl w:val="true"/>
          <w:lang w:bidi="fa-IR"/>
        </w:rPr>
        <w:t>عدّه و اقسام آن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مسائلى از طلاق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1" w:name="pg10265_89916"/>
      <w:bookmarkStart w:id="882" w:name="pg10265_89916"/>
      <w:bookmarkEnd w:id="882"/>
    </w:p>
    <w:p>
      <w:pPr>
        <w:pStyle w:val="Heading3"/>
        <w:numPr>
          <w:ilvl w:val="2"/>
          <w:numId w:val="1"/>
        </w:numPr>
        <w:rPr/>
      </w:pPr>
      <w:bookmarkStart w:id="883" w:name="pg10265_89916"/>
      <w:bookmarkStart w:id="884" w:name="__RefHeading___Toc3807735_1067777946"/>
      <w:bookmarkStart w:id="885" w:name="_Toc380"/>
      <w:bookmarkEnd w:id="883"/>
      <w:bookmarkEnd w:id="884"/>
      <w:r>
        <w:rPr>
          <w:rtl w:val="true"/>
        </w:rPr>
        <w:t>فصل اوّل شرايط طلاق دهنده</w:t>
      </w:r>
      <w:bookmarkEnd w:id="885"/>
    </w:p>
    <w:p>
      <w:pPr>
        <w:pStyle w:val="Heading4"/>
        <w:numPr>
          <w:ilvl w:val="3"/>
          <w:numId w:val="1"/>
        </w:numPr>
        <w:rPr/>
      </w:pPr>
      <w:bookmarkStart w:id="886" w:name="__RefHeading___Toc3807737_1067777946"/>
      <w:bookmarkStart w:id="887" w:name="_Toc381"/>
      <w:bookmarkEnd w:id="886"/>
      <w:r>
        <w:rPr/>
        <w:t>1</w:t>
      </w:r>
      <w:r>
        <w:rPr>
          <w:rtl w:val="true"/>
        </w:rPr>
        <w:t xml:space="preserve">. </w:t>
      </w:r>
      <w:r>
        <w:rPr>
          <w:rtl w:val="true"/>
        </w:rPr>
        <w:t>بلوغ</w:t>
      </w:r>
      <w:bookmarkEnd w:id="887"/>
    </w:p>
    <w:p>
      <w:pPr>
        <w:pStyle w:val="BookText"/>
        <w:rPr/>
      </w:pPr>
      <w:r>
        <w:rPr>
          <w:rFonts w:ascii="IRNazanin" w:hAnsi="IRNazanin" w:eastAsia="IRNazanin"/>
          <w:color w:val="111111"/>
          <w:sz w:val="28"/>
          <w:sz w:val="28"/>
          <w:szCs w:val="28"/>
          <w:rtl w:val="true"/>
          <w:lang w:bidi="fa-IR"/>
        </w:rPr>
        <w:t>معتبر است در طلاق، بلوغ طلاق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صبىّ غير مميّز، طلاق او بى اثر است؛ و در مميز، اشهر عدم صحّت طلاق است به مباشرت يا توكيل؛ و در مميّزى كه سن او ده سال است، روايت و قول به صحّت طلاق هست و آن اظهر است، اگر چه احتياط اَولىٰ است</w:t>
      </w:r>
      <w:r>
        <w:rPr>
          <w:rFonts w:eastAsia="IRNazanin" w:cs="IRNazanin"/>
          <w:color w:val="111111"/>
          <w:sz w:val="28"/>
          <w:szCs w:val="28"/>
          <w:rtl w:val="true"/>
          <w:lang w:bidi="fa-IR"/>
        </w:rPr>
        <w:t>.</w:t>
      </w:r>
    </w:p>
    <w:p>
      <w:pPr>
        <w:pStyle w:val="Heading4"/>
        <w:numPr>
          <w:ilvl w:val="3"/>
          <w:numId w:val="1"/>
        </w:numPr>
        <w:rPr/>
      </w:pPr>
      <w:bookmarkStart w:id="888" w:name="__RefHeading___Toc3807739_1067777946"/>
      <w:bookmarkStart w:id="889" w:name="_Toc382"/>
      <w:bookmarkEnd w:id="888"/>
      <w:r>
        <w:rPr/>
        <w:t>2</w:t>
      </w:r>
      <w:r>
        <w:rPr>
          <w:rtl w:val="true"/>
        </w:rPr>
        <w:t xml:space="preserve">. </w:t>
      </w:r>
      <w:r>
        <w:rPr>
          <w:rtl w:val="true"/>
        </w:rPr>
        <w:t>عقل</w:t>
      </w:r>
      <w:bookmarkEnd w:id="889"/>
    </w:p>
    <w:p>
      <w:pPr>
        <w:pStyle w:val="Heading5"/>
        <w:numPr>
          <w:ilvl w:val="4"/>
          <w:numId w:val="1"/>
        </w:numPr>
        <w:rPr/>
      </w:pPr>
      <w:bookmarkStart w:id="890" w:name="__RefHeading___Toc3807741_1067777946"/>
      <w:bookmarkStart w:id="891" w:name="_Toc383"/>
      <w:bookmarkEnd w:id="890"/>
      <w:r>
        <w:rPr>
          <w:rtl w:val="true"/>
        </w:rPr>
        <w:t>اشاره</w:t>
      </w:r>
      <w:bookmarkEnd w:id="891"/>
    </w:p>
    <w:p>
      <w:pPr>
        <w:pStyle w:val="BookText"/>
        <w:rPr/>
      </w:pPr>
      <w:r>
        <w:rPr>
          <w:rFonts w:ascii="IRNazanin" w:hAnsi="IRNazanin" w:eastAsia="IRNazanin"/>
          <w:color w:val="111111"/>
          <w:sz w:val="28"/>
          <w:sz w:val="28"/>
          <w:szCs w:val="28"/>
          <w:rtl w:val="true"/>
          <w:lang w:bidi="fa-IR"/>
        </w:rPr>
        <w:t xml:space="preserve">و طلاق ولىّ از فاسد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پدر و جدّ ابى باشد يا حاكم در صورت فقد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با عدم مفسده و ضرر، چه آنكه فساد مستمر باشد يا غير مستمر، با عدم تعقل در زمان تمام طلاق؛ و فرقى بين فساد متصل به ما قبل از بلوغ و غير آن نيست بنابر اظهر</w:t>
      </w:r>
      <w:r>
        <w:rPr>
          <w:rFonts w:eastAsia="IRNazanin" w:cs="IRNazanin"/>
          <w:color w:val="111111"/>
          <w:sz w:val="28"/>
          <w:szCs w:val="28"/>
          <w:rtl w:val="true"/>
          <w:lang w:bidi="fa-IR"/>
        </w:rPr>
        <w:t>.</w:t>
      </w:r>
    </w:p>
    <w:p>
      <w:pPr>
        <w:pStyle w:val="Heading5"/>
        <w:numPr>
          <w:ilvl w:val="4"/>
          <w:numId w:val="1"/>
        </w:numPr>
        <w:rPr/>
      </w:pPr>
      <w:bookmarkStart w:id="892" w:name="__RefHeading___Toc3807743_1067777946"/>
      <w:bookmarkStart w:id="893" w:name="_Toc384"/>
      <w:bookmarkEnd w:id="892"/>
      <w:r>
        <w:rPr>
          <w:rtl w:val="true"/>
        </w:rPr>
        <w:t>طلاق مجنون</w:t>
      </w:r>
      <w:bookmarkEnd w:id="89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طلاق مجنون صحيح نيست مگر آنكه ادوارى باشد و در حال افاقه، طلاق تامّ از او متمشّى باشد؛ و توكيل او مثل مباشرت او است؛ و ميزان، عدم تعقل است به حسب متعارف، نه مطلق ضعف عقل</w:t>
      </w:r>
      <w:r>
        <w:rPr>
          <w:rFonts w:eastAsia="IRNazanin" w:cs="IRNazanin"/>
          <w:color w:val="111111"/>
          <w:sz w:val="28"/>
          <w:szCs w:val="28"/>
          <w:rtl w:val="true"/>
          <w:lang w:bidi="fa-IR"/>
        </w:rPr>
        <w:t xml:space="preserve">. </w:t>
      </w:r>
      <w:bookmarkStart w:id="894" w:name="pg10265_89917"/>
    </w:p>
    <w:p>
      <w:pPr>
        <w:pStyle w:val="Heading4"/>
        <w:numPr>
          <w:ilvl w:val="3"/>
          <w:numId w:val="1"/>
        </w:numPr>
        <w:rPr/>
      </w:pPr>
      <w:bookmarkStart w:id="895" w:name="__RefHeading___Toc3807745_1067777946"/>
      <w:bookmarkStart w:id="896" w:name="_Toc385"/>
      <w:bookmarkEnd w:id="894"/>
      <w:bookmarkEnd w:id="895"/>
      <w:r>
        <w:rPr/>
        <w:t>3</w:t>
      </w:r>
      <w:r>
        <w:rPr>
          <w:rtl w:val="true"/>
        </w:rPr>
        <w:t xml:space="preserve">. </w:t>
      </w:r>
      <w:r>
        <w:rPr>
          <w:rtl w:val="true"/>
        </w:rPr>
        <w:t>قصد</w:t>
      </w:r>
      <w:bookmarkEnd w:id="896"/>
    </w:p>
    <w:p>
      <w:pPr>
        <w:pStyle w:val="BookText"/>
        <w:rPr/>
      </w:pPr>
      <w:r>
        <w:rPr>
          <w:rFonts w:ascii="IRNazanin" w:hAnsi="IRNazanin" w:eastAsia="IRNazanin"/>
          <w:color w:val="111111"/>
          <w:sz w:val="28"/>
          <w:sz w:val="28"/>
          <w:szCs w:val="28"/>
          <w:rtl w:val="true"/>
          <w:lang w:bidi="fa-IR"/>
        </w:rPr>
        <w:t xml:space="preserve">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نيست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سكرانِ غيرِ مميّز در زمان طلاق، و مغمى عليه و نائم در زمان عروض اينها، و ساهى و هازل و غالط و مغضبِ به غضب رافع قصد، و كسى كه اهل لغت نيست و معرفت به مدلول لفظ ندارد</w:t>
      </w:r>
      <w:r>
        <w:rPr>
          <w:rFonts w:eastAsia="IRNazanin" w:cs="IRNazanin"/>
          <w:color w:val="111111"/>
          <w:sz w:val="28"/>
          <w:szCs w:val="28"/>
          <w:rtl w:val="true"/>
          <w:lang w:bidi="fa-IR"/>
        </w:rPr>
        <w:t>.</w:t>
      </w:r>
    </w:p>
    <w:p>
      <w:pPr>
        <w:pStyle w:val="Heading4"/>
        <w:numPr>
          <w:ilvl w:val="3"/>
          <w:numId w:val="1"/>
        </w:numPr>
        <w:rPr/>
      </w:pPr>
      <w:bookmarkStart w:id="897" w:name="__RefHeading___Toc3807747_1067777946"/>
      <w:bookmarkStart w:id="898" w:name="_Toc386"/>
      <w:bookmarkEnd w:id="897"/>
      <w:r>
        <w:rPr/>
        <w:t>4</w:t>
      </w:r>
      <w:r>
        <w:rPr>
          <w:rtl w:val="true"/>
        </w:rPr>
        <w:t xml:space="preserve">. </w:t>
      </w:r>
      <w:r>
        <w:rPr>
          <w:rtl w:val="true"/>
        </w:rPr>
        <w:t>اختيار</w:t>
      </w:r>
      <w:bookmarkEnd w:id="898"/>
    </w:p>
    <w:p>
      <w:pPr>
        <w:pStyle w:val="Heading5"/>
        <w:numPr>
          <w:ilvl w:val="4"/>
          <w:numId w:val="1"/>
        </w:numPr>
        <w:rPr/>
      </w:pPr>
      <w:bookmarkStart w:id="899" w:name="__RefHeading___Toc3807749_1067777946"/>
      <w:bookmarkStart w:id="900" w:name="_Toc387"/>
      <w:bookmarkEnd w:id="899"/>
      <w:r>
        <w:rPr>
          <w:rtl w:val="true"/>
        </w:rPr>
        <w:t>نحوۀ تحقق اكراه در طلاق</w:t>
      </w:r>
      <w:bookmarkEnd w:id="900"/>
    </w:p>
    <w:p>
      <w:pPr>
        <w:pStyle w:val="BookText"/>
        <w:rPr/>
      </w:pPr>
      <w:r>
        <w:rPr>
          <w:rFonts w:ascii="IRNazanin" w:hAnsi="IRNazanin" w:eastAsia="IRNazanin"/>
          <w:color w:val="111111"/>
          <w:sz w:val="28"/>
          <w:sz w:val="28"/>
          <w:szCs w:val="28"/>
          <w:rtl w:val="true"/>
          <w:lang w:bidi="fa-IR"/>
        </w:rPr>
        <w:t>طلاقِ مكرَه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اكراه محقّق مى شود به تهديد مضر به حال شخص در خودش، يا آنكه جارى مجراى او باشد در نفس يا عِرض يا مال او، با قدرت مكرِه بر آن فعل و علم يا ظن به فعل او در تقدير ترك آنچه بر آن اكراه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بين قتل و جرح و اخذ مال و شتم و ضرب و حبس نيست؛ و رعايت حال شخص در قلّت و كثرت مال و تحقق اضرار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امر كرد به فعلى بدون تهديد بر ترك، لكن معلوم شد يا مظنون بود كه در تقدير تركِ انفاذ اوامر، اضرار مى نمايد، پس آن اكراه التزامى است؛ و مجرد خوف ضرر و عقوبت در ترك امتثال از اين قبيل است اگر خوف، ناشى از ظن حاصل از تجربه و نحو آن شده باشد</w:t>
      </w:r>
      <w:r>
        <w:rPr>
          <w:rFonts w:eastAsia="IRNazanin" w:cs="IRNazanin"/>
          <w:color w:val="111111"/>
          <w:sz w:val="28"/>
          <w:szCs w:val="28"/>
          <w:rtl w:val="true"/>
          <w:lang w:bidi="fa-IR"/>
        </w:rPr>
        <w:t>.</w:t>
      </w:r>
    </w:p>
    <w:p>
      <w:pPr>
        <w:pStyle w:val="Heading5"/>
        <w:numPr>
          <w:ilvl w:val="4"/>
          <w:numId w:val="1"/>
        </w:numPr>
        <w:rPr/>
      </w:pPr>
      <w:bookmarkStart w:id="901" w:name="__RefHeading___Toc3807751_1067777946"/>
      <w:bookmarkStart w:id="902" w:name="_Toc388"/>
      <w:bookmarkEnd w:id="901"/>
      <w:r>
        <w:rPr>
          <w:rtl w:val="true"/>
        </w:rPr>
        <w:t>طلاق مضطرّ</w:t>
      </w:r>
      <w:bookmarkEnd w:id="902"/>
    </w:p>
    <w:p>
      <w:pPr>
        <w:pStyle w:val="BookText"/>
        <w:rPr/>
      </w:pPr>
      <w:r>
        <w:rPr>
          <w:rFonts w:ascii="IRNazanin" w:hAnsi="IRNazanin" w:eastAsia="IRNazanin"/>
          <w:color w:val="111111"/>
          <w:sz w:val="28"/>
          <w:sz w:val="28"/>
          <w:szCs w:val="28"/>
          <w:rtl w:val="true"/>
          <w:lang w:bidi="fa-IR"/>
        </w:rPr>
        <w:t>و اگر بداند كه در تقدير بقاى زوجيّت، بعضى اضرار مى نمايند بدون امرى و الزامى مكشوف به كاشفى، پس آن اضطرار است نه اكراه، و طلاق در اين صورت مثل بيع مضطر صحيح است</w:t>
      </w:r>
      <w:r>
        <w:rPr>
          <w:rFonts w:eastAsia="IRNazanin" w:cs="IRNazanin"/>
          <w:color w:val="111111"/>
          <w:sz w:val="28"/>
          <w:szCs w:val="28"/>
          <w:rtl w:val="true"/>
          <w:lang w:bidi="fa-IR"/>
        </w:rPr>
        <w:t>.</w:t>
      </w:r>
    </w:p>
    <w:p>
      <w:pPr>
        <w:pStyle w:val="Heading5"/>
        <w:numPr>
          <w:ilvl w:val="4"/>
          <w:numId w:val="1"/>
        </w:numPr>
        <w:rPr/>
      </w:pPr>
      <w:bookmarkStart w:id="903" w:name="__RefHeading___Toc3807753_1067777946"/>
      <w:bookmarkStart w:id="904" w:name="_Toc389"/>
      <w:bookmarkEnd w:id="903"/>
      <w:r>
        <w:rPr>
          <w:rtl w:val="true"/>
        </w:rPr>
        <w:t>تخيير اكراهى بين طلاق يا دفع مال</w:t>
      </w:r>
      <w:bookmarkEnd w:id="90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مكرِه مخيّر كرد شخص را بين طلاق يا دفع مال مضر به حال كه غير مستحق است، اظهر تحقق اكراه است؛ به خلاف مال مستحَق مكرِه بر مكرَه؛ و هم چنين </w:t>
      </w:r>
      <w:bookmarkStart w:id="905" w:name="pg10265_89918"/>
    </w:p>
    <w:p>
      <w:pPr>
        <w:pStyle w:val="BookText"/>
        <w:rPr/>
      </w:pPr>
      <w:bookmarkEnd w:id="905"/>
      <w:r>
        <w:rPr>
          <w:rFonts w:ascii="IRNazanin" w:hAnsi="IRNazanin" w:eastAsia="IRNazanin"/>
          <w:color w:val="111111"/>
          <w:sz w:val="28"/>
          <w:sz w:val="28"/>
          <w:szCs w:val="28"/>
          <w:rtl w:val="true"/>
          <w:lang w:bidi="fa-IR"/>
        </w:rPr>
        <w:t>الزام به يكى غير معيّن در مستحق و در غير مستحق كه مرجع آن به تخيير مذكور است، پس اكراه است در غير مستحَق، و نيست در مستحَق مكرِه بر مكرَه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اكراه نيست اگر امر كرد به يك طلاق، پس طلاق داد به ازيد از آن، يعنى نسبت به طلاق متأخر از طلاق اوّل، يا آنكه با اكراه به طلاق معينه، طلاق داد از روى قصد، بدون تاثير اكراه در آن به حسب واقع</w:t>
      </w:r>
      <w:r>
        <w:rPr>
          <w:rFonts w:eastAsia="IRNazanin" w:cs="IRNazanin"/>
          <w:color w:val="111111"/>
          <w:sz w:val="28"/>
          <w:szCs w:val="28"/>
          <w:rtl w:val="true"/>
          <w:lang w:bidi="fa-IR"/>
        </w:rPr>
        <w:t>.</w:t>
      </w:r>
    </w:p>
    <w:p>
      <w:pPr>
        <w:pStyle w:val="Heading5"/>
        <w:numPr>
          <w:ilvl w:val="4"/>
          <w:numId w:val="1"/>
        </w:numPr>
        <w:rPr/>
      </w:pPr>
      <w:bookmarkStart w:id="906" w:name="__RefHeading___Toc3807755_1067777946"/>
      <w:bookmarkStart w:id="907" w:name="_Toc390"/>
      <w:bookmarkEnd w:id="906"/>
      <w:r>
        <w:rPr>
          <w:rtl w:val="true"/>
        </w:rPr>
        <w:t>اكراه بر طلاق يكىِ معيّن و غير معيّن</w:t>
      </w:r>
      <w:bookmarkEnd w:id="907"/>
    </w:p>
    <w:p>
      <w:pPr>
        <w:pStyle w:val="BookText"/>
        <w:rPr/>
      </w:pPr>
      <w:r>
        <w:rPr>
          <w:rFonts w:ascii="IRNazanin" w:hAnsi="IRNazanin" w:eastAsia="IRNazanin"/>
          <w:color w:val="111111"/>
          <w:sz w:val="28"/>
          <w:sz w:val="28"/>
          <w:szCs w:val="28"/>
          <w:rtl w:val="true"/>
          <w:lang w:bidi="fa-IR"/>
        </w:rPr>
        <w:t xml:space="preserve">و اگر اكراه كرد بر طلاقِ يكى از دو زنهاى معينه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يكىِ معينه از اين دو را طلاق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اكراه صادق و رافع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 يكىِ غير معيّن را طلاق بده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إحداهما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طلاق داد يكىِ معيّن را، پس اكراه نيست، زيرا مأمور به، اتيان به آن نشده و آنچه واقع شده مأمور به و مكرَه عليه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حسب قراين امر به اوسع را فهميد و دفعِ اشدّ ضرراً كرد، اكراه است؛ و در اين فرض اگر هر دو را طلاق داد، صحّت يك طلاق و تعيينِ با قرعه بى 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اكراهِ بر طلاق هر دو كرد، و يكى را طلاق داد، ظاهر تحقق اكراه است</w:t>
      </w:r>
      <w:r>
        <w:rPr>
          <w:rFonts w:eastAsia="IRNazanin" w:cs="IRNazanin"/>
          <w:color w:val="111111"/>
          <w:sz w:val="28"/>
          <w:szCs w:val="28"/>
          <w:rtl w:val="true"/>
          <w:lang w:bidi="fa-IR"/>
        </w:rPr>
        <w:t>.</w:t>
      </w:r>
    </w:p>
    <w:p>
      <w:pPr>
        <w:pStyle w:val="Heading5"/>
        <w:numPr>
          <w:ilvl w:val="4"/>
          <w:numId w:val="1"/>
        </w:numPr>
        <w:rPr/>
      </w:pPr>
      <w:bookmarkStart w:id="908" w:name="__RefHeading___Toc3807757_1067777946"/>
      <w:bookmarkStart w:id="909" w:name="_Toc391"/>
      <w:bookmarkEnd w:id="908"/>
      <w:r>
        <w:rPr>
          <w:rtl w:val="true"/>
        </w:rPr>
        <w:t>قدرت بر فرار از ضرر يا توريه</w:t>
      </w:r>
      <w:bookmarkEnd w:id="909"/>
    </w:p>
    <w:p>
      <w:pPr>
        <w:pStyle w:val="BookText"/>
        <w:rPr/>
      </w:pPr>
      <w:r>
        <w:rPr>
          <w:rFonts w:ascii="IRNazanin" w:hAnsi="IRNazanin" w:eastAsia="IRNazanin"/>
          <w:color w:val="111111"/>
          <w:sz w:val="28"/>
          <w:sz w:val="28"/>
          <w:szCs w:val="28"/>
          <w:rtl w:val="true"/>
          <w:lang w:bidi="fa-IR"/>
        </w:rPr>
        <w:t>اگر قادر بود بر تفصّى از ضرر مكرِه، به مثل فرار، پس ايقاع طلاق كرد، اكراه محقّق نيست و طلاق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قادر و ملتفت بود به توريه در حين عمل، و بدون توريه ايقاع كرد واقعاً، اكراه صادق نيست و طلاق صحيح است بنابر اظهر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اكراه كرد بر سه طلاقى كه بين آنها دو رجوع باشد، پس طلاق داد يك دفعه يا دو دفعه، پس اگر فهم خصوصيت كرده بوده از ظاهر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چنين است در صورت عدم قرينۀ مخالفه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عدم تحقق آنچه بر او اكراه شده است مى باشد و آنچه محقّق شده صحيح است</w:t>
      </w:r>
      <w:r>
        <w:rPr>
          <w:rFonts w:eastAsia="IRNazanin" w:cs="IRNazanin"/>
          <w:color w:val="111111"/>
          <w:sz w:val="28"/>
          <w:szCs w:val="28"/>
          <w:rtl w:val="true"/>
          <w:lang w:bidi="fa-IR"/>
        </w:rPr>
        <w:t xml:space="preserve">. </w:t>
      </w:r>
      <w:bookmarkStart w:id="910" w:name="pg10265_89919"/>
    </w:p>
    <w:p>
      <w:pPr>
        <w:pStyle w:val="Heading5"/>
        <w:numPr>
          <w:ilvl w:val="4"/>
          <w:numId w:val="1"/>
        </w:numPr>
        <w:rPr/>
      </w:pPr>
      <w:bookmarkStart w:id="911" w:name="__RefHeading___Toc3807759_1067777946"/>
      <w:bookmarkStart w:id="912" w:name="_Toc392"/>
      <w:bookmarkEnd w:id="910"/>
      <w:bookmarkEnd w:id="911"/>
      <w:r>
        <w:rPr>
          <w:rtl w:val="true"/>
        </w:rPr>
        <w:t>ايقاع بودن طلاق</w:t>
      </w:r>
      <w:bookmarkEnd w:id="912"/>
    </w:p>
    <w:p>
      <w:pPr>
        <w:pStyle w:val="BookText"/>
        <w:rPr/>
      </w:pPr>
      <w:r>
        <w:rPr>
          <w:rFonts w:ascii="Amiri" w:hAnsi="Amiri" w:eastAsia="Amiri" w:cs="Amiri"/>
          <w:color w:val="111111"/>
          <w:sz w:val="28"/>
          <w:sz w:val="28"/>
          <w:szCs w:val="28"/>
          <w:rtl w:val="true"/>
          <w:lang w:bidi="ar-SA"/>
        </w:rPr>
        <w:t>طلاق ايقاع محض است، رضاى زوجه يا اطلاع او شرط صحّت طلاق نيست</w:t>
      </w:r>
      <w:r>
        <w:rPr>
          <w:rFonts w:eastAsia="Amiri" w:cs="Amiri" w:ascii="Amiri" w:hAnsi="Amiri"/>
          <w:color w:val="111111"/>
          <w:sz w:val="28"/>
          <w:szCs w:val="28"/>
          <w:rtl w:val="true"/>
          <w:lang w:bidi="ar-SA"/>
        </w:rPr>
        <w:t>.</w:t>
      </w:r>
    </w:p>
    <w:p>
      <w:pPr>
        <w:pStyle w:val="Heading5"/>
        <w:numPr>
          <w:ilvl w:val="4"/>
          <w:numId w:val="1"/>
        </w:numPr>
        <w:rPr/>
      </w:pPr>
      <w:bookmarkStart w:id="913" w:name="__RefHeading___Toc3807761_1067777946"/>
      <w:bookmarkStart w:id="914" w:name="_Toc393"/>
      <w:bookmarkEnd w:id="913"/>
      <w:r>
        <w:rPr>
          <w:rtl w:val="true"/>
        </w:rPr>
        <w:t>عدم تأثير اختيار بعد از اكراه</w:t>
      </w:r>
      <w:bookmarkEnd w:id="91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اكراه متعقّب به اختيار شد اظهر عدم تاثير است، چنانكه مستصحب است انتفاى اثر و معلوم است در صورت مجرد زوال اكراه بعد از ايقاع طلاق بدون حصول اختيار و قصد و رضا؛ به خلاف تعقّب به رضا در بيع مكره و عقود او</w:t>
      </w:r>
      <w:r>
        <w:rPr>
          <w:rFonts w:eastAsia="IRNazanin" w:cs="IRNazanin"/>
          <w:color w:val="111111"/>
          <w:sz w:val="28"/>
          <w:szCs w:val="28"/>
          <w:rtl w:val="true"/>
          <w:lang w:bidi="fa-IR"/>
        </w:rPr>
        <w:t xml:space="preserve">. </w:t>
      </w:r>
      <w:bookmarkStart w:id="915" w:name="pg10265_89920"/>
    </w:p>
    <w:p>
      <w:pPr>
        <w:pStyle w:val="Heading3"/>
        <w:numPr>
          <w:ilvl w:val="2"/>
          <w:numId w:val="1"/>
        </w:numPr>
        <w:rPr/>
      </w:pPr>
      <w:bookmarkStart w:id="916" w:name="__RefHeading___Toc3807763_1067777946"/>
      <w:bookmarkStart w:id="917" w:name="_Toc394"/>
      <w:bookmarkEnd w:id="915"/>
      <w:bookmarkEnd w:id="916"/>
      <w:r>
        <w:rPr>
          <w:rtl w:val="true"/>
        </w:rPr>
        <w:t>فصل دوّم شرايط مطلَّقه</w:t>
      </w:r>
      <w:bookmarkEnd w:id="917"/>
    </w:p>
    <w:p>
      <w:pPr>
        <w:pStyle w:val="Heading4"/>
        <w:numPr>
          <w:ilvl w:val="3"/>
          <w:numId w:val="1"/>
        </w:numPr>
        <w:rPr/>
      </w:pPr>
      <w:bookmarkStart w:id="918" w:name="__RefHeading___Toc3807765_1067777946"/>
      <w:bookmarkStart w:id="919" w:name="_Toc395"/>
      <w:bookmarkEnd w:id="918"/>
      <w:r>
        <w:rPr/>
        <w:t>1</w:t>
      </w:r>
      <w:r>
        <w:rPr>
          <w:rtl w:val="true"/>
        </w:rPr>
        <w:t xml:space="preserve"> </w:t>
      </w:r>
      <w:r>
        <w:rPr>
          <w:rtl w:val="true"/>
        </w:rPr>
        <w:t xml:space="preserve">و </w:t>
      </w:r>
      <w:r>
        <w:rPr/>
        <w:t>2</w:t>
      </w:r>
      <w:r>
        <w:rPr>
          <w:rtl w:val="true"/>
        </w:rPr>
        <w:t xml:space="preserve">. </w:t>
      </w:r>
      <w:r>
        <w:rPr>
          <w:rtl w:val="true"/>
        </w:rPr>
        <w:t>زوجيّت و دوام آن</w:t>
      </w:r>
      <w:bookmarkEnd w:id="919"/>
    </w:p>
    <w:p>
      <w:pPr>
        <w:pStyle w:val="BookText"/>
        <w:rPr/>
      </w:pPr>
      <w:r>
        <w:rPr>
          <w:rFonts w:ascii="IRNazanin" w:hAnsi="IRNazanin" w:eastAsia="IRNazanin"/>
          <w:color w:val="111111"/>
          <w:sz w:val="28"/>
          <w:sz w:val="28"/>
          <w:szCs w:val="28"/>
          <w:rtl w:val="true"/>
          <w:lang w:bidi="fa-IR"/>
        </w:rPr>
        <w:t>معتبر است در مطلَّقه، زوجيّت و دوام آن؛ پس صحيح نيست طلاق امه از مالك او، و محلّله، و متمتع بها، و اجنبيه، بلكه معقول نيست در اوّل و اخير</w:t>
      </w:r>
      <w:r>
        <w:rPr>
          <w:rFonts w:eastAsia="IRNazanin" w:cs="IRNazanin"/>
          <w:color w:val="111111"/>
          <w:sz w:val="28"/>
          <w:szCs w:val="28"/>
          <w:rtl w:val="true"/>
          <w:lang w:bidi="fa-IR"/>
        </w:rPr>
        <w:t>.</w:t>
      </w:r>
    </w:p>
    <w:p>
      <w:pPr>
        <w:pStyle w:val="Heading4"/>
        <w:numPr>
          <w:ilvl w:val="3"/>
          <w:numId w:val="1"/>
        </w:numPr>
        <w:rPr/>
      </w:pPr>
      <w:bookmarkStart w:id="920" w:name="__RefHeading___Toc3807767_1067777946"/>
      <w:bookmarkStart w:id="921" w:name="_Toc396"/>
      <w:bookmarkEnd w:id="920"/>
      <w:r>
        <w:rPr/>
        <w:t>3</w:t>
      </w:r>
      <w:r>
        <w:rPr>
          <w:rtl w:val="true"/>
        </w:rPr>
        <w:t xml:space="preserve">. </w:t>
      </w:r>
      <w:r>
        <w:rPr>
          <w:rtl w:val="true"/>
        </w:rPr>
        <w:t>طُهر غير مواقعه</w:t>
      </w:r>
      <w:bookmarkEnd w:id="921"/>
    </w:p>
    <w:p>
      <w:pPr>
        <w:pStyle w:val="Heading5"/>
        <w:numPr>
          <w:ilvl w:val="4"/>
          <w:numId w:val="1"/>
        </w:numPr>
        <w:rPr/>
      </w:pPr>
      <w:bookmarkStart w:id="922" w:name="__RefHeading___Toc3807769_1067777946"/>
      <w:bookmarkStart w:id="923" w:name="_Toc397"/>
      <w:bookmarkEnd w:id="922"/>
      <w:r>
        <w:rPr>
          <w:rtl w:val="true"/>
        </w:rPr>
        <w:t>اشاره</w:t>
      </w:r>
      <w:bookmarkEnd w:id="923"/>
    </w:p>
    <w:p>
      <w:pPr>
        <w:pStyle w:val="BookText"/>
        <w:rPr/>
      </w:pPr>
      <w:r>
        <w:rPr>
          <w:rFonts w:ascii="Amiri" w:hAnsi="Amiri" w:eastAsia="Amiri" w:cs="Amiri"/>
          <w:color w:val="111111"/>
          <w:sz w:val="28"/>
          <w:sz w:val="28"/>
          <w:szCs w:val="28"/>
          <w:rtl w:val="true"/>
          <w:lang w:bidi="ar-SA"/>
        </w:rPr>
        <w:t xml:space="preserve">و اينكه طاهر از حيض و نفاس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از اين دو خون يا حكم آنها مثل نقاء متخلّل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مدخول بها باشد و حامل نباشد و زوج او حاضر با او باشد، و اينكه در طُهرِ غير مواقعه باشد</w:t>
      </w:r>
      <w:r>
        <w:rPr>
          <w:rFonts w:eastAsia="Amiri" w:cs="Amiri" w:ascii="Amiri" w:hAnsi="Amiri"/>
          <w:color w:val="111111"/>
          <w:sz w:val="28"/>
          <w:szCs w:val="28"/>
          <w:rtl w:val="true"/>
          <w:lang w:bidi="ar-SA"/>
        </w:rPr>
        <w:t>.</w:t>
      </w:r>
    </w:p>
    <w:p>
      <w:pPr>
        <w:pStyle w:val="Heading5"/>
        <w:numPr>
          <w:ilvl w:val="4"/>
          <w:numId w:val="1"/>
        </w:numPr>
        <w:rPr/>
      </w:pPr>
      <w:bookmarkStart w:id="924" w:name="__RefHeading___Toc3807771_1067777946"/>
      <w:bookmarkStart w:id="925" w:name="_Toc398"/>
      <w:bookmarkEnd w:id="924"/>
      <w:r>
        <w:rPr>
          <w:rtl w:val="true"/>
        </w:rPr>
        <w:t>طلاق در غيبت و احكام آن</w:t>
      </w:r>
      <w:bookmarkEnd w:id="92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زوج غايب از زن بود و عالم به حال او نبود، مى تواند طلاق بدهد او را و طلاق او صحيح است، اگر چه مصادف با حيض يا طهر مواقعه باشد؛ لكن در تقدير غيبت، اختلاف است، و به حسب اختلاف روايات، اقوال مختلف است؛ اظهر كفايت غيبت است بدون تقدير مدت، در صحّت طلاق، با عدم علم به حال يا ظن اطمينانى يا استصحاب مانع بنابر احوط، اگر چه اظهر شمول اطلاق است در صورت اخيره و با عدم امكان استعلام در حين طلاق، اگر چه انتظار يك ماه احوط است؛ پس با مصادفت حيض يا طهر مواقعه بعد از انتظار مدت بنابر اعتبار آن، يا </w:t>
      </w:r>
      <w:bookmarkStart w:id="926" w:name="pg10265_89921"/>
    </w:p>
    <w:p>
      <w:pPr>
        <w:pStyle w:val="BookText"/>
        <w:rPr/>
      </w:pPr>
      <w:bookmarkEnd w:id="926"/>
      <w:r>
        <w:rPr>
          <w:rFonts w:ascii="Amiri" w:hAnsi="Amiri" w:eastAsia="Amiri" w:cs="Amiri"/>
          <w:color w:val="111111"/>
          <w:sz w:val="28"/>
          <w:sz w:val="28"/>
          <w:szCs w:val="28"/>
          <w:rtl w:val="true"/>
          <w:lang w:bidi="ar-SA"/>
        </w:rPr>
        <w:t>مطلقاً بنابر عدم اعتبار،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تمكّن به ملاحظۀ عادت از حصول علم و هم چنين با استصحاب حيض اگر خروج در زمان حيض بوده، جايز نيست طلاق در زمان يقين؛ و با يقين به زوال آن حيض، صحيح است طلاق اگر چه احتمال تجدّد حيض بدهد اگر چه مصادف با حيض واقعى باشد؛ و هم چنين در زمان شك در بقاى حيض بنابر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طهر مواقعه خارج شده بوده، در زمان يقين به بقاى آن طهر، طلاق صحيح نيست؛ و با احتمال انتقالْ صحيح است بنابر اظهر اگر چه مصادف با همان طهر بوده، لكن احوط انتظار يك ماه است تا زمان 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خروج در طهر غير مواقعه بوده، صحيح است طلاق تا زمان يقين به حيض اگر چه مصادف با حيض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ملاحظۀ ايقاع طلاق در زمان عدم يقين به مانع از آنچه ذكر شد، مصادفت واقعيّه با مانع مبطل نيست، چه حيض باشد چه طهر مواقعه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مدتْ معتبر باشد و قبل از مدت طلاق داد و متمشّى شد قصد طلاق و مصادف با عدم مانع در واقع بود، طلاق صحيح است بنابر اظهر</w:t>
      </w:r>
      <w:r>
        <w:rPr>
          <w:rFonts w:eastAsia="IRNazanin" w:cs="IRNazanin"/>
          <w:color w:val="111111"/>
          <w:sz w:val="28"/>
          <w:szCs w:val="28"/>
          <w:rtl w:val="true"/>
          <w:lang w:bidi="fa-IR"/>
        </w:rPr>
        <w:t>.</w:t>
      </w:r>
    </w:p>
    <w:p>
      <w:pPr>
        <w:pStyle w:val="Heading5"/>
        <w:numPr>
          <w:ilvl w:val="4"/>
          <w:numId w:val="1"/>
        </w:numPr>
        <w:rPr/>
      </w:pPr>
      <w:bookmarkStart w:id="927" w:name="__RefHeading___Toc3807773_1067777946"/>
      <w:bookmarkStart w:id="928" w:name="_Toc399"/>
      <w:bookmarkEnd w:id="927"/>
      <w:r>
        <w:rPr>
          <w:rtl w:val="true"/>
        </w:rPr>
        <w:t>حكم محبوس از زن و نظاير آن</w:t>
      </w:r>
      <w:bookmarkEnd w:id="928"/>
    </w:p>
    <w:p>
      <w:pPr>
        <w:pStyle w:val="BookText"/>
        <w:rPr/>
      </w:pPr>
      <w:r>
        <w:rPr>
          <w:rFonts w:ascii="IRNazanin" w:hAnsi="IRNazanin" w:eastAsia="IRNazanin"/>
          <w:color w:val="111111"/>
          <w:sz w:val="28"/>
          <w:sz w:val="28"/>
          <w:szCs w:val="28"/>
          <w:rtl w:val="true"/>
          <w:lang w:bidi="fa-IR"/>
        </w:rPr>
        <w:t>و محبوس از زن و مراجعه به او و غير متمكّن، به حكم غايب است در اعتبار مدت و عدم آن، و در حدّ مدت معتبره و عدم مانعيت مصادفت واقعيه با مانع چنانچه گذشت؛ كما اينكه غايب متمكّن از استعلام، به حكم حاضر است چنانچه اشاره شد</w:t>
      </w:r>
      <w:r>
        <w:rPr>
          <w:rFonts w:eastAsia="IRNazanin" w:cs="IRNazanin"/>
          <w:color w:val="111111"/>
          <w:sz w:val="28"/>
          <w:szCs w:val="28"/>
          <w:rtl w:val="true"/>
          <w:lang w:bidi="fa-IR"/>
        </w:rPr>
        <w:t>.</w:t>
      </w:r>
    </w:p>
    <w:p>
      <w:pPr>
        <w:pStyle w:val="Heading5"/>
        <w:numPr>
          <w:ilvl w:val="4"/>
          <w:numId w:val="1"/>
        </w:numPr>
        <w:rPr/>
      </w:pPr>
      <w:bookmarkStart w:id="929" w:name="__RefHeading___Toc3807775_1067777946"/>
      <w:bookmarkStart w:id="930" w:name="_Toc400"/>
      <w:bookmarkEnd w:id="929"/>
      <w:r>
        <w:rPr>
          <w:rtl w:val="true"/>
        </w:rPr>
        <w:t>موارد جواز طلاق در طهر مواقعه</w:t>
      </w:r>
      <w:bookmarkEnd w:id="93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جايز است طلاق در طهر مواقعه،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يائسه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بالغ نباشد و كمتر از نه سال داشته باشد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مصادفت حمل، كافى در صحّت طلاق در طهر </w:t>
      </w:r>
      <w:bookmarkStart w:id="931" w:name="pg10265_89922"/>
    </w:p>
    <w:p>
      <w:pPr>
        <w:pStyle w:val="BookText"/>
        <w:rPr/>
      </w:pPr>
      <w:bookmarkEnd w:id="931"/>
      <w:r>
        <w:rPr>
          <w:rFonts w:ascii="IRNazanin" w:hAnsi="IRNazanin" w:eastAsia="IRNazanin"/>
          <w:color w:val="111111"/>
          <w:sz w:val="28"/>
          <w:sz w:val="28"/>
          <w:szCs w:val="28"/>
          <w:rtl w:val="true"/>
          <w:lang w:bidi="fa-IR"/>
        </w:rPr>
        <w:t xml:space="preserve">مواقعه است، بنابر اظهر كه عدم شرطيت استبانۀ حمل است در غير حكم تكليفى؛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سن حيض است و حيض نمى بيند، لكن بعد از گذشتن سه ماه خالى از وطى در اخير اگر چه به قصد طلاق نباشد اعتزال از او با عادت نبودن تاخير تا اين مدت دربارۀ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مقتضاى مستفاد از نص و فتوى، موافق استثناى در كلمات، اين است كه دخول به صغيره، مانع از صحّت طلاق نيست و طهر غير مواقعۀ او معتبر نيست، و دخول به كبيره غير آنچه مذكور شد، مانع از صحّت طلاق است مگر در طهر غير مواقعه، و بيان اين امر در نفى عده بر صغيره مذكور مى شود</w:t>
      </w:r>
      <w:r>
        <w:rPr>
          <w:rFonts w:eastAsia="IRNazanin" w:cs="IRNazanin"/>
          <w:color w:val="111111"/>
          <w:sz w:val="28"/>
          <w:szCs w:val="28"/>
          <w:rtl w:val="true"/>
          <w:lang w:bidi="fa-IR"/>
        </w:rPr>
        <w:t>.</w:t>
      </w:r>
    </w:p>
    <w:p>
      <w:pPr>
        <w:pStyle w:val="Heading5"/>
        <w:numPr>
          <w:ilvl w:val="4"/>
          <w:numId w:val="1"/>
        </w:numPr>
        <w:rPr/>
      </w:pPr>
      <w:bookmarkStart w:id="932" w:name="__RefHeading___Toc3807777_1067777946"/>
      <w:bookmarkStart w:id="933" w:name="_Toc401"/>
      <w:bookmarkEnd w:id="932"/>
      <w:r>
        <w:rPr>
          <w:rtl w:val="true"/>
        </w:rPr>
        <w:t>عدم اكتفا به طهر بعد از مواقعه در اثناى حيض</w:t>
      </w:r>
      <w:bookmarkEnd w:id="933"/>
    </w:p>
    <w:p>
      <w:pPr>
        <w:pStyle w:val="BookText"/>
        <w:rPr/>
      </w:pPr>
      <w:r>
        <w:rPr>
          <w:rFonts w:ascii="IRNazanin" w:hAnsi="IRNazanin" w:eastAsia="IRNazanin"/>
          <w:color w:val="111111"/>
          <w:sz w:val="28"/>
          <w:sz w:val="28"/>
          <w:szCs w:val="28"/>
          <w:rtl w:val="true"/>
          <w:lang w:bidi="fa-IR"/>
        </w:rPr>
        <w:t>حيض استبرائى مسوّغ طلاق است بعد از آن، پس اگر در اثناى حيض مواقعه كرد، مشكل است اكتفاى به انتهاى آن در صحّت طلاق در طهر بعد از آن، و احتياط، در صبر تا حيض ديگر و انتهاى آن است</w:t>
      </w:r>
      <w:r>
        <w:rPr>
          <w:rFonts w:eastAsia="IRNazanin" w:cs="IRNazanin"/>
          <w:color w:val="111111"/>
          <w:sz w:val="28"/>
          <w:szCs w:val="28"/>
          <w:rtl w:val="true"/>
          <w:lang w:bidi="fa-IR"/>
        </w:rPr>
        <w:t>.</w:t>
      </w:r>
    </w:p>
    <w:p>
      <w:pPr>
        <w:pStyle w:val="Heading5"/>
        <w:numPr>
          <w:ilvl w:val="4"/>
          <w:numId w:val="1"/>
        </w:numPr>
        <w:rPr/>
      </w:pPr>
      <w:bookmarkStart w:id="934" w:name="__RefHeading___Toc3807779_1067777946"/>
      <w:bookmarkStart w:id="935" w:name="_Toc402"/>
      <w:bookmarkEnd w:id="934"/>
      <w:r>
        <w:rPr>
          <w:rtl w:val="true"/>
        </w:rPr>
        <w:t>طلاق مسترابه</w:t>
      </w:r>
      <w:bookmarkEnd w:id="935"/>
    </w:p>
    <w:p>
      <w:pPr>
        <w:pStyle w:val="BookText"/>
        <w:rPr/>
      </w:pPr>
      <w:r>
        <w:rPr>
          <w:rFonts w:ascii="IRNazanin" w:hAnsi="IRNazanin" w:eastAsia="IRNazanin"/>
          <w:color w:val="111111"/>
          <w:sz w:val="28"/>
          <w:sz w:val="28"/>
          <w:szCs w:val="28"/>
          <w:rtl w:val="true"/>
          <w:lang w:bidi="fa-IR"/>
        </w:rPr>
        <w:t>و اگر طلاق داد مسترابه را در طهر مواقعه قبل از گذشتن مدت مذكوره، صحيح نيست؛ و بعد از آن صحيح است</w:t>
      </w:r>
      <w:r>
        <w:rPr>
          <w:rFonts w:eastAsia="IRNazanin" w:cs="IRNazanin"/>
          <w:color w:val="111111"/>
          <w:sz w:val="28"/>
          <w:szCs w:val="28"/>
          <w:rtl w:val="true"/>
          <w:lang w:bidi="fa-IR"/>
        </w:rPr>
        <w:t>.</w:t>
      </w:r>
    </w:p>
    <w:p>
      <w:pPr>
        <w:pStyle w:val="Heading4"/>
        <w:numPr>
          <w:ilvl w:val="3"/>
          <w:numId w:val="1"/>
        </w:numPr>
        <w:rPr/>
      </w:pPr>
      <w:bookmarkStart w:id="936" w:name="__RefHeading___Toc3807781_1067777946"/>
      <w:bookmarkStart w:id="937" w:name="_Toc403"/>
      <w:bookmarkEnd w:id="936"/>
      <w:r>
        <w:rPr/>
        <w:t>4</w:t>
      </w:r>
      <w:r>
        <w:rPr>
          <w:rtl w:val="true"/>
        </w:rPr>
        <w:t xml:space="preserve">. </w:t>
      </w:r>
      <w:r>
        <w:rPr>
          <w:rtl w:val="true"/>
        </w:rPr>
        <w:t>تعيين مطلَّقه</w:t>
      </w:r>
      <w:bookmarkEnd w:id="937"/>
    </w:p>
    <w:p>
      <w:pPr>
        <w:pStyle w:val="BookText"/>
        <w:rPr/>
      </w:pPr>
      <w:r>
        <w:rPr>
          <w:rFonts w:ascii="Amiri" w:hAnsi="Amiri" w:eastAsia="Amiri" w:cs="Amiri"/>
          <w:color w:val="111111"/>
          <w:sz w:val="28"/>
          <w:sz w:val="28"/>
          <w:szCs w:val="28"/>
          <w:rtl w:val="true"/>
          <w:lang w:bidi="ar-SA"/>
        </w:rPr>
        <w:t>احوط اعتبار تعيين مطلّقه قصداً در صورت تعدّد زوجات، و احتياط در آثار صحّت و عدم آن در ما بين طلاق و تعيين با قرعه، ترك نشود</w:t>
      </w:r>
      <w:r>
        <w:rPr>
          <w:rFonts w:eastAsia="Amiri" w:cs="Amiri" w:ascii="Amiri" w:hAnsi="Amiri"/>
          <w:color w:val="111111"/>
          <w:sz w:val="28"/>
          <w:szCs w:val="28"/>
          <w:rtl w:val="true"/>
          <w:lang w:bidi="ar-SA"/>
        </w:rPr>
        <w:t>.</w:t>
      </w:r>
    </w:p>
    <w:p>
      <w:pPr>
        <w:pStyle w:val="Heading4"/>
        <w:numPr>
          <w:ilvl w:val="3"/>
          <w:numId w:val="1"/>
        </w:numPr>
        <w:rPr/>
      </w:pPr>
      <w:bookmarkStart w:id="938" w:name="__RefHeading___Toc3807783_1067777946"/>
      <w:bookmarkStart w:id="939" w:name="_Toc404"/>
      <w:bookmarkEnd w:id="938"/>
      <w:r>
        <w:rPr>
          <w:rtl w:val="true"/>
        </w:rPr>
        <w:t>چند مسأله در صيغۀ طلاق</w:t>
      </w:r>
      <w:bookmarkEnd w:id="939"/>
    </w:p>
    <w:p>
      <w:pPr>
        <w:pStyle w:val="Heading5"/>
        <w:numPr>
          <w:ilvl w:val="4"/>
          <w:numId w:val="1"/>
        </w:numPr>
        <w:rPr/>
      </w:pPr>
      <w:bookmarkStart w:id="940" w:name="__RefHeading___Toc3807785_1067777946"/>
      <w:bookmarkStart w:id="941" w:name="_Toc405"/>
      <w:bookmarkEnd w:id="940"/>
      <w:r>
        <w:rPr>
          <w:rtl w:val="true"/>
        </w:rPr>
        <w:t>شرط و تعليق در صيغۀ طلاق</w:t>
      </w:r>
      <w:bookmarkEnd w:id="94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معتبر است تجرّد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صيغۀ 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شرط غير معلوم الحصول مثل قدوم مسافر، و </w:t>
      </w:r>
      <w:bookmarkStart w:id="942" w:name="pg10265_89923"/>
    </w:p>
    <w:p>
      <w:pPr>
        <w:pStyle w:val="BookText"/>
        <w:rPr/>
      </w:pPr>
      <w:bookmarkEnd w:id="942"/>
      <w:r>
        <w:rPr>
          <w:rFonts w:ascii="Amiri" w:hAnsi="Amiri" w:eastAsia="Amiri" w:cs="Amiri"/>
          <w:color w:val="111111"/>
          <w:sz w:val="28"/>
          <w:sz w:val="28"/>
          <w:szCs w:val="28"/>
          <w:rtl w:val="true"/>
          <w:lang w:bidi="ar-SA"/>
        </w:rPr>
        <w:t xml:space="preserve">صفت معلوم الحصول مثل طلوع الشمس؛ و ضرر ندارد تعليق به معلوم الحصول در زمان طلاق،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الطلاق يقع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بداند وقوع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فرقى بين تعليق بر مشيت خداى تعالى و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در صورت صحّت و عدم آن</w:t>
      </w:r>
      <w:r>
        <w:rPr>
          <w:rFonts w:eastAsia="Amiri" w:cs="Amiri" w:ascii="Amiri" w:hAnsi="Amiri"/>
          <w:color w:val="111111"/>
          <w:sz w:val="28"/>
          <w:szCs w:val="28"/>
          <w:rtl w:val="true"/>
          <w:lang w:bidi="ar-SA"/>
        </w:rPr>
        <w:t>.</w:t>
      </w:r>
    </w:p>
    <w:p>
      <w:pPr>
        <w:pStyle w:val="Heading5"/>
        <w:numPr>
          <w:ilvl w:val="4"/>
          <w:numId w:val="1"/>
        </w:numPr>
        <w:rPr/>
      </w:pPr>
      <w:bookmarkStart w:id="943" w:name="__RefHeading___Toc3807787_1067777946"/>
      <w:bookmarkStart w:id="944" w:name="_Toc406"/>
      <w:bookmarkEnd w:id="943"/>
      <w:r>
        <w:rPr>
          <w:rtl w:val="true"/>
        </w:rPr>
        <w:t>اجراى صيغۀ طلاق واحدِ مفسَّرِ به دو يا سه طلاق</w:t>
      </w:r>
      <w:bookmarkEnd w:id="944"/>
    </w:p>
    <w:p>
      <w:pPr>
        <w:pStyle w:val="BookText"/>
        <w:rPr/>
      </w:pPr>
      <w:r>
        <w:rPr>
          <w:rFonts w:ascii="IRNazanin" w:hAnsi="IRNazanin" w:eastAsia="IRNazanin"/>
          <w:color w:val="111111"/>
          <w:sz w:val="28"/>
          <w:sz w:val="28"/>
          <w:szCs w:val="28"/>
          <w:rtl w:val="true"/>
          <w:lang w:bidi="fa-IR"/>
        </w:rPr>
        <w:t>اگر يك طلاق داد و بدون فصل، تفسير به دو يا سه كرد، يك طلاق واقع مى شود و تفسير باطل است، نه اصل طلاق؛ و رجوع در عده و تجديد نكاح بعد از آن ثابت است، اگر چه احتياط در اعادۀ طلاق است</w:t>
      </w:r>
      <w:r>
        <w:rPr>
          <w:rFonts w:eastAsia="IRNazanin" w:cs="IRNazanin"/>
          <w:color w:val="111111"/>
          <w:sz w:val="28"/>
          <w:szCs w:val="28"/>
          <w:rtl w:val="true"/>
          <w:lang w:bidi="fa-IR"/>
        </w:rPr>
        <w:t>.</w:t>
      </w:r>
    </w:p>
    <w:p>
      <w:pPr>
        <w:pStyle w:val="Heading5"/>
        <w:numPr>
          <w:ilvl w:val="4"/>
          <w:numId w:val="1"/>
        </w:numPr>
        <w:rPr/>
      </w:pPr>
      <w:bookmarkStart w:id="945" w:name="__RefHeading___Toc3807789_1067777946"/>
      <w:bookmarkStart w:id="946" w:name="_Toc407"/>
      <w:bookmarkEnd w:id="945"/>
      <w:r>
        <w:rPr>
          <w:rtl w:val="true"/>
        </w:rPr>
        <w:t>سه طلاق بدون تخلّل</w:t>
      </w:r>
      <w:bookmarkEnd w:id="946"/>
    </w:p>
    <w:p>
      <w:pPr>
        <w:pStyle w:val="BookText"/>
        <w:rPr/>
      </w:pPr>
      <w:r>
        <w:rPr>
          <w:rFonts w:ascii="IRNazanin" w:hAnsi="IRNazanin" w:eastAsia="IRNazanin"/>
          <w:color w:val="111111"/>
          <w:sz w:val="28"/>
          <w:sz w:val="28"/>
          <w:szCs w:val="28"/>
          <w:rtl w:val="true"/>
          <w:lang w:bidi="fa-IR"/>
        </w:rPr>
        <w:t>اگر سه طلاق به ترتيب داد، بدون تخلّل رجوع، طلاق اوّل صحيح است و طلاقهاى ديگر لغو است؛ و هم چنين اگر ترتيب در تفسير باشد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طالق واحدة فواحدة فواحدة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اين فرض، صحّت يكى و لغويت دو تفسير منضمّ اظهر است از فرض اوّل</w:t>
      </w:r>
      <w:r>
        <w:rPr>
          <w:rFonts w:eastAsia="IRNazanin" w:cs="IRNazanin"/>
          <w:color w:val="111111"/>
          <w:sz w:val="28"/>
          <w:szCs w:val="28"/>
          <w:rtl w:val="true"/>
          <w:lang w:bidi="fa-IR"/>
        </w:rPr>
        <w:t>.</w:t>
      </w:r>
    </w:p>
    <w:p>
      <w:pPr>
        <w:pStyle w:val="Heading5"/>
        <w:numPr>
          <w:ilvl w:val="4"/>
          <w:numId w:val="1"/>
        </w:numPr>
        <w:rPr/>
      </w:pPr>
      <w:bookmarkStart w:id="947" w:name="__RefHeading___Toc3807791_1067777946"/>
      <w:bookmarkStart w:id="948" w:name="_Toc408"/>
      <w:bookmarkEnd w:id="947"/>
      <w:r>
        <w:rPr>
          <w:rtl w:val="true"/>
        </w:rPr>
        <w:t>حكم جريان و يا عدم جريان قاعده</w:t>
      </w:r>
      <w:bookmarkEnd w:id="94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زوج معتقد صحّت طلاق ثلاثاً بود، يا عدم اشتراط طلاق به بعض شروط ثابته در مذهب حق، پس طلاق ثلاث را ايقاع كرد، ملزم است به مذهب خودش و بعد از عدّه جايز است نكاح آن زن اگر چه در عده رجوع كرده بوده، زيرا آن رجوعْ لغو است در اعتقاد او و به اعتقاد خود ملزم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طلاقى داد كه باطل نزد ما بود و صحيح نزد خودش، آثار مطلَّقه به طلاق صحيح بر آن زن بار مى نماييم و نكاح مى نماييم بعد از عدّه، بدون فرق بين اينكه زن مخالفه باشد يا شيعيّه، بنابر اظهر</w:t>
      </w:r>
      <w:r>
        <w:rPr>
          <w:rFonts w:eastAsia="IRNazanin" w:cs="IRNazanin"/>
          <w:color w:val="111111"/>
          <w:sz w:val="28"/>
          <w:szCs w:val="28"/>
          <w:rtl w:val="true"/>
          <w:lang w:bidi="fa-IR"/>
        </w:rPr>
        <w:t xml:space="preserve">. </w:t>
      </w:r>
      <w:bookmarkStart w:id="949" w:name="pg10265_89924"/>
    </w:p>
    <w:p>
      <w:pPr>
        <w:pStyle w:val="Heading3"/>
        <w:numPr>
          <w:ilvl w:val="2"/>
          <w:numId w:val="1"/>
        </w:numPr>
        <w:rPr/>
      </w:pPr>
      <w:bookmarkStart w:id="950" w:name="__RefHeading___Toc3807793_1067777946"/>
      <w:bookmarkStart w:id="951" w:name="_Toc409"/>
      <w:bookmarkEnd w:id="949"/>
      <w:bookmarkEnd w:id="950"/>
      <w:r>
        <w:rPr>
          <w:rtl w:val="true"/>
        </w:rPr>
        <w:t>فصل سوّم اشهاد در طلاق</w:t>
      </w:r>
      <w:bookmarkEnd w:id="951"/>
    </w:p>
    <w:p>
      <w:pPr>
        <w:pStyle w:val="Heading4"/>
        <w:numPr>
          <w:ilvl w:val="3"/>
          <w:numId w:val="1"/>
        </w:numPr>
        <w:rPr/>
      </w:pPr>
      <w:bookmarkStart w:id="952" w:name="__RefHeading___Toc3807795_1067777946"/>
      <w:bookmarkStart w:id="953" w:name="_Toc410"/>
      <w:bookmarkEnd w:id="952"/>
      <w:r>
        <w:rPr>
          <w:rtl w:val="true"/>
        </w:rPr>
        <w:t>اشاره</w:t>
      </w:r>
      <w:bookmarkEnd w:id="953"/>
    </w:p>
    <w:p>
      <w:pPr>
        <w:pStyle w:val="BookText"/>
        <w:rPr/>
      </w:pPr>
      <w:r>
        <w:rPr>
          <w:rFonts w:ascii="IRNazanin" w:hAnsi="IRNazanin" w:eastAsia="IRNazanin"/>
          <w:color w:val="111111"/>
          <w:sz w:val="28"/>
          <w:sz w:val="28"/>
          <w:szCs w:val="28"/>
          <w:rtl w:val="true"/>
          <w:lang w:bidi="fa-IR"/>
        </w:rPr>
        <w:t>و معتبر است در صحّت طلاق، سماع دو شاهد، با تعيين زوج و مطلّقه به اشاره يا اسم يا ساير علامات كه منتهى به تعيين در وقت ادا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اعتبار تعيين زوجين، نزد شاهدين است به نحوى كه قابل شهادت آنها به وقوع طلاق بين دو معيّن باشد، چه آنكه شهادتِ سماع، مسبوق به استدعا باشد يا نه</w:t>
      </w:r>
      <w:r>
        <w:rPr>
          <w:rFonts w:eastAsia="IRNazanin" w:cs="IRNazanin"/>
          <w:color w:val="111111"/>
          <w:sz w:val="28"/>
          <w:szCs w:val="28"/>
          <w:rtl w:val="true"/>
          <w:lang w:bidi="fa-IR"/>
        </w:rPr>
        <w:t>.</w:t>
      </w:r>
    </w:p>
    <w:p>
      <w:pPr>
        <w:pStyle w:val="Heading4"/>
        <w:numPr>
          <w:ilvl w:val="3"/>
          <w:numId w:val="1"/>
        </w:numPr>
        <w:rPr/>
      </w:pPr>
      <w:bookmarkStart w:id="954" w:name="__RefHeading___Toc3807797_1067777946"/>
      <w:bookmarkStart w:id="955" w:name="_Toc411"/>
      <w:bookmarkEnd w:id="954"/>
      <w:r>
        <w:rPr>
          <w:rtl w:val="true"/>
        </w:rPr>
        <w:t>كفايت سماع</w:t>
      </w:r>
      <w:bookmarkEnd w:id="955"/>
    </w:p>
    <w:p>
      <w:pPr>
        <w:pStyle w:val="BookText"/>
        <w:rPr/>
      </w:pPr>
      <w:r>
        <w:rPr>
          <w:rFonts w:ascii="IRNazanin" w:hAnsi="IRNazanin" w:eastAsia="IRNazanin"/>
          <w:color w:val="111111"/>
          <w:sz w:val="28"/>
          <w:sz w:val="28"/>
          <w:szCs w:val="28"/>
          <w:rtl w:val="true"/>
          <w:lang w:bidi="fa-IR"/>
        </w:rPr>
        <w:t>و كفايت سماع شاهدين بدون قصد اسماع آنها با تحقق قصد طلاق شرعى، خالى از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كافى نيست سماع كثيرى از فساق اگر چه موجب علم باشد شهادت آنها</w:t>
      </w:r>
      <w:r>
        <w:rPr>
          <w:rFonts w:eastAsia="IRNazanin" w:cs="IRNazanin"/>
          <w:color w:val="111111"/>
          <w:sz w:val="28"/>
          <w:szCs w:val="28"/>
          <w:rtl w:val="true"/>
          <w:lang w:bidi="fa-IR"/>
        </w:rPr>
        <w:t>.</w:t>
      </w:r>
    </w:p>
    <w:p>
      <w:pPr>
        <w:pStyle w:val="Heading4"/>
        <w:numPr>
          <w:ilvl w:val="3"/>
          <w:numId w:val="1"/>
        </w:numPr>
        <w:rPr/>
      </w:pPr>
      <w:bookmarkStart w:id="956" w:name="__RefHeading___Toc3807799_1067777946"/>
      <w:bookmarkStart w:id="957" w:name="_Toc412"/>
      <w:bookmarkEnd w:id="956"/>
      <w:r>
        <w:rPr>
          <w:rtl w:val="true"/>
        </w:rPr>
        <w:t>عدم لزوم اجتماع شهود بر اقرار به طلاق</w:t>
      </w:r>
      <w:bookmarkEnd w:id="957"/>
    </w:p>
    <w:p>
      <w:pPr>
        <w:pStyle w:val="BookText"/>
        <w:rPr/>
      </w:pPr>
      <w:r>
        <w:rPr>
          <w:rFonts w:ascii="Amiri" w:hAnsi="Amiri" w:eastAsia="Amiri" w:cs="Amiri"/>
          <w:color w:val="111111"/>
          <w:sz w:val="28"/>
          <w:sz w:val="28"/>
          <w:szCs w:val="28"/>
          <w:rtl w:val="true"/>
          <w:lang w:bidi="ar-SA"/>
        </w:rPr>
        <w:t>و در شهادت بر اقرار به طلاق، اجتماع شاهدها لازم نيست، بلكه شهادت دو شاهد در دو وقت بر اقرار در دو وقت كافى است در اثبات اقرار و مقرٌّ به</w:t>
      </w:r>
      <w:r>
        <w:rPr>
          <w:rFonts w:eastAsia="Amiri" w:cs="Amiri" w:ascii="Amiri" w:hAnsi="Amiri"/>
          <w:color w:val="111111"/>
          <w:sz w:val="28"/>
          <w:szCs w:val="28"/>
          <w:rtl w:val="true"/>
          <w:lang w:bidi="ar-SA"/>
        </w:rPr>
        <w:t>.</w:t>
      </w:r>
    </w:p>
    <w:p>
      <w:pPr>
        <w:pStyle w:val="Heading4"/>
        <w:numPr>
          <w:ilvl w:val="3"/>
          <w:numId w:val="1"/>
        </w:numPr>
        <w:rPr/>
      </w:pPr>
      <w:bookmarkStart w:id="958" w:name="__RefHeading___Toc3807801_1067777946"/>
      <w:bookmarkStart w:id="959" w:name="_Toc413"/>
      <w:bookmarkEnd w:id="958"/>
      <w:r>
        <w:rPr>
          <w:rtl w:val="true"/>
        </w:rPr>
        <w:t>لزوم اجتماع دو شاهد و مرد بودن آن دو</w:t>
      </w:r>
      <w:bookmarkEnd w:id="95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بايد هر دو به نحو اجتماع سماع نمايند؛ و بايد هر دو مرد باشند، نه زن به انفراد يا اجتماع با مردها، و هم چنين است خنثىٰ‌</w:t>
      </w:r>
      <w:r>
        <w:rPr>
          <w:rFonts w:eastAsia="IRNazanin" w:cs="IRNazanin"/>
          <w:color w:val="111111"/>
          <w:sz w:val="28"/>
          <w:szCs w:val="28"/>
          <w:rtl w:val="true"/>
          <w:lang w:bidi="fa-IR"/>
        </w:rPr>
        <w:t xml:space="preserve">. </w:t>
      </w:r>
      <w:bookmarkStart w:id="960" w:name="pg10265_89925"/>
    </w:p>
    <w:p>
      <w:pPr>
        <w:pStyle w:val="Heading4"/>
        <w:numPr>
          <w:ilvl w:val="3"/>
          <w:numId w:val="1"/>
        </w:numPr>
        <w:rPr/>
      </w:pPr>
      <w:bookmarkStart w:id="961" w:name="__RefHeading___Toc3807803_1067777946"/>
      <w:bookmarkStart w:id="962" w:name="_Toc414"/>
      <w:bookmarkEnd w:id="960"/>
      <w:bookmarkEnd w:id="961"/>
      <w:r>
        <w:rPr>
          <w:rtl w:val="true"/>
        </w:rPr>
        <w:t>لزوم تغاير شاهدين با وكيل و موكّل</w:t>
      </w:r>
      <w:bookmarkEnd w:id="962"/>
    </w:p>
    <w:p>
      <w:pPr>
        <w:pStyle w:val="BookText"/>
        <w:rPr/>
      </w:pPr>
      <w:r>
        <w:rPr>
          <w:rFonts w:ascii="IRNazanin" w:hAnsi="IRNazanin" w:eastAsia="IRNazanin"/>
          <w:color w:val="111111"/>
          <w:sz w:val="28"/>
          <w:sz w:val="28"/>
          <w:szCs w:val="28"/>
          <w:rtl w:val="true"/>
          <w:lang w:bidi="fa-IR"/>
        </w:rPr>
        <w:t>و كافى نيست در حصول شاهدين در طلاقِ وكيل، نفس وكيل با عدل ديگر، و نه نفس موكّل با عدل ديگر، بلكه بايد شاهدين غير موكل و وكيل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كافى نيست شهادت يكى بر انشا و ديگرى بر اقرار، نه در تحقق طلاق و نه در اثبات آن به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يك طلاق داد بدون اشهاد و يكى ديگر با اشهاد، با قصد انشا در مقابل اقرار، اوّلى لغو است و دوّمى صحيح است</w:t>
      </w:r>
      <w:r>
        <w:rPr>
          <w:rFonts w:eastAsia="IRNazanin" w:cs="IRNazanin"/>
          <w:color w:val="111111"/>
          <w:sz w:val="28"/>
          <w:szCs w:val="28"/>
          <w:rtl w:val="true"/>
          <w:lang w:bidi="fa-IR"/>
        </w:rPr>
        <w:t>.</w:t>
      </w:r>
    </w:p>
    <w:p>
      <w:pPr>
        <w:pStyle w:val="Heading4"/>
        <w:numPr>
          <w:ilvl w:val="3"/>
          <w:numId w:val="1"/>
        </w:numPr>
        <w:rPr/>
      </w:pPr>
      <w:bookmarkStart w:id="963" w:name="__RefHeading___Toc3807805_1067777946"/>
      <w:bookmarkStart w:id="964" w:name="_Toc415"/>
      <w:bookmarkEnd w:id="963"/>
      <w:r>
        <w:rPr>
          <w:rtl w:val="true"/>
        </w:rPr>
        <w:t>اشتراط عدالت در شاهد</w:t>
      </w:r>
      <w:bookmarkEnd w:id="964"/>
    </w:p>
    <w:p>
      <w:pPr>
        <w:pStyle w:val="BookText"/>
        <w:rPr/>
      </w:pPr>
      <w:r>
        <w:rPr>
          <w:rFonts w:ascii="Amiri" w:hAnsi="Amiri" w:eastAsia="Amiri" w:cs="Amiri"/>
          <w:color w:val="111111"/>
          <w:sz w:val="28"/>
          <w:sz w:val="28"/>
          <w:szCs w:val="28"/>
          <w:rtl w:val="true"/>
          <w:lang w:bidi="ar-SA"/>
        </w:rPr>
        <w:t xml:space="preserve">و معتبر است در دو شاهد 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مقدّم در صلات جماعت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شهادت زنها به نحو انفراد يا اجتماع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طلاق كافى نيست</w:t>
      </w:r>
      <w:r>
        <w:rPr>
          <w:rFonts w:eastAsia="Amiri" w:cs="Amiri" w:ascii="Amiri" w:hAnsi="Amiri"/>
          <w:color w:val="111111"/>
          <w:sz w:val="28"/>
          <w:szCs w:val="28"/>
          <w:rtl w:val="true"/>
          <w:lang w:bidi="ar-SA"/>
        </w:rPr>
        <w:t>.</w:t>
      </w:r>
    </w:p>
    <w:p>
      <w:pPr>
        <w:pStyle w:val="Heading4"/>
        <w:numPr>
          <w:ilvl w:val="3"/>
          <w:numId w:val="1"/>
        </w:numPr>
        <w:rPr/>
      </w:pPr>
      <w:bookmarkStart w:id="965" w:name="__RefHeading___Toc3807807_1067777946"/>
      <w:bookmarkStart w:id="966" w:name="_Toc416"/>
      <w:bookmarkEnd w:id="965"/>
      <w:r>
        <w:rPr>
          <w:rtl w:val="true"/>
        </w:rPr>
        <w:t>كفايت احتمال عدالت توسط مجرى</w:t>
      </w:r>
      <w:bookmarkEnd w:id="966"/>
    </w:p>
    <w:p>
      <w:pPr>
        <w:pStyle w:val="BookText"/>
        <w:rPr/>
      </w:pPr>
      <w:r>
        <w:rPr>
          <w:rFonts w:ascii="IRNazanin" w:hAnsi="IRNazanin" w:eastAsia="IRNazanin"/>
          <w:color w:val="111111"/>
          <w:sz w:val="28"/>
          <w:sz w:val="28"/>
          <w:szCs w:val="28"/>
          <w:rtl w:val="true"/>
          <w:lang w:bidi="fa-IR"/>
        </w:rPr>
        <w:t xml:space="preserve">اظهر كفايت احتمال عدالت شاهدين به حسب اعتقاد مجرى صيغه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اصيل باشد چه وكيل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ترتيب اثر طلاقِ صحيح از ثالث است؛</w:t>
      </w:r>
    </w:p>
    <w:p>
      <w:pPr>
        <w:pStyle w:val="Heading4"/>
        <w:numPr>
          <w:ilvl w:val="3"/>
          <w:numId w:val="1"/>
        </w:numPr>
        <w:rPr/>
      </w:pPr>
      <w:bookmarkStart w:id="967" w:name="__RefHeading___Toc3807809_1067777946"/>
      <w:bookmarkStart w:id="968" w:name="_Toc417"/>
      <w:bookmarkEnd w:id="967"/>
      <w:r>
        <w:rPr>
          <w:rtl w:val="true"/>
        </w:rPr>
        <w:t>فرض علم مجرى به عدالت و علم ديگران به فسق</w:t>
      </w:r>
      <w:bookmarkEnd w:id="96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با علم به فسق شاهدين اگر چه مُجرى صيغه عالم به عدالت باشد، پس اظهرْ عدم جواز ترتيب اثر طلاق صحيح است، چه آنكه عالم به فسق، موكل باشد يا اجنبى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اعتبار عدم علم شاهد به فسق خودش، پس محل تأمل است</w:t>
      </w:r>
      <w:r>
        <w:rPr>
          <w:rFonts w:eastAsia="IRNazanin" w:cs="IRNazanin"/>
          <w:color w:val="111111"/>
          <w:sz w:val="28"/>
          <w:szCs w:val="28"/>
          <w:rtl w:val="true"/>
          <w:lang w:bidi="fa-IR"/>
        </w:rPr>
        <w:t xml:space="preserve">. </w:t>
      </w:r>
      <w:bookmarkStart w:id="969" w:name="pg10265_89926"/>
    </w:p>
    <w:p>
      <w:pPr>
        <w:pStyle w:val="Heading3"/>
        <w:numPr>
          <w:ilvl w:val="2"/>
          <w:numId w:val="1"/>
        </w:numPr>
        <w:rPr/>
      </w:pPr>
      <w:bookmarkStart w:id="970" w:name="__RefHeading___Toc3807811_1067777946"/>
      <w:bookmarkStart w:id="971" w:name="_Toc418"/>
      <w:bookmarkEnd w:id="969"/>
      <w:bookmarkEnd w:id="970"/>
      <w:r>
        <w:rPr>
          <w:rtl w:val="true"/>
        </w:rPr>
        <w:t>فصل چهارم اقسام طلاق و صيغۀ آن</w:t>
      </w:r>
      <w:bookmarkEnd w:id="971"/>
    </w:p>
    <w:p>
      <w:pPr>
        <w:pStyle w:val="Heading4"/>
        <w:numPr>
          <w:ilvl w:val="3"/>
          <w:numId w:val="1"/>
        </w:numPr>
        <w:rPr/>
      </w:pPr>
      <w:bookmarkStart w:id="972" w:name="__RefHeading___Toc3807813_1067777946"/>
      <w:bookmarkStart w:id="973" w:name="_Toc419"/>
      <w:bookmarkEnd w:id="972"/>
      <w:r>
        <w:rPr>
          <w:rtl w:val="true"/>
        </w:rPr>
        <w:t>اقسام طلاق</w:t>
      </w:r>
      <w:bookmarkEnd w:id="973"/>
    </w:p>
    <w:p>
      <w:pPr>
        <w:pStyle w:val="Heading5"/>
        <w:numPr>
          <w:ilvl w:val="4"/>
          <w:numId w:val="1"/>
        </w:numPr>
        <w:rPr/>
      </w:pPr>
      <w:bookmarkStart w:id="974" w:name="__RefHeading___Toc3807815_1067777946"/>
      <w:bookmarkStart w:id="975" w:name="_Toc420"/>
      <w:bookmarkEnd w:id="974"/>
      <w:r>
        <w:rPr>
          <w:rtl w:val="true"/>
        </w:rPr>
        <w:t>اشاره</w:t>
      </w:r>
      <w:bookmarkEnd w:id="975"/>
    </w:p>
    <w:p>
      <w:pPr>
        <w:pStyle w:val="BookText"/>
        <w:rPr/>
      </w:pPr>
      <w:r>
        <w:rPr>
          <w:rFonts w:ascii="Amiri" w:hAnsi="Amiri" w:eastAsia="Amiri" w:cs="Amiri"/>
          <w:color w:val="111111"/>
          <w:sz w:val="28"/>
          <w:sz w:val="28"/>
          <w:szCs w:val="28"/>
          <w:rtl w:val="true"/>
          <w:lang w:bidi="ar-SA"/>
        </w:rPr>
        <w:t>و طلاق دو قسم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فاقد شرطى از شروط متقدمۀ صحّت طلاق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واجد شروط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اخير، بائن است و رجعى است و عدّى است، و طلاق عدّه آن است كه طلاق سوّم آن، قسم خاصى از بائن است</w:t>
      </w:r>
      <w:r>
        <w:rPr>
          <w:rFonts w:eastAsia="Amiri" w:cs="Amiri" w:ascii="Amiri" w:hAnsi="Amiri"/>
          <w:color w:val="111111"/>
          <w:sz w:val="28"/>
          <w:szCs w:val="28"/>
          <w:rtl w:val="true"/>
          <w:lang w:bidi="ar-SA"/>
        </w:rPr>
        <w:t>.</w:t>
      </w:r>
    </w:p>
    <w:p>
      <w:pPr>
        <w:pStyle w:val="Heading5"/>
        <w:numPr>
          <w:ilvl w:val="4"/>
          <w:numId w:val="1"/>
        </w:numPr>
        <w:rPr/>
      </w:pPr>
      <w:bookmarkStart w:id="976" w:name="__RefHeading___Toc3807817_1067777946"/>
      <w:bookmarkStart w:id="977" w:name="_Toc421"/>
      <w:bookmarkEnd w:id="976"/>
      <w:r>
        <w:rPr>
          <w:rtl w:val="true"/>
        </w:rPr>
        <w:t>طلاق بائن</w:t>
      </w:r>
      <w:bookmarkEnd w:id="977"/>
    </w:p>
    <w:p>
      <w:pPr>
        <w:pStyle w:val="BookText"/>
        <w:rPr/>
      </w:pPr>
      <w:r>
        <w:rPr>
          <w:rFonts w:ascii="IRNazanin" w:hAnsi="IRNazanin" w:eastAsia="IRNazanin"/>
          <w:color w:val="111111"/>
          <w:sz w:val="28"/>
          <w:sz w:val="28"/>
          <w:szCs w:val="28"/>
          <w:rtl w:val="true"/>
          <w:lang w:bidi="fa-IR"/>
        </w:rPr>
        <w:t>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رجوع صحيح نيست در عده، يا به جهت عدم اعتداد مثل يائسه و غير مدخول بها و صغيره، اگر چه مدخول بها باشد؛ يا آنكه در عده ابتداياً رجوع نمى تواند بنمايد اگر چه فى الجمله رجوع جايز باشد، مثل مختلعه و مبارات، مادام كه رجوع زن در بذل معتبر نشده است؛ يا آنكه مطلقاً رجوع در عده و نكاح بعد از آن جايز نيست مگر بعد از نكاح محلل و انقضاى عده بعد از آن، چه از موت محلل باشد چه از طلاق او، كه پس از عده، براى زوج اوّل، نكاح او جايز است، مثل مطلقۀ ثلاث با تخلّل دو رجوع، يا يك عقد بعد از انقضاى عده و يك رجوع، يا دو عقد بعد از انقضاى عده</w:t>
      </w:r>
      <w:r>
        <w:rPr>
          <w:rFonts w:eastAsia="IRNazanin" w:cs="IRNazanin"/>
          <w:color w:val="111111"/>
          <w:sz w:val="28"/>
          <w:szCs w:val="28"/>
          <w:rtl w:val="true"/>
          <w:lang w:bidi="fa-IR"/>
        </w:rPr>
        <w:t>.</w:t>
      </w:r>
    </w:p>
    <w:p>
      <w:pPr>
        <w:pStyle w:val="Heading5"/>
        <w:numPr>
          <w:ilvl w:val="4"/>
          <w:numId w:val="1"/>
        </w:numPr>
        <w:rPr/>
      </w:pPr>
      <w:bookmarkStart w:id="978" w:name="__RefHeading___Toc3807819_1067777946"/>
      <w:bookmarkStart w:id="979" w:name="_Toc422"/>
      <w:bookmarkEnd w:id="978"/>
      <w:r>
        <w:rPr>
          <w:rtl w:val="true"/>
        </w:rPr>
        <w:t>طلاق عدّه</w:t>
      </w:r>
      <w:bookmarkEnd w:id="97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طلاق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طلاق ثالث با شروط صحّت، در صورتى كه دو طلاق سابق، متعقّب به رجوع در عده و مواقعه بوده باشد، چه در قُبُل باشد يا در </w:t>
      </w:r>
      <w:bookmarkStart w:id="980" w:name="pg10265_89927"/>
    </w:p>
    <w:p>
      <w:pPr>
        <w:pStyle w:val="BookText"/>
        <w:rPr/>
      </w:pPr>
      <w:bookmarkEnd w:id="980"/>
      <w:r>
        <w:rPr>
          <w:rFonts w:ascii="IRNazanin" w:hAnsi="IRNazanin" w:eastAsia="IRNazanin"/>
          <w:color w:val="111111"/>
          <w:sz w:val="28"/>
          <w:sz w:val="28"/>
          <w:szCs w:val="28"/>
          <w:rtl w:val="true"/>
          <w:lang w:bidi="fa-IR"/>
        </w:rPr>
        <w:t>دُبُر، كه با اين قيود، طلاق نهم، موجب حرمت ابديه است؛ و بدون اين قيود، طلاق سوّم از آنها، موجبِ احتياج به محلّل است فقط، چه آنكه رجوع در عده، متعقّب به مواقعه نباشد، يا آنكه مواقعه بعد از عقد جديد بعد از انقضاى عده باشد؛ پس طلاق عده با غير آن، در احتياجِ ثالث به محلل، مشترك است در حرّه؛ و اما امه اگر چه زوجش حرّ باشد، پس بعد از طلاق دوّم، احتياج به محلّل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تحريم ابدى به طلاق نهم، اختصاص به طلاق عده دارد</w:t>
      </w:r>
      <w:r>
        <w:rPr>
          <w:rFonts w:eastAsia="IRNazanin" w:cs="IRNazanin"/>
          <w:color w:val="111111"/>
          <w:sz w:val="28"/>
          <w:szCs w:val="28"/>
          <w:rtl w:val="true"/>
          <w:lang w:bidi="fa-IR"/>
        </w:rPr>
        <w:t>.</w:t>
      </w:r>
    </w:p>
    <w:p>
      <w:pPr>
        <w:pStyle w:val="Heading5"/>
        <w:numPr>
          <w:ilvl w:val="4"/>
          <w:numId w:val="1"/>
        </w:numPr>
        <w:rPr/>
      </w:pPr>
      <w:bookmarkStart w:id="981" w:name="__RefHeading___Toc3807821_1067777946"/>
      <w:bookmarkStart w:id="982" w:name="_Toc423"/>
      <w:bookmarkEnd w:id="981"/>
      <w:r>
        <w:rPr>
          <w:rtl w:val="true"/>
        </w:rPr>
        <w:t>نياز به محلّل در همه طلاقهاى مقدّم بر طلاق سوم</w:t>
      </w:r>
      <w:bookmarkEnd w:id="982"/>
    </w:p>
    <w:p>
      <w:pPr>
        <w:pStyle w:val="BookText"/>
        <w:rPr/>
      </w:pPr>
      <w:r>
        <w:rPr>
          <w:rFonts w:ascii="IRNazanin" w:hAnsi="IRNazanin" w:eastAsia="IRNazanin"/>
          <w:color w:val="111111"/>
          <w:sz w:val="28"/>
          <w:sz w:val="28"/>
          <w:szCs w:val="28"/>
          <w:rtl w:val="true"/>
          <w:lang w:bidi="fa-IR"/>
        </w:rPr>
        <w:t>و انقضاى عده در همۀ طلاقهاى مقدم بر طلاق سوّم يا در بعض آنها، تحريم طلاق سوّم و احتياج به محلّل را هدم نمى نمايد حتى اگر نكاح جديد در غير صاحبۀ عده باشد، مثل غير مدخول بها، فقط فرق در حرمت ابديه با طلاق تاسع و عدم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احتياج به محلّل، فرقى بين وقوع هر سه طلاق بعد از رجوع در يك طُهر يا طُهرهاى متعدد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طلاق سوّم براى حره، موجب احتياج به محلّل است و فرقى بين مغايرت محلل بعد از هر طلاق سوّم و اتحاد آن نيست</w:t>
      </w:r>
      <w:r>
        <w:rPr>
          <w:rFonts w:eastAsia="IRNazanin" w:cs="IRNazanin"/>
          <w:color w:val="111111"/>
          <w:sz w:val="28"/>
          <w:szCs w:val="28"/>
          <w:rtl w:val="true"/>
          <w:lang w:bidi="fa-IR"/>
        </w:rPr>
        <w:t>.</w:t>
      </w:r>
    </w:p>
    <w:p>
      <w:pPr>
        <w:pStyle w:val="Heading5"/>
        <w:numPr>
          <w:ilvl w:val="4"/>
          <w:numId w:val="1"/>
        </w:numPr>
        <w:rPr/>
      </w:pPr>
      <w:bookmarkStart w:id="983" w:name="__RefHeading___Toc3807823_1067777946"/>
      <w:bookmarkStart w:id="984" w:name="_Toc424"/>
      <w:bookmarkEnd w:id="983"/>
      <w:r>
        <w:rPr>
          <w:rtl w:val="true"/>
        </w:rPr>
        <w:t>شرط تحقق طلاق سوّم</w:t>
      </w:r>
      <w:bookmarkEnd w:id="984"/>
    </w:p>
    <w:p>
      <w:pPr>
        <w:pStyle w:val="BookText"/>
        <w:rPr/>
      </w:pPr>
      <w:r>
        <w:rPr>
          <w:rFonts w:ascii="IRNazanin" w:hAnsi="IRNazanin" w:eastAsia="IRNazanin"/>
          <w:color w:val="111111"/>
          <w:sz w:val="28"/>
          <w:sz w:val="28"/>
          <w:szCs w:val="28"/>
          <w:rtl w:val="true"/>
          <w:lang w:bidi="fa-IR"/>
        </w:rPr>
        <w:t>طلاق سوّم موجب تحريم و احتياج به محلل مى شود در صورتى كه بعد از طلاق اوّل يا دوّم، نكاحِ غيرى، متخلل نباشد، وگرنه نكاح زوج اوّل بعد از عده از نكاح زوج ثانى و طلاق بعد از آن، نكاح اوّل سه طلاق واقع مى شود كه سوّم آن موجب تحريم و احتياج به محلّل خواهد بود</w:t>
      </w:r>
      <w:r>
        <w:rPr>
          <w:rFonts w:eastAsia="IRNazanin" w:cs="IRNazanin"/>
          <w:color w:val="111111"/>
          <w:sz w:val="28"/>
          <w:szCs w:val="28"/>
          <w:rtl w:val="true"/>
          <w:lang w:bidi="fa-IR"/>
        </w:rPr>
        <w:t>.</w:t>
      </w:r>
    </w:p>
    <w:p>
      <w:pPr>
        <w:pStyle w:val="Heading4"/>
        <w:numPr>
          <w:ilvl w:val="3"/>
          <w:numId w:val="1"/>
        </w:numPr>
        <w:rPr/>
      </w:pPr>
      <w:bookmarkStart w:id="985" w:name="__RefHeading___Toc3807825_1067777946"/>
      <w:bookmarkStart w:id="986" w:name="_Toc425"/>
      <w:bookmarkEnd w:id="985"/>
      <w:r>
        <w:rPr>
          <w:rtl w:val="true"/>
        </w:rPr>
        <w:t>صيغۀ طلاق</w:t>
      </w:r>
      <w:bookmarkEnd w:id="986"/>
    </w:p>
    <w:p>
      <w:pPr>
        <w:pStyle w:val="Heading5"/>
        <w:numPr>
          <w:ilvl w:val="4"/>
          <w:numId w:val="1"/>
        </w:numPr>
        <w:rPr/>
      </w:pPr>
      <w:bookmarkStart w:id="987" w:name="__RefHeading___Toc3807827_1067777946"/>
      <w:bookmarkStart w:id="988" w:name="_Toc426"/>
      <w:bookmarkEnd w:id="987"/>
      <w:r>
        <w:rPr>
          <w:rtl w:val="true"/>
        </w:rPr>
        <w:t>اشاره</w:t>
      </w:r>
      <w:bookmarkEnd w:id="988"/>
    </w:p>
    <w:p>
      <w:pPr>
        <w:pStyle w:val="BookText"/>
        <w:rPr/>
      </w:pPr>
      <w:r>
        <w:rPr>
          <w:rFonts w:ascii="Amiri" w:hAnsi="Amiri" w:eastAsia="Amiri" w:cs="Amiri"/>
          <w:color w:val="111111"/>
          <w:sz w:val="28"/>
          <w:sz w:val="28"/>
          <w:szCs w:val="28"/>
          <w:rtl w:val="true"/>
          <w:lang w:bidi="ar-SA"/>
        </w:rPr>
        <w:t>صيغۀ طلاق</w:t>
      </w:r>
      <w:r>
        <w:rPr>
          <w:rStyle w:val="FootnoteAnchor"/>
          <w:rtl w:val="true"/>
        </w:rPr>
        <w:footnoteReference w:id="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واقع مى شود طلاق به صيغه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989" w:name="pg10265_89928"/>
    </w:p>
    <w:p>
      <w:pPr>
        <w:pStyle w:val="BookText"/>
        <w:rPr/>
      </w:pPr>
      <w:bookmarkEnd w:id="9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نحو اينها به نحوى كه مشخص باشد در صورت تعدّد زوجات و غير اين صورت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مسلم است عدم وقوع به آنها يا خلافى است، و احتياط در عدم ايقاع طلاق به آنها است</w:t>
      </w:r>
      <w:r>
        <w:rPr>
          <w:rFonts w:eastAsia="Amiri" w:cs="Amiri" w:ascii="Amiri" w:hAnsi="Amiri"/>
          <w:color w:val="111111"/>
          <w:sz w:val="28"/>
          <w:szCs w:val="28"/>
          <w:rtl w:val="true"/>
          <w:lang w:bidi="ar-SA"/>
        </w:rPr>
        <w:t>.</w:t>
      </w:r>
    </w:p>
    <w:p>
      <w:pPr>
        <w:pStyle w:val="Heading5"/>
        <w:numPr>
          <w:ilvl w:val="4"/>
          <w:numId w:val="1"/>
        </w:numPr>
        <w:rPr/>
      </w:pPr>
      <w:bookmarkStart w:id="990" w:name="__RefHeading___Toc3807829_1067777946"/>
      <w:bookmarkStart w:id="991" w:name="_Toc427"/>
      <w:bookmarkEnd w:id="990"/>
      <w:r>
        <w:rPr>
          <w:rtl w:val="true"/>
        </w:rPr>
        <w:t>عربى يا غير عربى بودن صيغه و طلاق اخرس</w:t>
      </w:r>
      <w:bookmarkEnd w:id="991"/>
    </w:p>
    <w:p>
      <w:pPr>
        <w:pStyle w:val="BookText"/>
        <w:rPr/>
      </w:pPr>
      <w:r>
        <w:rPr>
          <w:rFonts w:ascii="IRNazanin" w:hAnsi="IRNazanin" w:eastAsia="IRNazanin"/>
          <w:color w:val="111111"/>
          <w:sz w:val="28"/>
          <w:sz w:val="28"/>
          <w:szCs w:val="28"/>
          <w:rtl w:val="true"/>
          <w:lang w:bidi="fa-IR"/>
        </w:rPr>
        <w:t>و هم چنين با عربيّت صحيحه واقع مى شود؛ و با عدم قدرت بر عربيت، با ساير لغات صحيحه واقع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در عربى غير صحيح، جمع بين آن و بين لغت صحيحۀ ديگر است كه زوج يا مُجرى صيغه معرفت به آن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عدم تمكّن از تلفظ، اشارۀ اخرس كه قاطع باشد كافى است</w:t>
      </w:r>
      <w:r>
        <w:rPr>
          <w:rFonts w:eastAsia="Amiri" w:cs="Amiri" w:ascii="Amiri" w:hAnsi="Amiri"/>
          <w:color w:val="111111"/>
          <w:sz w:val="28"/>
          <w:szCs w:val="28"/>
          <w:rtl w:val="true"/>
          <w:lang w:bidi="ar-SA"/>
        </w:rPr>
        <w:t>.</w:t>
      </w:r>
    </w:p>
    <w:p>
      <w:pPr>
        <w:pStyle w:val="Heading5"/>
        <w:numPr>
          <w:ilvl w:val="4"/>
          <w:numId w:val="1"/>
        </w:numPr>
        <w:rPr/>
      </w:pPr>
      <w:bookmarkStart w:id="992" w:name="__RefHeading___Toc3807831_1067777946"/>
      <w:bookmarkStart w:id="993" w:name="_Toc428"/>
      <w:bookmarkEnd w:id="992"/>
      <w:r>
        <w:rPr>
          <w:rtl w:val="true"/>
        </w:rPr>
        <w:t>طلاق با كتابت</w:t>
      </w:r>
      <w:bookmarkEnd w:id="993"/>
    </w:p>
    <w:p>
      <w:pPr>
        <w:pStyle w:val="BookText"/>
        <w:rPr/>
      </w:pPr>
      <w:r>
        <w:rPr>
          <w:rFonts w:ascii="IRNazanin" w:hAnsi="IRNazanin" w:eastAsia="IRNazanin"/>
          <w:color w:val="111111"/>
          <w:sz w:val="28"/>
          <w:sz w:val="28"/>
          <w:szCs w:val="28"/>
          <w:rtl w:val="true"/>
          <w:lang w:bidi="fa-IR"/>
        </w:rPr>
        <w:t>و كتابتى كه مقصود به آن، انشاى طلاق باشد، در حكم اشاره است و مجزى است در صورت اجزاى اشاره، نه در صورت قدرت بر تلفظ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توكيل در كتابت در صورت اجزاى كتابت، مثل توكيل در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شرايط لفظ معتبر است در انشاى طلاق به كتابت و اشاره در صورت اجزاى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مكتوب، لازم است موافقت با ملفوظ در صيغه و خصوصيات آن، مگر آنكه نوبت به اشاره رسيده باشد و كتابت از باب اشاره مجزى باشد و مفيد قطعىِ فايدۀ اشاره باشد</w:t>
      </w:r>
      <w:r>
        <w:rPr>
          <w:rFonts w:eastAsia="IRNazanin" w:cs="IRNazanin"/>
          <w:color w:val="111111"/>
          <w:sz w:val="28"/>
          <w:szCs w:val="28"/>
          <w:rtl w:val="true"/>
          <w:lang w:bidi="fa-IR"/>
        </w:rPr>
        <w:t>.</w:t>
      </w:r>
    </w:p>
    <w:p>
      <w:pPr>
        <w:pStyle w:val="Heading5"/>
        <w:numPr>
          <w:ilvl w:val="4"/>
          <w:numId w:val="1"/>
        </w:numPr>
        <w:rPr/>
      </w:pPr>
      <w:bookmarkStart w:id="994" w:name="__RefHeading___Toc3807833_1067777946"/>
      <w:bookmarkStart w:id="995" w:name="_Toc429"/>
      <w:bookmarkEnd w:id="994"/>
      <w:r>
        <w:rPr>
          <w:rtl w:val="true"/>
        </w:rPr>
        <w:t>اگر مرد اختيار طلاق را به همسر خود بسپارد</w:t>
      </w:r>
      <w:bookmarkEnd w:id="995"/>
    </w:p>
    <w:p>
      <w:pPr>
        <w:pStyle w:val="BookText"/>
        <w:rPr/>
      </w:pPr>
      <w:r>
        <w:rPr>
          <w:rFonts w:ascii="IRNazanin" w:hAnsi="IRNazanin" w:eastAsia="IRNazanin"/>
          <w:color w:val="111111"/>
          <w:sz w:val="28"/>
          <w:sz w:val="28"/>
          <w:szCs w:val="28"/>
          <w:rtl w:val="true"/>
          <w:lang w:bidi="fa-IR"/>
        </w:rPr>
        <w:t>و در تأثير اختيار متصل به تخيير زوج و حصول فراق به آن، تأمل است و اظهر عدم تاثير است مگر در طلاقى كه به صيغۀ خودش با استفادۀ اذن و توكيل از تخيير با محافظت خصوصيت وقت آن با شروط طلاق واقع شود</w:t>
      </w:r>
      <w:r>
        <w:rPr>
          <w:rFonts w:eastAsia="IRNazanin" w:cs="IRNazanin"/>
          <w:color w:val="111111"/>
          <w:sz w:val="28"/>
          <w:szCs w:val="28"/>
          <w:rtl w:val="true"/>
          <w:lang w:bidi="fa-IR"/>
        </w:rPr>
        <w:t>.</w:t>
      </w:r>
    </w:p>
    <w:p>
      <w:pPr>
        <w:pStyle w:val="Heading5"/>
        <w:numPr>
          <w:ilvl w:val="4"/>
          <w:numId w:val="1"/>
        </w:numPr>
        <w:rPr/>
      </w:pPr>
      <w:bookmarkStart w:id="996" w:name="__RefHeading___Toc3807835_1067777946"/>
      <w:bookmarkStart w:id="997" w:name="_Toc430"/>
      <w:bookmarkEnd w:id="996"/>
      <w:r>
        <w:rPr>
          <w:rtl w:val="true"/>
        </w:rPr>
        <w:t>زيادى قيد در طلاق</w:t>
      </w:r>
      <w:bookmarkEnd w:id="99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طالق للسنّه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زيادتى مضر به صحّت با وجدان شروط صحّت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طالق للبدعة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واقع شروط صحّت موجود بود و قصد </w:t>
      </w:r>
      <w:bookmarkStart w:id="998" w:name="pg10265_89929"/>
    </w:p>
    <w:p>
      <w:pPr>
        <w:pStyle w:val="BookText"/>
        <w:rPr/>
      </w:pPr>
      <w:bookmarkEnd w:id="998"/>
      <w:r>
        <w:rPr>
          <w:rFonts w:ascii="IRNazanin" w:hAnsi="IRNazanin" w:eastAsia="IRNazanin"/>
          <w:color w:val="111111"/>
          <w:sz w:val="28"/>
          <w:sz w:val="28"/>
          <w:szCs w:val="28"/>
          <w:rtl w:val="true"/>
          <w:lang w:bidi="fa-IR"/>
        </w:rPr>
        <w:t>تقييد، مجدّد شد بعد از قصد طلاق، اظهر صحّت است؛ و اگر قصد مجموع قيد و مقيّد واحد باشد، اظهر بطلان است؛ زيرا مقصود واقع نمى شود و واقع كه طلاق سنّت است غير مقصود است</w:t>
      </w:r>
      <w:r>
        <w:rPr>
          <w:rFonts w:eastAsia="IRNazanin" w:cs="IRNazanin"/>
          <w:color w:val="111111"/>
          <w:sz w:val="28"/>
          <w:szCs w:val="28"/>
          <w:rtl w:val="true"/>
          <w:lang w:bidi="fa-IR"/>
        </w:rPr>
        <w:t>.</w:t>
      </w:r>
    </w:p>
    <w:p>
      <w:pPr>
        <w:pStyle w:val="Heading5"/>
        <w:numPr>
          <w:ilvl w:val="4"/>
          <w:numId w:val="1"/>
        </w:numPr>
        <w:rPr/>
      </w:pPr>
      <w:bookmarkStart w:id="999" w:name="__RefHeading___Toc3807837_1067777946"/>
      <w:bookmarkStart w:id="1000" w:name="_Toc431"/>
      <w:bookmarkEnd w:id="999"/>
      <w:r>
        <w:rPr>
          <w:rtl w:val="true"/>
        </w:rPr>
        <w:t>اجراى صيغه با احتمال خلل در شرط و مانع</w:t>
      </w:r>
      <w:bookmarkEnd w:id="1000"/>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احتمال مقارنت فقد شرط يا وجود مانع يا با تعليق به شرط محتمل المقارنه يا عدم مانع محتمل المقارنه، طلاق احتياطى است و حكم آن را دارد</w:t>
      </w:r>
      <w:r>
        <w:rPr>
          <w:rFonts w:eastAsia="IRNazanin" w:cs="IRNazanin"/>
          <w:color w:val="111111"/>
          <w:sz w:val="28"/>
          <w:szCs w:val="28"/>
          <w:rtl w:val="true"/>
          <w:lang w:bidi="fa-IR"/>
        </w:rPr>
        <w:t>.</w:t>
      </w:r>
    </w:p>
    <w:p>
      <w:pPr>
        <w:pStyle w:val="Heading5"/>
        <w:numPr>
          <w:ilvl w:val="4"/>
          <w:numId w:val="1"/>
        </w:numPr>
        <w:rPr/>
      </w:pPr>
      <w:bookmarkStart w:id="1001" w:name="__RefHeading___Toc3807839_1067777946"/>
      <w:bookmarkStart w:id="1002" w:name="_Toc432"/>
      <w:bookmarkEnd w:id="1001"/>
      <w:r>
        <w:rPr>
          <w:rtl w:val="true"/>
        </w:rPr>
        <w:t>تعليق به مستقبل و غير آن</w:t>
      </w:r>
      <w:bookmarkEnd w:id="1002"/>
    </w:p>
    <w:p>
      <w:pPr>
        <w:pStyle w:val="BookText"/>
        <w:rPr/>
      </w:pPr>
      <w:r>
        <w:rPr>
          <w:rFonts w:ascii="IRNazanin" w:hAnsi="IRNazanin" w:eastAsia="IRNazanin"/>
          <w:color w:val="111111"/>
          <w:sz w:val="28"/>
          <w:sz w:val="28"/>
          <w:szCs w:val="28"/>
          <w:rtl w:val="true"/>
          <w:lang w:bidi="fa-IR"/>
        </w:rPr>
        <w:t>و اگر معلّق به مستقبل غير معلوم يا معلوم بود، پس اگر مراد، حصول فراق بعد از حصول معلّق عليه باشد باطل است؛ و اگر مراد، مراعى بودن است و كاشفيت وجود از تحقق طلاق است در زمان خودش، پس در صحّت، تأمل است و ظاهر اِطلاق كلمات فقها در تعليق، 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طالق لرضا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 باطل است به نحو متقدّم،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غايت،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دو معنى در صورت كسر همزه و فتح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طالق ان دخلت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اعتبار به قصد طلاق دهنده است و حتى آنكه با قصد تعليق در فتح و تعليل در كسر حكم مقصود مرتّب است؛ و نزد جاهل كشف اراده با ظهور لفظ مى شود، پس حمل بر تعليق با كسر، و تعليل با فتح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منكِ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بطلان است، مگر بنابر كفايت كنايه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طالق نصف 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باطل است، مگر با تجدد قصد در ضميمه</w:t>
      </w:r>
      <w:r>
        <w:rPr>
          <w:rFonts w:eastAsia="IRNazanin" w:cs="IRNazanin"/>
          <w:color w:val="111111"/>
          <w:sz w:val="28"/>
          <w:szCs w:val="28"/>
          <w:rtl w:val="true"/>
          <w:lang w:bidi="fa-IR"/>
        </w:rPr>
        <w:t>.</w:t>
      </w:r>
    </w:p>
    <w:p>
      <w:pPr>
        <w:pStyle w:val="Heading5"/>
        <w:numPr>
          <w:ilvl w:val="4"/>
          <w:numId w:val="1"/>
        </w:numPr>
        <w:rPr/>
      </w:pPr>
      <w:bookmarkStart w:id="1003" w:name="__RefHeading___Toc3807841_1067777946"/>
      <w:bookmarkStart w:id="1004" w:name="_Toc433"/>
      <w:bookmarkEnd w:id="1003"/>
      <w:r>
        <w:rPr>
          <w:rtl w:val="true"/>
        </w:rPr>
        <w:t>ادّعاى سبق لسان در لفظ طالق</w:t>
      </w:r>
      <w:bookmarkEnd w:id="100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بلا فاصله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لسان بود به تبديلِ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1005" w:name="pg10265_89930"/>
    </w:p>
    <w:p>
      <w:pPr>
        <w:pStyle w:val="BookText"/>
        <w:rPr/>
      </w:pPr>
      <w:bookmarkEnd w:id="10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ظاهر قبول مى شود، اگر چه در طلاق بائن باشد، و در باطن محكوم به واقع است، پس حلال واقعى نيست بر او آن زن مگر با صدق واقعى در دعواى مخالف عقيدۀ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جريان اين حكم در دعواى زوج قبل از انقضاى عده، و در دعواى عدم قصد معنى از لفظ مقصود</w:t>
      </w:r>
      <w:r>
        <w:rPr>
          <w:rFonts w:eastAsia="IRNazanin" w:cs="IRNazanin"/>
          <w:color w:val="111111"/>
          <w:sz w:val="28"/>
          <w:szCs w:val="28"/>
          <w:rtl w:val="true"/>
          <w:lang w:bidi="fa-IR"/>
        </w:rPr>
        <w:t>.</w:t>
      </w:r>
    </w:p>
    <w:p>
      <w:pPr>
        <w:pStyle w:val="Heading5"/>
        <w:numPr>
          <w:ilvl w:val="4"/>
          <w:numId w:val="1"/>
        </w:numPr>
        <w:rPr/>
      </w:pPr>
      <w:bookmarkStart w:id="1006" w:name="__RefHeading___Toc3807843_1067777946"/>
      <w:bookmarkStart w:id="1007" w:name="_Toc434"/>
      <w:bookmarkEnd w:id="1006"/>
      <w:r>
        <w:rPr>
          <w:rtl w:val="true"/>
        </w:rPr>
        <w:t>حكم بعضى از گونه هاى بيان صيغه</w:t>
      </w:r>
      <w:bookmarkEnd w:id="1007"/>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يدكِ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 يد از ساير اجزا، در ظاهر واقع نمى شود مگر با ارادۀ جمله از بعض با قرينه، وگرنه طلاق واقعى، داير مدار قصد واقعى ذات مطلقه است از عبارت مذكوره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طالق قبل 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معها يا عليها 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اظهر صحّت يك طلاق است؛ به خلاف آنكه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طالق بعد 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قبلها 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آنكه در سابق طلاقى داده بوده و بعد از رجوع يا نكاح خواست طلاقى بدهد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طالق بعد 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صحيح خواهد بود طلاق متأخر ايضاً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طالق نصفَىْ 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اثلاث 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طلقتين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اظهر صحّت است در غير اخير، و محتمل است در اخير</w:t>
      </w:r>
      <w:r>
        <w:rPr>
          <w:rFonts w:eastAsia="IRNazanin" w:cs="IRNazanin"/>
          <w:color w:val="111111"/>
          <w:sz w:val="28"/>
          <w:szCs w:val="28"/>
          <w:rtl w:val="true"/>
          <w:lang w:bidi="fa-IR"/>
        </w:rPr>
        <w:t>.</w:t>
      </w:r>
    </w:p>
    <w:p>
      <w:pPr>
        <w:pStyle w:val="Heading5"/>
        <w:numPr>
          <w:ilvl w:val="4"/>
          <w:numId w:val="1"/>
        </w:numPr>
        <w:rPr/>
      </w:pPr>
      <w:bookmarkStart w:id="1008" w:name="__RefHeading___Toc3807845_1067777946"/>
      <w:bookmarkStart w:id="1009" w:name="_Toc435"/>
      <w:bookmarkEnd w:id="1008"/>
      <w:r>
        <w:rPr>
          <w:rtl w:val="true"/>
        </w:rPr>
        <w:t>طلاق اكثر از واحده به يك صيغه</w:t>
      </w:r>
      <w:bookmarkEnd w:id="1009"/>
    </w:p>
    <w:p>
      <w:pPr>
        <w:pStyle w:val="BookText"/>
        <w:rPr/>
      </w:pPr>
      <w:r>
        <w:rPr>
          <w:rFonts w:ascii="IRNazanin" w:hAnsi="IRNazanin" w:eastAsia="IRNazanin"/>
          <w:color w:val="111111"/>
          <w:sz w:val="28"/>
          <w:sz w:val="28"/>
          <w:szCs w:val="28"/>
          <w:rtl w:val="true"/>
          <w:lang w:bidi="fa-IR"/>
        </w:rPr>
        <w:t>اگر به دو زن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انتما طالقان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بيشتر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انتن طوالق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مى شود طلاق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چهار زن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اوقعت بينكنّ اربع طلقات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طلاق هيچ كدام واقع نمى شود بر حسب آنچه گذشت، بلى در مقام اقرار، حكم به وقوع طلاق چهار به غير اين صيغه مى شود در آنچه اقرار مُثبِت است</w:t>
      </w:r>
      <w:r>
        <w:rPr>
          <w:rFonts w:eastAsia="IRNazanin" w:cs="IRNazanin"/>
          <w:color w:val="111111"/>
          <w:sz w:val="28"/>
          <w:szCs w:val="28"/>
          <w:rtl w:val="true"/>
          <w:lang w:bidi="fa-IR"/>
        </w:rPr>
        <w:t>.</w:t>
      </w:r>
    </w:p>
    <w:p>
      <w:pPr>
        <w:pStyle w:val="Heading5"/>
        <w:numPr>
          <w:ilvl w:val="4"/>
          <w:numId w:val="1"/>
        </w:numPr>
        <w:rPr/>
      </w:pPr>
      <w:bookmarkStart w:id="1010" w:name="__RefHeading___Toc3807847_1067777946"/>
      <w:bookmarkStart w:id="1011" w:name="_Toc436"/>
      <w:bookmarkEnd w:id="1010"/>
      <w:r>
        <w:rPr>
          <w:rtl w:val="true"/>
        </w:rPr>
        <w:t>استثنا در صيغۀ طلاق به اِلّا و غير</w:t>
      </w:r>
      <w:bookmarkEnd w:id="101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طالق ثلاثاً الا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واقع مى شود و استثنا باطل مى شود؛ و هم چنين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طالق طلقة إلا طلقة</w:t>
      </w:r>
      <w:r>
        <w:rPr>
          <w:rFonts w:eastAsia="IRNazanin" w:cs="IRNazanin"/>
          <w:color w:val="111111"/>
          <w:sz w:val="28"/>
          <w:szCs w:val="28"/>
          <w:rtl w:val="true"/>
          <w:lang w:bidi="fa-IR"/>
        </w:rPr>
        <w:t xml:space="preserve">». </w:t>
      </w:r>
      <w:bookmarkStart w:id="1012" w:name="pg10265_89931"/>
    </w:p>
    <w:p>
      <w:pPr>
        <w:pStyle w:val="BookText"/>
        <w:rPr/>
      </w:pPr>
      <w:bookmarkEnd w:id="1012"/>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طالق، غير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غير طلاق رجعى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انكار طلاق، رجوع است در آن بر حسب آنچه ذكر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طلاق واقع مى شود و نقضْ لغو مى شود</w:t>
      </w:r>
      <w:r>
        <w:rPr>
          <w:rFonts w:eastAsia="IRNazanin" w:cs="IRNazanin"/>
          <w:color w:val="111111"/>
          <w:sz w:val="28"/>
          <w:szCs w:val="28"/>
          <w:rtl w:val="true"/>
          <w:lang w:bidi="fa-IR"/>
        </w:rPr>
        <w:t>.</w:t>
      </w:r>
    </w:p>
    <w:p>
      <w:pPr>
        <w:pStyle w:val="Heading5"/>
        <w:numPr>
          <w:ilvl w:val="4"/>
          <w:numId w:val="1"/>
        </w:numPr>
        <w:rPr/>
      </w:pPr>
      <w:bookmarkStart w:id="1013" w:name="__RefHeading___Toc3807849_1067777946"/>
      <w:bookmarkStart w:id="1014" w:name="_Toc437"/>
      <w:bookmarkEnd w:id="1013"/>
      <w:r>
        <w:rPr>
          <w:rtl w:val="true"/>
        </w:rPr>
        <w:t>ادّعاى سبق لسان در اسم مطلّقه</w:t>
      </w:r>
      <w:bookmarkEnd w:id="1014"/>
    </w:p>
    <w:p>
      <w:pPr>
        <w:pStyle w:val="BookText"/>
        <w:rPr/>
      </w:pP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زينب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و سبق لسان بود و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آن هم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قبول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داده مى شود، در صورتى كه دعواى سبق لسان مسموع است و در حكم واقعى نزد قصدكننده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اجنبيه است، طلاق واقع نمى شود</w:t>
      </w:r>
      <w:r>
        <w:rPr>
          <w:rFonts w:eastAsia="IRNazanin" w:cs="IRNazanin"/>
          <w:color w:val="111111"/>
          <w:sz w:val="28"/>
          <w:szCs w:val="28"/>
          <w:rtl w:val="true"/>
          <w:lang w:bidi="fa-IR"/>
        </w:rPr>
        <w:t>.</w:t>
      </w:r>
    </w:p>
    <w:p>
      <w:pPr>
        <w:pStyle w:val="Heading5"/>
        <w:numPr>
          <w:ilvl w:val="4"/>
          <w:numId w:val="1"/>
        </w:numPr>
        <w:rPr/>
      </w:pPr>
      <w:bookmarkStart w:id="1015" w:name="__RefHeading___Toc3807851_1067777946"/>
      <w:bookmarkStart w:id="1016" w:name="_Toc438"/>
      <w:bookmarkEnd w:id="1015"/>
      <w:r>
        <w:rPr>
          <w:rtl w:val="true"/>
        </w:rPr>
        <w:t>اضراب به بل</w:t>
      </w:r>
      <w:bookmarkEnd w:id="1016"/>
    </w:p>
    <w:p>
      <w:pPr>
        <w:pStyle w:val="BookText"/>
        <w:rPr/>
      </w:pPr>
      <w:r>
        <w:rPr>
          <w:rFonts w:ascii="IRNazanin" w:hAnsi="IRNazanin" w:eastAsia="IRNazanin"/>
          <w:color w:val="111111"/>
          <w:sz w:val="28"/>
          <w:sz w:val="28"/>
          <w:szCs w:val="28"/>
          <w:rtl w:val="true"/>
          <w:lang w:bidi="fa-IR"/>
        </w:rPr>
        <w:t xml:space="preserve">اگر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طالق بل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دو زوجۀ خود، طلاق اولى ثابت است، و در ثبوت طلاق دومى تأمل است، منشأ آن انسباق اتحاد دال بر طلاق و دال بر اضراب و عدم جمع بين دو طلاق است، پس رجوع از اوّل بعد از تحقق و اثبات دوّم غير مفيد است؛ به خلاف آنكه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زينب طالق و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اشكال متقدّم در اقرار هم جارى است</w:t>
      </w:r>
      <w:r>
        <w:rPr>
          <w:rFonts w:eastAsia="IRNazanin" w:cs="IRNazanin"/>
          <w:color w:val="111111"/>
          <w:sz w:val="28"/>
          <w:szCs w:val="28"/>
          <w:rtl w:val="true"/>
          <w:lang w:bidi="fa-IR"/>
        </w:rPr>
        <w:t>.</w:t>
      </w:r>
    </w:p>
    <w:p>
      <w:pPr>
        <w:pStyle w:val="Heading5"/>
        <w:numPr>
          <w:ilvl w:val="4"/>
          <w:numId w:val="1"/>
        </w:numPr>
        <w:rPr/>
      </w:pPr>
      <w:bookmarkStart w:id="1017" w:name="__RefHeading___Toc3807853_1067777946"/>
      <w:bookmarkStart w:id="1018" w:name="_Toc439"/>
      <w:bookmarkEnd w:id="1017"/>
      <w:r>
        <w:rPr>
          <w:rtl w:val="true"/>
        </w:rPr>
        <w:t>بقيۀ مسائل مربوط به اقسام طلاق</w:t>
      </w:r>
      <w:bookmarkEnd w:id="1018"/>
    </w:p>
    <w:p>
      <w:pPr>
        <w:pStyle w:val="BookText"/>
        <w:rPr/>
      </w:pPr>
      <w:r>
        <w:rPr>
          <w:rFonts w:ascii="Amiri" w:hAnsi="Amiri" w:eastAsia="Amiri" w:cs="Amiri"/>
          <w:color w:val="111111"/>
          <w:sz w:val="28"/>
          <w:sz w:val="28"/>
          <w:szCs w:val="28"/>
          <w:rtl w:val="true"/>
          <w:lang w:bidi="ar-SA"/>
        </w:rPr>
        <w:t>و امه بعد از دو طلاق كه بين آنها رجوع و مواقعه باشد محتاج به محلّل مى شود، و بعد از طلاق ششم به نحو مذكور كه بين آنها دو تحليل بوده است، محرّم ابدى مى شود بنابر احوط</w:t>
      </w:r>
      <w:r>
        <w:rPr>
          <w:rFonts w:eastAsia="Amiri" w:cs="Amiri" w:ascii="Amiri" w:hAnsi="Amiri"/>
          <w:color w:val="111111"/>
          <w:sz w:val="28"/>
          <w:szCs w:val="28"/>
          <w:rtl w:val="true"/>
          <w:lang w:bidi="ar-SA"/>
        </w:rPr>
        <w:t>.</w:t>
      </w:r>
    </w:p>
    <w:p>
      <w:pPr>
        <w:pStyle w:val="Heading5"/>
        <w:numPr>
          <w:ilvl w:val="4"/>
          <w:numId w:val="1"/>
        </w:numPr>
        <w:rPr/>
      </w:pPr>
      <w:bookmarkStart w:id="1019" w:name="__RefHeading___Toc3807855_1067777946"/>
      <w:bookmarkStart w:id="1020" w:name="_Toc440"/>
      <w:bookmarkEnd w:id="1019"/>
      <w:r>
        <w:rPr>
          <w:rtl w:val="true"/>
        </w:rPr>
        <w:t>در حامل سه طلاق دادن تصوير دارد به خلاف نه طلاق</w:t>
      </w:r>
      <w:bookmarkEnd w:id="102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حامل مثل غير حامل است در تصوير سه طلاقِ موجب احتياج به محلّل به نحو مذكور در غير حامل، نه در نُه طلاق؛ زيرا بايد از عده خارج شود به وضع، تا نكاح جديد جايز باشد</w:t>
      </w:r>
      <w:r>
        <w:rPr>
          <w:rFonts w:eastAsia="Amiri" w:cs="Amiri" w:ascii="Amiri" w:hAnsi="Amiri"/>
          <w:color w:val="111111"/>
          <w:sz w:val="28"/>
          <w:szCs w:val="28"/>
          <w:rtl w:val="true"/>
          <w:lang w:bidi="ar-SA"/>
        </w:rPr>
        <w:t xml:space="preserve">. </w:t>
      </w:r>
      <w:bookmarkStart w:id="1021" w:name="pg10265_89932"/>
    </w:p>
    <w:p>
      <w:pPr>
        <w:pStyle w:val="Heading5"/>
        <w:numPr>
          <w:ilvl w:val="4"/>
          <w:numId w:val="1"/>
        </w:numPr>
        <w:rPr/>
      </w:pPr>
      <w:bookmarkStart w:id="1022" w:name="__RefHeading___Toc3807857_1067777946"/>
      <w:bookmarkStart w:id="1023" w:name="_Toc441"/>
      <w:bookmarkEnd w:id="1021"/>
      <w:bookmarkEnd w:id="1022"/>
      <w:r>
        <w:rPr>
          <w:rtl w:val="true"/>
        </w:rPr>
        <w:t>عدم اناطه سه طلاق دادن به مواقعه بعد از هر طلاق</w:t>
      </w:r>
      <w:bookmarkEnd w:id="1023"/>
    </w:p>
    <w:p>
      <w:pPr>
        <w:pStyle w:val="BookText"/>
        <w:rPr/>
      </w:pPr>
      <w:r>
        <w:rPr>
          <w:rFonts w:ascii="IRNazanin" w:hAnsi="IRNazanin" w:eastAsia="IRNazanin"/>
          <w:color w:val="111111"/>
          <w:sz w:val="28"/>
          <w:sz w:val="28"/>
          <w:szCs w:val="28"/>
          <w:rtl w:val="true"/>
          <w:lang w:bidi="fa-IR"/>
        </w:rPr>
        <w:t xml:space="preserve">صحّت طلاق حائل، اناطه به مواقعه بعد از رجوع يا نكاح سابق ندارد بنابر اظهر و با همان سه طلاقها اگر چه خالى از مواقعۀ سابقه باشد، احتياج به محلل محقّق است، چه در طُهرهاى متعدّده باشد يا در يك طهر، اگر چه رعايت تعدد اَطهار بلكه تعدّد وقاع براى بُعد از طريقۀ اهل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ايقاع ثلاث در يك مجلس بدون تخلّلِ رجوع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است؛ و در صورت مواقعه، بايد طلاق، در طهر غير مواقعه باشد در صورتى كه از كسانى باشد كه استبرا بر آنها لازم است چنانچه گذشت</w:t>
      </w:r>
      <w:r>
        <w:rPr>
          <w:rFonts w:eastAsia="IRNazanin" w:cs="IRNazanin"/>
          <w:color w:val="111111"/>
          <w:sz w:val="28"/>
          <w:szCs w:val="28"/>
          <w:rtl w:val="true"/>
          <w:lang w:bidi="fa-IR"/>
        </w:rPr>
        <w:t>.</w:t>
      </w:r>
    </w:p>
    <w:p>
      <w:pPr>
        <w:pStyle w:val="Heading5"/>
        <w:numPr>
          <w:ilvl w:val="4"/>
          <w:numId w:val="1"/>
        </w:numPr>
        <w:rPr/>
      </w:pPr>
      <w:bookmarkStart w:id="1024" w:name="__RefHeading___Toc3807859_1067777946"/>
      <w:bookmarkStart w:id="1025" w:name="_Toc442"/>
      <w:bookmarkEnd w:id="1024"/>
      <w:r>
        <w:rPr>
          <w:rtl w:val="true"/>
        </w:rPr>
        <w:t>شك در اصل طلاق يا عدد آن</w:t>
      </w:r>
      <w:bookmarkEnd w:id="1025"/>
    </w:p>
    <w:p>
      <w:pPr>
        <w:pStyle w:val="BookText"/>
        <w:rPr/>
      </w:pPr>
      <w:r>
        <w:rPr>
          <w:rFonts w:ascii="IRNazanin" w:hAnsi="IRNazanin" w:eastAsia="IRNazanin"/>
          <w:color w:val="111111"/>
          <w:sz w:val="28"/>
          <w:sz w:val="28"/>
          <w:szCs w:val="28"/>
          <w:rtl w:val="true"/>
          <w:lang w:bidi="fa-IR"/>
        </w:rPr>
        <w:t>اگر شك در اصل طلاق يا در عدد آن نمايد بنابر يقين مى گذارد؛ و هم چنين در شك در بلوغ به حدّ احتياج به محلل يا بلوغ به حدّ تحريمِ مؤبد، بنابر عدم مى گذارد و اقتصار بر متيقّن مى نمايد، بلى راجح است احتياطى كه معارض به احتياط ديگر نباشد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مطلقه در بين زوجات مشتبه شد و تعيين ممكن نشد، از همه اجتناب مى نمايد</w:t>
      </w:r>
      <w:r>
        <w:rPr>
          <w:rFonts w:eastAsia="IRNazanin" w:cs="IRNazanin"/>
          <w:color w:val="111111"/>
          <w:sz w:val="28"/>
          <w:szCs w:val="28"/>
          <w:rtl w:val="true"/>
          <w:lang w:bidi="fa-IR"/>
        </w:rPr>
        <w:t xml:space="preserve">. </w:t>
      </w:r>
      <w:bookmarkStart w:id="1026" w:name="pg10265_89933"/>
    </w:p>
    <w:p>
      <w:pPr>
        <w:pStyle w:val="Heading3"/>
        <w:numPr>
          <w:ilvl w:val="2"/>
          <w:numId w:val="1"/>
        </w:numPr>
        <w:rPr/>
      </w:pPr>
      <w:bookmarkStart w:id="1027" w:name="__RefHeading___Toc3807861_1067777946"/>
      <w:bookmarkStart w:id="1028" w:name="_Toc443"/>
      <w:bookmarkEnd w:id="1026"/>
      <w:bookmarkEnd w:id="1027"/>
      <w:r>
        <w:rPr>
          <w:rtl w:val="true"/>
        </w:rPr>
        <w:t>فصل پنجم طلاق غايب و مريض</w:t>
      </w:r>
      <w:bookmarkEnd w:id="1028"/>
    </w:p>
    <w:p>
      <w:pPr>
        <w:pStyle w:val="Heading4"/>
        <w:numPr>
          <w:ilvl w:val="3"/>
          <w:numId w:val="1"/>
        </w:numPr>
        <w:rPr/>
      </w:pPr>
      <w:bookmarkStart w:id="1029" w:name="__RefHeading___Toc3807863_1067777946"/>
      <w:bookmarkStart w:id="1030" w:name="_Toc444"/>
      <w:bookmarkEnd w:id="1029"/>
      <w:r>
        <w:rPr/>
        <w:t>1</w:t>
      </w:r>
      <w:r>
        <w:rPr>
          <w:rtl w:val="true"/>
        </w:rPr>
        <w:t xml:space="preserve">. </w:t>
      </w:r>
      <w:r>
        <w:rPr>
          <w:rtl w:val="true"/>
        </w:rPr>
        <w:t>طلاق شخص غايب</w:t>
      </w:r>
      <w:bookmarkEnd w:id="1030"/>
    </w:p>
    <w:p>
      <w:pPr>
        <w:pStyle w:val="Heading5"/>
        <w:numPr>
          <w:ilvl w:val="4"/>
          <w:numId w:val="1"/>
        </w:numPr>
        <w:rPr/>
      </w:pPr>
      <w:bookmarkStart w:id="1031" w:name="__RefHeading___Toc3807865_1067777946"/>
      <w:bookmarkStart w:id="1032" w:name="_Toc445"/>
      <w:bookmarkEnd w:id="1031"/>
      <w:r>
        <w:rPr>
          <w:rtl w:val="true"/>
        </w:rPr>
        <w:t>طلاق غايب و اعلام به آن بعد از حضور و مقاربت</w:t>
      </w:r>
      <w:bookmarkEnd w:id="1032"/>
    </w:p>
    <w:p>
      <w:pPr>
        <w:pStyle w:val="BookText"/>
        <w:rPr/>
      </w:pPr>
      <w:r>
        <w:rPr>
          <w:rFonts w:ascii="IRNazanin" w:hAnsi="IRNazanin" w:eastAsia="IRNazanin"/>
          <w:color w:val="111111"/>
          <w:sz w:val="28"/>
          <w:sz w:val="28"/>
          <w:szCs w:val="28"/>
          <w:rtl w:val="true"/>
          <w:lang w:bidi="fa-IR"/>
        </w:rPr>
        <w:t>اگر غايب طلاق داد و بعد از عدّه حاضر شد و با زوجه مقاربت نمود، پس از آن اعلام طلاق نمود، دعواى او نسبت به حق غير قبول نمى شود؛ و هم چنين اگر بيّنه اقامه نمايد؛ بلكه به اقرار خود در حق خودش، مؤاخذ است؛ و اگر ولدى متولد شد ملحق به او مى شود؛ و اگر تأويل ممكنى براى فعلْ اظهار نمود، دور نيست قبول بيّنۀ او بر طلاق</w:t>
      </w:r>
      <w:r>
        <w:rPr>
          <w:rFonts w:eastAsia="IRNazanin" w:cs="IRNazanin"/>
          <w:color w:val="111111"/>
          <w:sz w:val="28"/>
          <w:szCs w:val="28"/>
          <w:rtl w:val="true"/>
          <w:lang w:bidi="fa-IR"/>
        </w:rPr>
        <w:t>.</w:t>
      </w:r>
    </w:p>
    <w:p>
      <w:pPr>
        <w:pStyle w:val="Heading5"/>
        <w:numPr>
          <w:ilvl w:val="4"/>
          <w:numId w:val="1"/>
        </w:numPr>
        <w:rPr/>
      </w:pPr>
      <w:bookmarkStart w:id="1033" w:name="__RefHeading___Toc3807867_1067777946"/>
      <w:bookmarkStart w:id="1034" w:name="_Toc446"/>
      <w:bookmarkEnd w:id="1033"/>
      <w:r>
        <w:rPr>
          <w:rtl w:val="true"/>
        </w:rPr>
        <w:t>طلاق رجعى توسط غايب و ارادۀ ازدواج با اخت و امثال آن</w:t>
      </w:r>
      <w:bookmarkEnd w:id="103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غايب طلاق داد به طلاق رجعى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عدۀ آن به سه قرء يا سه ماه منقضى مى شود و بعد از آن احكام عده منتفى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 رابعه را، يا اخت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اربعه را ازدواج نمايد، نه ماه صبر مى نمايد كه مبدأ آن مقاربت باشد و بعد از تمام نُه ماه، ازدواج مقصود را عملى مى نمايد؛ و اگر بداند كه حامل نيست اكتفا مى نمايد به سه قرء يا سه ماه، به حسب اختلاف مستقيمة الحيض و غير او، و بعد از آن ازدواج مى نمايد، چنانچه ساير احكام عده منتفى مى شود؛ و اگر فاصلۀ وطى </w:t>
      </w:r>
      <w:bookmarkStart w:id="1035" w:name="pg10265_89934"/>
    </w:p>
    <w:p>
      <w:pPr>
        <w:pStyle w:val="BookText"/>
        <w:rPr/>
      </w:pPr>
      <w:bookmarkEnd w:id="1035"/>
      <w:r>
        <w:rPr>
          <w:rFonts w:ascii="Amiri" w:hAnsi="Amiri" w:eastAsia="Amiri" w:cs="Amiri"/>
          <w:color w:val="111111"/>
          <w:sz w:val="28"/>
          <w:sz w:val="28"/>
          <w:szCs w:val="28"/>
          <w:rtl w:val="true"/>
          <w:lang w:bidi="ar-SA"/>
        </w:rPr>
        <w:t>و طلاق، شش ماه بود، به سه ماهِ متأخّر اكتفا مى شود در ازدواج، مثل ساير آثار 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ازدواج قبل از اين مدت آثم است، لكن صحيح است اگر متبين شد عدم حمل و انقضاى عده، و فاسد است اگر معلوم شد كه ازدواج در اثناى عده بوده؛ و اگر معلوم نشد، ظاهراً محكوم به عدم صحّت است؛ و اگر بعد از اين مدت ازدواج نمود و معلوم شد كه در اثناى عدّه، مسترابه بوده، پس صحّت نكاح محل تأمل است</w:t>
      </w:r>
      <w:r>
        <w:rPr>
          <w:rFonts w:eastAsia="IRNazanin" w:cs="IRNazanin"/>
          <w:color w:val="111111"/>
          <w:sz w:val="28"/>
          <w:szCs w:val="28"/>
          <w:rtl w:val="true"/>
          <w:lang w:bidi="fa-IR"/>
        </w:rPr>
        <w:t>.</w:t>
      </w:r>
    </w:p>
    <w:p>
      <w:pPr>
        <w:pStyle w:val="Heading4"/>
        <w:numPr>
          <w:ilvl w:val="3"/>
          <w:numId w:val="1"/>
        </w:numPr>
        <w:rPr/>
      </w:pPr>
      <w:bookmarkStart w:id="1036" w:name="__RefHeading___Toc3807869_1067777946"/>
      <w:bookmarkStart w:id="1037" w:name="_Toc447"/>
      <w:bookmarkEnd w:id="1036"/>
      <w:r>
        <w:rPr/>
        <w:t>2</w:t>
      </w:r>
      <w:r>
        <w:rPr>
          <w:rtl w:val="true"/>
        </w:rPr>
        <w:t xml:space="preserve">. </w:t>
      </w:r>
      <w:r>
        <w:rPr>
          <w:rtl w:val="true"/>
        </w:rPr>
        <w:t>طلاق مريض</w:t>
      </w:r>
      <w:bookmarkEnd w:id="1037"/>
    </w:p>
    <w:p>
      <w:pPr>
        <w:pStyle w:val="Heading5"/>
        <w:numPr>
          <w:ilvl w:val="4"/>
          <w:numId w:val="1"/>
        </w:numPr>
        <w:rPr/>
      </w:pPr>
      <w:bookmarkStart w:id="1038" w:name="__RefHeading___Toc3807871_1067777946"/>
      <w:bookmarkStart w:id="1039" w:name="_Toc448"/>
      <w:bookmarkEnd w:id="1038"/>
      <w:r>
        <w:rPr>
          <w:rtl w:val="true"/>
        </w:rPr>
        <w:t>كراهت شديدۀ طلاق مريض</w:t>
      </w:r>
      <w:bookmarkEnd w:id="1039"/>
    </w:p>
    <w:p>
      <w:pPr>
        <w:pStyle w:val="BookText"/>
        <w:rPr/>
      </w:pPr>
      <w:r>
        <w:rPr>
          <w:rFonts w:ascii="Amiri" w:hAnsi="Amiri" w:eastAsia="Amiri" w:cs="Amiri"/>
          <w:color w:val="111111"/>
          <w:sz w:val="28"/>
          <w:sz w:val="28"/>
          <w:szCs w:val="28"/>
          <w:rtl w:val="true"/>
          <w:lang w:bidi="ar-SA"/>
        </w:rPr>
        <w:t>طلاق مريض مكروه است به كراهتى اشد از كراهت طلاق، لكن صحيح است</w:t>
      </w:r>
      <w:r>
        <w:rPr>
          <w:rFonts w:eastAsia="Amiri" w:cs="Amiri" w:ascii="Amiri" w:hAnsi="Amiri"/>
          <w:color w:val="111111"/>
          <w:sz w:val="28"/>
          <w:szCs w:val="28"/>
          <w:rtl w:val="true"/>
          <w:lang w:bidi="ar-SA"/>
        </w:rPr>
        <w:t>.</w:t>
      </w:r>
    </w:p>
    <w:p>
      <w:pPr>
        <w:pStyle w:val="Heading5"/>
        <w:numPr>
          <w:ilvl w:val="4"/>
          <w:numId w:val="1"/>
        </w:numPr>
        <w:rPr/>
      </w:pPr>
      <w:bookmarkStart w:id="1040" w:name="__RefHeading___Toc3807873_1067777946"/>
      <w:bookmarkStart w:id="1041" w:name="_Toc449"/>
      <w:bookmarkEnd w:id="1040"/>
      <w:r>
        <w:rPr>
          <w:rtl w:val="true"/>
        </w:rPr>
        <w:t>حكم ارث مرد از زوجۀ مطلّقه در صورت فوت او</w:t>
      </w:r>
      <w:bookmarkEnd w:id="1041"/>
    </w:p>
    <w:p>
      <w:pPr>
        <w:pStyle w:val="BookText"/>
        <w:rPr/>
      </w:pPr>
      <w:r>
        <w:rPr>
          <w:rFonts w:ascii="IRNazanin" w:hAnsi="IRNazanin" w:eastAsia="IRNazanin"/>
          <w:color w:val="111111"/>
          <w:sz w:val="28"/>
          <w:sz w:val="28"/>
          <w:szCs w:val="28"/>
          <w:rtl w:val="true"/>
          <w:lang w:bidi="fa-IR"/>
        </w:rPr>
        <w:t>و مرد ارث مى برد از زن اگر در عدۀ رجعيه وفات نموده، نه در بائن و نه بعد از انقضاى عدۀ رجعيه و نه در مرض غير مستمر تا فوت</w:t>
      </w:r>
      <w:r>
        <w:rPr>
          <w:rFonts w:eastAsia="IRNazanin" w:cs="IRNazanin"/>
          <w:color w:val="111111"/>
          <w:sz w:val="28"/>
          <w:szCs w:val="28"/>
          <w:rtl w:val="true"/>
          <w:lang w:bidi="fa-IR"/>
        </w:rPr>
        <w:t>.</w:t>
      </w:r>
    </w:p>
    <w:p>
      <w:pPr>
        <w:pStyle w:val="Heading5"/>
        <w:numPr>
          <w:ilvl w:val="4"/>
          <w:numId w:val="1"/>
        </w:numPr>
        <w:rPr/>
      </w:pPr>
      <w:bookmarkStart w:id="1042" w:name="__RefHeading___Toc3807875_1067777946"/>
      <w:bookmarkStart w:id="1043" w:name="_Toc450"/>
      <w:bookmarkEnd w:id="1042"/>
      <w:r>
        <w:rPr>
          <w:rtl w:val="true"/>
        </w:rPr>
        <w:t>حكم ارث مطلّقه از شوهر در صورت فوت او</w:t>
      </w:r>
      <w:bookmarkEnd w:id="1043"/>
    </w:p>
    <w:p>
      <w:pPr>
        <w:pStyle w:val="BookText"/>
        <w:rPr/>
      </w:pPr>
      <w:r>
        <w:rPr>
          <w:rFonts w:ascii="IRNazanin" w:hAnsi="IRNazanin" w:eastAsia="IRNazanin"/>
          <w:color w:val="111111"/>
          <w:sz w:val="28"/>
          <w:sz w:val="28"/>
          <w:szCs w:val="28"/>
          <w:rtl w:val="true"/>
          <w:lang w:bidi="fa-IR"/>
        </w:rPr>
        <w:t xml:space="preserve">و زن ارث مى برد از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قسم طلاق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بميرد شوهر در بين يك سال از طلاق، در صورتى كه در اين بين بُرئى براى او حاصل نشده باشد و مرضِ در حال طلاق، مستمر تا زمان فوت بوده باشد، يا آنكه زن بعد از عدّۀ خود، شوهر اختيار نكرده باشد</w:t>
      </w:r>
      <w:r>
        <w:rPr>
          <w:rFonts w:eastAsia="IRNazanin" w:cs="IRNazanin"/>
          <w:color w:val="111111"/>
          <w:sz w:val="28"/>
          <w:szCs w:val="28"/>
          <w:rtl w:val="true"/>
          <w:lang w:bidi="fa-IR"/>
        </w:rPr>
        <w:t>.</w:t>
      </w:r>
    </w:p>
    <w:p>
      <w:pPr>
        <w:pStyle w:val="Heading5"/>
        <w:numPr>
          <w:ilvl w:val="4"/>
          <w:numId w:val="1"/>
        </w:numPr>
        <w:rPr/>
      </w:pPr>
      <w:bookmarkStart w:id="1044" w:name="__RefHeading___Toc3807877_1067777946"/>
      <w:bookmarkStart w:id="1045" w:name="_Toc451"/>
      <w:bookmarkEnd w:id="1044"/>
      <w:r>
        <w:rPr>
          <w:rtl w:val="true"/>
        </w:rPr>
        <w:t>ادّعاى طلاق در حال صحّت</w:t>
      </w:r>
      <w:bookmarkEnd w:id="104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صحّت طلاق بائن داده ام، پس در قبول اين دعوى در حق زوجه در نفى ارث او تأمل است</w:t>
      </w:r>
      <w:r>
        <w:rPr>
          <w:rFonts w:eastAsia="IRNazanin" w:cs="IRNazanin"/>
          <w:color w:val="111111"/>
          <w:sz w:val="28"/>
          <w:szCs w:val="28"/>
          <w:rtl w:val="true"/>
          <w:lang w:bidi="fa-IR"/>
        </w:rPr>
        <w:t xml:space="preserve">. </w:t>
      </w:r>
      <w:bookmarkStart w:id="1046" w:name="pg10265_89935"/>
    </w:p>
    <w:p>
      <w:pPr>
        <w:pStyle w:val="Heading5"/>
        <w:numPr>
          <w:ilvl w:val="4"/>
          <w:numId w:val="1"/>
        </w:numPr>
        <w:rPr/>
      </w:pPr>
      <w:bookmarkStart w:id="1047" w:name="__RefHeading___Toc3807879_1067777946"/>
      <w:bookmarkStart w:id="1048" w:name="_Toc452"/>
      <w:bookmarkEnd w:id="1046"/>
      <w:bookmarkEnd w:id="1047"/>
      <w:r>
        <w:rPr>
          <w:rtl w:val="true"/>
        </w:rPr>
        <w:t>بينونت به غير طلاق مريض</w:t>
      </w:r>
      <w:bookmarkEnd w:id="1048"/>
    </w:p>
    <w:p>
      <w:pPr>
        <w:pStyle w:val="BookText"/>
        <w:rPr/>
      </w:pPr>
      <w:r>
        <w:rPr>
          <w:rFonts w:ascii="IRNazanin" w:hAnsi="IRNazanin" w:eastAsia="IRNazanin"/>
          <w:color w:val="111111"/>
          <w:sz w:val="28"/>
          <w:sz w:val="28"/>
          <w:szCs w:val="28"/>
          <w:rtl w:val="true"/>
          <w:lang w:bidi="fa-IR"/>
        </w:rPr>
        <w:t xml:space="preserve">و اگر بينونت به غير طلاق مريض بود، مثل لعان مريض بعد از قذف زوجه، يا آنكه لعان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قذفِ در حال صحّت بوده، ارث زن ثابت است تا يك سال، چنانچه در طلاق ثابت است، و هم چنين در فسخ مرد به عيب مسوّغ در زن و تجدد تحريم مؤبد به مثل 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ارث بعد از عده به نحو مذكور، مخصوص به طلاق مريض است</w:t>
      </w:r>
      <w:r>
        <w:rPr>
          <w:rFonts w:eastAsia="IRNazanin" w:cs="IRNazanin"/>
          <w:color w:val="111111"/>
          <w:sz w:val="28"/>
          <w:szCs w:val="28"/>
          <w:rtl w:val="true"/>
          <w:lang w:bidi="fa-IR"/>
        </w:rPr>
        <w:t>.</w:t>
      </w:r>
    </w:p>
    <w:p>
      <w:pPr>
        <w:pStyle w:val="Heading5"/>
        <w:numPr>
          <w:ilvl w:val="4"/>
          <w:numId w:val="1"/>
        </w:numPr>
        <w:rPr/>
      </w:pPr>
      <w:bookmarkStart w:id="1049" w:name="__RefHeading___Toc3807881_1067777946"/>
      <w:bookmarkStart w:id="1050" w:name="_Toc453"/>
      <w:bookmarkEnd w:id="1049"/>
      <w:r>
        <w:rPr>
          <w:rtl w:val="true"/>
        </w:rPr>
        <w:t>ارث ثابت است و لو طلاق مريض به درخواست زوجه انجام شود</w:t>
      </w:r>
      <w:bookmarkEnd w:id="1050"/>
    </w:p>
    <w:p>
      <w:pPr>
        <w:pStyle w:val="BookText"/>
        <w:rPr/>
      </w:pPr>
      <w:r>
        <w:rPr>
          <w:rFonts w:ascii="IRNazanin" w:hAnsi="IRNazanin" w:eastAsia="IRNazanin"/>
          <w:color w:val="111111"/>
          <w:sz w:val="28"/>
          <w:sz w:val="28"/>
          <w:szCs w:val="28"/>
          <w:rtl w:val="true"/>
          <w:lang w:bidi="fa-IR"/>
        </w:rPr>
        <w:t>و اظهر ثبوت ارث زن است اگر چه سؤال طلاق مريض، از زن باشد و مرد متهم نباشد</w:t>
      </w:r>
      <w:r>
        <w:rPr>
          <w:rFonts w:eastAsia="IRNazanin" w:cs="IRNazanin"/>
          <w:color w:val="111111"/>
          <w:sz w:val="28"/>
          <w:szCs w:val="28"/>
          <w:rtl w:val="true"/>
          <w:lang w:bidi="fa-IR"/>
        </w:rPr>
        <w:t>.</w:t>
      </w:r>
    </w:p>
    <w:p>
      <w:pPr>
        <w:pStyle w:val="Heading5"/>
        <w:numPr>
          <w:ilvl w:val="4"/>
          <w:numId w:val="1"/>
        </w:numPr>
        <w:rPr/>
      </w:pPr>
      <w:bookmarkStart w:id="1051" w:name="__RefHeading___Toc3807883_1067777946"/>
      <w:bookmarkStart w:id="1052" w:name="_Toc454"/>
      <w:bookmarkEnd w:id="1051"/>
      <w:r>
        <w:rPr>
          <w:rtl w:val="true"/>
        </w:rPr>
        <w:t>حكم ارث بعد از طلاق امه توسط شوهر مريض</w:t>
      </w:r>
      <w:bookmarkEnd w:id="1052"/>
    </w:p>
    <w:p>
      <w:pPr>
        <w:pStyle w:val="BookText"/>
        <w:rPr/>
      </w:pPr>
      <w:r>
        <w:rPr>
          <w:rFonts w:ascii="IRNazanin" w:hAnsi="IRNazanin" w:eastAsia="IRNazanin"/>
          <w:color w:val="111111"/>
          <w:sz w:val="28"/>
          <w:sz w:val="28"/>
          <w:szCs w:val="28"/>
          <w:rtl w:val="true"/>
          <w:lang w:bidi="fa-IR"/>
        </w:rPr>
        <w:t>اگر مريض طلاق داد امه را به طلاق رجعى، پس در عده آزاد شد و شوهر وفات كرد در مرض، قبل از آزادى يا بعد از آن، ارث مى برد از او بنابر مشاركت آزاد در عده با ورثه اگر چه بعد از قسمت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بعد از عدّه تا يك سال در اقسام طلاق آيا ارث مى برد يا نه، تأمل است، اظهر ثبوت ارث است، مثل غير امه</w:t>
      </w:r>
      <w:r>
        <w:rPr>
          <w:rFonts w:eastAsia="IRNazanin" w:cs="IRNazanin"/>
          <w:color w:val="111111"/>
          <w:sz w:val="28"/>
          <w:szCs w:val="28"/>
          <w:rtl w:val="true"/>
          <w:lang w:bidi="fa-IR"/>
        </w:rPr>
        <w:t>.</w:t>
      </w:r>
    </w:p>
    <w:p>
      <w:pPr>
        <w:pStyle w:val="Heading5"/>
        <w:numPr>
          <w:ilvl w:val="4"/>
          <w:numId w:val="1"/>
        </w:numPr>
        <w:rPr/>
      </w:pPr>
      <w:bookmarkStart w:id="1053" w:name="__RefHeading___Toc3807885_1067777946"/>
      <w:bookmarkStart w:id="1054" w:name="_Toc455"/>
      <w:bookmarkEnd w:id="1053"/>
      <w:r>
        <w:rPr>
          <w:rtl w:val="true"/>
        </w:rPr>
        <w:t>حكم ارث بعد از طلاق كتابيّه توسّط مريض مسلمان</w:t>
      </w:r>
      <w:bookmarkEnd w:id="1054"/>
    </w:p>
    <w:p>
      <w:pPr>
        <w:pStyle w:val="BookText"/>
        <w:rPr/>
      </w:pPr>
      <w:r>
        <w:rPr>
          <w:rFonts w:ascii="IRNazanin" w:hAnsi="IRNazanin" w:eastAsia="IRNazanin"/>
          <w:color w:val="111111"/>
          <w:sz w:val="28"/>
          <w:sz w:val="28"/>
          <w:szCs w:val="28"/>
          <w:rtl w:val="true"/>
          <w:lang w:bidi="fa-IR"/>
        </w:rPr>
        <w:t>و هم چنين است اگر كتابيه زوجه مطلقه مريض مسلمان شد، بعد از عده در اقسام طلاق تا يك سال، در تأمل و استظهار، به خلاف صورتى كه اسلام او در عدۀ رجعيه از طلاق مريض بوده است كه ارث مى برد به نحوى كه گذشت</w:t>
      </w:r>
      <w:r>
        <w:rPr>
          <w:rFonts w:eastAsia="IRNazanin" w:cs="IRNazanin"/>
          <w:color w:val="111111"/>
          <w:sz w:val="28"/>
          <w:szCs w:val="28"/>
          <w:rtl w:val="true"/>
          <w:lang w:bidi="fa-IR"/>
        </w:rPr>
        <w:t>.</w:t>
      </w:r>
    </w:p>
    <w:p>
      <w:pPr>
        <w:pStyle w:val="Heading5"/>
        <w:numPr>
          <w:ilvl w:val="4"/>
          <w:numId w:val="1"/>
        </w:numPr>
        <w:rPr/>
      </w:pPr>
      <w:bookmarkStart w:id="1055" w:name="__RefHeading___Toc3807887_1067777946"/>
      <w:bookmarkStart w:id="1056" w:name="_Toc456"/>
      <w:bookmarkEnd w:id="1055"/>
      <w:r>
        <w:rPr>
          <w:rtl w:val="true"/>
        </w:rPr>
        <w:t>اختلاف زن و ورثه در تقدم و تأخر طلاق و مرض</w:t>
      </w:r>
      <w:bookmarkEnd w:id="105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اختلاف زن و ورثه در سبق طلاق بر مرض و عدم آن بود، اظهر عدم ارث است؛ و اينكه قول وارث در عدم ارث زن، مقدّم است حتى در صورتى كه تاريخ مرض معلوم باشد بنابر اظهر</w:t>
      </w:r>
      <w:r>
        <w:rPr>
          <w:rFonts w:eastAsia="IRNazanin" w:cs="IRNazanin"/>
          <w:color w:val="111111"/>
          <w:sz w:val="28"/>
          <w:szCs w:val="28"/>
          <w:rtl w:val="true"/>
          <w:lang w:bidi="fa-IR"/>
        </w:rPr>
        <w:t xml:space="preserve">. </w:t>
      </w:r>
      <w:bookmarkStart w:id="1057" w:name="pg10265_89936"/>
    </w:p>
    <w:p>
      <w:pPr>
        <w:pStyle w:val="Heading5"/>
        <w:numPr>
          <w:ilvl w:val="4"/>
          <w:numId w:val="1"/>
        </w:numPr>
        <w:rPr/>
      </w:pPr>
      <w:bookmarkStart w:id="1058" w:name="__RefHeading___Toc3807889_1067777946"/>
      <w:bookmarkStart w:id="1059" w:name="_Toc457"/>
      <w:bookmarkEnd w:id="1057"/>
      <w:bookmarkEnd w:id="1058"/>
      <w:r>
        <w:rPr>
          <w:rtl w:val="true"/>
        </w:rPr>
        <w:t>حكم ارث در صورت وفات مريض بعد طلاق اربعه و نكاح اربعه</w:t>
      </w:r>
      <w:bookmarkEnd w:id="1059"/>
    </w:p>
    <w:p>
      <w:pPr>
        <w:pStyle w:val="BookText"/>
        <w:rPr/>
      </w:pPr>
      <w:r>
        <w:rPr>
          <w:rFonts w:ascii="IRNazanin" w:hAnsi="IRNazanin" w:eastAsia="IRNazanin"/>
          <w:color w:val="111111"/>
          <w:sz w:val="28"/>
          <w:sz w:val="28"/>
          <w:szCs w:val="28"/>
          <w:rtl w:val="true"/>
          <w:lang w:bidi="fa-IR"/>
        </w:rPr>
        <w:t>اگر چهار زن را طلاق داد در حال مرض و چهار زن ديگر را نكاح كرد و دخول به آنها نمود، پس از آن وفات در مرض كرد، همۀ هشت زن در ربع شريكند و بالسويّه ارث ميبرند، و اگر ولدى براى ميّت بود، در ثُمن اشتراك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چهار زن ديگر را هم نكاح و دخول نمود، همه شريك در ربع يا ثمن خواهند بود</w:t>
      </w:r>
      <w:r>
        <w:rPr>
          <w:rFonts w:eastAsia="IRNazanin" w:cs="IRNazanin"/>
          <w:color w:val="111111"/>
          <w:sz w:val="28"/>
          <w:szCs w:val="28"/>
          <w:rtl w:val="true"/>
          <w:lang w:bidi="fa-IR"/>
        </w:rPr>
        <w:t>.</w:t>
      </w:r>
    </w:p>
    <w:p>
      <w:pPr>
        <w:pStyle w:val="Heading5"/>
        <w:numPr>
          <w:ilvl w:val="4"/>
          <w:numId w:val="1"/>
        </w:numPr>
        <w:rPr/>
      </w:pPr>
      <w:bookmarkStart w:id="1060" w:name="__RefHeading___Toc3807891_1067777946"/>
      <w:bookmarkStart w:id="1061" w:name="_Toc458"/>
      <w:bookmarkEnd w:id="1060"/>
      <w:r>
        <w:rPr>
          <w:rtl w:val="true"/>
        </w:rPr>
        <w:t>اختصاص توارث به صورت وفات به سبب مرض</w:t>
      </w:r>
      <w:bookmarkEnd w:id="106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اظهر اختصاص حكم خاص طلاق مريض است به صورت وفات به سبب مرض مستمر از زمان طلاق؛ پس اگر به سبب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قتل در زمان مرض مستمر 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 حكم طلاق مريض مترتب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نمى شود به مرض در احكام مخصوصۀ طلاق مريض، ساير احوال و اعذار؛ و ملحق نمى شود فسخ به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طول نزع، ملحق به مرض قبل از فوت نيست بنابر وجهى، و اظهر اولويت از مرض است در حكم طلاق مريض به جهت اقربيت به موت</w:t>
      </w:r>
      <w:r>
        <w:rPr>
          <w:rFonts w:eastAsia="IRNazanin" w:cs="IRNazanin"/>
          <w:color w:val="111111"/>
          <w:sz w:val="28"/>
          <w:szCs w:val="28"/>
          <w:rtl w:val="true"/>
          <w:lang w:bidi="fa-IR"/>
        </w:rPr>
        <w:t xml:space="preserve">. </w:t>
      </w:r>
      <w:bookmarkStart w:id="1062" w:name="pg10265_89937"/>
    </w:p>
    <w:p>
      <w:pPr>
        <w:pStyle w:val="Heading3"/>
        <w:numPr>
          <w:ilvl w:val="2"/>
          <w:numId w:val="1"/>
        </w:numPr>
        <w:rPr/>
      </w:pPr>
      <w:bookmarkStart w:id="1063" w:name="__RefHeading___Toc3807893_1067777946"/>
      <w:bookmarkStart w:id="1064" w:name="_Toc459"/>
      <w:bookmarkEnd w:id="1062"/>
      <w:bookmarkEnd w:id="1063"/>
      <w:r>
        <w:rPr>
          <w:rtl w:val="true"/>
        </w:rPr>
        <w:t>فصل ششم شروط تحليل</w:t>
      </w:r>
      <w:bookmarkEnd w:id="1064"/>
    </w:p>
    <w:p>
      <w:pPr>
        <w:pStyle w:val="Heading4"/>
        <w:numPr>
          <w:ilvl w:val="3"/>
          <w:numId w:val="1"/>
        </w:numPr>
        <w:rPr/>
      </w:pPr>
      <w:bookmarkStart w:id="1065" w:name="__RefHeading___Toc3807895_1067777946"/>
      <w:bookmarkStart w:id="1066" w:name="_Toc460"/>
      <w:bookmarkEnd w:id="1065"/>
      <w:r>
        <w:rPr>
          <w:rtl w:val="true"/>
        </w:rPr>
        <w:t>اشاره</w:t>
      </w:r>
      <w:bookmarkEnd w:id="1066"/>
    </w:p>
    <w:p>
      <w:pPr>
        <w:pStyle w:val="BookText"/>
        <w:rPr/>
      </w:pPr>
      <w:r>
        <w:rPr>
          <w:rFonts w:ascii="IRNazanin" w:hAnsi="IRNazanin" w:eastAsia="IRNazanin"/>
          <w:color w:val="111111"/>
          <w:sz w:val="28"/>
          <w:sz w:val="28"/>
          <w:szCs w:val="28"/>
          <w:rtl w:val="true"/>
          <w:lang w:bidi="fa-IR"/>
        </w:rPr>
        <w:t xml:space="preserve">تحليل از طلاق سوّم كه موجب حرمت بر زوج مطلّق است قبل از نكاح محلّل، حاصل مى شود با حصول شروطى كه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غير بالغ، نكاح او محلل نيست اگر چه مراهق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نكاح مستمرِ تا بعد از بلوغ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وطى در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حدى كه موجب غسل است كه ادخال حشفه يا مقدار آن از مقطوع الحشفه است، و احوط اين است كه به نحو متعارف به انتشار عضو، نه به استعانت باشد، و هم چنين احوط اعتبار حصول انزال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آنها اينكه وطى محلل به عقد نكاح باشد نه به ملك يمين يا اباحۀ وطى در امه، فضلاً از وطى به شبهه و به نحو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آنها اينكه عقد موجب تحليل، دائم باشد نه 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فرقى در محلّل بين حرّ بودن زوج و امه بودن او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عقد انقطاعى تحليل نمى شود</w:t>
      </w:r>
      <w:r>
        <w:rPr>
          <w:rFonts w:eastAsia="Amiri" w:cs="Amiri" w:ascii="Amiri" w:hAnsi="Amiri"/>
          <w:color w:val="111111"/>
          <w:sz w:val="28"/>
          <w:szCs w:val="28"/>
          <w:rtl w:val="true"/>
          <w:lang w:bidi="ar-SA"/>
        </w:rPr>
        <w:t>.</w:t>
      </w:r>
    </w:p>
    <w:p>
      <w:pPr>
        <w:pStyle w:val="Heading4"/>
        <w:numPr>
          <w:ilvl w:val="3"/>
          <w:numId w:val="1"/>
        </w:numPr>
        <w:rPr/>
      </w:pPr>
      <w:bookmarkStart w:id="1067" w:name="__RefHeading___Toc3807897_1067777946"/>
      <w:bookmarkStart w:id="1068" w:name="_Toc461"/>
      <w:bookmarkEnd w:id="1067"/>
      <w:r>
        <w:rPr>
          <w:rtl w:val="true"/>
        </w:rPr>
        <w:t>هدم مطلق طلاق توسط نكاح محلّل</w:t>
      </w:r>
      <w:bookmarkEnd w:id="106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نكاح محلّل كما اينكه هادم سه طلاق است، هادم يك طلاق و دو طلاق است؛ و بعد از نكاح محلل، استقبال مى نمايد سه طلاق ديگر را بنابر اظهر، اگر چه افضل و احوط ترك ازدواج است بعد از طلاق سوّم كه در اثناى سه نكاح، محلل بوده مگر بعد از نكاح محلل</w:t>
      </w:r>
      <w:r>
        <w:rPr>
          <w:rFonts w:eastAsia="IRNazanin" w:cs="IRNazanin"/>
          <w:color w:val="111111"/>
          <w:sz w:val="28"/>
          <w:szCs w:val="28"/>
          <w:rtl w:val="true"/>
          <w:lang w:bidi="fa-IR"/>
        </w:rPr>
        <w:t xml:space="preserve">. </w:t>
      </w:r>
      <w:bookmarkStart w:id="1069" w:name="pg10265_89938"/>
    </w:p>
    <w:p>
      <w:pPr>
        <w:pStyle w:val="Heading4"/>
        <w:numPr>
          <w:ilvl w:val="3"/>
          <w:numId w:val="1"/>
        </w:numPr>
        <w:rPr/>
      </w:pPr>
      <w:bookmarkStart w:id="1070" w:name="__RefHeading___Toc3807899_1067777946"/>
      <w:bookmarkStart w:id="1071" w:name="_Toc462"/>
      <w:bookmarkEnd w:id="1069"/>
      <w:bookmarkEnd w:id="1070"/>
      <w:r>
        <w:rPr>
          <w:rtl w:val="true"/>
        </w:rPr>
        <w:t>سه طلاق در اهل ذمّه</w:t>
      </w:r>
      <w:bookmarkEnd w:id="1071"/>
    </w:p>
    <w:p>
      <w:pPr>
        <w:pStyle w:val="BookText"/>
        <w:rPr/>
      </w:pPr>
      <w:r>
        <w:rPr>
          <w:rFonts w:ascii="IRNazanin" w:hAnsi="IRNazanin" w:eastAsia="IRNazanin"/>
          <w:color w:val="111111"/>
          <w:sz w:val="28"/>
          <w:sz w:val="28"/>
          <w:szCs w:val="28"/>
          <w:rtl w:val="true"/>
          <w:lang w:bidi="fa-IR"/>
        </w:rPr>
        <w:t>اگر ذمى ذميّه را سه طلاق داد، و بعد از آن ذمى ديگرى ازدواج نمود مطلقه را و بعد طلاق داد و بينونت حاصل شد، و ترافع كردند نزد حكام مسلمين، حكم به حلّ بر زوج اوّل مى نمايد به قاعدۀ تكليف به فروع قبل از محلل، و رفع آن بعد از 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ذمى بعد از اين عملها اسلام اختيار كرد و پس از آن ذميّه، اسلام اختيار نمود، جايز است براى ذمى اوّل، نكاح آن ذمّيه به عقد جديد</w:t>
      </w:r>
      <w:r>
        <w:rPr>
          <w:rFonts w:eastAsia="IRNazanin" w:cs="IRNazanin"/>
          <w:color w:val="111111"/>
          <w:sz w:val="28"/>
          <w:szCs w:val="28"/>
          <w:rtl w:val="true"/>
          <w:lang w:bidi="fa-IR"/>
        </w:rPr>
        <w:t>.</w:t>
      </w:r>
    </w:p>
    <w:p>
      <w:pPr>
        <w:pStyle w:val="Heading4"/>
        <w:numPr>
          <w:ilvl w:val="3"/>
          <w:numId w:val="1"/>
        </w:numPr>
        <w:rPr/>
      </w:pPr>
      <w:bookmarkStart w:id="1072" w:name="__RefHeading___Toc3807901_1067777946"/>
      <w:bookmarkStart w:id="1073" w:name="_Toc463"/>
      <w:bookmarkEnd w:id="1072"/>
      <w:r>
        <w:rPr>
          <w:rtl w:val="true"/>
        </w:rPr>
        <w:t>دو طلاق در امه موجب حرمت قبل از نكاح محلّل است</w:t>
      </w:r>
      <w:bookmarkEnd w:id="1073"/>
    </w:p>
    <w:p>
      <w:pPr>
        <w:pStyle w:val="BookText"/>
        <w:rPr/>
      </w:pPr>
      <w:r>
        <w:rPr>
          <w:rFonts w:ascii="IRNazanin" w:hAnsi="IRNazanin" w:eastAsia="IRNazanin"/>
          <w:color w:val="111111"/>
          <w:sz w:val="28"/>
          <w:sz w:val="28"/>
          <w:szCs w:val="28"/>
          <w:rtl w:val="true"/>
          <w:lang w:bidi="fa-IR"/>
        </w:rPr>
        <w:t>امه اگر دو طلاق بر او واقع شد، حرام است بر زوج، تا نكاح نمايد غير، او را، چه آنكه زوج عبد باشد يا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اعتبار در عدد طلاق به زوجه است، نه زوج، پس حرّۀ تحت عبد، طلاق او سه و عدّۀ او سه 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امۀ تحت حر، طلاق او دو و عدّۀ او دو 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محلل فقط نكاح زوج ديگر است، و وطى مولاى امه بعد از دو طلاق، يا ملك مطلقِ امۀ مطلّقه به دو طلاق را، محلل براى زوج اوّل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عتق امه در اثناى دو طلاق، تاثيرى در نكاح محلل ندارد؛ پس عتق بعد از يك طلاق، مثل عدم عتق است در اينكه طلاق دوّم موجب تحريم است تا نكاح زوج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عتق 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تاثيرى در طلاقها و عدد موجب تحريم ندارد</w:t>
      </w:r>
      <w:r>
        <w:rPr>
          <w:rFonts w:eastAsia="IRNazanin" w:cs="IRNazanin"/>
          <w:color w:val="111111"/>
          <w:sz w:val="28"/>
          <w:szCs w:val="28"/>
          <w:rtl w:val="true"/>
          <w:lang w:bidi="fa-IR"/>
        </w:rPr>
        <w:t>.</w:t>
      </w:r>
    </w:p>
    <w:p>
      <w:pPr>
        <w:pStyle w:val="Heading4"/>
        <w:numPr>
          <w:ilvl w:val="3"/>
          <w:numId w:val="1"/>
        </w:numPr>
        <w:rPr/>
      </w:pPr>
      <w:bookmarkStart w:id="1074" w:name="__RefHeading___Toc3807903_1067777946"/>
      <w:bookmarkStart w:id="1075" w:name="_Toc464"/>
      <w:bookmarkEnd w:id="1074"/>
      <w:r>
        <w:rPr>
          <w:rtl w:val="true"/>
        </w:rPr>
        <w:t>حصول تحليل به نكاح خصى</w:t>
      </w:r>
      <w:bookmarkEnd w:id="1075"/>
    </w:p>
    <w:p>
      <w:pPr>
        <w:pStyle w:val="BookText"/>
        <w:rPr/>
      </w:pPr>
      <w:r>
        <w:rPr>
          <w:rFonts w:ascii="Amiri" w:hAnsi="Amiri" w:eastAsia="Amiri" w:cs="Amiri"/>
          <w:color w:val="111111"/>
          <w:sz w:val="28"/>
          <w:sz w:val="28"/>
          <w:szCs w:val="28"/>
          <w:rtl w:val="true"/>
          <w:lang w:bidi="ar-SA"/>
        </w:rPr>
        <w:t>و به واسطۀ نكاح خصىّ در صورت مقاربت مخصوصه با شروط سابقه و احتياطهاى سابقه، تحليل حاصل مى شود</w:t>
      </w:r>
      <w:r>
        <w:rPr>
          <w:rFonts w:eastAsia="Amiri" w:cs="Amiri" w:ascii="Amiri" w:hAnsi="Amiri"/>
          <w:color w:val="111111"/>
          <w:sz w:val="28"/>
          <w:szCs w:val="28"/>
          <w:rtl w:val="true"/>
          <w:lang w:bidi="ar-SA"/>
        </w:rPr>
        <w:t>.</w:t>
      </w:r>
    </w:p>
    <w:p>
      <w:pPr>
        <w:pStyle w:val="Heading4"/>
        <w:numPr>
          <w:ilvl w:val="3"/>
          <w:numId w:val="1"/>
        </w:numPr>
        <w:rPr/>
      </w:pPr>
      <w:bookmarkStart w:id="1076" w:name="__RefHeading___Toc3807905_1067777946"/>
      <w:bookmarkStart w:id="1077" w:name="_Toc465"/>
      <w:bookmarkEnd w:id="1076"/>
      <w:r>
        <w:rPr>
          <w:rtl w:val="true"/>
        </w:rPr>
        <w:t>ارتداد محلّل يا زوجه</w:t>
      </w:r>
      <w:bookmarkEnd w:id="107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محلل بعد از وطى مفيد، مرتد شد، تحليل حاصل مى شود؛ به خلاف ارتداد </w:t>
      </w:r>
      <w:bookmarkStart w:id="1078" w:name="pg10265_89939"/>
    </w:p>
    <w:p>
      <w:pPr>
        <w:pStyle w:val="BookText"/>
        <w:rPr/>
      </w:pPr>
      <w:bookmarkEnd w:id="1078"/>
      <w:r>
        <w:rPr>
          <w:rFonts w:ascii="Amiri" w:hAnsi="Amiri" w:eastAsia="Amiri" w:cs="Amiri"/>
          <w:color w:val="111111"/>
          <w:sz w:val="28"/>
          <w:sz w:val="28"/>
          <w:szCs w:val="28"/>
          <w:rtl w:val="true"/>
          <w:lang w:bidi="ar-SA"/>
        </w:rPr>
        <w:t>قبل از وطى مفيد، كه وطى بعد از انفساخ نكاح به ارتداد، وطى اجنبى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چنين مفيد نيست وطى بعد از طلاق غير مدخول بها كه عده ندارد، چه عمدى باشد و چه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صاحبۀ عده بود به وطى دبر، و بعد از ارتداد وطى در قُبُل كرد در عده، بعد در عده مسلمان شد، تحليل بى وجه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ارتداد زوجه، احكام مذكوره به نحو ارتداد زوج جارى است در ثبوت تحليل و انتفاى آن</w:t>
      </w:r>
      <w:r>
        <w:rPr>
          <w:rFonts w:eastAsia="Amiri" w:cs="Amiri" w:ascii="Amiri" w:hAnsi="Amiri"/>
          <w:color w:val="111111"/>
          <w:sz w:val="28"/>
          <w:szCs w:val="28"/>
          <w:rtl w:val="true"/>
          <w:lang w:bidi="ar-SA"/>
        </w:rPr>
        <w:t>.</w:t>
      </w:r>
    </w:p>
    <w:p>
      <w:pPr>
        <w:pStyle w:val="Heading4"/>
        <w:numPr>
          <w:ilvl w:val="3"/>
          <w:numId w:val="1"/>
        </w:numPr>
        <w:rPr/>
      </w:pPr>
      <w:bookmarkStart w:id="1079" w:name="__RefHeading___Toc3807907_1067777946"/>
      <w:bookmarkStart w:id="1080" w:name="_Toc466"/>
      <w:bookmarkEnd w:id="1079"/>
      <w:r>
        <w:rPr>
          <w:rtl w:val="true"/>
        </w:rPr>
        <w:t>حكم ادّعاى نكاح با محلّل و دخول او، توسط زن</w:t>
      </w:r>
      <w:bookmarkEnd w:id="1080"/>
    </w:p>
    <w:p>
      <w:pPr>
        <w:pStyle w:val="BookText"/>
        <w:rPr/>
      </w:pPr>
      <w:r>
        <w:rPr>
          <w:rFonts w:ascii="IRNazanin" w:hAnsi="IRNazanin" w:eastAsia="IRNazanin"/>
          <w:color w:val="111111"/>
          <w:sz w:val="28"/>
          <w:sz w:val="28"/>
          <w:szCs w:val="28"/>
          <w:rtl w:val="true"/>
          <w:lang w:bidi="fa-IR"/>
        </w:rPr>
        <w:t>اگر زن ادّعا كرد در مدت ممكنه، كه ازدواج با محلل كرده و منقضى شده عدۀ او، تصديق مى شود با وثاقت در كلام و عدم انكار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ادّعا كرد دخول محلل را، با وثاقت او و عدم معارضۀ محلل؛ و هم چنين قبول مى شود قول زن با اطمينان به صدق او اگر چه معارَض به قول زوج باشد بنابر اظهر مِن قيام الاطمئنان مقام العلم</w:t>
      </w:r>
      <w:r>
        <w:rPr>
          <w:rFonts w:eastAsia="IRNazanin" w:cs="IRNazanin"/>
          <w:color w:val="111111"/>
          <w:sz w:val="28"/>
          <w:szCs w:val="28"/>
          <w:rtl w:val="true"/>
          <w:lang w:bidi="fa-IR"/>
        </w:rPr>
        <w:t>.</w:t>
      </w:r>
    </w:p>
    <w:p>
      <w:pPr>
        <w:pStyle w:val="Heading4"/>
        <w:numPr>
          <w:ilvl w:val="3"/>
          <w:numId w:val="1"/>
        </w:numPr>
        <w:rPr/>
      </w:pPr>
      <w:bookmarkStart w:id="1081" w:name="__RefHeading___Toc3807909_1067777946"/>
      <w:bookmarkStart w:id="1082" w:name="_Toc467"/>
      <w:bookmarkEnd w:id="1081"/>
      <w:r>
        <w:rPr>
          <w:rtl w:val="true"/>
        </w:rPr>
        <w:t>رجوع از ادّعا قبل يا بعد از عقد</w:t>
      </w:r>
      <w:bookmarkEnd w:id="1082"/>
    </w:p>
    <w:p>
      <w:pPr>
        <w:pStyle w:val="BookText"/>
        <w:rPr/>
      </w:pPr>
      <w:r>
        <w:rPr>
          <w:rFonts w:ascii="IRNazanin" w:hAnsi="IRNazanin" w:eastAsia="IRNazanin"/>
          <w:color w:val="111111"/>
          <w:sz w:val="28"/>
          <w:sz w:val="28"/>
          <w:szCs w:val="28"/>
          <w:rtl w:val="true"/>
          <w:lang w:bidi="fa-IR"/>
        </w:rPr>
        <w:t>اگر زن بعد از ادّعاى اصابه، رجوع نمود از ادّعاى خودش، حلال نمى شود بر زوج اوّل به سبب اقرار او، مگر آنكه رجوع بعد از عقد باشد كه اقرار در حق غير است، و تصديق بعد از تكذيب كه مانع از حليت بوده موجب حليت مى شود</w:t>
      </w:r>
      <w:r>
        <w:rPr>
          <w:rFonts w:eastAsia="IRNazanin" w:cs="IRNazanin"/>
          <w:color w:val="111111"/>
          <w:sz w:val="28"/>
          <w:szCs w:val="28"/>
          <w:rtl w:val="true"/>
          <w:lang w:bidi="fa-IR"/>
        </w:rPr>
        <w:t>.</w:t>
      </w:r>
    </w:p>
    <w:p>
      <w:pPr>
        <w:pStyle w:val="Heading4"/>
        <w:numPr>
          <w:ilvl w:val="3"/>
          <w:numId w:val="1"/>
        </w:numPr>
        <w:rPr/>
      </w:pPr>
      <w:bookmarkStart w:id="1083" w:name="__RefHeading___Toc3807911_1067777946"/>
      <w:bookmarkStart w:id="1084" w:name="_Toc468"/>
      <w:bookmarkEnd w:id="1083"/>
      <w:r>
        <w:rPr>
          <w:rtl w:val="true"/>
        </w:rPr>
        <w:t>حصول تحليل به وسيلۀ وطى محرّمِ محلّل</w:t>
      </w:r>
      <w:bookmarkEnd w:id="108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وطى محلّل به نحو محرَّم انجام گرفت، مثل وطى در حال احرام يا صوم واجب يا حيض يا ضيق وقت نماز واجب، اقرب حصول شرط تحليل است اگر چه تحصيل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چنين اگر حرمت به واسطۀ عدم بلوغ بنت باشد اگر چه منتهى به افضاء شود در صورتى كه مراهقه باشد يا مطلقاً بنابر آنچه گذشت در محلّش، و مراعات احتياط مناسب اَولىٰ است</w:t>
      </w:r>
      <w:r>
        <w:rPr>
          <w:rFonts w:eastAsia="IRNazanin" w:cs="IRNazanin"/>
          <w:color w:val="111111"/>
          <w:sz w:val="28"/>
          <w:szCs w:val="28"/>
          <w:rtl w:val="true"/>
          <w:lang w:bidi="fa-IR"/>
        </w:rPr>
        <w:t xml:space="preserve">. </w:t>
      </w:r>
      <w:bookmarkStart w:id="1085" w:name="pg10265_89940"/>
    </w:p>
    <w:p>
      <w:pPr>
        <w:pStyle w:val="Heading3"/>
        <w:numPr>
          <w:ilvl w:val="2"/>
          <w:numId w:val="1"/>
        </w:numPr>
        <w:rPr/>
      </w:pPr>
      <w:bookmarkStart w:id="1086" w:name="__RefHeading___Toc3807913_1067777946"/>
      <w:bookmarkStart w:id="1087" w:name="_Toc469"/>
      <w:bookmarkEnd w:id="1085"/>
      <w:bookmarkEnd w:id="1086"/>
      <w:r>
        <w:rPr>
          <w:rtl w:val="true"/>
        </w:rPr>
        <w:t>فصل هفتم رجوع به نكاح</w:t>
      </w:r>
      <w:bookmarkEnd w:id="1087"/>
    </w:p>
    <w:p>
      <w:pPr>
        <w:pStyle w:val="Heading4"/>
        <w:numPr>
          <w:ilvl w:val="3"/>
          <w:numId w:val="1"/>
        </w:numPr>
        <w:rPr/>
      </w:pPr>
      <w:bookmarkStart w:id="1088" w:name="__RefHeading___Toc3807915_1067777946"/>
      <w:bookmarkStart w:id="1089" w:name="_Toc470"/>
      <w:bookmarkEnd w:id="1088"/>
      <w:r>
        <w:rPr>
          <w:rtl w:val="true"/>
        </w:rPr>
        <w:t>نحوۀ حصول رجوع</w:t>
      </w:r>
      <w:bookmarkEnd w:id="1089"/>
    </w:p>
    <w:p>
      <w:pPr>
        <w:pStyle w:val="BookText"/>
        <w:rPr/>
      </w:pPr>
      <w:r>
        <w:rPr>
          <w:rFonts w:ascii="IRNazanin" w:hAnsi="IRNazanin" w:eastAsia="IRNazanin"/>
          <w:color w:val="111111"/>
          <w:sz w:val="28"/>
          <w:sz w:val="28"/>
          <w:szCs w:val="28"/>
          <w:rtl w:val="true"/>
          <w:lang w:bidi="fa-IR"/>
        </w:rPr>
        <w:t xml:space="preserve">و حاصل مى شود رجوع به هر چه دلالت بكند بر رد نكاح سابق، از قول صريح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راجعتكِ إلى نكاحى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ظاهر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رددتكِ إلى نكاحى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اينها، اگر چه در إفهام، محتاج به قرينۀ موجودۀ لفظيّه يا حاليّه باشد؛ و هم چنين افعالى كه دلالت داشته باشد بر آن، مثل وطى و تقبيل و لمس با شهوت كه دلالت دارد بر التزام به آثار نكاح قبلى با التفات به وقوع طلاق سابق، كه قصد اين افعال ملازم قصد رجوع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اعتبار قصد انشاى رجوع به قول يا فعل، احوط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انكار طلاق در صورتى كه محمل صحيح عقلائى آن غير رجوع نباشد، مثل وطى ملتفت به طلاق، محمول بر رجوع مى شود؛ و در صورتى كه معلوم باشد صدق اعتقادى او، مثل وطى ناسىِ طلاق، رجوع نمى شود بنابر اظهر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اشهاد ممكن در حال رجوع يا بعد از آن واجب نيست، بلكه مستحب است</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انشاى رجوع معلّق بر مشيّت زن، يا مجيء اوّل ماه، و تاثير آن در رجوع با مشيّت زن و در وقت اوّل ماه، و عدم تاثير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به مشهور منسوب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است، رعايت احتياط مناسب ترك نشود</w:t>
      </w:r>
      <w:r>
        <w:rPr>
          <w:rFonts w:eastAsia="IRNazanin" w:cs="IRNazanin"/>
          <w:color w:val="111111"/>
          <w:sz w:val="28"/>
          <w:szCs w:val="28"/>
          <w:rtl w:val="true"/>
          <w:lang w:bidi="fa-IR"/>
        </w:rPr>
        <w:t xml:space="preserve">. </w:t>
      </w:r>
      <w:bookmarkStart w:id="1090" w:name="pg10265_89941"/>
    </w:p>
    <w:p>
      <w:pPr>
        <w:pStyle w:val="Heading4"/>
        <w:numPr>
          <w:ilvl w:val="3"/>
          <w:numId w:val="1"/>
        </w:numPr>
        <w:rPr/>
      </w:pPr>
      <w:bookmarkStart w:id="1091" w:name="__RefHeading___Toc3807917_1067777946"/>
      <w:bookmarkStart w:id="1092" w:name="_Toc471"/>
      <w:bookmarkEnd w:id="1090"/>
      <w:bookmarkEnd w:id="1091"/>
      <w:r>
        <w:rPr>
          <w:rtl w:val="true"/>
        </w:rPr>
        <w:t>ارتداد زوجه يا زوج</w:t>
      </w:r>
      <w:bookmarkEnd w:id="1092"/>
    </w:p>
    <w:p>
      <w:pPr>
        <w:pStyle w:val="BookText"/>
        <w:rPr/>
      </w:pPr>
      <w:r>
        <w:rPr>
          <w:rFonts w:ascii="IRNazanin" w:hAnsi="IRNazanin" w:eastAsia="IRNazanin"/>
          <w:color w:val="111111"/>
          <w:sz w:val="28"/>
          <w:sz w:val="28"/>
          <w:szCs w:val="28"/>
          <w:rtl w:val="true"/>
          <w:lang w:bidi="fa-IR"/>
        </w:rPr>
        <w:t xml:space="preserve">اگر طلاق داد زن را به طلاق رجعى، پس مرتد شد آن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كتابى شدن يا غير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رجوع كرد در عده، پس عود كرد به اسلام در عده، اگر مراعى است ثبوت زوجيّت به عود در اسلام در عدّه و كاشف شد از زوجيّت سابقه، پس زوال به طلاق متعقّب به رجوع هر دو صحيح مى شود؛ چون طلاق متعقّب به رجوع در اين فرض، به منزلۀ عدم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حكم به زوجيّت با اسلام حادث در عدۀ مرتده از حين اسلام مى شود واقعاً، رجوع به مرتدّه بى اثر است؛ و هم چنين اگر زوج مرتد شد در اثناى عدّۀ رجعيه، پس رجوع كرد، پس اسلام اختيار كرد قبل از انقضاى عده؛ بلى در هر دو صورت بعد از اسلام در عده، رجوعِ مستأنف صحيح است</w:t>
      </w:r>
      <w:r>
        <w:rPr>
          <w:rFonts w:eastAsia="IRNazanin" w:cs="IRNazanin"/>
          <w:color w:val="111111"/>
          <w:sz w:val="28"/>
          <w:szCs w:val="28"/>
          <w:rtl w:val="true"/>
          <w:lang w:bidi="fa-IR"/>
        </w:rPr>
        <w:t>.</w:t>
      </w:r>
    </w:p>
    <w:p>
      <w:pPr>
        <w:pStyle w:val="Heading4"/>
        <w:numPr>
          <w:ilvl w:val="3"/>
          <w:numId w:val="1"/>
        </w:numPr>
        <w:rPr/>
      </w:pPr>
      <w:bookmarkStart w:id="1093" w:name="__RefHeading___Toc3807919_1067777946"/>
      <w:bookmarkStart w:id="1094" w:name="_Toc472"/>
      <w:bookmarkEnd w:id="1093"/>
      <w:r>
        <w:rPr>
          <w:rtl w:val="true"/>
        </w:rPr>
        <w:t>طلاق ذميّه و رجوع در عده</w:t>
      </w:r>
      <w:bookmarkEnd w:id="1094"/>
    </w:p>
    <w:p>
      <w:pPr>
        <w:pStyle w:val="BookText"/>
        <w:rPr/>
      </w:pPr>
      <w:r>
        <w:rPr>
          <w:rFonts w:ascii="IRNazanin" w:hAnsi="IRNazanin" w:eastAsia="IRNazanin"/>
          <w:color w:val="111111"/>
          <w:sz w:val="28"/>
          <w:sz w:val="28"/>
          <w:szCs w:val="28"/>
          <w:rtl w:val="true"/>
          <w:lang w:bidi="fa-IR"/>
        </w:rPr>
        <w:t>اگر مسلمان ذميّه را طلاق داد، پس از آن رجوع در عده نمود، صحّت رجوع بنابراين كه ابتداى نكاح ذميه جايز نيست، موقوف بر كاشفيت رجوع و عدم آن است، كه بنابر اوّل ابقاى نكاح است نه احداث آن؛ و هم چنين رجوع در حال احرام يا به امه در موردى كه ابتداى نكاح او جايز نيست</w:t>
      </w:r>
      <w:r>
        <w:rPr>
          <w:rFonts w:eastAsia="IRNazanin" w:cs="IRNazanin"/>
          <w:color w:val="111111"/>
          <w:sz w:val="28"/>
          <w:szCs w:val="28"/>
          <w:rtl w:val="true"/>
          <w:lang w:bidi="fa-IR"/>
        </w:rPr>
        <w:t>.</w:t>
      </w:r>
    </w:p>
    <w:p>
      <w:pPr>
        <w:pStyle w:val="Heading4"/>
        <w:numPr>
          <w:ilvl w:val="3"/>
          <w:numId w:val="1"/>
        </w:numPr>
        <w:rPr/>
      </w:pPr>
      <w:bookmarkStart w:id="1095" w:name="__RefHeading___Toc3807921_1067777946"/>
      <w:bookmarkStart w:id="1096" w:name="_Toc473"/>
      <w:bookmarkEnd w:id="1095"/>
      <w:r>
        <w:rPr>
          <w:rtl w:val="true"/>
        </w:rPr>
        <w:t>حكم رجوع با انكار دخول و عدّه توسّط زن</w:t>
      </w:r>
      <w:bookmarkEnd w:id="1096"/>
    </w:p>
    <w:p>
      <w:pPr>
        <w:pStyle w:val="BookText"/>
        <w:rPr/>
      </w:pPr>
      <w:r>
        <w:rPr>
          <w:rFonts w:ascii="IRNazanin" w:hAnsi="IRNazanin" w:eastAsia="IRNazanin"/>
          <w:color w:val="111111"/>
          <w:sz w:val="28"/>
          <w:sz w:val="28"/>
          <w:szCs w:val="28"/>
          <w:rtl w:val="true"/>
          <w:lang w:bidi="fa-IR"/>
        </w:rPr>
        <w:t>اگر طلاق داد و رجوع در عده كرد، پس زن انكار دخول بعد از نكاح و ثبوت عده نمود، اصل با زن است و ظاهر هم اگر خلوتى مسلّم نباشد؛ و هم چنين قبل از رجوع اگر نزاع در دخول و جواز رجوع و عدم آن باشد، لكن زوج در اين صورت به مقتضيات اقرار خود مُلزَم است</w:t>
      </w:r>
      <w:r>
        <w:rPr>
          <w:rFonts w:eastAsia="IRNazanin" w:cs="IRNazanin"/>
          <w:color w:val="111111"/>
          <w:sz w:val="28"/>
          <w:szCs w:val="28"/>
          <w:rtl w:val="true"/>
          <w:lang w:bidi="fa-IR"/>
        </w:rPr>
        <w:t>.</w:t>
      </w:r>
    </w:p>
    <w:p>
      <w:pPr>
        <w:pStyle w:val="Heading4"/>
        <w:numPr>
          <w:ilvl w:val="3"/>
          <w:numId w:val="1"/>
        </w:numPr>
        <w:rPr/>
      </w:pPr>
      <w:bookmarkStart w:id="1097" w:name="__RefHeading___Toc3807923_1067777946"/>
      <w:bookmarkStart w:id="1098" w:name="_Toc474"/>
      <w:bookmarkEnd w:id="1097"/>
      <w:r>
        <w:rPr>
          <w:rtl w:val="true"/>
        </w:rPr>
        <w:t>كفايت اشارۀ مفهمه در رجوع اخرس</w:t>
      </w:r>
      <w:bookmarkEnd w:id="109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اشارۀ مفهمه در رجوع اخرس كافى است و محتاج به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كشف 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بلكه حال رجوع، حال ساير عقود و ايقاعات او است</w:t>
      </w:r>
      <w:r>
        <w:rPr>
          <w:rFonts w:eastAsia="Amiri" w:cs="Amiri" w:ascii="Amiri" w:hAnsi="Amiri"/>
          <w:color w:val="111111"/>
          <w:sz w:val="28"/>
          <w:szCs w:val="28"/>
          <w:rtl w:val="true"/>
          <w:lang w:bidi="ar-SA"/>
        </w:rPr>
        <w:t xml:space="preserve">. </w:t>
      </w:r>
      <w:bookmarkStart w:id="1099" w:name="pg10265_89942"/>
    </w:p>
    <w:p>
      <w:pPr>
        <w:pStyle w:val="Heading4"/>
        <w:numPr>
          <w:ilvl w:val="3"/>
          <w:numId w:val="1"/>
        </w:numPr>
        <w:rPr/>
      </w:pPr>
      <w:bookmarkStart w:id="1100" w:name="__RefHeading___Toc3807925_1067777946"/>
      <w:bookmarkStart w:id="1101" w:name="_Toc475"/>
      <w:bookmarkEnd w:id="1099"/>
      <w:bookmarkEnd w:id="1100"/>
      <w:r>
        <w:rPr>
          <w:rtl w:val="true"/>
        </w:rPr>
        <w:t>ادّعاى انقضاى عده توسط زن</w:t>
      </w:r>
      <w:bookmarkEnd w:id="1101"/>
    </w:p>
    <w:p>
      <w:pPr>
        <w:pStyle w:val="BookText"/>
        <w:rPr/>
      </w:pPr>
      <w:r>
        <w:rPr>
          <w:rFonts w:ascii="IRNazanin" w:hAnsi="IRNazanin" w:eastAsia="IRNazanin"/>
          <w:color w:val="111111"/>
          <w:sz w:val="28"/>
          <w:sz w:val="28"/>
          <w:szCs w:val="28"/>
          <w:rtl w:val="true"/>
          <w:lang w:bidi="fa-IR"/>
        </w:rPr>
        <w:t xml:space="preserve">اگر زن ادّعاى انقضاى عده به حيض نمود در زمان ممكن، مثل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دو لحظه در حرّه در فروض غالبه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فرض وضع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دو لحظه در امه در فروض غالبه، تصديق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عدم امكان كه دعواى او مردود است، اگر داخل شد زمان امكان پس تكذيب كرد خودش را در دعوى سابقه و ادّعاى انقضا بعد از امكان كرد، تصديق مى شود؛ و اگر اصرار بر دعواى اوّل كرد، پس قبول دعواى التزامى او بالنسبه به ما بعد دخول وقت امكان با سقوط آن در مدلول مطابقى، محل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ادّعا كرد انقضاى عدّه را به ماهها در صورت اختلاف در تقدم و تأخر طلاق، پس در تقدم قول زن در انقضاى عدّه كه لازمِ تقدم طلاق 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مرد در تاخّر طلاق كه فعل او است، تأمل است؛ اظهر تقدم قول زن است در انقضاى عده اگر چه ناشى از اختلاف در تقدم و تأخر طلاق بر ماهها يا بر اقراء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مقدم است قول زن در بقاى عده براى نفقه، اگر زوج، مدّعى انقضاى آن براى سقوط نفقه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حامل بود و ادّعاى انقضاى عدّه به وضع به نحو ممكن و عدم جواز رجوع كرد، قول او مقبول است با عدم امكان استعلام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نزاع در اصل حمل و عدم آن بود، قول منكر حمل مقدم است اگر چه احضار نمايد زن طفلى را كه زوج اعتراف به ولديّت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دعواى انقضاى عدّه تصديق كرد زوجه را و ادّعاى رجوع كرد، قول زن در عدم آن مقدم است با حلف جزمى در فعل، و بر نفى علم در رجوع قولى</w:t>
      </w:r>
      <w:r>
        <w:rPr>
          <w:rFonts w:eastAsia="IRNazanin" w:cs="IRNazanin"/>
          <w:color w:val="111111"/>
          <w:sz w:val="28"/>
          <w:szCs w:val="28"/>
          <w:rtl w:val="true"/>
          <w:lang w:bidi="fa-IR"/>
        </w:rPr>
        <w:t>.</w:t>
      </w:r>
    </w:p>
    <w:p>
      <w:pPr>
        <w:pStyle w:val="Heading4"/>
        <w:numPr>
          <w:ilvl w:val="3"/>
          <w:numId w:val="1"/>
        </w:numPr>
        <w:rPr/>
      </w:pPr>
      <w:bookmarkStart w:id="1102" w:name="__RefHeading___Toc3807927_1067777946"/>
      <w:bookmarkStart w:id="1103" w:name="_Toc476"/>
      <w:bookmarkEnd w:id="1102"/>
      <w:r>
        <w:rPr>
          <w:rtl w:val="true"/>
        </w:rPr>
        <w:t>نزاع در تقدّم و تأخّر رجوع از انقضاى عدّه</w:t>
      </w:r>
      <w:bookmarkEnd w:id="110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نزاع در تقدم و تأخر رجوع از انقضاى عدّه بود، قول زوج كه مدّعى صحّت رجوع است مقدم است اگر اختلافْ ناشى از اختلاف در زمان رجوع باشد نه در </w:t>
      </w:r>
      <w:bookmarkStart w:id="1104" w:name="pg10265_89943"/>
    </w:p>
    <w:p>
      <w:pPr>
        <w:pStyle w:val="BookText"/>
        <w:rPr/>
      </w:pPr>
      <w:bookmarkEnd w:id="1104"/>
      <w:r>
        <w:rPr>
          <w:rFonts w:ascii="IRNazanin" w:hAnsi="IRNazanin" w:eastAsia="IRNazanin"/>
          <w:color w:val="111111"/>
          <w:sz w:val="28"/>
          <w:sz w:val="28"/>
          <w:szCs w:val="28"/>
          <w:rtl w:val="true"/>
          <w:lang w:bidi="fa-IR"/>
        </w:rPr>
        <w:t>زمان انقضاى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زن ازدواج كرده با اين وضع، شوهر دوّم هم طرف دعوى است، و مسأله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 و بيّنۀ زوج اوّل مثبِت است رجوع قبل از عده را، و لازم نيست علم زوجه به رجوع قولى در صحّت رجوع، و به واسطۀ بينۀ رجوع، احق از مدّعى زوجيّت مى شود اگر چه موافق زوجه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زوج ادّعا كرد رجوع به زوجۀ امه خود را و زن او را تصديق كرد و مولىٰ منكر شد، قول زوج مقدم است با يمين او بنابر احوط</w:t>
      </w:r>
      <w:r>
        <w:rPr>
          <w:rFonts w:eastAsia="IRNazanin" w:cs="IRNazanin"/>
          <w:color w:val="111111"/>
          <w:sz w:val="28"/>
          <w:szCs w:val="28"/>
          <w:rtl w:val="true"/>
          <w:lang w:bidi="fa-IR"/>
        </w:rPr>
        <w:t>.</w:t>
      </w:r>
    </w:p>
    <w:p>
      <w:pPr>
        <w:pStyle w:val="Heading4"/>
        <w:numPr>
          <w:ilvl w:val="3"/>
          <w:numId w:val="1"/>
        </w:numPr>
        <w:rPr/>
      </w:pPr>
      <w:bookmarkStart w:id="1105" w:name="__RefHeading___Toc3807929_1067777946"/>
      <w:bookmarkStart w:id="1106" w:name="_Toc477"/>
      <w:bookmarkEnd w:id="1105"/>
      <w:r>
        <w:rPr>
          <w:rtl w:val="true"/>
        </w:rPr>
        <w:t>در استعمال حيل شرعيّه</w:t>
      </w:r>
      <w:bookmarkEnd w:id="1106"/>
    </w:p>
    <w:p>
      <w:pPr>
        <w:pStyle w:val="BookText"/>
        <w:rPr/>
      </w:pPr>
      <w:r>
        <w:rPr>
          <w:rFonts w:ascii="Amiri" w:hAnsi="Amiri" w:eastAsia="Amiri" w:cs="Amiri"/>
          <w:color w:val="111111"/>
          <w:sz w:val="28"/>
          <w:sz w:val="28"/>
          <w:szCs w:val="28"/>
          <w:rtl w:val="true"/>
          <w:lang w:bidi="ar-SA"/>
        </w:rPr>
        <w:t>و آن جايز است وضعاً و تكليفا در مباحه، مثل عقد ولد بر زنى كه احتمال مى دهد والد او را عقد نمايد، و وضعاً فقط در محرّمه، مثل زناى ولد با زنى كه احتمال مى دهد نكاح والد او را، بنابر نشر حرمت به زناى ولد</w:t>
      </w:r>
      <w:r>
        <w:rPr>
          <w:rFonts w:eastAsia="Amiri" w:cs="Amiri" w:ascii="Amiri" w:hAnsi="Amiri"/>
          <w:color w:val="111111"/>
          <w:sz w:val="28"/>
          <w:szCs w:val="28"/>
          <w:rtl w:val="true"/>
          <w:lang w:bidi="ar-SA"/>
        </w:rPr>
        <w:t>.</w:t>
      </w:r>
    </w:p>
    <w:p>
      <w:pPr>
        <w:pStyle w:val="Heading4"/>
        <w:numPr>
          <w:ilvl w:val="3"/>
          <w:numId w:val="1"/>
        </w:numPr>
        <w:rPr/>
      </w:pPr>
      <w:bookmarkStart w:id="1107" w:name="__RefHeading___Toc3807931_1067777946"/>
      <w:bookmarkStart w:id="1108" w:name="_Toc478"/>
      <w:bookmarkEnd w:id="1107"/>
      <w:r>
        <w:rPr>
          <w:rtl w:val="true"/>
        </w:rPr>
        <w:t>توريۀ در يمين</w:t>
      </w:r>
      <w:bookmarkEnd w:id="1108"/>
    </w:p>
    <w:p>
      <w:pPr>
        <w:pStyle w:val="BookText"/>
        <w:rPr/>
      </w:pPr>
      <w:r>
        <w:rPr>
          <w:rFonts w:ascii="IRNazanin" w:hAnsi="IRNazanin" w:eastAsia="IRNazanin"/>
          <w:color w:val="111111"/>
          <w:sz w:val="28"/>
          <w:sz w:val="28"/>
          <w:szCs w:val="28"/>
          <w:rtl w:val="true"/>
          <w:lang w:bidi="fa-IR"/>
        </w:rPr>
        <w:t>اگر ادّعاى دَين اسقاط شده يا تسليم شده بر شخصى شد، پس بترسد كه با يمين منكر برائت، به واسطۀ عدم بيّنۀ مدّعى آن، حكم بر مديون بشود و مأخوذ باشد، مى تواند توريه نمايد در يمين بر عدم استدانه، براى تخلص از اخذ دين به يمين منكر برائت يا حبس مظلوم به جهت مثل اعسار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معرفت به توريه ندارد مى تواند قسم بخورد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اكراه شد بر حلف بر ترك فعل حلال، مى تواند ترك توريه در حلف نمايد با معرفت توريه، و اكراه رافع اثر يمين است به مقتضاى اطلاقات، اگر چه صدق اكراه با مندوحه در حال عمل خالى از تأمل نيست، و هم در اجبار بر طلاق زن</w:t>
      </w:r>
      <w:r>
        <w:rPr>
          <w:rFonts w:eastAsia="IRNazanin" w:cs="IRNazanin"/>
          <w:color w:val="111111"/>
          <w:sz w:val="28"/>
          <w:szCs w:val="28"/>
          <w:rtl w:val="true"/>
          <w:lang w:bidi="fa-IR"/>
        </w:rPr>
        <w:t xml:space="preserve">. </w:t>
      </w:r>
      <w:bookmarkStart w:id="1109" w:name="pg10265_89944"/>
    </w:p>
    <w:p>
      <w:pPr>
        <w:pStyle w:val="Heading3"/>
        <w:numPr>
          <w:ilvl w:val="2"/>
          <w:numId w:val="1"/>
        </w:numPr>
        <w:rPr/>
      </w:pPr>
      <w:bookmarkStart w:id="1110" w:name="__RefHeading___Toc3807933_1067777946"/>
      <w:bookmarkStart w:id="1111" w:name="_Toc479"/>
      <w:bookmarkEnd w:id="1109"/>
      <w:bookmarkEnd w:id="1110"/>
      <w:r>
        <w:rPr>
          <w:rtl w:val="true"/>
        </w:rPr>
        <w:t>فصل هشتم عدّه و اقسام آن</w:t>
      </w:r>
      <w:bookmarkEnd w:id="1111"/>
    </w:p>
    <w:p>
      <w:pPr>
        <w:pStyle w:val="Heading4"/>
        <w:numPr>
          <w:ilvl w:val="3"/>
          <w:numId w:val="1"/>
        </w:numPr>
        <w:rPr/>
      </w:pPr>
      <w:bookmarkStart w:id="1112" w:name="__RefHeading___Toc3807935_1067777946"/>
      <w:bookmarkStart w:id="1113" w:name="_Toc480"/>
      <w:bookmarkEnd w:id="1112"/>
      <w:r>
        <w:rPr/>
        <w:t>1</w:t>
      </w:r>
      <w:r>
        <w:rPr>
          <w:rtl w:val="true"/>
        </w:rPr>
        <w:t xml:space="preserve">. </w:t>
      </w:r>
      <w:r>
        <w:rPr>
          <w:rtl w:val="true"/>
        </w:rPr>
        <w:t>معناى عدّه و شرايط تحقّق آن</w:t>
      </w:r>
      <w:bookmarkEnd w:id="1113"/>
    </w:p>
    <w:p>
      <w:pPr>
        <w:pStyle w:val="Heading5"/>
        <w:numPr>
          <w:ilvl w:val="4"/>
          <w:numId w:val="1"/>
        </w:numPr>
        <w:rPr/>
      </w:pPr>
      <w:bookmarkStart w:id="1114" w:name="__RefHeading___Toc3807937_1067777946"/>
      <w:bookmarkStart w:id="1115" w:name="_Toc481"/>
      <w:bookmarkEnd w:id="1114"/>
      <w:r>
        <w:rPr>
          <w:rtl w:val="true"/>
        </w:rPr>
        <w:t>كلام در عده ها است</w:t>
      </w:r>
      <w:bookmarkEnd w:id="1115"/>
    </w:p>
    <w:p>
      <w:pPr>
        <w:pStyle w:val="BookText"/>
        <w:rPr/>
      </w:pPr>
      <w:r>
        <w:rPr>
          <w:rFonts w:ascii="IRNazanin" w:hAnsi="IRNazanin" w:eastAsia="IRNazanin"/>
          <w:color w:val="111111"/>
          <w:sz w:val="28"/>
          <w:sz w:val="28"/>
          <w:szCs w:val="28"/>
          <w:rtl w:val="true"/>
          <w:lang w:bidi="fa-IR"/>
        </w:rPr>
        <w:t>و آن ايام تربّص زن است از مفارقت زوج يا صاحب وطى محترم، به فسخ يا طلاق يا موت يا زوال شبهه، چه حرّه باشد يا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امه موطوئۀ به ملك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استبرا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w:t>
      </w:r>
    </w:p>
    <w:p>
      <w:pPr>
        <w:pStyle w:val="Heading5"/>
        <w:numPr>
          <w:ilvl w:val="4"/>
          <w:numId w:val="1"/>
        </w:numPr>
        <w:rPr/>
      </w:pPr>
      <w:bookmarkStart w:id="1116" w:name="__RefHeading___Toc3807939_1067777946"/>
      <w:bookmarkStart w:id="1117" w:name="_Toc482"/>
      <w:bookmarkEnd w:id="1116"/>
      <w:r>
        <w:rPr>
          <w:rtl w:val="true"/>
        </w:rPr>
        <w:t>غير مدخول بها عدّه ندارد مگر در صورت وفات زوج</w:t>
      </w:r>
      <w:bookmarkEnd w:id="1117"/>
    </w:p>
    <w:p>
      <w:pPr>
        <w:pStyle w:val="BookText"/>
        <w:rPr/>
      </w:pPr>
      <w:r>
        <w:rPr>
          <w:rFonts w:ascii="IRNazanin" w:hAnsi="IRNazanin" w:eastAsia="IRNazanin"/>
          <w:color w:val="111111"/>
          <w:sz w:val="28"/>
          <w:sz w:val="28"/>
          <w:szCs w:val="28"/>
          <w:rtl w:val="true"/>
          <w:lang w:bidi="fa-IR"/>
        </w:rPr>
        <w:t>زن غير مدخول بها در قُبُل يا دُبُر، عده بر او نيست، چه آنكه بينونت به طلاق باشد يا فسخ، يا بخشيدن مدت در منقطعه، مگر در صورت وفات زوج كه عده ثابت است</w:t>
      </w:r>
      <w:r>
        <w:rPr>
          <w:rFonts w:eastAsia="IRNazanin" w:cs="IRNazanin"/>
          <w:color w:val="111111"/>
          <w:sz w:val="28"/>
          <w:szCs w:val="28"/>
          <w:rtl w:val="true"/>
          <w:lang w:bidi="fa-IR"/>
        </w:rPr>
        <w:t>.</w:t>
      </w:r>
    </w:p>
    <w:p>
      <w:pPr>
        <w:pStyle w:val="Heading5"/>
        <w:numPr>
          <w:ilvl w:val="4"/>
          <w:numId w:val="1"/>
        </w:numPr>
        <w:rPr/>
      </w:pPr>
      <w:bookmarkStart w:id="1118" w:name="__RefHeading___Toc3807941_1067777946"/>
      <w:bookmarkStart w:id="1119" w:name="_Toc483"/>
      <w:bookmarkEnd w:id="1118"/>
      <w:r>
        <w:rPr>
          <w:rtl w:val="true"/>
        </w:rPr>
        <w:t>ميزان تحقق دخول</w:t>
      </w:r>
      <w:bookmarkEnd w:id="1119"/>
    </w:p>
    <w:p>
      <w:pPr>
        <w:pStyle w:val="BookText"/>
        <w:rPr/>
      </w:pPr>
      <w:r>
        <w:rPr>
          <w:rFonts w:ascii="IRNazanin" w:hAnsi="IRNazanin" w:eastAsia="IRNazanin"/>
          <w:color w:val="111111"/>
          <w:sz w:val="28"/>
          <w:sz w:val="28"/>
          <w:szCs w:val="28"/>
          <w:rtl w:val="true"/>
          <w:lang w:bidi="fa-IR"/>
        </w:rPr>
        <w:t xml:space="preserve">و دخول در عده، همان است كه در غسل و مَهر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مى شود به ادخال حشفه اگر چه انزال به حسب فعليّت يا شأنيّت نباشد؛ و فرقى بين وطى كبير و صغير و قصدى و غير آن و خصىّ و غير آن با تحقق ايلاج نيست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مساحقۀ مقطوع الذكر سليم الانثيين، تأمل است، اظهر عدم اعتداد است</w:t>
      </w:r>
      <w:r>
        <w:rPr>
          <w:rFonts w:eastAsia="Amiri" w:cs="Amiri" w:ascii="Amiri" w:hAnsi="Amiri"/>
          <w:color w:val="111111"/>
          <w:sz w:val="28"/>
          <w:szCs w:val="28"/>
          <w:rtl w:val="true"/>
          <w:lang w:bidi="ar-SA"/>
        </w:rPr>
        <w:t xml:space="preserve">. </w:t>
      </w:r>
      <w:bookmarkStart w:id="1120" w:name="pg10265_89945"/>
    </w:p>
    <w:p>
      <w:pPr>
        <w:pStyle w:val="Heading5"/>
        <w:numPr>
          <w:ilvl w:val="4"/>
          <w:numId w:val="1"/>
        </w:numPr>
        <w:rPr/>
      </w:pPr>
      <w:bookmarkStart w:id="1121" w:name="__RefHeading___Toc3807943_1067777946"/>
      <w:bookmarkStart w:id="1122" w:name="_Toc484"/>
      <w:bookmarkEnd w:id="1120"/>
      <w:bookmarkEnd w:id="1121"/>
      <w:r>
        <w:rPr>
          <w:rtl w:val="true"/>
        </w:rPr>
        <w:t>حكم عدّه در صورت انزال بدون دخول</w:t>
      </w:r>
      <w:bookmarkEnd w:id="1122"/>
    </w:p>
    <w:p>
      <w:pPr>
        <w:pStyle w:val="BookText"/>
        <w:rPr/>
      </w:pPr>
      <w:r>
        <w:rPr>
          <w:rFonts w:ascii="IRNazanin" w:hAnsi="IRNazanin" w:eastAsia="IRNazanin"/>
          <w:color w:val="111111"/>
          <w:sz w:val="28"/>
          <w:sz w:val="28"/>
          <w:szCs w:val="28"/>
          <w:rtl w:val="true"/>
          <w:lang w:bidi="fa-IR"/>
        </w:rPr>
        <w:t xml:space="preserve">و در انزالى كه منشأ احتمال حمل است تأمل است، و با ظهور حمل، اعتداد به وضع آن اظهر است؛ بلكه اعتداد با ادخال ماء، به وضع اگر حملى ظاهر شد، و به ماهها اگر نشد، و لحوق ولد در صورت اوّل، مناسب احتياط است، چه در مساحقه با سلامت انثيين يا مساحقه با موطوئه به فوريت يا ادخال ماء در فرج به نحو ديگر باشد؛ بلكه لزوم احتياط مذكور در موارد مذكوره، خالى از وجه نيست؛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مستفاد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لحوق و الغاى خصوصيت از ادلۀ دخول در حكم اعتداد مؤيد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العدة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مثل مساحقۀ خاصۀ مذكوره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5"/>
        <w:numPr>
          <w:ilvl w:val="4"/>
          <w:numId w:val="1"/>
        </w:numPr>
        <w:rPr/>
      </w:pPr>
      <w:bookmarkStart w:id="1123" w:name="__RefHeading___Toc3807945_1067777946"/>
      <w:bookmarkStart w:id="1124" w:name="_Toc485"/>
      <w:bookmarkEnd w:id="1123"/>
      <w:r>
        <w:rPr>
          <w:rtl w:val="true"/>
        </w:rPr>
        <w:t>حكم مسأله در صورت اختلاف در اصابه</w:t>
      </w:r>
      <w:bookmarkEnd w:id="1124"/>
    </w:p>
    <w:p>
      <w:pPr>
        <w:pStyle w:val="BookText"/>
        <w:rPr/>
      </w:pPr>
      <w:r>
        <w:rPr>
          <w:rFonts w:ascii="IRNazanin" w:hAnsi="IRNazanin" w:eastAsia="IRNazanin"/>
          <w:color w:val="111111"/>
          <w:sz w:val="28"/>
          <w:sz w:val="28"/>
          <w:szCs w:val="28"/>
          <w:rtl w:val="true"/>
          <w:lang w:bidi="fa-IR"/>
        </w:rPr>
        <w:t>و عده ثابت نيست با خلوت مجرده از وطى؛ و در صورت خلوت تامه اگر اختلاف در اصابه و عدم آن شد، در حكم به دخول و عدم آن تأمل است، و گذشت در محلش بيان ترجيح اصل يا ظاهر</w:t>
      </w:r>
      <w:r>
        <w:rPr>
          <w:rFonts w:eastAsia="IRNazanin" w:cs="IRNazanin"/>
          <w:color w:val="111111"/>
          <w:sz w:val="28"/>
          <w:szCs w:val="28"/>
          <w:rtl w:val="true"/>
          <w:lang w:bidi="fa-IR"/>
        </w:rPr>
        <w:t>.</w:t>
      </w:r>
    </w:p>
    <w:p>
      <w:pPr>
        <w:pStyle w:val="Heading4"/>
        <w:numPr>
          <w:ilvl w:val="3"/>
          <w:numId w:val="1"/>
        </w:numPr>
        <w:rPr/>
      </w:pPr>
      <w:bookmarkStart w:id="1125" w:name="__RefHeading___Toc3807947_1067777946"/>
      <w:bookmarkStart w:id="1126" w:name="_Toc486"/>
      <w:bookmarkEnd w:id="1125"/>
      <w:r>
        <w:rPr/>
        <w:t>2</w:t>
      </w:r>
      <w:r>
        <w:rPr>
          <w:rtl w:val="true"/>
        </w:rPr>
        <w:t xml:space="preserve">. </w:t>
      </w:r>
      <w:r>
        <w:rPr>
          <w:rtl w:val="true"/>
        </w:rPr>
        <w:t>عدۀ مستقيمة الحيض</w:t>
      </w:r>
      <w:bookmarkEnd w:id="1126"/>
    </w:p>
    <w:p>
      <w:pPr>
        <w:pStyle w:val="Heading5"/>
        <w:numPr>
          <w:ilvl w:val="4"/>
          <w:numId w:val="1"/>
        </w:numPr>
        <w:rPr/>
      </w:pPr>
      <w:bookmarkStart w:id="1127" w:name="__RefHeading___Toc3807949_1067777946"/>
      <w:bookmarkStart w:id="1128" w:name="_Toc487"/>
      <w:bookmarkEnd w:id="1127"/>
      <w:r>
        <w:rPr>
          <w:rtl w:val="true"/>
        </w:rPr>
        <w:t>اشاره</w:t>
      </w:r>
      <w:bookmarkEnd w:id="1128"/>
    </w:p>
    <w:p>
      <w:pPr>
        <w:pStyle w:val="BookText"/>
        <w:rPr/>
      </w:pPr>
      <w:r>
        <w:rPr>
          <w:rFonts w:ascii="IRNazanin" w:hAnsi="IRNazanin" w:eastAsia="IRNazanin"/>
          <w:color w:val="111111"/>
          <w:sz w:val="28"/>
          <w:sz w:val="28"/>
          <w:szCs w:val="28"/>
          <w:rtl w:val="true"/>
          <w:lang w:bidi="fa-IR"/>
        </w:rPr>
        <w:t>و آن زنى است كه در هر ماه، يك دفعه بر وفق غالب زنها حيض مى بيند، يا آنكه در كمتر از سه ماه يك دفعه عادت حيض دارد، بنابر آنچه خواهد مذكور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عدۀ مستقيمة الحيض سه طهر است، و منقضى به رؤيت خون سوّم حيض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فرقى بين طلاق و فسخ و وطى به شبهه در اين عده، و در سه ماه در غير مستقيمه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اعتبار به طهر ملازم، سه حيض شرعى است؛ معيّن عادت باشد، يا صفات، يا عادت زنهاى اقارب يك زن، يا عمل به روايات، چه آنكه حيض طبعى باشد، يا به وسيلۀ علاج شخص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نفاس به جاى حيض است در حكم عده</w:t>
      </w:r>
      <w:r>
        <w:rPr>
          <w:rFonts w:eastAsia="IRNazanin" w:cs="IRNazanin"/>
          <w:color w:val="111111"/>
          <w:sz w:val="28"/>
          <w:szCs w:val="28"/>
          <w:rtl w:val="true"/>
          <w:lang w:bidi="fa-IR"/>
        </w:rPr>
        <w:t xml:space="preserve">. </w:t>
      </w:r>
      <w:bookmarkStart w:id="1129" w:name="pg10265_89946"/>
    </w:p>
    <w:p>
      <w:pPr>
        <w:pStyle w:val="BookText"/>
        <w:rPr/>
      </w:pPr>
      <w:bookmarkEnd w:id="1129"/>
      <w:r>
        <w:rPr>
          <w:rFonts w:ascii="IRNazanin" w:hAnsi="IRNazanin" w:eastAsia="IRNazanin"/>
          <w:color w:val="111111"/>
          <w:sz w:val="28"/>
          <w:sz w:val="28"/>
          <w:szCs w:val="28"/>
          <w:rtl w:val="true"/>
          <w:lang w:bidi="fa-IR"/>
        </w:rPr>
        <w:t>و اين عدۀ آزاد است، چه آنكه شوهر آزاد باشد، يا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امه، عده دو طهر است اگر چه شوهر آزاد باشد بر حسب آنچه گذشت كه اعتبار در عده به زن است نه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اعتبار در غير طهر اوّل به تمام ايام طهر است، و در طهر اوّل يك لحظه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ذكر شد، به رؤيت خون حيض سوّم بينونت و انقضاى عدّه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مبعّضه، احوط ثبوت عدۀ حرّه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غير صاحبۀ عادت وقتيه، انقضاى عدّه واقعاً، منوط به واقعيّت حيض سوّم است شرعاً، اگر چه انتظار براى تبيّن حال تا سه روز با عدم مانع از حكم به حيضيت از ناحيۀ اقل طهر و از ناحيۀ عدم استمرار، محتاج به تمييز يا عادت نساء يا روايات باشد</w:t>
      </w:r>
      <w:r>
        <w:rPr>
          <w:rFonts w:eastAsia="IRNazanin" w:cs="IRNazanin"/>
          <w:color w:val="111111"/>
          <w:sz w:val="28"/>
          <w:szCs w:val="28"/>
          <w:rtl w:val="true"/>
          <w:lang w:bidi="fa-IR"/>
        </w:rPr>
        <w:t>.</w:t>
      </w:r>
    </w:p>
    <w:p>
      <w:pPr>
        <w:pStyle w:val="Heading5"/>
        <w:numPr>
          <w:ilvl w:val="4"/>
          <w:numId w:val="1"/>
        </w:numPr>
        <w:rPr/>
      </w:pPr>
      <w:bookmarkStart w:id="1130" w:name="__RefHeading___Toc3807951_1067777946"/>
      <w:bookmarkStart w:id="1131" w:name="_Toc488"/>
      <w:bookmarkEnd w:id="1130"/>
      <w:r>
        <w:rPr>
          <w:rtl w:val="true"/>
        </w:rPr>
        <w:t>اقل عدّه</w:t>
      </w:r>
      <w:bookmarkEnd w:id="1131"/>
    </w:p>
    <w:p>
      <w:pPr>
        <w:pStyle w:val="BookText"/>
        <w:rPr/>
      </w:pPr>
      <w:r>
        <w:rPr>
          <w:rFonts w:ascii="IRNazanin" w:hAnsi="IRNazanin" w:eastAsia="IRNazanin"/>
          <w:color w:val="111111"/>
          <w:sz w:val="28"/>
          <w:sz w:val="28"/>
          <w:szCs w:val="28"/>
          <w:rtl w:val="true"/>
          <w:lang w:bidi="fa-IR"/>
        </w:rPr>
        <w:t xml:space="preserve">و گذشت كه اقل عده زماناً در حرّه در فروض غالبه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دو لحظه است؛ و لحظۀ دوّم كه اوّل حيض است، داخل عده نيست، بلكه كاشف از انقضاى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صاحبۀ نفاس،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دو لحظه، موجب انقضاى عدّۀ حره مى شود</w:t>
      </w:r>
      <w:r>
        <w:rPr>
          <w:rFonts w:eastAsia="IRNazanin" w:cs="IRNazanin"/>
          <w:color w:val="111111"/>
          <w:sz w:val="28"/>
          <w:szCs w:val="28"/>
          <w:rtl w:val="true"/>
          <w:lang w:bidi="fa-IR"/>
        </w:rPr>
        <w:t>.</w:t>
      </w:r>
    </w:p>
    <w:p>
      <w:pPr>
        <w:pStyle w:val="Heading5"/>
        <w:numPr>
          <w:ilvl w:val="4"/>
          <w:numId w:val="1"/>
        </w:numPr>
        <w:rPr/>
      </w:pPr>
      <w:bookmarkStart w:id="1132" w:name="__RefHeading___Toc3807953_1067777946"/>
      <w:bookmarkStart w:id="1133" w:name="_Toc489"/>
      <w:bookmarkEnd w:id="1132"/>
      <w:r>
        <w:rPr>
          <w:rtl w:val="true"/>
        </w:rPr>
        <w:t>اگر طلاق در آخر طهر متصل به حيض واقع شود</w:t>
      </w:r>
      <w:bookmarkEnd w:id="1133"/>
    </w:p>
    <w:p>
      <w:pPr>
        <w:pStyle w:val="BookText"/>
        <w:rPr/>
      </w:pPr>
      <w:r>
        <w:rPr>
          <w:rFonts w:ascii="IRNazanin" w:hAnsi="IRNazanin" w:eastAsia="IRNazanin"/>
          <w:color w:val="111111"/>
          <w:sz w:val="28"/>
          <w:sz w:val="28"/>
          <w:szCs w:val="28"/>
          <w:rtl w:val="true"/>
          <w:lang w:bidi="fa-IR"/>
        </w:rPr>
        <w:t>و اگر طلاق در آخر طهر واقع شد و متصل به حيض متأخر از آن شد در زمان طلاق، صحيح است بنابر اظهر؛ لكن حساب عده از بعد از حيض شروع مى شود كه سه طهر مستأنف بعد از آن حيض باشد كه به رؤيت دم رابع منقضى مى شود به نحو مذكور</w:t>
      </w:r>
      <w:r>
        <w:rPr>
          <w:rFonts w:eastAsia="IRNazanin" w:cs="IRNazanin"/>
          <w:color w:val="111111"/>
          <w:sz w:val="28"/>
          <w:szCs w:val="28"/>
          <w:rtl w:val="true"/>
          <w:lang w:bidi="fa-IR"/>
        </w:rPr>
        <w:t>.</w:t>
      </w:r>
    </w:p>
    <w:p>
      <w:pPr>
        <w:pStyle w:val="Heading5"/>
        <w:numPr>
          <w:ilvl w:val="4"/>
          <w:numId w:val="1"/>
        </w:numPr>
        <w:rPr/>
      </w:pPr>
      <w:bookmarkStart w:id="1134" w:name="__RefHeading___Toc3807955_1067777946"/>
      <w:bookmarkStart w:id="1135" w:name="_Toc490"/>
      <w:bookmarkEnd w:id="1134"/>
      <w:r>
        <w:rPr>
          <w:rtl w:val="true"/>
        </w:rPr>
        <w:t>اختلاف در انقضاى عده</w:t>
      </w:r>
      <w:bookmarkEnd w:id="113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اختلاف كردند در انقضاى عدّه و زن گفت در لحظۀ آخرِ طهر، طلاق واقع شده بوده، پس منقضى شد به حيض ثالث، و شوهر گفت در طُهر بعد واقع شده، يا در حيض در صورت صحّت، قول زن مقدم است در صورتى كه اختلاف در زمان تحقق طلاق </w:t>
      </w:r>
      <w:bookmarkStart w:id="1136" w:name="pg10265_89947"/>
    </w:p>
    <w:p>
      <w:pPr>
        <w:pStyle w:val="BookText"/>
        <w:rPr/>
      </w:pPr>
      <w:bookmarkEnd w:id="1136"/>
      <w:r>
        <w:rPr>
          <w:rFonts w:ascii="Amiri" w:hAnsi="Amiri" w:eastAsia="Amiri" w:cs="Amiri"/>
          <w:color w:val="111111"/>
          <w:sz w:val="28"/>
          <w:sz w:val="28"/>
          <w:szCs w:val="28"/>
          <w:rtl w:val="true"/>
          <w:lang w:bidi="ar-SA"/>
        </w:rPr>
        <w:t>نباشد، بلكه در بقاى طهر متقدّم در زمان طلاق معلوم باشد؛ لكن مطالبۀ نفقه براى زن جايز نيست، و براى مرد مطالبۀ مدفوع از نفقه جايز نيست و دور نيست با بقاى عين، ملحق به مجهول المالك باشد تا زمان انفاق يا صلح يا صدقه از مالك از آنها</w:t>
      </w:r>
      <w:r>
        <w:rPr>
          <w:rFonts w:eastAsia="Amiri" w:cs="Amiri" w:ascii="Amiri" w:hAnsi="Amiri"/>
          <w:color w:val="111111"/>
          <w:sz w:val="28"/>
          <w:szCs w:val="28"/>
          <w:rtl w:val="true"/>
          <w:lang w:bidi="ar-SA"/>
        </w:rPr>
        <w:t>.</w:t>
      </w:r>
    </w:p>
    <w:p>
      <w:pPr>
        <w:pStyle w:val="Heading5"/>
        <w:numPr>
          <w:ilvl w:val="4"/>
          <w:numId w:val="1"/>
        </w:numPr>
        <w:rPr/>
      </w:pPr>
      <w:bookmarkStart w:id="1137" w:name="__RefHeading___Toc3807957_1067777946"/>
      <w:bookmarkStart w:id="1138" w:name="_Toc491"/>
      <w:bookmarkEnd w:id="1137"/>
      <w:r>
        <w:rPr>
          <w:rtl w:val="true"/>
        </w:rPr>
        <w:t>عدّه زنى كه حيض نمى بيند</w:t>
      </w:r>
      <w:bookmarkEnd w:id="1138"/>
    </w:p>
    <w:p>
      <w:pPr>
        <w:pStyle w:val="BookText"/>
        <w:rPr/>
      </w:pPr>
      <w:r>
        <w:rPr>
          <w:rFonts w:ascii="IRNazanin" w:hAnsi="IRNazanin" w:eastAsia="IRNazanin"/>
          <w:color w:val="111111"/>
          <w:sz w:val="28"/>
          <w:sz w:val="28"/>
          <w:szCs w:val="28"/>
          <w:rtl w:val="true"/>
          <w:lang w:bidi="fa-IR"/>
        </w:rPr>
        <w:t>زنى كه حيض نمى بيند و در سن حائض است، عدّۀ او با دخول، از طلاق و فسخ و وطى به شبهه سه ماه است اگر حره است؛ و اگر در كمتر از سه ماه خون حيض ببيند به نحوى كه سه طهر محقّق باشد كه در بين آنها سه ماه بدون حيض نباشد، عدۀ او سه قرء است؛ و هر كدام از سه ماه بدون حيض، و سه طهر غير متخلّل به سه ماه سابق بود، عدۀ او است اگر چه متصل به طلاق نباشد</w:t>
      </w:r>
      <w:r>
        <w:rPr>
          <w:rFonts w:eastAsia="IRNazanin" w:cs="IRNazanin"/>
          <w:color w:val="111111"/>
          <w:sz w:val="28"/>
          <w:szCs w:val="28"/>
          <w:rtl w:val="true"/>
          <w:lang w:bidi="fa-IR"/>
        </w:rPr>
        <w:t>.</w:t>
      </w:r>
    </w:p>
    <w:p>
      <w:pPr>
        <w:pStyle w:val="Heading5"/>
        <w:numPr>
          <w:ilvl w:val="4"/>
          <w:numId w:val="1"/>
        </w:numPr>
        <w:rPr/>
      </w:pPr>
      <w:bookmarkStart w:id="1139" w:name="__RefHeading___Toc3807959_1067777946"/>
      <w:bookmarkStart w:id="1140" w:name="_Toc492"/>
      <w:bookmarkEnd w:id="1139"/>
      <w:r>
        <w:rPr>
          <w:rtl w:val="true"/>
        </w:rPr>
        <w:t>زنى كه در بيش از سه ماه، يك عادت مى بيند</w:t>
      </w:r>
      <w:bookmarkEnd w:id="1140"/>
    </w:p>
    <w:p>
      <w:pPr>
        <w:pStyle w:val="BookText"/>
        <w:rPr/>
      </w:pPr>
      <w:r>
        <w:rPr>
          <w:rFonts w:ascii="Amiri" w:hAnsi="Amiri" w:eastAsia="Amiri" w:cs="Amiri"/>
          <w:color w:val="111111"/>
          <w:sz w:val="28"/>
          <w:sz w:val="28"/>
          <w:szCs w:val="28"/>
          <w:rtl w:val="true"/>
          <w:lang w:bidi="ar-SA"/>
        </w:rPr>
        <w:t>و زنى كه عادت او يك دفعه در بيش از سه ماه است، عده او سه ماه است، و خواهد آمد كه مقتضاى احتياط در سه ماه كه عده مى شود، اتصال به زمان طلاق است، به جهت فتواى مشهور در سه ماه منفصل</w:t>
      </w:r>
      <w:r>
        <w:rPr>
          <w:rFonts w:eastAsia="Amiri" w:cs="Amiri" w:ascii="Amiri" w:hAnsi="Amiri"/>
          <w:color w:val="111111"/>
          <w:sz w:val="28"/>
          <w:szCs w:val="28"/>
          <w:rtl w:val="true"/>
          <w:lang w:bidi="ar-SA"/>
        </w:rPr>
        <w:t>.</w:t>
      </w:r>
    </w:p>
    <w:p>
      <w:pPr>
        <w:pStyle w:val="Heading5"/>
        <w:numPr>
          <w:ilvl w:val="4"/>
          <w:numId w:val="1"/>
        </w:numPr>
        <w:rPr/>
      </w:pPr>
      <w:bookmarkStart w:id="1141" w:name="__RefHeading___Toc3807961_1067777946"/>
      <w:bookmarkStart w:id="1142" w:name="_Toc493"/>
      <w:bookmarkEnd w:id="1141"/>
      <w:r>
        <w:rPr>
          <w:rtl w:val="true"/>
        </w:rPr>
        <w:t>عدّۀ يائسۀ مسترابه</w:t>
      </w:r>
      <w:bookmarkEnd w:id="1142"/>
    </w:p>
    <w:p>
      <w:pPr>
        <w:pStyle w:val="BookText"/>
        <w:rPr/>
      </w:pPr>
      <w:r>
        <w:rPr>
          <w:rFonts w:ascii="IRNazanin" w:hAnsi="IRNazanin" w:eastAsia="IRNazanin"/>
          <w:color w:val="111111"/>
          <w:sz w:val="28"/>
          <w:sz w:val="28"/>
          <w:szCs w:val="28"/>
          <w:rtl w:val="true"/>
          <w:lang w:bidi="fa-IR"/>
        </w:rPr>
        <w:t>يائسه مسترابه كه در سن يائسه نيست، عده اش سه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حائضۀ مسترابه كه سن حائض است، عده اش سه ماه است به نحو متقدّم در رعايت اسبق از سه قرء و سه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يائسۀ غير مسترابه، و غير بالغه به نه سال، عده ندارند اگر چه دخول به آنها شده باشد، چنانچه گذشت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ميزان در موضوع حكم مسترابه، تأخر حيض از سه ماه است اگر چه به قليل باشد، كه اعتداد به سه ماه مى نمايد، و تقدم بر سه ماه اگر چه به قليل باشد، كه اعتداد به اقراء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يأس در قرشيه و نبطيه و غير آنها گذشت بيان آن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bookmarkStart w:id="1143" w:name="pg10265_89948"/>
    </w:p>
    <w:p>
      <w:pPr>
        <w:pStyle w:val="Heading5"/>
        <w:numPr>
          <w:ilvl w:val="4"/>
          <w:numId w:val="1"/>
        </w:numPr>
        <w:rPr/>
      </w:pPr>
      <w:bookmarkStart w:id="1144" w:name="__RefHeading___Toc3807963_1067777946"/>
      <w:bookmarkStart w:id="1145" w:name="_Toc494"/>
      <w:bookmarkEnd w:id="1143"/>
      <w:bookmarkEnd w:id="1144"/>
      <w:r>
        <w:rPr>
          <w:rtl w:val="true"/>
        </w:rPr>
        <w:t>حكم عدّۀ شابّۀ مستقيمة الحيض اگر بعد از طلاق در سه ماه يك حيض ببيند</w:t>
      </w:r>
      <w:bookmarkEnd w:id="1145"/>
    </w:p>
    <w:p>
      <w:pPr>
        <w:pStyle w:val="BookText"/>
        <w:rPr/>
      </w:pPr>
      <w:r>
        <w:rPr>
          <w:rFonts w:ascii="IRNazanin" w:hAnsi="IRNazanin" w:eastAsia="IRNazanin"/>
          <w:color w:val="111111"/>
          <w:sz w:val="28"/>
          <w:sz w:val="28"/>
          <w:szCs w:val="28"/>
          <w:rtl w:val="true"/>
          <w:lang w:bidi="fa-IR"/>
        </w:rPr>
        <w:t xml:space="preserve">و در خصوص شابّۀ مستقيمة الحيض اگر بعد از طلاق در سه ماه، يك دفعه حيض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نديد، مروى است كه صبر مى نمايد تا نه ماه از طلاق، يعنى براى دفع احتمال حمل، بعد سه ماه ديگر را عده مى گيرد يا آنكه به وضع حمل كه ظاهر باشد عدۀ او منقضى مى شود، پس از آن ازدواج مى نمايد اگر خواست و عمل به آن مشهور و در موضوع خاص كه حره است، احوط است، و در غير آن عمل به قاعدۀ اسبقيت اقراء يا سه ماه مى شود با ملاحظۀ فرق بين حرّه و امه در اقراء و در 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قسم كه سه ماه متصل به طلاق حيض نمى بيند مخصوص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مسترابة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غير اين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مسترابة الحيض</w:t>
      </w:r>
      <w:r>
        <w:rPr>
          <w:rFonts w:eastAsia="IRNazanin" w:cs="IRNazanin"/>
          <w:color w:val="111111"/>
          <w:sz w:val="28"/>
          <w:szCs w:val="28"/>
          <w:rtl w:val="true"/>
          <w:lang w:bidi="fa-IR"/>
        </w:rPr>
        <w:t>».</w:t>
      </w:r>
    </w:p>
    <w:p>
      <w:pPr>
        <w:pStyle w:val="Heading5"/>
        <w:numPr>
          <w:ilvl w:val="4"/>
          <w:numId w:val="1"/>
        </w:numPr>
        <w:rPr/>
      </w:pPr>
      <w:bookmarkStart w:id="1146" w:name="__RefHeading___Toc3807965_1067777946"/>
      <w:bookmarkStart w:id="1147" w:name="_Toc495"/>
      <w:bookmarkEnd w:id="1146"/>
      <w:r>
        <w:rPr>
          <w:rtl w:val="true"/>
        </w:rPr>
        <w:t>ديدن يك يا دو حيض بعد از طلاق و يائسه شدن</w:t>
      </w:r>
      <w:bookmarkEnd w:id="1147"/>
    </w:p>
    <w:p>
      <w:pPr>
        <w:pStyle w:val="BookText"/>
        <w:rPr/>
      </w:pPr>
      <w:r>
        <w:rPr>
          <w:rFonts w:ascii="IRNazanin" w:hAnsi="IRNazanin" w:eastAsia="IRNazanin"/>
          <w:color w:val="111111"/>
          <w:sz w:val="28"/>
          <w:sz w:val="28"/>
          <w:szCs w:val="28"/>
          <w:rtl w:val="true"/>
          <w:lang w:bidi="fa-IR"/>
        </w:rPr>
        <w:t>اگر بعد از طلاق يك مرتبه حيض ديد پس بسن يأس رسيد، اكمال مى نمايد عده را بعد از يك حيض به دو ماه؛ و هم چنين اگر دو مرتبه حيض ديد پس يائسه شد، اكمال به يك ماه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طلاق به يك لحظه يا بيش از آن به يأس رسيد، احوط اعتداد به سه ماه يا تكميل سه ماه است اگر عده اش سه ماه بوده</w:t>
      </w:r>
      <w:r>
        <w:rPr>
          <w:rFonts w:eastAsia="IRNazanin" w:cs="IRNazanin"/>
          <w:color w:val="111111"/>
          <w:sz w:val="28"/>
          <w:szCs w:val="28"/>
          <w:rtl w:val="true"/>
          <w:lang w:bidi="fa-IR"/>
        </w:rPr>
        <w:t>.</w:t>
      </w:r>
    </w:p>
    <w:p>
      <w:pPr>
        <w:pStyle w:val="Heading5"/>
        <w:numPr>
          <w:ilvl w:val="4"/>
          <w:numId w:val="1"/>
        </w:numPr>
        <w:rPr/>
      </w:pPr>
      <w:bookmarkStart w:id="1148" w:name="__RefHeading___Toc3807967_1067777946"/>
      <w:bookmarkStart w:id="1149" w:name="_Toc496"/>
      <w:bookmarkEnd w:id="1148"/>
      <w:r>
        <w:rPr>
          <w:rtl w:val="true"/>
        </w:rPr>
        <w:t>نحوۀ تعيين عدّه مستقيمة الحيض مبتلىٰ به استمرار خون</w:t>
      </w:r>
      <w:bookmarkEnd w:id="114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مستقيمة الحيض مبتلىٰ به استمرار خون شد، رجوع به عادت سابقه مى نمايد و با آن انقضاى عدّه تشخيص داده مى شود؛ و اگر عادت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مبتدئه يا مضطربه يا ناسيه بود، به صفات مراجعه مى نمايد و تشخيص حيض و انقضاى عدّه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اين وسيله امتياز نبود و تشخيص ممكن نشد، رجوع به عادت زنهاى خودش مى نمايد از اقرباء و اقران به ترتيبى كه در محلّش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اختلاف داشتند، به سه ماه از حين طلاق اعتداد مى نمايد اگر چه عادتش در بيش از سه ماه است</w:t>
      </w:r>
      <w:r>
        <w:rPr>
          <w:rFonts w:eastAsia="IRNazanin" w:cs="IRNazanin"/>
          <w:color w:val="111111"/>
          <w:sz w:val="28"/>
          <w:szCs w:val="28"/>
          <w:rtl w:val="true"/>
          <w:lang w:bidi="fa-IR"/>
        </w:rPr>
        <w:t xml:space="preserve">. </w:t>
      </w:r>
      <w:bookmarkStart w:id="1150" w:name="pg10265_89949"/>
    </w:p>
    <w:p>
      <w:pPr>
        <w:pStyle w:val="Heading5"/>
        <w:numPr>
          <w:ilvl w:val="4"/>
          <w:numId w:val="1"/>
        </w:numPr>
        <w:rPr/>
      </w:pPr>
      <w:bookmarkStart w:id="1151" w:name="__RefHeading___Toc3807969_1067777946"/>
      <w:bookmarkStart w:id="1152" w:name="_Toc497"/>
      <w:bookmarkEnd w:id="1150"/>
      <w:bookmarkEnd w:id="1151"/>
      <w:r>
        <w:rPr>
          <w:rtl w:val="true"/>
        </w:rPr>
        <w:t xml:space="preserve">ميزان </w:t>
      </w:r>
      <w:r>
        <w:rPr>
          <w:rtl w:val="true"/>
        </w:rPr>
        <w:t>«</w:t>
      </w:r>
      <w:r>
        <w:rPr>
          <w:rtl w:val="true"/>
        </w:rPr>
        <w:t>ماه</w:t>
      </w:r>
      <w:r>
        <w:rPr>
          <w:rtl w:val="true"/>
        </w:rPr>
        <w:t>»</w:t>
      </w:r>
      <w:bookmarkEnd w:id="1152"/>
    </w:p>
    <w:p>
      <w:pPr>
        <w:pStyle w:val="BookText"/>
        <w:rPr/>
      </w:pPr>
      <w:r>
        <w:rPr>
          <w:rFonts w:ascii="IRNazanin" w:hAnsi="IRNazanin" w:eastAsia="IRNazanin"/>
          <w:color w:val="111111"/>
          <w:sz w:val="28"/>
          <w:sz w:val="28"/>
          <w:szCs w:val="28"/>
          <w:rtl w:val="true"/>
          <w:lang w:bidi="fa-IR"/>
        </w:rPr>
        <w:t xml:space="preserve">اگر طلاق در اوّل هلال شد، يعنى آخر طلاق مقارن غروب بود، عدّه، سه ماه هلالى است؛ و اگر در اثناى ماه واقع شد، دو ماه هلالى داخل عده است و ماه سوّم عبارت از باقيمانده از ماه اوّل و تكميل آن به سى روز، يا به آنچه مقدار فوت شده از ماه 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رعايت سى روز احوط است</w:t>
      </w:r>
      <w:r>
        <w:rPr>
          <w:rFonts w:eastAsia="IRNazanin" w:cs="IRNazanin"/>
          <w:color w:val="111111"/>
          <w:sz w:val="28"/>
          <w:szCs w:val="28"/>
          <w:rtl w:val="true"/>
          <w:lang w:bidi="fa-IR"/>
        </w:rPr>
        <w:t>.</w:t>
      </w:r>
    </w:p>
    <w:p>
      <w:pPr>
        <w:pStyle w:val="Heading5"/>
        <w:numPr>
          <w:ilvl w:val="4"/>
          <w:numId w:val="1"/>
        </w:numPr>
        <w:rPr/>
      </w:pPr>
      <w:bookmarkStart w:id="1153" w:name="__RefHeading___Toc3807971_1067777946"/>
      <w:bookmarkStart w:id="1154" w:name="_Toc498"/>
      <w:bookmarkEnd w:id="1153"/>
      <w:r>
        <w:rPr>
          <w:rtl w:val="true"/>
        </w:rPr>
        <w:t>ارتياب حمل و تبيّن حمل</w:t>
      </w:r>
      <w:bookmarkEnd w:id="1154"/>
    </w:p>
    <w:p>
      <w:pPr>
        <w:pStyle w:val="BookText"/>
        <w:rPr/>
      </w:pPr>
      <w:r>
        <w:rPr>
          <w:rFonts w:ascii="Amiri" w:hAnsi="Amiri" w:eastAsia="Amiri" w:cs="Amiri"/>
          <w:color w:val="111111"/>
          <w:sz w:val="28"/>
          <w:sz w:val="28"/>
          <w:szCs w:val="28"/>
          <w:rtl w:val="true"/>
          <w:lang w:bidi="ar-SA"/>
        </w:rPr>
        <w:t>و در صورتى كه عدّه سه ماه است، ارتياب حمل بعد از عده اثرى ندارد، به خلاف ارتياب در اثناى عده بنابر احوط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تبيّن حمل مطلقاً، كاشف از وقوع نكاح دوّم در عده است</w:t>
      </w:r>
      <w:r>
        <w:rPr>
          <w:rFonts w:eastAsia="Amiri" w:cs="Amiri" w:ascii="Amiri" w:hAnsi="Amiri"/>
          <w:color w:val="111111"/>
          <w:sz w:val="28"/>
          <w:szCs w:val="28"/>
          <w:rtl w:val="true"/>
          <w:lang w:bidi="ar-SA"/>
        </w:rPr>
        <w:t>.</w:t>
      </w:r>
    </w:p>
    <w:p>
      <w:pPr>
        <w:pStyle w:val="Heading4"/>
        <w:numPr>
          <w:ilvl w:val="3"/>
          <w:numId w:val="1"/>
        </w:numPr>
        <w:rPr/>
      </w:pPr>
      <w:bookmarkStart w:id="1155" w:name="__RefHeading___Toc3807973_1067777946"/>
      <w:bookmarkStart w:id="1156" w:name="_Toc499"/>
      <w:bookmarkEnd w:id="1155"/>
      <w:r>
        <w:rPr/>
        <w:t>3</w:t>
      </w:r>
      <w:r>
        <w:rPr>
          <w:rtl w:val="true"/>
        </w:rPr>
        <w:t xml:space="preserve">. </w:t>
      </w:r>
      <w:r>
        <w:rPr>
          <w:rtl w:val="true"/>
        </w:rPr>
        <w:t>عدّۀ حامل</w:t>
      </w:r>
      <w:bookmarkEnd w:id="1156"/>
    </w:p>
    <w:p>
      <w:pPr>
        <w:pStyle w:val="Heading5"/>
        <w:numPr>
          <w:ilvl w:val="4"/>
          <w:numId w:val="1"/>
        </w:numPr>
        <w:rPr/>
      </w:pPr>
      <w:bookmarkStart w:id="1157" w:name="__RefHeading___Toc3807975_1067777946"/>
      <w:bookmarkStart w:id="1158" w:name="_Toc500"/>
      <w:bookmarkEnd w:id="1157"/>
      <w:r>
        <w:rPr>
          <w:rtl w:val="true"/>
        </w:rPr>
        <w:t>اشاره</w:t>
      </w:r>
      <w:bookmarkEnd w:id="1158"/>
    </w:p>
    <w:p>
      <w:pPr>
        <w:pStyle w:val="BookText"/>
        <w:rPr/>
      </w:pPr>
      <w:r>
        <w:rPr>
          <w:rFonts w:ascii="IRNazanin" w:hAnsi="IRNazanin" w:eastAsia="IRNazanin"/>
          <w:color w:val="111111"/>
          <w:sz w:val="28"/>
          <w:sz w:val="28"/>
          <w:szCs w:val="28"/>
          <w:rtl w:val="true"/>
          <w:lang w:bidi="fa-IR"/>
        </w:rPr>
        <w:t>عدۀ حامل از طلاق، وضع حمل است اگر چه بعد از طلاق بلا فاصله باشد، نه اسبق از وضع و اقراء و اشهُر، بنابر اظهر</w:t>
      </w:r>
      <w:r>
        <w:rPr>
          <w:rFonts w:eastAsia="IRNazanin" w:cs="IRNazanin"/>
          <w:color w:val="111111"/>
          <w:sz w:val="28"/>
          <w:szCs w:val="28"/>
          <w:rtl w:val="true"/>
          <w:lang w:bidi="fa-IR"/>
        </w:rPr>
        <w:t>.</w:t>
      </w:r>
    </w:p>
    <w:p>
      <w:pPr>
        <w:pStyle w:val="Heading5"/>
        <w:numPr>
          <w:ilvl w:val="4"/>
          <w:numId w:val="1"/>
        </w:numPr>
        <w:rPr/>
      </w:pPr>
      <w:bookmarkStart w:id="1159" w:name="__RefHeading___Toc3807977_1067777946"/>
      <w:bookmarkStart w:id="1160" w:name="_Toc501"/>
      <w:bookmarkEnd w:id="1159"/>
      <w:r>
        <w:rPr>
          <w:rtl w:val="true"/>
        </w:rPr>
        <w:t>معيار در حمل و وضع</w:t>
      </w:r>
      <w:bookmarkEnd w:id="1160"/>
    </w:p>
    <w:p>
      <w:pPr>
        <w:pStyle w:val="BookText"/>
        <w:rPr/>
      </w:pPr>
      <w:r>
        <w:rPr>
          <w:rFonts w:ascii="IRNazanin" w:hAnsi="IRNazanin" w:eastAsia="IRNazanin"/>
          <w:color w:val="111111"/>
          <w:sz w:val="28"/>
          <w:sz w:val="28"/>
          <w:szCs w:val="28"/>
          <w:rtl w:val="true"/>
          <w:lang w:bidi="fa-IR"/>
        </w:rPr>
        <w:t>و ميزان، صدق حمل و تحقق و معلوميّت آن است اگر چه به مضغة و علقه و غير تام الخلقه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معتبر در وضع، صدق عرفى است اگر چه به وضع معظم باشد، نه وضع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وضع صاحب عده و موجب الحاق شرعى باشد، مثل آنكه زوج طلاق دهنده يا فسخ كننده، نه غايب بعيدى كه ممكن نباشد تولد از او، كه در عدم انقضاى عدّه به وضع حمل، مثل زنا است و اعتداد او در اين صورت به اقراء و اشهُر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چنين اگر زوج، بالغ و حاضر بود و وضع در كمتر از شش ماه از زمان وطى بود، پس چنين وضعى، موجب انقضاى عدّه نمى شود اگر چه زن ادّعاى وطى به شبهۀ زوج قبل از عقد نمايد، زيرا عدّۀ طلاق، قابل انقضا نيست و عدۀ وطى شبهه </w:t>
      </w:r>
      <w:bookmarkStart w:id="1161" w:name="pg10265_89950"/>
    </w:p>
    <w:p>
      <w:pPr>
        <w:pStyle w:val="BookText"/>
        <w:rPr/>
      </w:pPr>
      <w:bookmarkEnd w:id="1161"/>
      <w:r>
        <w:rPr>
          <w:rFonts w:ascii="Amiri" w:hAnsi="Amiri" w:eastAsia="Amiri" w:cs="Amiri"/>
          <w:color w:val="111111"/>
          <w:sz w:val="28"/>
          <w:sz w:val="28"/>
          <w:szCs w:val="28"/>
          <w:rtl w:val="true"/>
          <w:lang w:bidi="ar-SA"/>
        </w:rPr>
        <w:t xml:space="preserve">ثابت نيست مادام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تصديق نكرده باشد؛ و صورت تصديق انقضاى عدّه مطلقاً به وضع، محل تأمل است</w:t>
      </w:r>
      <w:r>
        <w:rPr>
          <w:rFonts w:eastAsia="Amiri" w:cs="Amiri" w:ascii="Amiri" w:hAnsi="Amiri"/>
          <w:color w:val="111111"/>
          <w:sz w:val="28"/>
          <w:szCs w:val="28"/>
          <w:rtl w:val="true"/>
          <w:lang w:bidi="ar-SA"/>
        </w:rPr>
        <w:t>.</w:t>
      </w:r>
    </w:p>
    <w:p>
      <w:pPr>
        <w:pStyle w:val="Heading5"/>
        <w:numPr>
          <w:ilvl w:val="4"/>
          <w:numId w:val="1"/>
        </w:numPr>
        <w:rPr/>
      </w:pPr>
      <w:bookmarkStart w:id="1162" w:name="__RefHeading___Toc3807979_1067777946"/>
      <w:bookmarkStart w:id="1163" w:name="_Toc502"/>
      <w:bookmarkEnd w:id="1162"/>
      <w:r>
        <w:rPr>
          <w:rtl w:val="true"/>
        </w:rPr>
        <w:t>اگر بعد از طلاق ادّعاى حمل كرد</w:t>
      </w:r>
      <w:bookmarkEnd w:id="1163"/>
    </w:p>
    <w:p>
      <w:pPr>
        <w:pStyle w:val="BookText"/>
        <w:rPr/>
      </w:pPr>
      <w:r>
        <w:rPr>
          <w:rFonts w:ascii="IRNazanin" w:hAnsi="IRNazanin" w:eastAsia="IRNazanin"/>
          <w:color w:val="111111"/>
          <w:sz w:val="28"/>
          <w:sz w:val="28"/>
          <w:szCs w:val="28"/>
          <w:rtl w:val="true"/>
          <w:lang w:bidi="fa-IR"/>
        </w:rPr>
        <w:t>اگر بعد از طلاق ادّعاى حمل كرد، تا نه ماه صبر مى نمايد، و احتياط تا آخر محتمل زمان حمل ترك نشود، پس از آن اگر حمل نبود، كشف مى شود انقضاى عدّه به اقراء يا اشهر سابقه</w:t>
      </w:r>
      <w:r>
        <w:rPr>
          <w:rFonts w:eastAsia="IRNazanin" w:cs="IRNazanin"/>
          <w:color w:val="111111"/>
          <w:sz w:val="28"/>
          <w:szCs w:val="28"/>
          <w:rtl w:val="true"/>
          <w:lang w:bidi="fa-IR"/>
        </w:rPr>
        <w:t>.</w:t>
      </w:r>
    </w:p>
    <w:p>
      <w:pPr>
        <w:pStyle w:val="Heading5"/>
        <w:numPr>
          <w:ilvl w:val="4"/>
          <w:numId w:val="1"/>
        </w:numPr>
        <w:rPr/>
      </w:pPr>
      <w:bookmarkStart w:id="1164" w:name="__RefHeading___Toc3807981_1067777946"/>
      <w:bookmarkStart w:id="1165" w:name="_Toc503"/>
      <w:bookmarkEnd w:id="1164"/>
      <w:r>
        <w:rPr>
          <w:rtl w:val="true"/>
        </w:rPr>
        <w:t>تعدّد حمل</w:t>
      </w:r>
      <w:bookmarkEnd w:id="1165"/>
    </w:p>
    <w:p>
      <w:pPr>
        <w:pStyle w:val="BookText"/>
        <w:rPr/>
      </w:pPr>
      <w:r>
        <w:rPr>
          <w:rFonts w:ascii="IRNazanin" w:hAnsi="IRNazanin" w:eastAsia="IRNazanin"/>
          <w:color w:val="111111"/>
          <w:sz w:val="28"/>
          <w:sz w:val="28"/>
          <w:szCs w:val="28"/>
          <w:rtl w:val="true"/>
          <w:lang w:bidi="fa-IR"/>
        </w:rPr>
        <w:t>اگر حمل بيش از يكى است، انقضاى عدّه به وضع مجموع است بنابر اظهر؛ پس جواز رجوع و وجوب نفقه در بين وضع دو توأم ثابت است</w:t>
      </w:r>
      <w:r>
        <w:rPr>
          <w:rFonts w:eastAsia="IRNazanin" w:cs="IRNazanin"/>
          <w:color w:val="111111"/>
          <w:sz w:val="28"/>
          <w:szCs w:val="28"/>
          <w:rtl w:val="true"/>
          <w:lang w:bidi="fa-IR"/>
        </w:rPr>
        <w:t>.</w:t>
      </w:r>
    </w:p>
    <w:p>
      <w:pPr>
        <w:pStyle w:val="Heading5"/>
        <w:numPr>
          <w:ilvl w:val="4"/>
          <w:numId w:val="1"/>
        </w:numPr>
        <w:rPr/>
      </w:pPr>
      <w:bookmarkStart w:id="1166" w:name="__RefHeading___Toc3807983_1067777946"/>
      <w:bookmarkStart w:id="1167" w:name="_Toc504"/>
      <w:bookmarkEnd w:id="1166"/>
      <w:r>
        <w:rPr>
          <w:rtl w:val="true"/>
        </w:rPr>
        <w:t>حكم عدّۀ در صورت وفات زوج در اثناى عدّۀ طلاق</w:t>
      </w:r>
      <w:bookmarkEnd w:id="1167"/>
    </w:p>
    <w:p>
      <w:pPr>
        <w:pStyle w:val="BookText"/>
        <w:rPr/>
      </w:pPr>
      <w:r>
        <w:rPr>
          <w:rFonts w:ascii="IRNazanin" w:hAnsi="IRNazanin" w:eastAsia="IRNazanin"/>
          <w:color w:val="111111"/>
          <w:sz w:val="28"/>
          <w:sz w:val="28"/>
          <w:szCs w:val="28"/>
          <w:rtl w:val="true"/>
          <w:lang w:bidi="fa-IR"/>
        </w:rPr>
        <w:t>اگر زن غير حامل را به طلاق رجعى در آورد، پس از آن در اثناى عده وفات نمود، زن عدۀ وفات را استيناف مى نمايد؛ و اگر عدۀ طلاق، زايد بر عدۀ وفات بود، مثل مسترابه، اكتفاى به عدۀ وفات خالى از وجه نيست، و احوط اتمام عدۀ مسترابه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حمل محقّق شد، عده ابعد الاجلين از وضع و عدۀ وفات است؛ و در طلاق بائن، اقتصار بر عدۀ طلاق مى نمايد اگر چه ارث براى زن ثابت است، مثل طلاق در مرض موت</w:t>
      </w:r>
      <w:r>
        <w:rPr>
          <w:rFonts w:eastAsia="IRNazanin" w:cs="IRNazanin"/>
          <w:color w:val="111111"/>
          <w:sz w:val="28"/>
          <w:szCs w:val="28"/>
          <w:rtl w:val="true"/>
          <w:lang w:bidi="fa-IR"/>
        </w:rPr>
        <w:t>.</w:t>
      </w:r>
    </w:p>
    <w:p>
      <w:pPr>
        <w:pStyle w:val="Heading5"/>
        <w:numPr>
          <w:ilvl w:val="4"/>
          <w:numId w:val="1"/>
        </w:numPr>
        <w:rPr/>
      </w:pPr>
      <w:bookmarkStart w:id="1168" w:name="__RefHeading___Toc3807985_1067777946"/>
      <w:bookmarkStart w:id="1169" w:name="_Toc505"/>
      <w:bookmarkEnd w:id="1168"/>
      <w:r>
        <w:rPr>
          <w:rtl w:val="true"/>
        </w:rPr>
        <w:t>عدم عدّۀ حمل در حمل از زنا</w:t>
      </w:r>
      <w:bookmarkEnd w:id="116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حمل از زنا بود، تاثيرى در عده ندارد و عدۀ زن به اقراء يا اشهر است در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صاحب شوهر اگر از زنا حامل شد، هيچ عده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جايز است ازدواج زانى با زانيه اگر چه حمل ظاهر نيست و محتمل است، يا آنكه احتمال حمل از غير زانى كه ارادۀ ازدواج دارد باشد</w:t>
      </w:r>
      <w:r>
        <w:rPr>
          <w:rFonts w:eastAsia="IRNazanin" w:cs="IRNazanin"/>
          <w:color w:val="111111"/>
          <w:sz w:val="28"/>
          <w:szCs w:val="28"/>
          <w:rtl w:val="true"/>
          <w:lang w:bidi="fa-IR"/>
        </w:rPr>
        <w:t xml:space="preserve">. </w:t>
      </w:r>
      <w:bookmarkStart w:id="1170" w:name="pg10265_89951"/>
    </w:p>
    <w:p>
      <w:pPr>
        <w:pStyle w:val="Heading5"/>
        <w:numPr>
          <w:ilvl w:val="4"/>
          <w:numId w:val="1"/>
        </w:numPr>
        <w:rPr/>
      </w:pPr>
      <w:bookmarkStart w:id="1171" w:name="__RefHeading___Toc3807987_1067777946"/>
      <w:bookmarkStart w:id="1172" w:name="_Toc506"/>
      <w:bookmarkEnd w:id="1170"/>
      <w:bookmarkEnd w:id="1171"/>
      <w:r>
        <w:rPr>
          <w:rtl w:val="true"/>
        </w:rPr>
        <w:t>حكم عدّه در صورت اجتماع وطى به شبهه و طلاق</w:t>
      </w:r>
      <w:bookmarkEnd w:id="1172"/>
    </w:p>
    <w:p>
      <w:pPr>
        <w:pStyle w:val="BookText"/>
        <w:rPr/>
      </w:pPr>
      <w:r>
        <w:rPr>
          <w:rFonts w:ascii="IRNazanin" w:hAnsi="IRNazanin" w:eastAsia="IRNazanin"/>
          <w:color w:val="111111"/>
          <w:sz w:val="28"/>
          <w:sz w:val="28"/>
          <w:szCs w:val="28"/>
          <w:rtl w:val="true"/>
          <w:lang w:bidi="fa-IR"/>
        </w:rPr>
        <w:t>اگر به وطى شبهه حامل شد به نحوى كه ولد به واطى ملحق شد نه به زوج، به واسطۀ علم به عدم تولد از نطفۀ او، پس از آن طلاق داد زوج، او را، عده مى گيرد از واطى به وضع حمل و پس از آن استيناف مى نمايد عدۀ طلاق را، حتى آنكه اگر بعد از وضع لحظه اى خون نديد، حساب مى شود يك طهر از عدۀ طلاق، و اگر متصل به وضع، خون ديد، عده بعد از نفاس ابتدا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طلاق مقدم بر وطى بود، تمام عدۀ وطى، مقدم است بر مجموع عدۀ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عدم تداخل دو عده است كه به دو سبب متفق يا مختلف لازم باشد، در صورت اختلاف جنس عده و در صورت تعدد صاحب عده؛ و اما با اتحاد صاحب عده و اتفاق جنس عده، پس اظهر تداخل است در ممكن از 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ابتداى عدۀ وطى شبهه، آخر وطى است، نه زمان انكشاف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وطى به شبهه متأخرِ از طلاق بود و حمل ظاهر نبود، اتمام مى نمايد عدۀ طلاق را و استيناف مى نمايد عده وطى را؛ و اگر هر دو مقترن بودند، مخيّر است در تقديم عدۀ هر كدام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طلاق رجعى زوج مى تواند رجوع نمايد و به رجوع، عدّۀ طلاق منقضى مى شود و ابتدا به عدۀ وطى مى شود؛ و در اثناى عدۀ وطى، زوج نمى تواند در عدۀ غير، وطى نمايد، و محتمل است جواز استمتاعات ديگر با زوجۀ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طلاق بائن مى تواند در اثناى عده از خود عقد نمايد و عده منفسخ مى شود و شروع به عدۀ شبهه مى 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رجوع بعد از طلاق رجعى در عدۀ وطىِ شبهه از غير، خالى از اشكال نيست، و احوط رعايت وقوع رجوع در عده مطلّق است؛ و اگر طلاق بائن بود، عقد در عدۀ وطى شبهه از غير، جايز نيست</w:t>
      </w:r>
      <w:r>
        <w:rPr>
          <w:rFonts w:eastAsia="IRNazanin" w:cs="IRNazanin"/>
          <w:color w:val="111111"/>
          <w:sz w:val="28"/>
          <w:szCs w:val="28"/>
          <w:rtl w:val="true"/>
          <w:lang w:bidi="fa-IR"/>
        </w:rPr>
        <w:t xml:space="preserve">. </w:t>
      </w:r>
      <w:bookmarkStart w:id="1173" w:name="pg10265_89952"/>
    </w:p>
    <w:p>
      <w:pPr>
        <w:pStyle w:val="Heading5"/>
        <w:numPr>
          <w:ilvl w:val="4"/>
          <w:numId w:val="1"/>
        </w:numPr>
        <w:rPr/>
      </w:pPr>
      <w:bookmarkStart w:id="1174" w:name="__RefHeading___Toc3807989_1067777946"/>
      <w:bookmarkStart w:id="1175" w:name="_Toc507"/>
      <w:bookmarkEnd w:id="1173"/>
      <w:bookmarkEnd w:id="1174"/>
      <w:r>
        <w:rPr>
          <w:rtl w:val="true"/>
        </w:rPr>
        <w:t>اختلاف بين زوجين در تاريخ طلاق يا وضع</w:t>
      </w:r>
      <w:bookmarkEnd w:id="1175"/>
    </w:p>
    <w:p>
      <w:pPr>
        <w:pStyle w:val="BookText"/>
        <w:rPr/>
      </w:pPr>
      <w:r>
        <w:rPr>
          <w:rFonts w:ascii="IRNazanin" w:hAnsi="IRNazanin" w:eastAsia="IRNazanin"/>
          <w:color w:val="111111"/>
          <w:sz w:val="28"/>
          <w:sz w:val="28"/>
          <w:szCs w:val="28"/>
          <w:rtl w:val="true"/>
          <w:lang w:bidi="fa-IR"/>
        </w:rPr>
        <w:t xml:space="preserve">اگر اختلاف بين زوجين در تاريخ طلاق يا وضع شد با معلوميّت تاريخ ديگرى، يكى مدّعى تقدم يا تأخر مجهول التاريخ بود، پس در تقديم قول زوج در زمان طلاق و زوجه در تاريخ وضع، يا تقديم قول مدّعى تأخر مجهول التاريخ، تأمل است؛ و بر تقدير عدم صحّت يكى از اين دو طريق، مقتضاى استصحاب حكمى، بقاى زوجيّت است در زمان شك؛ و اگر جواب مدّعىٰ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پس با بينۀ مدّعى، اثبات دعواى او مى شود؛ و با عدم آن، عمل به اصل مختار 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اشاره به آن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مثل صورتى كه هر دو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يكى را مى دانيم و زمان ديگرى را نمى دانيم</w:t>
      </w:r>
      <w:r>
        <w:rPr>
          <w:rFonts w:eastAsia="IRNazanin" w:cs="IRNazanin"/>
          <w:color w:val="111111"/>
          <w:sz w:val="28"/>
          <w:szCs w:val="28"/>
          <w:rtl w:val="true"/>
          <w:lang w:bidi="fa-IR"/>
        </w:rPr>
        <w:t>».</w:t>
      </w:r>
    </w:p>
    <w:p>
      <w:pPr>
        <w:pStyle w:val="Heading5"/>
        <w:numPr>
          <w:ilvl w:val="4"/>
          <w:numId w:val="1"/>
        </w:numPr>
        <w:rPr/>
      </w:pPr>
      <w:bookmarkStart w:id="1176" w:name="__RefHeading___Toc3807991_1067777946"/>
      <w:bookmarkStart w:id="1177" w:name="_Toc508"/>
      <w:bookmarkEnd w:id="1176"/>
      <w:r>
        <w:rPr>
          <w:rtl w:val="true"/>
        </w:rPr>
        <w:t>تولد فرزند بعد از اقرار به انقضاى عدّۀ طلاق</w:t>
      </w:r>
      <w:bookmarkEnd w:id="1177"/>
    </w:p>
    <w:p>
      <w:pPr>
        <w:pStyle w:val="BookText"/>
        <w:rPr/>
      </w:pPr>
      <w:r>
        <w:rPr>
          <w:rFonts w:ascii="IRNazanin" w:hAnsi="IRNazanin" w:eastAsia="IRNazanin"/>
          <w:color w:val="111111"/>
          <w:sz w:val="28"/>
          <w:sz w:val="28"/>
          <w:szCs w:val="28"/>
          <w:rtl w:val="true"/>
          <w:lang w:bidi="fa-IR"/>
        </w:rPr>
        <w:t>اگر زن اقرار كرد به انقضاى عدّه طلاق، پس از آن ولدى از او متولد شد بين شش ماه و نه ماه از آخر وطى معلوم، يا آخر عدۀ رجعيه، يا از طلاق در بائنه، با مقدار لازم براى طلاق قبل از طلاق متأخر از وطى، ولد ملحق به فراش زوج مى شود با عدم تزويج ديگر، و دور نيست زن به لوازم اقرار بر عليه شخص خود ملزم باشد، چنانكه زوج قبل از ولادت، حق رجوع داشته واقعاً در عدۀ طلاق رجعى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ولادت، از اقصاى حمل، زايد بود، لاحق نمى شود به زوج مگر با اثبات دعواى فراش جديد يا وطى به شبهه؛ و در صورت تصادق، لحوق ثابت است وگرنه قول زوج در نفى، مقدم است با يمين او؛ و با نكول او، زن حلف مى نمايد و اثبات نسب مى نمايد مگر زوج با لعان نفى نمايد</w:t>
      </w:r>
      <w:r>
        <w:rPr>
          <w:rFonts w:eastAsia="IRNazanin" w:cs="IRNazanin"/>
          <w:color w:val="111111"/>
          <w:sz w:val="28"/>
          <w:szCs w:val="28"/>
          <w:rtl w:val="true"/>
          <w:lang w:bidi="fa-IR"/>
        </w:rPr>
        <w:t>.</w:t>
      </w:r>
    </w:p>
    <w:p>
      <w:pPr>
        <w:pStyle w:val="Heading5"/>
        <w:numPr>
          <w:ilvl w:val="4"/>
          <w:numId w:val="1"/>
        </w:numPr>
        <w:rPr/>
      </w:pPr>
      <w:bookmarkStart w:id="1178" w:name="__RefHeading___Toc3807993_1067777946"/>
      <w:bookmarkStart w:id="1179" w:name="_Toc509"/>
      <w:bookmarkEnd w:id="1178"/>
      <w:r>
        <w:rPr>
          <w:rtl w:val="true"/>
        </w:rPr>
        <w:t>ادّعاى زن بعد از موت زوج به رجوع در عدّه يا ازدواج جديد</w:t>
      </w:r>
      <w:bookmarkEnd w:id="117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ادّعاى زن بعد از موت زوج، بر وارث اين بود كه رجوع كرده در عدۀ رجعيه، يا ازدواج جديد در غير آن كرده، پس با وحدت وارث، مثل ادّعاى بر زوج در حال </w:t>
      </w:r>
      <w:bookmarkStart w:id="1180" w:name="pg10265_89953"/>
    </w:p>
    <w:p>
      <w:pPr>
        <w:pStyle w:val="BookText"/>
        <w:rPr/>
      </w:pPr>
      <w:bookmarkEnd w:id="1180"/>
      <w:r>
        <w:rPr>
          <w:rFonts w:ascii="Amiri" w:hAnsi="Amiri" w:eastAsia="Amiri" w:cs="Amiri"/>
          <w:color w:val="111111"/>
          <w:sz w:val="28"/>
          <w:sz w:val="28"/>
          <w:szCs w:val="28"/>
          <w:rtl w:val="true"/>
          <w:lang w:bidi="ar-SA"/>
        </w:rPr>
        <w:t>حيات است، لكن يمين وارث به اعم از نفى علم است؛ و لعان منتفى است با وارث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متعدد است، پس با تصديق همه، يا تكذيب همه و حلف همه، يا نكول همه و حلف زن، مطلب واضح است؛ و اگر مختلف شدند، در حق مصدق ثابت است حتى نسب، مگر با تعدد و عدالت كه در حق همه ثابت مى شود، و اللّٰه العالم</w:t>
      </w:r>
      <w:r>
        <w:rPr>
          <w:rFonts w:eastAsia="IRNazanin" w:cs="IRNazanin"/>
          <w:color w:val="111111"/>
          <w:sz w:val="28"/>
          <w:szCs w:val="28"/>
          <w:rtl w:val="true"/>
          <w:lang w:bidi="fa-IR"/>
        </w:rPr>
        <w:t>.</w:t>
      </w:r>
    </w:p>
    <w:p>
      <w:pPr>
        <w:pStyle w:val="Heading4"/>
        <w:numPr>
          <w:ilvl w:val="3"/>
          <w:numId w:val="1"/>
        </w:numPr>
        <w:rPr/>
      </w:pPr>
      <w:bookmarkStart w:id="1181" w:name="__RefHeading___Toc3807995_1067777946"/>
      <w:bookmarkStart w:id="1182" w:name="_Toc510"/>
      <w:bookmarkEnd w:id="1181"/>
      <w:r>
        <w:rPr/>
        <w:t>4</w:t>
      </w:r>
      <w:r>
        <w:rPr>
          <w:rtl w:val="true"/>
        </w:rPr>
        <w:t xml:space="preserve">. </w:t>
      </w:r>
      <w:r>
        <w:rPr>
          <w:rtl w:val="true"/>
        </w:rPr>
        <w:t>در عدۀ وفات</w:t>
      </w:r>
      <w:bookmarkEnd w:id="1182"/>
    </w:p>
    <w:p>
      <w:pPr>
        <w:pStyle w:val="Heading5"/>
        <w:numPr>
          <w:ilvl w:val="4"/>
          <w:numId w:val="1"/>
        </w:numPr>
        <w:rPr/>
      </w:pPr>
      <w:bookmarkStart w:id="1183" w:name="__RefHeading___Toc3807997_1067777946"/>
      <w:bookmarkStart w:id="1184" w:name="_Toc511"/>
      <w:bookmarkEnd w:id="1183"/>
      <w:r>
        <w:rPr>
          <w:rtl w:val="true"/>
        </w:rPr>
        <w:t>اشاره</w:t>
      </w:r>
      <w:bookmarkEnd w:id="1184"/>
    </w:p>
    <w:p>
      <w:pPr>
        <w:pStyle w:val="BookText"/>
        <w:rPr/>
      </w:pPr>
      <w:r>
        <w:rPr>
          <w:rFonts w:ascii="IRNazanin" w:hAnsi="IRNazanin" w:eastAsia="IRNazanin"/>
          <w:color w:val="111111"/>
          <w:sz w:val="28"/>
          <w:sz w:val="28"/>
          <w:szCs w:val="28"/>
          <w:rtl w:val="true"/>
          <w:lang w:bidi="fa-IR"/>
        </w:rPr>
        <w:t xml:space="preserve">حرّۀ منكوحۀ به عقد صحيح اگر حامل نباشد، عدۀ او از وفات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ماه و 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صغيره باشد يا كبيره، مدخول بها يا غير، زوج هم بالغ باشد يا نه، حر باشد يا عبد؛ و منقضى مى شود به غروب آفتاب از روز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ماه ملفق گذشت در نظاير آن احوط تلفيق به سى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روز مقدم بر چهار ماه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ده روز ملفق مى شود به باقى از ماه پنجم بنابر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متصل به اوّل هلال، چهار هلالى و ده روز بعد از آن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محبوس و نحو آن اگر ممكن نيست استعلام براى او، عده را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حامل بود از ميّت، عده، ابعد الاجلين از چهار ماه و ده روز و وضع حمل است، صبرِ تا متأخّر مى نمايد</w:t>
      </w:r>
      <w:r>
        <w:rPr>
          <w:rFonts w:eastAsia="IRNazanin" w:cs="IRNazanin"/>
          <w:color w:val="111111"/>
          <w:sz w:val="28"/>
          <w:szCs w:val="28"/>
          <w:rtl w:val="true"/>
          <w:lang w:bidi="fa-IR"/>
        </w:rPr>
        <w:t>.</w:t>
      </w:r>
    </w:p>
    <w:p>
      <w:pPr>
        <w:pStyle w:val="Heading5"/>
        <w:numPr>
          <w:ilvl w:val="4"/>
          <w:numId w:val="1"/>
        </w:numPr>
        <w:rPr/>
      </w:pPr>
      <w:bookmarkStart w:id="1185" w:name="__RefHeading___Toc3807999_1067777946"/>
      <w:bookmarkStart w:id="1186" w:name="_Toc512"/>
      <w:bookmarkEnd w:id="1185"/>
      <w:r>
        <w:rPr>
          <w:rtl w:val="true"/>
        </w:rPr>
        <w:t xml:space="preserve">وجوب ترك زينت </w:t>
      </w:r>
      <w:r>
        <w:rPr>
          <w:rtl w:val="true"/>
        </w:rPr>
        <w:t>«</w:t>
      </w:r>
      <w:r>
        <w:rPr>
          <w:rtl w:val="true"/>
        </w:rPr>
        <w:t>حداد</w:t>
      </w:r>
      <w:r>
        <w:rPr>
          <w:rtl w:val="true"/>
        </w:rPr>
        <w:t>»</w:t>
      </w:r>
      <w:bookmarkEnd w:id="118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 است بر زنى كه شوهر او وفات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حره باشد، چه دائميه باشد يا منقطعه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ترك زينت در بدن و ثوب،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حِداد واجب است در عده، نه شرط آن بنابر اظهر؛ پس با ترك آن اگر چه عمدى باشد، عده منقضى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حداد بر مطلقۀ رجعيه يا بائن نيست و مخصوص به وفات زوج است؛ و بر امۀ مزوّجه نيست و مخصوص به حره است، چنانكه ذكر شد</w:t>
      </w:r>
      <w:r>
        <w:rPr>
          <w:rFonts w:eastAsia="IRNazanin" w:cs="IRNazanin"/>
          <w:color w:val="111111"/>
          <w:sz w:val="28"/>
          <w:szCs w:val="28"/>
          <w:rtl w:val="true"/>
          <w:lang w:bidi="fa-IR"/>
        </w:rPr>
        <w:t xml:space="preserve">. </w:t>
      </w:r>
      <w:bookmarkStart w:id="1187" w:name="pg10265_89954"/>
    </w:p>
    <w:p>
      <w:pPr>
        <w:pStyle w:val="BookText"/>
        <w:rPr/>
      </w:pPr>
      <w:bookmarkEnd w:id="1187"/>
      <w:r>
        <w:rPr>
          <w:rFonts w:ascii="IRNazanin" w:hAnsi="IRNazanin" w:eastAsia="IRNazanin"/>
          <w:color w:val="111111"/>
          <w:sz w:val="28"/>
          <w:sz w:val="28"/>
          <w:szCs w:val="28"/>
          <w:rtl w:val="true"/>
          <w:lang w:bidi="fa-IR"/>
        </w:rPr>
        <w:t>و اگر وطى به شبهه نمود، پس از آن وفات نمود بعد از ظهور اشتباه، عدۀ زن، عدۀ طلاق است، چه حامل باشد يا غير، نه عدۀ وفات كه مخصوص به زوجه است براى زوج، و هم چنين حِداد، مخصوص به زوجه براى زوج است</w:t>
      </w:r>
      <w:r>
        <w:rPr>
          <w:rFonts w:eastAsia="IRNazanin" w:cs="IRNazanin"/>
          <w:color w:val="111111"/>
          <w:sz w:val="28"/>
          <w:szCs w:val="28"/>
          <w:rtl w:val="true"/>
          <w:lang w:bidi="fa-IR"/>
        </w:rPr>
        <w:t>.</w:t>
      </w:r>
    </w:p>
    <w:p>
      <w:pPr>
        <w:pStyle w:val="Heading5"/>
        <w:numPr>
          <w:ilvl w:val="4"/>
          <w:numId w:val="1"/>
        </w:numPr>
        <w:rPr/>
      </w:pPr>
      <w:bookmarkStart w:id="1188" w:name="__RefHeading___Toc3808001_1067777946"/>
      <w:bookmarkStart w:id="1189" w:name="_Toc513"/>
      <w:bookmarkEnd w:id="1188"/>
      <w:r>
        <w:rPr>
          <w:rtl w:val="true"/>
        </w:rPr>
        <w:t>طلاق يكى از زوجات بدون تعيين، و وفات شوهر</w:t>
      </w:r>
      <w:bookmarkEnd w:id="1189"/>
    </w:p>
    <w:p>
      <w:pPr>
        <w:pStyle w:val="BookText"/>
        <w:rPr/>
      </w:pPr>
      <w:r>
        <w:rPr>
          <w:rFonts w:ascii="IRNazanin" w:hAnsi="IRNazanin" w:eastAsia="IRNazanin"/>
          <w:color w:val="111111"/>
          <w:sz w:val="28"/>
          <w:sz w:val="28"/>
          <w:szCs w:val="28"/>
          <w:rtl w:val="true"/>
          <w:lang w:bidi="fa-IR"/>
        </w:rPr>
        <w:t>اگر طلاق بائن يا رجعى داد يكى از زوجات متعدده را و قبل از تعيين وفات كرد، پس بنابر اشتراط تعيين، عدۀ همه، عدۀ وفات است اگر چه دخول نكرده بوده است؛ و اگر تعيين معتبر نباشد، در غير صاحبۀ اقراء، همه عدۀ وفات مى گيرند بنا بر احوط، و صاحبۀ اقراء به ابعد الاجلين اعتداد مى نمايد بنابر احوط، و هم چنين حامل در آنها به ابعد الاجلين اعتداد مى نمايد بنا بر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 غير مدخول، اظهر عدم لزوم رعايت غير عدۀ وفات است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عدّۀ طلاق بنابر عدم اشتراط تعيين، از حين وقوع طلاق است؛ و عدۀ وفات از حين وفات؛ و اگر يك قرء از طلاق واقع شده باشد بعدْ موت زوج واقع شده، اتمام مى كند ابعد از دو قرء و وفات را؛ و اگر بعد از دو قرء وفات كرد، فقط عدۀ وفات وظيفۀ او است، و در ضمن تكميل مى شود عدۀ طلاق كه غير متجاوز از سه ماه است در صاحبۀ اقراء به نحو متقدّم</w:t>
      </w:r>
      <w:r>
        <w:rPr>
          <w:rFonts w:eastAsia="IRNazanin" w:cs="IRNazanin"/>
          <w:color w:val="111111"/>
          <w:sz w:val="28"/>
          <w:szCs w:val="28"/>
          <w:rtl w:val="true"/>
          <w:lang w:bidi="fa-IR"/>
        </w:rPr>
        <w:t>.</w:t>
      </w:r>
    </w:p>
    <w:p>
      <w:pPr>
        <w:pStyle w:val="Heading5"/>
        <w:numPr>
          <w:ilvl w:val="4"/>
          <w:numId w:val="1"/>
        </w:numPr>
        <w:rPr/>
      </w:pPr>
      <w:bookmarkStart w:id="1190" w:name="__RefHeading___Toc3808003_1067777946"/>
      <w:bookmarkStart w:id="1191" w:name="_Toc514"/>
      <w:bookmarkEnd w:id="1190"/>
      <w:r>
        <w:rPr>
          <w:rtl w:val="true"/>
        </w:rPr>
        <w:t>عدّۀ طلاق متعقّب به وفات در صورت تعيين مطلّقه</w:t>
      </w:r>
      <w:bookmarkEnd w:id="1191"/>
    </w:p>
    <w:p>
      <w:pPr>
        <w:pStyle w:val="BookText"/>
        <w:rPr/>
      </w:pPr>
      <w:r>
        <w:rPr>
          <w:rFonts w:ascii="IRNazanin" w:hAnsi="IRNazanin" w:eastAsia="IRNazanin"/>
          <w:color w:val="111111"/>
          <w:sz w:val="28"/>
          <w:sz w:val="28"/>
          <w:szCs w:val="28"/>
          <w:rtl w:val="true"/>
          <w:lang w:bidi="fa-IR"/>
        </w:rPr>
        <w:t>اگر تعيين كرد مطلقه را قبل از موت، عده مى گيرد از حين طلاق نه از حين وفات، مگر در طلاق رجعى بنابر آنكه انقلاب عدۀ طلاق به عدۀ وفات در رجعى است، و گذشت در محل آن بيانش؛ و كلام در فرق بين مبهم ظاهرى و مبهم قصدى، و عدم فرق، گذشت در محل آن</w:t>
      </w:r>
      <w:r>
        <w:rPr>
          <w:rFonts w:eastAsia="IRNazanin" w:cs="IRNazanin"/>
          <w:color w:val="111111"/>
          <w:sz w:val="28"/>
          <w:szCs w:val="28"/>
          <w:rtl w:val="true"/>
          <w:lang w:bidi="fa-IR"/>
        </w:rPr>
        <w:t>.</w:t>
      </w:r>
    </w:p>
    <w:p>
      <w:pPr>
        <w:pStyle w:val="Heading4"/>
        <w:numPr>
          <w:ilvl w:val="3"/>
          <w:numId w:val="1"/>
        </w:numPr>
        <w:rPr/>
      </w:pPr>
      <w:bookmarkStart w:id="1192" w:name="__RefHeading___Toc3808005_1067777946"/>
      <w:bookmarkStart w:id="1193" w:name="_Toc515"/>
      <w:bookmarkEnd w:id="1192"/>
      <w:r>
        <w:rPr/>
        <w:t>5</w:t>
      </w:r>
      <w:r>
        <w:rPr>
          <w:rtl w:val="true"/>
        </w:rPr>
        <w:t xml:space="preserve">. </w:t>
      </w:r>
      <w:r>
        <w:rPr>
          <w:rtl w:val="true"/>
        </w:rPr>
        <w:t>احكام زوجۀ شخص مفقود</w:t>
      </w:r>
      <w:bookmarkEnd w:id="1193"/>
    </w:p>
    <w:p>
      <w:pPr>
        <w:pStyle w:val="Heading5"/>
        <w:numPr>
          <w:ilvl w:val="4"/>
          <w:numId w:val="1"/>
        </w:numPr>
        <w:rPr/>
      </w:pPr>
      <w:bookmarkStart w:id="1194" w:name="__RefHeading___Toc3808007_1067777946"/>
      <w:bookmarkStart w:id="1195" w:name="_Toc516"/>
      <w:bookmarkEnd w:id="1194"/>
      <w:r>
        <w:rPr>
          <w:rtl w:val="true"/>
        </w:rPr>
        <w:t>اشاره</w:t>
      </w:r>
      <w:bookmarkEnd w:id="119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مفقود اگر حال او از حيات يا موت، معلوم بود، به وظيفۀ مناسبه عمل مى شود؛ </w:t>
      </w:r>
      <w:bookmarkStart w:id="1196" w:name="pg10265_89955"/>
    </w:p>
    <w:p>
      <w:pPr>
        <w:pStyle w:val="BookText"/>
        <w:rPr/>
      </w:pPr>
      <w:bookmarkEnd w:id="1196"/>
      <w:r>
        <w:rPr>
          <w:rFonts w:ascii="IRNazanin" w:hAnsi="IRNazanin" w:eastAsia="IRNazanin"/>
          <w:color w:val="111111"/>
          <w:sz w:val="28"/>
          <w:sz w:val="28"/>
          <w:szCs w:val="28"/>
          <w:rtl w:val="true"/>
          <w:lang w:bidi="fa-IR"/>
        </w:rPr>
        <w:t>پس در اولْ صبر مى نمايد تا وقت آمدن او يا آنكه فوتش محقّق شود، و بر حاكم است امر ولى به انفاق از مال زوج، يا آنكه خودش از آن مال انفاق مى نمايد اگر ولى نباشد يا ممتنع باشد، يا آنكه مطالبۀ نفقه از خود زوج بالواسطه مى نمايد، يا آنكه از بيت المال انفاق مى نمايد اگر متبرّعى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تقدير تحقق فوت، عدۀ وفات مى گيرد و بعد از آن نكاح مى نمايد، و زن اختيارى ندارد؛ و هم چنين اگر ولى زوج يا متبرع ديگر انفاق نمايد بر زن</w:t>
      </w:r>
      <w:r>
        <w:rPr>
          <w:rFonts w:eastAsia="IRNazanin" w:cs="IRNazanin"/>
          <w:color w:val="111111"/>
          <w:sz w:val="28"/>
          <w:szCs w:val="28"/>
          <w:rtl w:val="true"/>
          <w:lang w:bidi="fa-IR"/>
        </w:rPr>
        <w:t>.</w:t>
      </w:r>
    </w:p>
    <w:p>
      <w:pPr>
        <w:pStyle w:val="Heading5"/>
        <w:numPr>
          <w:ilvl w:val="4"/>
          <w:numId w:val="1"/>
        </w:numPr>
        <w:rPr/>
      </w:pPr>
      <w:bookmarkStart w:id="1197" w:name="__RefHeading___Toc3808009_1067777946"/>
      <w:bookmarkStart w:id="1198" w:name="_Toc517"/>
      <w:bookmarkEnd w:id="1197"/>
      <w:r>
        <w:rPr>
          <w:rtl w:val="true"/>
        </w:rPr>
        <w:t>قرار دادن چهار سال</w:t>
      </w:r>
      <w:bookmarkEnd w:id="1198"/>
    </w:p>
    <w:p>
      <w:pPr>
        <w:pStyle w:val="BookText"/>
        <w:rPr/>
      </w:pPr>
      <w:r>
        <w:rPr>
          <w:rFonts w:ascii="IRNazanin" w:hAnsi="IRNazanin" w:eastAsia="IRNazanin"/>
          <w:color w:val="111111"/>
          <w:sz w:val="28"/>
          <w:sz w:val="28"/>
          <w:szCs w:val="28"/>
          <w:rtl w:val="true"/>
          <w:lang w:bidi="fa-IR"/>
        </w:rPr>
        <w:t xml:space="preserve">و اگر هيچ كدام نبود و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حاكم شرع مراجعه مى نمايد و چهار سال مدت قرار مى دهد از حين مراجعه، و در اين مدت حاكم به توسّط ولى از مال زوج يا متبرع ديگر يا بيت المال، انفاق بر زوجه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معلوم نشد بعد از فحص حاكم در اين مدت، طلاق مى دهد او را، يعنى امر مى كند ولى را به طلاق؛ و اگر نبود يا نكرد، خود حاكم طلاق مى دهد، و پس از آن عدّۀ وفات مى گيرد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ماه و 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از آن نكاح مباح است بر زن؛ پس اگر در عدۀ شوهر آمد، حق رجوع دارد، و اگر بعد از انقضاى عدّه آمد حقى ندارد اگر چه هنوز شوهر اختيار نكرده است</w:t>
      </w:r>
      <w:r>
        <w:rPr>
          <w:rFonts w:eastAsia="IRNazanin" w:cs="IRNazanin"/>
          <w:color w:val="111111"/>
          <w:sz w:val="28"/>
          <w:szCs w:val="28"/>
          <w:rtl w:val="true"/>
          <w:lang w:bidi="fa-IR"/>
        </w:rPr>
        <w:t>.</w:t>
      </w:r>
    </w:p>
    <w:p>
      <w:pPr>
        <w:pStyle w:val="Heading5"/>
        <w:numPr>
          <w:ilvl w:val="4"/>
          <w:numId w:val="1"/>
        </w:numPr>
        <w:rPr/>
      </w:pPr>
      <w:bookmarkStart w:id="1199" w:name="__RefHeading___Toc3808011_1067777946"/>
      <w:bookmarkStart w:id="1200" w:name="_Toc518"/>
      <w:bookmarkEnd w:id="1199"/>
      <w:r>
        <w:rPr>
          <w:rtl w:val="true"/>
        </w:rPr>
        <w:t>عدم اختصاص حكم مفقود به مسافر</w:t>
      </w:r>
      <w:bookmarkEnd w:id="1200"/>
    </w:p>
    <w:p>
      <w:pPr>
        <w:pStyle w:val="BookText"/>
        <w:rPr/>
      </w:pPr>
      <w:r>
        <w:rPr>
          <w:rFonts w:ascii="IRNazanin" w:hAnsi="IRNazanin" w:eastAsia="IRNazanin"/>
          <w:color w:val="111111"/>
          <w:sz w:val="28"/>
          <w:sz w:val="28"/>
          <w:szCs w:val="28"/>
          <w:rtl w:val="true"/>
          <w:lang w:bidi="fa-IR"/>
        </w:rPr>
        <w:t>حكم مفقود اختصاص به مسافر غايب ندارد، بلكه در مطلق مجهول الحال جارى است؛ و دور نيست كفايت يأسِ از علم به تفحص از تحديد به چهار سال مطلقاً؛ يعنى زايد لازم نيست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ناحيۀ مخصوصه مفقود شده به نحوى كه بدانند از آنجا خارج نشده، فحص در همان ناحيه كافى است و بعد از يأس، صبر تا چهار سال لازم نيست بنابر اقرب</w:t>
      </w:r>
      <w:r>
        <w:rPr>
          <w:rFonts w:eastAsia="IRNazanin" w:cs="IRNazanin"/>
          <w:color w:val="111111"/>
          <w:sz w:val="28"/>
          <w:szCs w:val="28"/>
          <w:rtl w:val="true"/>
          <w:lang w:bidi="fa-IR"/>
        </w:rPr>
        <w:t xml:space="preserve">. </w:t>
      </w:r>
      <w:bookmarkStart w:id="1201" w:name="pg10265_89956"/>
    </w:p>
    <w:p>
      <w:pPr>
        <w:pStyle w:val="Heading5"/>
        <w:numPr>
          <w:ilvl w:val="4"/>
          <w:numId w:val="1"/>
        </w:numPr>
        <w:rPr/>
      </w:pPr>
      <w:bookmarkStart w:id="1202" w:name="__RefHeading___Toc3808013_1067777946"/>
      <w:bookmarkStart w:id="1203" w:name="_Toc519"/>
      <w:bookmarkEnd w:id="1201"/>
      <w:bookmarkEnd w:id="1202"/>
      <w:r>
        <w:rPr>
          <w:rtl w:val="true"/>
        </w:rPr>
        <w:t>احكام مذكور مربوط به زوجۀ دائميّه است نه متمتع بها و نه ارث</w:t>
      </w:r>
      <w:bookmarkEnd w:id="1203"/>
    </w:p>
    <w:p>
      <w:pPr>
        <w:pStyle w:val="BookText"/>
        <w:rPr/>
      </w:pPr>
      <w:r>
        <w:rPr>
          <w:rFonts w:ascii="IRNazanin" w:hAnsi="IRNazanin" w:eastAsia="IRNazanin"/>
          <w:color w:val="111111"/>
          <w:sz w:val="28"/>
          <w:sz w:val="28"/>
          <w:szCs w:val="28"/>
          <w:rtl w:val="true"/>
          <w:lang w:bidi="fa-IR"/>
        </w:rPr>
        <w:t>و حكم مخصوص به زوجه است؛ پس در ارث و عتق امّ ولد، بر طبق قواعد تا زمان علم يا عمر طبيعى صبر مى نمايند؛ و هم چنين مخصوص به زوجۀ دائميّه است كه طلاق و انفاق دارد و در متمتع بها جارى نيست؛ و اختصاص به حر و حره ندارد</w:t>
      </w:r>
      <w:r>
        <w:rPr>
          <w:rFonts w:eastAsia="IRNazanin" w:cs="IRNazanin"/>
          <w:color w:val="111111"/>
          <w:sz w:val="28"/>
          <w:szCs w:val="28"/>
          <w:rtl w:val="true"/>
          <w:lang w:bidi="fa-IR"/>
        </w:rPr>
        <w:t>.</w:t>
      </w:r>
    </w:p>
    <w:p>
      <w:pPr>
        <w:pStyle w:val="Heading5"/>
        <w:numPr>
          <w:ilvl w:val="4"/>
          <w:numId w:val="1"/>
        </w:numPr>
        <w:rPr/>
      </w:pPr>
      <w:bookmarkStart w:id="1204" w:name="__RefHeading___Toc3808015_1067777946"/>
      <w:bookmarkStart w:id="1205" w:name="_Toc520"/>
      <w:bookmarkEnd w:id="1204"/>
      <w:r>
        <w:rPr>
          <w:rtl w:val="true"/>
        </w:rPr>
        <w:t>حكم نفقۀ مأخوذه در فرض انكشاف موت</w:t>
      </w:r>
      <w:bookmarkEnd w:id="1205"/>
    </w:p>
    <w:p>
      <w:pPr>
        <w:pStyle w:val="BookText"/>
        <w:rPr/>
      </w:pPr>
      <w:r>
        <w:rPr>
          <w:rFonts w:ascii="IRNazanin" w:hAnsi="IRNazanin" w:eastAsia="IRNazanin"/>
          <w:color w:val="111111"/>
          <w:sz w:val="28"/>
          <w:sz w:val="28"/>
          <w:szCs w:val="28"/>
          <w:rtl w:val="true"/>
          <w:lang w:bidi="fa-IR"/>
        </w:rPr>
        <w:t>و بعد از انفاق در مدت، اگر ظاهر شد تقدم موت، اظهر ضمان زن است آنچه را كه در زمان عدم استحقاق به عنوان نفقه گرفته و صرف كرده است</w:t>
      </w:r>
      <w:r>
        <w:rPr>
          <w:rFonts w:eastAsia="IRNazanin" w:cs="IRNazanin"/>
          <w:color w:val="111111"/>
          <w:sz w:val="28"/>
          <w:szCs w:val="28"/>
          <w:rtl w:val="true"/>
          <w:lang w:bidi="fa-IR"/>
        </w:rPr>
        <w:t>.</w:t>
      </w:r>
    </w:p>
    <w:p>
      <w:pPr>
        <w:pStyle w:val="Heading5"/>
        <w:numPr>
          <w:ilvl w:val="4"/>
          <w:numId w:val="1"/>
        </w:numPr>
        <w:rPr/>
      </w:pPr>
      <w:bookmarkStart w:id="1206" w:name="__RefHeading___Toc3808017_1067777946"/>
      <w:bookmarkStart w:id="1207" w:name="_Toc521"/>
      <w:bookmarkEnd w:id="1206"/>
      <w:r>
        <w:rPr>
          <w:rtl w:val="true"/>
        </w:rPr>
        <w:t>وجه جمع بين طلاق و عدّۀ وفات</w:t>
      </w:r>
      <w:bookmarkEnd w:id="1207"/>
    </w:p>
    <w:p>
      <w:pPr>
        <w:pStyle w:val="BookText"/>
        <w:rPr/>
      </w:pPr>
      <w:r>
        <w:rPr>
          <w:rFonts w:ascii="Amiri" w:hAnsi="Amiri" w:eastAsia="Amiri" w:cs="Amiri"/>
          <w:color w:val="111111"/>
          <w:sz w:val="28"/>
          <w:sz w:val="28"/>
          <w:szCs w:val="28"/>
          <w:rtl w:val="true"/>
          <w:lang w:bidi="ar-SA"/>
        </w:rPr>
        <w:t>و در جمع بين طلاق و عدۀ وفات، رعايت احتمال موت و حيات شده است</w:t>
      </w:r>
      <w:r>
        <w:rPr>
          <w:rFonts w:eastAsia="Amiri" w:cs="Amiri" w:ascii="Amiri" w:hAnsi="Amiri"/>
          <w:color w:val="111111"/>
          <w:sz w:val="28"/>
          <w:szCs w:val="28"/>
          <w:rtl w:val="true"/>
          <w:lang w:bidi="ar-SA"/>
        </w:rPr>
        <w:t>.</w:t>
      </w:r>
    </w:p>
    <w:p>
      <w:pPr>
        <w:pStyle w:val="Heading5"/>
        <w:numPr>
          <w:ilvl w:val="4"/>
          <w:numId w:val="1"/>
        </w:numPr>
        <w:rPr/>
      </w:pPr>
      <w:bookmarkStart w:id="1208" w:name="__RefHeading___Toc3808019_1067777946"/>
      <w:bookmarkStart w:id="1209" w:name="_Toc522"/>
      <w:bookmarkEnd w:id="1208"/>
      <w:r>
        <w:rPr>
          <w:rtl w:val="true"/>
        </w:rPr>
        <w:t>انكشاف وقت وفات زوج</w:t>
      </w:r>
      <w:bookmarkEnd w:id="1209"/>
    </w:p>
    <w:p>
      <w:pPr>
        <w:pStyle w:val="BookText"/>
        <w:rPr/>
      </w:pPr>
      <w:r>
        <w:rPr>
          <w:rFonts w:ascii="IRNazanin" w:hAnsi="IRNazanin" w:eastAsia="IRNazanin"/>
          <w:color w:val="111111"/>
          <w:sz w:val="28"/>
          <w:sz w:val="28"/>
          <w:szCs w:val="28"/>
          <w:rtl w:val="true"/>
          <w:lang w:bidi="fa-IR"/>
        </w:rPr>
        <w:t>اگر بعد از عده نكاح كرد و بعد معلوم شد كه زوج وفات كرده است قبل از عده يا در اثنا يا بعد از عده، نكاح دوّم صحيح است و عدۀ وفات لازم نيست؛ و هم چنين اگر بعد از عده و قبل از تزويج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اثناى عده معلوم شد كه در اثنا وفات كرده است، استيناف عدۀ وفات خالى از وجه نيست؛ چنانچه اگر قبل از طلاق معلوم شد موت، احتياج به طلاق ندارد و به عدۀ وفات اكتفا مى شود</w:t>
      </w:r>
      <w:r>
        <w:rPr>
          <w:rFonts w:eastAsia="IRNazanin" w:cs="IRNazanin"/>
          <w:color w:val="111111"/>
          <w:sz w:val="28"/>
          <w:szCs w:val="28"/>
          <w:rtl w:val="true"/>
          <w:lang w:bidi="fa-IR"/>
        </w:rPr>
        <w:t>.</w:t>
      </w:r>
    </w:p>
    <w:p>
      <w:pPr>
        <w:pStyle w:val="Heading5"/>
        <w:numPr>
          <w:ilvl w:val="4"/>
          <w:numId w:val="1"/>
        </w:numPr>
        <w:rPr/>
      </w:pPr>
      <w:bookmarkStart w:id="1210" w:name="__RefHeading___Toc3808021_1067777946"/>
      <w:bookmarkStart w:id="1211" w:name="_Toc523"/>
      <w:bookmarkEnd w:id="1210"/>
      <w:r>
        <w:rPr>
          <w:rtl w:val="true"/>
        </w:rPr>
        <w:t>حكم نفقه در اثناى عدّه و هم چنين حكم طلاق و ظهار و ايلاء زوج</w:t>
      </w:r>
      <w:bookmarkEnd w:id="1211"/>
    </w:p>
    <w:p>
      <w:pPr>
        <w:pStyle w:val="BookText"/>
        <w:rPr/>
      </w:pPr>
      <w:r>
        <w:rPr>
          <w:rFonts w:ascii="Amiri" w:hAnsi="Amiri" w:eastAsia="Amiri" w:cs="Amiri"/>
          <w:color w:val="111111"/>
          <w:sz w:val="28"/>
          <w:sz w:val="28"/>
          <w:szCs w:val="28"/>
          <w:rtl w:val="true"/>
          <w:lang w:bidi="ar-SA"/>
        </w:rPr>
        <w:t>احوط محكوميّت اين طلاق است به حكم طلاق رجعى در وجوب نفقه بر غايب و حاضر قبل از انقضاى آن و قبل از رجوع، بلكه خالى از وجه نيست</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طلاق و ظهار و ايلاء زوج اگر مصادف با اثناى عده بود و بنا بر صحّت اينها در عدۀ طلاق رجعى، صحيح واقع مى شود؛ به خلاف مصادف با انقضاى اين عده، لكن تماميّت مبنا خالى از تأمل نيست</w:t>
      </w:r>
      <w:r>
        <w:rPr>
          <w:rFonts w:eastAsia="IRNazanin" w:cs="IRNazanin"/>
          <w:color w:val="111111"/>
          <w:sz w:val="28"/>
          <w:szCs w:val="28"/>
          <w:rtl w:val="true"/>
          <w:lang w:bidi="fa-IR"/>
        </w:rPr>
        <w:t xml:space="preserve">. </w:t>
      </w:r>
      <w:bookmarkStart w:id="1212" w:name="pg10265_89957"/>
    </w:p>
    <w:p>
      <w:pPr>
        <w:pStyle w:val="BookText"/>
        <w:rPr/>
      </w:pPr>
      <w:bookmarkEnd w:id="1212"/>
      <w:r>
        <w:rPr>
          <w:rFonts w:ascii="IRNazanin" w:hAnsi="IRNazanin" w:eastAsia="IRNazanin"/>
          <w:color w:val="111111"/>
          <w:sz w:val="28"/>
          <w:sz w:val="28"/>
          <w:szCs w:val="28"/>
          <w:rtl w:val="true"/>
          <w:lang w:bidi="fa-IR"/>
        </w:rPr>
        <w:t>اگر بعد از تزويج در فرض متقدّم، ولدى متولد شد بعد از گذشتن شش ماه، ملحق به شوهر فعلى مى شود و ادّعاى شوهر سابق در بارۀ او مسموع نيست</w:t>
      </w:r>
      <w:r>
        <w:rPr>
          <w:rFonts w:eastAsia="IRNazanin" w:cs="IRNazanin"/>
          <w:color w:val="111111"/>
          <w:sz w:val="28"/>
          <w:szCs w:val="28"/>
          <w:rtl w:val="true"/>
          <w:lang w:bidi="fa-IR"/>
        </w:rPr>
        <w:t>.</w:t>
      </w:r>
    </w:p>
    <w:p>
      <w:pPr>
        <w:pStyle w:val="Heading5"/>
        <w:numPr>
          <w:ilvl w:val="4"/>
          <w:numId w:val="1"/>
        </w:numPr>
        <w:rPr/>
      </w:pPr>
      <w:bookmarkStart w:id="1213" w:name="__RefHeading___Toc3808023_1067777946"/>
      <w:bookmarkStart w:id="1214" w:name="_Toc524"/>
      <w:bookmarkEnd w:id="1213"/>
      <w:r>
        <w:rPr>
          <w:rtl w:val="true"/>
        </w:rPr>
        <w:t>حكم توارث در اثناى عدّه و بعد آن</w:t>
      </w:r>
      <w:bookmarkEnd w:id="1214"/>
    </w:p>
    <w:p>
      <w:pPr>
        <w:pStyle w:val="BookText"/>
        <w:rPr/>
      </w:pPr>
      <w:r>
        <w:rPr>
          <w:rFonts w:ascii="IRNazanin" w:hAnsi="IRNazanin" w:eastAsia="IRNazanin"/>
          <w:color w:val="111111"/>
          <w:sz w:val="28"/>
          <w:sz w:val="28"/>
          <w:szCs w:val="28"/>
          <w:rtl w:val="true"/>
          <w:lang w:bidi="fa-IR"/>
        </w:rPr>
        <w:t>توريث در موت بعد از عده، از طرفين منتفى است، به خلاف موت در اثناى عده كه رجعيه است بر حسب آنچه ذكر شد اگر چه به حساب عدۀ وفات است</w:t>
      </w:r>
      <w:r>
        <w:rPr>
          <w:rFonts w:eastAsia="IRNazanin" w:cs="IRNazanin"/>
          <w:color w:val="111111"/>
          <w:sz w:val="28"/>
          <w:szCs w:val="28"/>
          <w:rtl w:val="true"/>
          <w:lang w:bidi="fa-IR"/>
        </w:rPr>
        <w:t>.</w:t>
      </w:r>
    </w:p>
    <w:p>
      <w:pPr>
        <w:pStyle w:val="Heading5"/>
        <w:numPr>
          <w:ilvl w:val="4"/>
          <w:numId w:val="1"/>
        </w:numPr>
        <w:rPr/>
      </w:pPr>
      <w:bookmarkStart w:id="1215" w:name="__RefHeading___Toc3808025_1067777946"/>
      <w:bookmarkStart w:id="1216" w:name="_Toc525"/>
      <w:bookmarkEnd w:id="1215"/>
      <w:r>
        <w:rPr>
          <w:rtl w:val="true"/>
        </w:rPr>
        <w:t>اشتباه حاكم در حساب و وقوع تزويج</w:t>
      </w:r>
      <w:bookmarkEnd w:id="1216"/>
    </w:p>
    <w:p>
      <w:pPr>
        <w:pStyle w:val="BookText"/>
        <w:rPr/>
      </w:pPr>
      <w:r>
        <w:rPr>
          <w:rFonts w:ascii="IRNazanin" w:hAnsi="IRNazanin" w:eastAsia="IRNazanin"/>
          <w:color w:val="111111"/>
          <w:sz w:val="28"/>
          <w:sz w:val="28"/>
          <w:szCs w:val="28"/>
          <w:rtl w:val="true"/>
          <w:lang w:bidi="fa-IR"/>
        </w:rPr>
        <w:t>اگر با غلط حاكم در حساب، تزويج واقع شد قبل از گذشتن تربص و اعتداد واقعى، نكاح دوّم باطل، بلكه با دخول، موجب تحريم ابدى است، زيرا ذات بعل بوده است، و اظهر ثبوت نفقه بر اولى است اگر رجوع كرد از سفر تا زمان انقضاى عدّۀ واقعيّه اگر چه با تزويج غلطى غير باشد؛ و بر ثانى نيست آنچه مربوط به مدّت تربص و انقضاى عدّه بعد از آن است به واسطۀ شبهه بودن اگر چه دخول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خبر موت اولى رسيد در فرض حساب غلطى و در اثناى مدت، عدۀ وفات مى گيرد براى او بعد از تفريق از دوّم؛ و اگر دومى هم وفات نمايد بعد از وطى، عدۀ وطى به شبهه براى او ثابت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هر دو وفات نمودند و معلوم شد سبق موت اولى، عده مى گيرد براى اولى به چهار ماه و ده روز كه اوّل آنها روز وفات دومى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وفات دومى مقدم بود و بين دو وفات سه قرء بود، عدّۀ دومى منقضى مى شود و از سر مى گيرد عدۀ اولى را كه از وفات زوج است؛ و اگر كمتر از سه قرء بوده باشد، پس از اكمال اين عده، عدۀ اولى را از سر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نداند كدام سابق بود، يا آنكه بداند مقارن بوده اند، عدۀ دومى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انقضاى عدۀ زوج ابتدا مى نمايد، و محتمل است تخيير در ابتداى به هر كدام</w:t>
      </w:r>
      <w:r>
        <w:rPr>
          <w:rFonts w:eastAsia="IRNazanin" w:cs="IRNazanin"/>
          <w:color w:val="111111"/>
          <w:sz w:val="28"/>
          <w:szCs w:val="28"/>
          <w:rtl w:val="true"/>
          <w:lang w:bidi="fa-IR"/>
        </w:rPr>
        <w:t xml:space="preserve">. </w:t>
      </w:r>
      <w:bookmarkStart w:id="1217" w:name="pg10265_89958"/>
    </w:p>
    <w:p>
      <w:pPr>
        <w:pStyle w:val="Heading4"/>
        <w:numPr>
          <w:ilvl w:val="3"/>
          <w:numId w:val="1"/>
        </w:numPr>
        <w:rPr/>
      </w:pPr>
      <w:bookmarkStart w:id="1218" w:name="__RefHeading___Toc3808027_1067777946"/>
      <w:bookmarkStart w:id="1219" w:name="_Toc526"/>
      <w:bookmarkEnd w:id="1217"/>
      <w:bookmarkEnd w:id="1218"/>
      <w:r>
        <w:rPr/>
        <w:t>6</w:t>
      </w:r>
      <w:r>
        <w:rPr>
          <w:rtl w:val="true"/>
        </w:rPr>
        <w:t xml:space="preserve">. </w:t>
      </w:r>
      <w:r>
        <w:rPr>
          <w:rtl w:val="true"/>
        </w:rPr>
        <w:t>عدۀ امه</w:t>
      </w:r>
      <w:bookmarkEnd w:id="1219"/>
    </w:p>
    <w:p>
      <w:pPr>
        <w:pStyle w:val="Heading5"/>
        <w:numPr>
          <w:ilvl w:val="4"/>
          <w:numId w:val="1"/>
        </w:numPr>
        <w:rPr/>
      </w:pPr>
      <w:bookmarkStart w:id="1220" w:name="__RefHeading___Toc3808029_1067777946"/>
      <w:bookmarkStart w:id="1221" w:name="_Toc527"/>
      <w:bookmarkEnd w:id="1220"/>
      <w:r>
        <w:rPr>
          <w:rtl w:val="true"/>
        </w:rPr>
        <w:t>اشاره</w:t>
      </w:r>
      <w:bookmarkEnd w:id="1221"/>
    </w:p>
    <w:p>
      <w:pPr>
        <w:pStyle w:val="BookText"/>
        <w:rPr/>
      </w:pPr>
      <w:r>
        <w:rPr>
          <w:rFonts w:ascii="IRNazanin" w:hAnsi="IRNazanin" w:eastAsia="IRNazanin"/>
          <w:color w:val="111111"/>
          <w:sz w:val="28"/>
          <w:sz w:val="28"/>
          <w:szCs w:val="28"/>
          <w:rtl w:val="true"/>
          <w:lang w:bidi="fa-IR"/>
        </w:rPr>
        <w:t>عدۀ امه از طلاق، دو قرء، يعنى دو طهر است، و آن نصف عدۀ حره است كه سه طهر است چنانچه گذشت با ملاحظۀ عدم امكان تنصيف در يك 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احوط لحوق فسخ نكاح 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سببى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طلاق است در لزوم اعتداد به آنچه ذكر شد، و هم چنين وطى به شبهه اگر چه از مالك يا امۀ مزوّجه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احوط در مبعَّضه عدۀ حره است، نه عدۀ امه يا تقسيط</w:t>
      </w:r>
      <w:r>
        <w:rPr>
          <w:rFonts w:eastAsia="Amiri" w:cs="Amiri" w:ascii="Amiri" w:hAnsi="Amiri"/>
          <w:color w:val="111111"/>
          <w:sz w:val="28"/>
          <w:szCs w:val="28"/>
          <w:rtl w:val="true"/>
          <w:lang w:bidi="ar-SA"/>
        </w:rPr>
        <w:t>.</w:t>
      </w:r>
    </w:p>
    <w:p>
      <w:pPr>
        <w:pStyle w:val="Heading5"/>
        <w:numPr>
          <w:ilvl w:val="4"/>
          <w:numId w:val="1"/>
        </w:numPr>
        <w:rPr/>
      </w:pPr>
      <w:bookmarkStart w:id="1222" w:name="__RefHeading___Toc3808031_1067777946"/>
      <w:bookmarkStart w:id="1223" w:name="_Toc528"/>
      <w:bookmarkEnd w:id="1222"/>
      <w:r>
        <w:rPr>
          <w:rtl w:val="true"/>
        </w:rPr>
        <w:t>اقل ايام عدۀ امه</w:t>
      </w:r>
      <w:bookmarkEnd w:id="1223"/>
    </w:p>
    <w:p>
      <w:pPr>
        <w:pStyle w:val="BookText"/>
        <w:rPr/>
      </w:pPr>
      <w:r>
        <w:rPr>
          <w:rFonts w:ascii="IRNazanin" w:hAnsi="IRNazanin" w:eastAsia="IRNazanin"/>
          <w:color w:val="111111"/>
          <w:sz w:val="28"/>
          <w:sz w:val="28"/>
          <w:szCs w:val="28"/>
          <w:rtl w:val="true"/>
          <w:lang w:bidi="fa-IR"/>
        </w:rPr>
        <w:t xml:space="preserve">و گذشت كه اقل ايام اعتداد امه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دو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لحظۀ طهر طلاق، و لحظۀ حيض كه طهر دوّم به آن منقضى مى شود و از عدّه نيست و تزويج مقارن آن لحظه صحيح است، بنابر خروج از عده، و اينكه فقط كاشف از خروج 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نفساء تصوير به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سه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لحظه بعد از وضع اگر خون نيامد كه زمان طلاق بوده، پس از آن يك لحظه خون ببيند، پس از آن ده روز پاك باشد، پس از آن يك لحظه خون حيض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 در حائض است</w:t>
      </w:r>
      <w:r>
        <w:rPr>
          <w:rFonts w:eastAsia="IRNazanin" w:cs="IRNazanin"/>
          <w:color w:val="111111"/>
          <w:sz w:val="28"/>
          <w:szCs w:val="28"/>
          <w:rtl w:val="true"/>
          <w:lang w:bidi="fa-IR"/>
        </w:rPr>
        <w:t>.</w:t>
      </w:r>
    </w:p>
    <w:p>
      <w:pPr>
        <w:pStyle w:val="Heading5"/>
        <w:numPr>
          <w:ilvl w:val="4"/>
          <w:numId w:val="1"/>
        </w:numPr>
        <w:rPr/>
      </w:pPr>
      <w:bookmarkStart w:id="1224" w:name="__RefHeading___Toc3808033_1067777946"/>
      <w:bookmarkStart w:id="1225" w:name="_Toc529"/>
      <w:bookmarkEnd w:id="1224"/>
      <w:r>
        <w:rPr>
          <w:rtl w:val="true"/>
        </w:rPr>
        <w:t>عدّه امه مسترابه</w:t>
      </w:r>
      <w:bookmarkEnd w:id="122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زنى كه حيض نمى بيند و در سن حائض است، پس عده اش از طلاق به حسب عدد، نصف عدد عدّۀ حره است، چه آنكه امه، زوجۀ حر باشد يا زوجۀ عبد، و آن چهل و پنج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به ترتيبى كه در حره گذشت؛ پس اسبق از دو قرء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آن انقضاى عدّه مى شود بر حسب آنكه در حره اسبق از سه طهر و سه ماه، موجب انقضا مى شود، چه آنكه شوهر بنده باشد يا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است اين تحديد مثل مرضعه و زن نه ماهه و غير اينها را؛ مثل مريضه كه از جهت مرض حيض نمى بيند؛ و هم چنين زنى را كه عادتش حيض در بيش از يك ماه و نيم است، چنانچه مثل آن در حره گذشت</w:t>
      </w:r>
      <w:r>
        <w:rPr>
          <w:rFonts w:eastAsia="IRNazanin" w:cs="IRNazanin"/>
          <w:color w:val="111111"/>
          <w:sz w:val="28"/>
          <w:szCs w:val="28"/>
          <w:rtl w:val="true"/>
          <w:lang w:bidi="fa-IR"/>
        </w:rPr>
        <w:t xml:space="preserve">. </w:t>
      </w:r>
      <w:bookmarkStart w:id="1226" w:name="pg10265_89959"/>
    </w:p>
    <w:p>
      <w:pPr>
        <w:pStyle w:val="BookText"/>
        <w:rPr/>
      </w:pPr>
      <w:bookmarkEnd w:id="1226"/>
      <w:r>
        <w:rPr>
          <w:rFonts w:ascii="IRNazanin" w:hAnsi="IRNazanin" w:eastAsia="IRNazanin"/>
          <w:color w:val="111111"/>
          <w:sz w:val="28"/>
          <w:sz w:val="28"/>
          <w:szCs w:val="28"/>
          <w:rtl w:val="true"/>
          <w:lang w:bidi="fa-IR"/>
        </w:rPr>
        <w:t>و امۀ مسترابه در دو قرء و يك ماه و نيم، همان وظيفه اى را دارد كه حرۀ مسترابه در سه قرء و سه ماه داشت بر حسب آنچه مذكور شد؛ و همان احتياطى كه در مسترابۀ به حمل در حره ذكر شد، در امه هم جارى است با تبديل سه ماه بعد از نه ماه به يك ماه و 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هلالى بودن ماه و تلفيق، جارى است كلام مذكور در سه ماه، حره پس اگر در متصل به غرّۀ ماه طلاق داد، كافى است اتمام هلالى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ماه ديگر؛ و اگر در اثنا بود، به چهل و پنج روز اعتداد مى نمايد به دوّم تا دوّم مثلاً با ضميمۀ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بنابر احوط</w:t>
      </w:r>
      <w:r>
        <w:rPr>
          <w:rFonts w:eastAsia="IRNazanin" w:cs="IRNazanin"/>
          <w:color w:val="111111"/>
          <w:sz w:val="28"/>
          <w:szCs w:val="28"/>
          <w:rtl w:val="true"/>
          <w:lang w:bidi="fa-IR"/>
        </w:rPr>
        <w:t>.</w:t>
      </w:r>
    </w:p>
    <w:p>
      <w:pPr>
        <w:pStyle w:val="Heading5"/>
        <w:numPr>
          <w:ilvl w:val="4"/>
          <w:numId w:val="1"/>
        </w:numPr>
        <w:rPr/>
      </w:pPr>
      <w:bookmarkStart w:id="1227" w:name="__RefHeading___Toc3808035_1067777946"/>
      <w:bookmarkStart w:id="1228" w:name="_Toc530"/>
      <w:bookmarkEnd w:id="1227"/>
      <w:r>
        <w:rPr>
          <w:rtl w:val="true"/>
        </w:rPr>
        <w:t>وقوع عتق و عدّۀ طلاق امه</w:t>
      </w:r>
      <w:bookmarkEnd w:id="1228"/>
    </w:p>
    <w:p>
      <w:pPr>
        <w:pStyle w:val="BookText"/>
        <w:rPr/>
      </w:pPr>
      <w:r>
        <w:rPr>
          <w:rFonts w:ascii="IRNazanin" w:hAnsi="IRNazanin" w:eastAsia="IRNazanin"/>
          <w:color w:val="111111"/>
          <w:sz w:val="28"/>
          <w:sz w:val="28"/>
          <w:szCs w:val="28"/>
          <w:rtl w:val="true"/>
          <w:lang w:bidi="fa-IR"/>
        </w:rPr>
        <w:t xml:space="preserve">اگر عتق امه قبل از طلاق او بود، عدۀ او عدۀ حره است؛ و اگر بعد از انقضاى عدّه عتق شد، بر او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اگر طلاق در اثناى عدۀ رجعيه بود، تكميل مى نمايد عدۀ حرۀ را؛ و اگر در اثناى عدۀ طلاق بائن بود، اتمام مى نمايد عدۀ امه را</w:t>
      </w:r>
      <w:r>
        <w:rPr>
          <w:rFonts w:eastAsia="IRNazanin" w:cs="IRNazanin"/>
          <w:color w:val="111111"/>
          <w:sz w:val="28"/>
          <w:szCs w:val="28"/>
          <w:rtl w:val="true"/>
          <w:lang w:bidi="fa-IR"/>
        </w:rPr>
        <w:t>.</w:t>
      </w:r>
    </w:p>
    <w:p>
      <w:pPr>
        <w:pStyle w:val="Heading5"/>
        <w:numPr>
          <w:ilvl w:val="4"/>
          <w:numId w:val="1"/>
        </w:numPr>
        <w:rPr/>
      </w:pPr>
      <w:bookmarkStart w:id="1229" w:name="__RefHeading___Toc3808037_1067777946"/>
      <w:bookmarkStart w:id="1230" w:name="_Toc531"/>
      <w:bookmarkEnd w:id="1229"/>
      <w:r>
        <w:rPr>
          <w:rtl w:val="true"/>
        </w:rPr>
        <w:t>عدّۀ ذميّه در موت و طلاق و هم چنين عدّۀ امه از وفات زوج</w:t>
      </w:r>
      <w:bookmarkEnd w:id="1230"/>
    </w:p>
    <w:p>
      <w:pPr>
        <w:pStyle w:val="BookText"/>
        <w:rPr/>
      </w:pPr>
      <w:r>
        <w:rPr>
          <w:rFonts w:ascii="IRNazanin" w:hAnsi="IRNazanin" w:eastAsia="IRNazanin"/>
          <w:color w:val="111111"/>
          <w:sz w:val="28"/>
          <w:sz w:val="28"/>
          <w:szCs w:val="28"/>
          <w:rtl w:val="true"/>
          <w:lang w:bidi="fa-IR"/>
        </w:rPr>
        <w:t>عدّۀ ذميه در موت و طلاق، مثل عدۀ حره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عدۀ امه از وفات زوج، دو ماه و پنج روز است كه نصف عدۀ حره از وفات است، و ابعد الاجلين از مدت مذكوره و وضع است اگر حامل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خصوص ام الولد كه صاحب ولد از مالك است، از موت زوج مثل حره چهار ماه وده روز عده مى گيرد با دخول زوج و عدم آن؛ و هم چنين است احتياط در عدۀ مذكوره از موت مالك بعد از وطى او يا بدون آن بنابر احوط؛ و قبل از تزويج او با انعتاق از نصيب ولد مالك، بلكه غير ذات ولد از موت 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وطى موجب استبرا يا بدون آن بنابر 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هيچ تأمل نيست در جريان احتياط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 ولد حامل از زوج باشد، ابعد الاجلين كه مذكور شد عدۀ او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 ولد را به طلاق رجعى طلاق داد، پس زوج وفات كرد در اثناى عده، از سر </w:t>
      </w:r>
      <w:bookmarkStart w:id="1231" w:name="pg10265_89960"/>
    </w:p>
    <w:p>
      <w:pPr>
        <w:pStyle w:val="BookText"/>
        <w:rPr/>
      </w:pPr>
      <w:bookmarkEnd w:id="1231"/>
      <w:r>
        <w:rPr>
          <w:rFonts w:ascii="IRNazanin" w:hAnsi="IRNazanin" w:eastAsia="IRNazanin"/>
          <w:color w:val="111111"/>
          <w:sz w:val="28"/>
          <w:sz w:val="28"/>
          <w:szCs w:val="28"/>
          <w:rtl w:val="true"/>
          <w:lang w:bidi="fa-IR"/>
        </w:rPr>
        <w:t>مى گيرد عدۀ حره را كه چهار ماه و ده روز است؛ و غير ام ولد اكتفاى به دو ماه و پنج روز مى نمايد، يا او هم چهار ماه و ده روز عدّه مى گيرد و اين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طلاق بائن اتمام مى نمايد عدۀ سابقه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زوجِ امۀ غير صاحبۀ ولد، وفات كرد، پس از آن قبل از انقضاى عدّه آزاد شد، اتمام مى نمايد عدۀ حره را كه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مولىٰ بعد از وطى تدبير كرد امه را، عده مى گيرد بعد از وفات مولى با بقاى حكم وطى به چهار ماه و ده روز؛ و اگر عتق منجّز در حال حيات خودش كرد، به سه قرء يا سه ماه عده مى گيرد به سبب وطى مذكور از روز عتق؛ و اگر وفات كرد بعد از عتق منجز قبل از انقضاى عدّه، پس احتياط در اعتداد به مثل صورت تدبير كه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ده روز است ترك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ملكيت از بيع و استغنام و صلح و ارث و غير اينها، مشترك هستند در وجوب استبرا و سقوط آن</w:t>
      </w:r>
      <w:r>
        <w:rPr>
          <w:rFonts w:eastAsia="IRNazanin" w:cs="IRNazanin"/>
          <w:color w:val="111111"/>
          <w:sz w:val="28"/>
          <w:szCs w:val="28"/>
          <w:rtl w:val="true"/>
          <w:lang w:bidi="fa-IR"/>
        </w:rPr>
        <w:t>.</w:t>
      </w:r>
    </w:p>
    <w:p>
      <w:pPr>
        <w:pStyle w:val="Heading5"/>
        <w:numPr>
          <w:ilvl w:val="4"/>
          <w:numId w:val="1"/>
        </w:numPr>
        <w:rPr/>
      </w:pPr>
      <w:bookmarkStart w:id="1232" w:name="__RefHeading___Toc3808039_1067777946"/>
      <w:bookmarkStart w:id="1233" w:name="_Toc532"/>
      <w:bookmarkEnd w:id="1232"/>
      <w:r>
        <w:rPr>
          <w:rtl w:val="true"/>
        </w:rPr>
        <w:t>احكام وطى امه در صورت ابتياع و مكاتبه و ارتداد و طلاق</w:t>
      </w:r>
      <w:bookmarkEnd w:id="1233"/>
    </w:p>
    <w:p>
      <w:pPr>
        <w:pStyle w:val="BookText"/>
        <w:rPr/>
      </w:pPr>
      <w:r>
        <w:rPr>
          <w:rFonts w:ascii="IRNazanin" w:hAnsi="IRNazanin" w:eastAsia="IRNazanin"/>
          <w:color w:val="111111"/>
          <w:sz w:val="28"/>
          <w:sz w:val="28"/>
          <w:szCs w:val="28"/>
          <w:rtl w:val="true"/>
          <w:lang w:bidi="fa-IR"/>
        </w:rPr>
        <w:t>اگر زوجۀ خود را خريد، نكاح باطل مى شود؛ لكن بر او وطى او بدون استبرا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زوج ابتياع كرد يك سهم از دو شريك در زوجه را، حرام مى شود وطى او؛ و هم چنين اگر حره زوج خود را خريد، حرام مى شود وطى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مملوكِ مأذون ابتياع كرد امه اى را و استبرا كرد او را، كافى است در حق مولىٰ اگر خواست وطى نمايد او را با علم يا اطمينان به سبب اخبار مملوك از استبرا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مجرد مكاتبه با امه، موجب حرمت وطى او است بر حسب آنچه در مكاتبه مذكور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مكاتبه منفسخ شد، حلال مى شود وطى او بدون استبرا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اگر ارتداد ملّى حاصل شد براى مولى يا 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موجب حرمت وطى در حال ارتداد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عود به اسلام نمود، استبرا واجب نيست به مجرّد حرمت وطى مگر با تحلل بيعى كه موجب استبرا باشد يا وطى محترمى مثل شبهه كه موجب استبرا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امه طلاق داده شد بعد از دخول، جايز نيست براى مولى وطى او مگر بعد از اعتداد از زوج، و كافى است اعتداد از استبرا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طلاق قبل از دخول يا بدون علم به دخول زوج بود، بر مالك استبرا لازم نيست، به خلاف تملك جديد بدون علم به وطى سابق</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ابتياع كرد حربيه اى را پس استبرا كرد، پس از آن اسلام اختيار كرد بعد از استبرا يا در زمان استبرا، لازم نيست استبراى ديگر بعد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استبرا در حال احرام حج بود، كافى است از استبراى بعد از احلال از آن</w:t>
      </w:r>
      <w:r>
        <w:rPr>
          <w:rFonts w:eastAsia="IRNazanin" w:cs="IRNazanin"/>
          <w:color w:val="111111"/>
          <w:sz w:val="28"/>
          <w:szCs w:val="28"/>
          <w:rtl w:val="true"/>
          <w:lang w:bidi="fa-IR"/>
        </w:rPr>
        <w:t xml:space="preserve">. </w:t>
      </w:r>
      <w:bookmarkStart w:id="1234" w:name="pg10265_89962"/>
    </w:p>
    <w:p>
      <w:pPr>
        <w:pStyle w:val="Heading3"/>
        <w:numPr>
          <w:ilvl w:val="2"/>
          <w:numId w:val="1"/>
        </w:numPr>
        <w:rPr/>
      </w:pPr>
      <w:bookmarkStart w:id="1235" w:name="__RefHeading___Toc3808041_1067777946"/>
      <w:bookmarkStart w:id="1236" w:name="_Toc533"/>
      <w:bookmarkEnd w:id="1234"/>
      <w:bookmarkEnd w:id="1235"/>
      <w:r>
        <w:rPr>
          <w:rtl w:val="true"/>
        </w:rPr>
        <w:t>فصل نهم مسائلى از طلاق</w:t>
      </w:r>
      <w:bookmarkEnd w:id="1236"/>
    </w:p>
    <w:p>
      <w:pPr>
        <w:pStyle w:val="Heading4"/>
        <w:numPr>
          <w:ilvl w:val="3"/>
          <w:numId w:val="1"/>
        </w:numPr>
        <w:rPr/>
      </w:pPr>
      <w:bookmarkStart w:id="1237" w:name="__RefHeading___Toc3808043_1067777946"/>
      <w:bookmarkStart w:id="1238" w:name="_Toc534"/>
      <w:bookmarkEnd w:id="1237"/>
      <w:r>
        <w:rPr>
          <w:rtl w:val="true"/>
        </w:rPr>
        <w:t>موارد عدم جواز و جواز اخراج مطلّقۀ رجعيه</w:t>
      </w:r>
      <w:bookmarkEnd w:id="123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براى كسى كه به طلاق رجعى طلاق بدهد زوجه را، كه او را از خانۀ زوج اخراج نمايد مگر به سبب 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جواز خروج با اذن شوهر، و در واجبات، مثل حج، واجب است، و از اين قبيل است اخراج براى اقامۀ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فاحشه است، ايذاى اهل شوهر، مگر آنكه ايذاى اهل بدون مساكنه در يك منزل باشد كه اخراج در اين صورت، مفيد و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اضطرار و احتياج مى تواند خارج شود به مقدار دفع ضرورت؛ و احوط اختيار خروج بعد از نصف شب و عود قبل از فجر است مگر آنكه ضرورت در غير اين وقت دفع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جواز خروج، لازم است بنابر اظهر اعادۀ او به منزل اعتداد و طلاق، مگر در خروج به سبب ايذا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حج مندوب خارج نمى شود بدون اذن زوج؛ به خلاف حج واجب كه ضرورى دينى است، مگر آنكه واجب موسع باشد كه با اذن ممكن است تخصيص آن به سالى</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ضرورات ديگر چه مربوط به مال يا نفس يا عرض باشد، بدون اذن، دفع به خروج مى شوند، مثل اينكه خانه مخوف باشد از لصّ يا غير آن، يا آنكه در بين </w:t>
      </w:r>
      <w:bookmarkStart w:id="1239" w:name="pg10265_89963"/>
    </w:p>
    <w:p>
      <w:pPr>
        <w:pStyle w:val="BookText"/>
        <w:rPr/>
      </w:pPr>
      <w:bookmarkEnd w:id="1239"/>
      <w:r>
        <w:rPr>
          <w:rFonts w:ascii="IRNazanin" w:hAnsi="IRNazanin" w:eastAsia="IRNazanin"/>
          <w:color w:val="111111"/>
          <w:sz w:val="28"/>
          <w:sz w:val="28"/>
          <w:szCs w:val="28"/>
          <w:rtl w:val="true"/>
          <w:lang w:bidi="fa-IR"/>
        </w:rPr>
        <w:t xml:space="preserve">فساق باشد و حمايت كننده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خائف بر عرض خودش باشد، يا متأذّى از همسايه ها يا همخانه ها باشد كه مطالبۀ استبدال مى نمايد و اگر مفيد نشد، خارج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جايى كه دفع ضرورت شود</w:t>
      </w:r>
      <w:r>
        <w:rPr>
          <w:rFonts w:eastAsia="IRNazanin" w:cs="IRNazanin"/>
          <w:color w:val="111111"/>
          <w:sz w:val="28"/>
          <w:szCs w:val="28"/>
          <w:rtl w:val="true"/>
          <w:lang w:bidi="fa-IR"/>
        </w:rPr>
        <w:t>.</w:t>
      </w:r>
    </w:p>
    <w:p>
      <w:pPr>
        <w:pStyle w:val="Heading4"/>
        <w:numPr>
          <w:ilvl w:val="3"/>
          <w:numId w:val="1"/>
        </w:numPr>
        <w:rPr/>
      </w:pPr>
      <w:bookmarkStart w:id="1240" w:name="__RefHeading___Toc3808045_1067777946"/>
      <w:bookmarkStart w:id="1241" w:name="_Toc535"/>
      <w:bookmarkEnd w:id="1240"/>
      <w:r>
        <w:rPr>
          <w:rtl w:val="true"/>
        </w:rPr>
        <w:t>نفقۀ رجعيه و بائن حامل</w:t>
      </w:r>
      <w:bookmarkEnd w:id="1241"/>
    </w:p>
    <w:p>
      <w:pPr>
        <w:pStyle w:val="Heading5"/>
        <w:numPr>
          <w:ilvl w:val="4"/>
          <w:numId w:val="1"/>
        </w:numPr>
        <w:rPr/>
      </w:pPr>
      <w:bookmarkStart w:id="1242" w:name="__RefHeading___Toc3808047_1067777946"/>
      <w:bookmarkStart w:id="1243" w:name="_Toc536"/>
      <w:bookmarkEnd w:id="1242"/>
      <w:r>
        <w:rPr>
          <w:rtl w:val="true"/>
        </w:rPr>
        <w:t>اشاره</w:t>
      </w:r>
      <w:bookmarkEnd w:id="124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بائنه به طلاق، اختيار سكنى با خود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حامل باشد نفقۀ او بر زوج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نفقۀ مطلّقه به طلاق رجعى، لازم است در زمان عده و پوشش و سكناى او چنانچه گذشت، روز به روز واجب است، چه مسلمان باشد چه ذميه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امه هم در زمان عدۀ رجعيه نفقه دارد در صورتى كه در شب و روز، مالك او را در اختيار زوج بگذارد؛ و اگر نفرستاد يا در شب يا در روز فرستاد، در عدم استحقاق به واسطۀ عدم تمكين، يا عدم تمكين تام، يا تبعيض، يا استحقاق تمام با ارسال در شب، احتمالات است، و گذشت كلام در تعيين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بائن، نفقه و سكنى ندارد مگر حامل تا زمان وضع حمل، براى حمل يا حامل چنانچه گذشت؛ و عدم خروج از منزل دربارۀ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وطى به شبهه هم عده دارد؛ و آيا اگر حامل بشود، نفقه دارد يا نه، يا مبنى است بر اينكه نفقه براى حمل باشد يا حامل‌؟ تأمل است و در محلش گذشت</w:t>
      </w:r>
      <w:r>
        <w:rPr>
          <w:rFonts w:eastAsia="IRNazanin" w:cs="IRNazanin"/>
          <w:color w:val="111111"/>
          <w:sz w:val="28"/>
          <w:szCs w:val="28"/>
          <w:rtl w:val="true"/>
          <w:lang w:bidi="fa-IR"/>
        </w:rPr>
        <w:t>.</w:t>
      </w:r>
    </w:p>
    <w:p>
      <w:pPr>
        <w:pStyle w:val="Heading5"/>
        <w:numPr>
          <w:ilvl w:val="4"/>
          <w:numId w:val="1"/>
        </w:numPr>
        <w:rPr/>
      </w:pPr>
      <w:bookmarkStart w:id="1244" w:name="__RefHeading___Toc3808049_1067777946"/>
      <w:bookmarkStart w:id="1245" w:name="_Toc537"/>
      <w:bookmarkEnd w:id="1244"/>
      <w:r>
        <w:rPr>
          <w:rtl w:val="true"/>
        </w:rPr>
        <w:t>فروع سكناى مطلّقه</w:t>
      </w:r>
      <w:bookmarkEnd w:id="1245"/>
    </w:p>
    <w:p>
      <w:pPr>
        <w:pStyle w:val="Heading6"/>
        <w:numPr>
          <w:ilvl w:val="5"/>
          <w:numId w:val="1"/>
        </w:numPr>
        <w:rPr/>
      </w:pPr>
      <w:bookmarkStart w:id="1246" w:name="__RefHeading___Toc3808051_1067777946"/>
      <w:bookmarkStart w:id="1247" w:name="_Toc538"/>
      <w:bookmarkEnd w:id="1246"/>
      <w:r>
        <w:rPr>
          <w:rtl w:val="true"/>
        </w:rPr>
        <w:t>انهدام مسكن مطلّقۀ رجعيّه</w:t>
      </w:r>
      <w:bookmarkEnd w:id="12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مسكن مطلقۀ رجعيّه منهدم شد به نحوى كه عَسِر است اصلاح آن، يا آنكه مستأجر و يا مستعار بود، پس مدت سر آمد و يا مالك رجوع نمود، جايز است اخراج و خروج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قيام منزل ثانى مقام منزل اوّل در حكم اخراج و خروج، تأمل است</w:t>
      </w:r>
      <w:r>
        <w:rPr>
          <w:rFonts w:eastAsia="IRNazanin" w:cs="IRNazanin"/>
          <w:color w:val="111111"/>
          <w:sz w:val="28"/>
          <w:szCs w:val="28"/>
          <w:rtl w:val="true"/>
          <w:lang w:bidi="fa-IR"/>
        </w:rPr>
        <w:t>.</w:t>
      </w:r>
      <w:bookmarkStart w:id="1248" w:name="pg10265_89964"/>
    </w:p>
    <w:p>
      <w:pPr>
        <w:pStyle w:val="Heading6"/>
        <w:numPr>
          <w:ilvl w:val="5"/>
          <w:numId w:val="1"/>
        </w:numPr>
        <w:rPr/>
      </w:pPr>
      <w:bookmarkStart w:id="1249" w:name="__RefHeading___Toc3808053_1067777946"/>
      <w:bookmarkStart w:id="1250" w:name="_Toc539"/>
      <w:bookmarkEnd w:id="1248"/>
      <w:bookmarkEnd w:id="1249"/>
      <w:r>
        <w:rPr>
          <w:rtl w:val="true"/>
        </w:rPr>
        <w:t>توسعه و تضييق مسكن</w:t>
      </w:r>
      <w:bookmarkEnd w:id="125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مسكن در حال طلاق، كمتر از مستحق يا زايد بر مستحق زوجه بود، مشكل است اخراج و خروج، و جايز است توسعۀ اوّل و تضييق دوّم به قدر استحقاق؛ بلكه ظاهر، وجوب توسعه و ضميمه است اگر مطالبه بشود و در آن ضررى زايد بر صرف در سكناى واجب نباشد</w:t>
      </w:r>
      <w:r>
        <w:rPr>
          <w:rFonts w:eastAsia="IRNazanin" w:cs="IRNazanin"/>
          <w:color w:val="111111"/>
          <w:sz w:val="28"/>
          <w:szCs w:val="28"/>
          <w:rtl w:val="true"/>
          <w:lang w:bidi="fa-IR"/>
        </w:rPr>
        <w:t>.</w:t>
      </w:r>
    </w:p>
    <w:p>
      <w:pPr>
        <w:pStyle w:val="Heading6"/>
        <w:numPr>
          <w:ilvl w:val="5"/>
          <w:numId w:val="1"/>
        </w:numPr>
        <w:rPr/>
      </w:pPr>
      <w:bookmarkStart w:id="1251" w:name="__RefHeading___Toc3808055_1067777946"/>
      <w:bookmarkStart w:id="1252" w:name="_Toc540"/>
      <w:bookmarkEnd w:id="1251"/>
      <w:r>
        <w:rPr>
          <w:rtl w:val="true"/>
        </w:rPr>
        <w:t>خلوت و نظر بر مطلقۀ رجعيّه با قصد عدم رجوع</w:t>
      </w:r>
      <w:bookmarkEnd w:id="1252"/>
    </w:p>
    <w:p>
      <w:pPr>
        <w:pStyle w:val="Heading6"/>
        <w:numPr>
          <w:ilvl w:val="5"/>
          <w:numId w:val="1"/>
        </w:numPr>
        <w:rPr/>
      </w:pPr>
      <w:bookmarkStart w:id="1253" w:name="__RefHeading___Toc3808057_1067777946"/>
      <w:bookmarkStart w:id="1254" w:name="_Toc541"/>
      <w:bookmarkEnd w:id="1253"/>
      <w:r>
        <w:rPr>
          <w:rtl w:val="true"/>
        </w:rPr>
        <w:t>اشاره</w:t>
      </w:r>
      <w:bookmarkEnd w:id="125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مساكنه با مطلّقۀ رجعيه در يك خانه به نحوى كه مستلزم خلوت و نظر است با قصد عدم رجوع، كه آيا محرّم است يا رجوع است نظر و مثل آن از محرّمات بر غير زوج، تأمل است</w:t>
      </w:r>
      <w:r>
        <w:rPr>
          <w:rFonts w:eastAsia="Amiri" w:cs="Amiri" w:ascii="Amiri" w:hAnsi="Amiri"/>
          <w:color w:val="111111"/>
          <w:sz w:val="28"/>
          <w:szCs w:val="28"/>
          <w:rtl w:val="true"/>
          <w:lang w:bidi="ar-SA"/>
        </w:rPr>
        <w:t>.</w:t>
      </w:r>
    </w:p>
    <w:p>
      <w:pPr>
        <w:pStyle w:val="Heading6"/>
        <w:numPr>
          <w:ilvl w:val="5"/>
          <w:numId w:val="1"/>
        </w:numPr>
        <w:rPr/>
      </w:pPr>
      <w:bookmarkStart w:id="1255" w:name="__RefHeading___Toc3808059_1067777946"/>
      <w:bookmarkStart w:id="1256" w:name="_Toc542"/>
      <w:bookmarkEnd w:id="1255"/>
      <w:r>
        <w:rPr>
          <w:rtl w:val="true"/>
        </w:rPr>
        <w:t>خلوت با اجنبيّه</w:t>
      </w:r>
      <w:bookmarkEnd w:id="1256"/>
    </w:p>
    <w:p>
      <w:pPr>
        <w:pStyle w:val="BookText"/>
        <w:rPr/>
      </w:pPr>
      <w:r>
        <w:rPr>
          <w:rFonts w:ascii="Amiri" w:hAnsi="Amiri" w:eastAsia="Amiri" w:cs="Amiri"/>
          <w:color w:val="111111"/>
          <w:sz w:val="28"/>
          <w:sz w:val="28"/>
          <w:szCs w:val="28"/>
          <w:rtl w:val="true"/>
          <w:lang w:bidi="ar-SA"/>
        </w:rPr>
        <w:t xml:space="preserve">و خلوت با اجنبيه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آن جمله مطلقه بائنه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 است به كراهت شديده</w:t>
      </w:r>
      <w:r>
        <w:rPr>
          <w:rFonts w:eastAsia="Amiri" w:cs="Amiri" w:ascii="Amiri" w:hAnsi="Amiri"/>
          <w:color w:val="111111"/>
          <w:sz w:val="28"/>
          <w:szCs w:val="28"/>
          <w:rtl w:val="true"/>
          <w:lang w:bidi="ar-SA"/>
        </w:rPr>
        <w:t>.</w:t>
      </w:r>
    </w:p>
    <w:p>
      <w:pPr>
        <w:pStyle w:val="Heading6"/>
        <w:numPr>
          <w:ilvl w:val="5"/>
          <w:numId w:val="1"/>
        </w:numPr>
        <w:rPr/>
      </w:pPr>
      <w:bookmarkStart w:id="1257" w:name="__RefHeading___Toc3808061_1067777946"/>
      <w:bookmarkStart w:id="1258" w:name="_Toc543"/>
      <w:bookmarkEnd w:id="1257"/>
      <w:r>
        <w:rPr>
          <w:rtl w:val="true"/>
        </w:rPr>
        <w:t>فروش محل سكونت مطلّقه رجعيّه در ايّام عدّه</w:t>
      </w:r>
      <w:bookmarkEnd w:id="125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طلاق داد به طلاق رجعى پس از آن فروخت منزل را بدون اعلام استحقاق اعتداد، مشترى مخيّر است بين صبر با اجرت بر زوج يا فسخ 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شرط كرد، پس در صاحبۀ اَشهُر و اَقراء مستقيمه، مانعى ندارد، بلكه مطلقاً بنابر عدم بطلان شرط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صاحب اشهر در اثنا حيض ديد، پس اگر منقضى شد عده در شهرها يا كمتر، نزاعى نيست و زايد منتقل به بايع يا مشترى مى شود به حسب اختلاف عبارتهاى شرط استثناى زمان يا عده؛ و هم چنين در موت زن در اثناى عده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صاحب اشهُر اتفاقاً حيض ديد و در ازيد از اشهر ثلاثه عدّه منقضى شد، حق زن مقدم است در زايد بر سه ماه؛ و چنانچه اتفاق بر خلاف عادت غالبۀ مترقّبه بوده </w:t>
      </w:r>
      <w:bookmarkStart w:id="1259" w:name="pg10265_89965"/>
    </w:p>
    <w:p>
      <w:pPr>
        <w:pStyle w:val="BookText"/>
        <w:rPr/>
      </w:pPr>
      <w:bookmarkEnd w:id="1259"/>
      <w:r>
        <w:rPr>
          <w:rFonts w:ascii="Amiri" w:hAnsi="Amiri" w:eastAsia="Amiri" w:cs="Amiri"/>
          <w:color w:val="111111"/>
          <w:sz w:val="28"/>
          <w:sz w:val="28"/>
          <w:szCs w:val="28"/>
          <w:rtl w:val="true"/>
          <w:lang w:bidi="ar-SA"/>
        </w:rPr>
        <w:t>و اطمينان بر خلاف او بوده، دور نيست خيار مشترى در فسخ به سبب زيادتى بر مدّت، مثل صورت عدم ذكر عدّه در عقد</w:t>
      </w:r>
      <w:r>
        <w:rPr>
          <w:rFonts w:eastAsia="Amiri" w:cs="Amiri" w:ascii="Amiri" w:hAnsi="Amiri"/>
          <w:color w:val="111111"/>
          <w:sz w:val="28"/>
          <w:szCs w:val="28"/>
          <w:rtl w:val="true"/>
          <w:lang w:bidi="ar-SA"/>
        </w:rPr>
        <w:t>.</w:t>
      </w:r>
    </w:p>
    <w:p>
      <w:pPr>
        <w:pStyle w:val="Heading6"/>
        <w:numPr>
          <w:ilvl w:val="5"/>
          <w:numId w:val="1"/>
        </w:numPr>
        <w:rPr/>
      </w:pPr>
      <w:bookmarkStart w:id="1260" w:name="__RefHeading___Toc3808063_1067777946"/>
      <w:bookmarkStart w:id="1261" w:name="_Toc544"/>
      <w:bookmarkEnd w:id="1260"/>
      <w:r>
        <w:rPr>
          <w:rtl w:val="true"/>
        </w:rPr>
        <w:t>سكنى و نفقۀ مطلقه رجعيّه و وقوع حجر</w:t>
      </w:r>
      <w:bookmarkEnd w:id="126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طلاق داد در منزل غير مستثنى در دين، پس از آن حجر كرد حاكم بر او، حق سكناى مطلقه در عين خاصه، مقدم است بر حق غرما، مثل مرتهن و 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طلاق بعد از حجر بود، پس مسكن خاص و نفقه تا روز قسمت مستحَق مطلقه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قسمت آيا مشاركت با غرما مى نمايد قيمت هر دو را، چنانكه نقل عدم خلاف در آن شده، يا در ذمّۀ زوج است ماليّت هر دو؟ تأمل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مسكنْ زمانِ طلاق، مال غير زوج بود به مثل تبرّع و اجرت، سكنى را با غرما مشاركت مى نمايد؛ و هم چنين ساير نفقه را اگر حجر بعد از طلاق بوده وگرنه مورد تأمل سابق است، و نفقه در ذمّۀ زوج است بنابر احتمال 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معتدّه به اشهر است، قدر اجرت سكنى معلوم است؛ و اگر معتده به اقراء است، اقل محتملات حساب شود و زيادتى اگر اتفاق افتاد استرجاع مى شود، مثل ظهور دين سابق؛ و اگر عده زودتر منقضى شد، ارجاع مى شود به ساير غرما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با فساد حمل قبل از اقل مدت، تفاوت را در صورتى كه عدۀ او وضع باشد به غرما مى دهد</w:t>
      </w:r>
      <w:r>
        <w:rPr>
          <w:rFonts w:eastAsia="IRNazanin" w:cs="IRNazanin"/>
          <w:color w:val="111111"/>
          <w:sz w:val="28"/>
          <w:szCs w:val="28"/>
          <w:rtl w:val="true"/>
          <w:lang w:bidi="fa-IR"/>
        </w:rPr>
        <w:t>.</w:t>
      </w:r>
    </w:p>
    <w:p>
      <w:pPr>
        <w:pStyle w:val="Heading6"/>
        <w:numPr>
          <w:ilvl w:val="5"/>
          <w:numId w:val="1"/>
        </w:numPr>
        <w:rPr/>
      </w:pPr>
      <w:bookmarkStart w:id="1262" w:name="__RefHeading___Toc3808065_1067777946"/>
      <w:bookmarkStart w:id="1263" w:name="_Toc545"/>
      <w:bookmarkEnd w:id="1262"/>
      <w:r>
        <w:rPr>
          <w:rtl w:val="true"/>
        </w:rPr>
        <w:t>مطلقه رجعيه بعد از وفات زوج حق سكنى ندارد</w:t>
      </w:r>
      <w:bookmarkEnd w:id="1263"/>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زوج وفات كرد و مسكنْ موروث جماعتى شد، مى توانند قسمت نمايند آن را؛ زيرا عدّه منقلب به عدۀ وفات مى شود و استحقاق سكنى در عين خاصه ندارد حتى اگر حامل باشد</w:t>
      </w:r>
      <w:r>
        <w:rPr>
          <w:rFonts w:eastAsia="IRNazanin" w:cs="IRNazanin"/>
          <w:color w:val="111111"/>
          <w:sz w:val="28"/>
          <w:szCs w:val="28"/>
          <w:rtl w:val="true"/>
          <w:lang w:bidi="fa-IR"/>
        </w:rPr>
        <w:t>.</w:t>
      </w:r>
    </w:p>
    <w:p>
      <w:pPr>
        <w:pStyle w:val="Heading6"/>
        <w:numPr>
          <w:ilvl w:val="5"/>
          <w:numId w:val="1"/>
        </w:numPr>
        <w:rPr/>
      </w:pPr>
      <w:bookmarkStart w:id="1264" w:name="__RefHeading___Toc3808067_1067777946"/>
      <w:bookmarkStart w:id="1265" w:name="_Toc546"/>
      <w:bookmarkEnd w:id="1264"/>
      <w:r>
        <w:rPr>
          <w:rtl w:val="true"/>
        </w:rPr>
        <w:t>انتقال با اذن قبل از طلاق</w:t>
      </w:r>
      <w:bookmarkEnd w:id="1265"/>
    </w:p>
    <w:p>
      <w:pPr>
        <w:pStyle w:val="Heading6"/>
        <w:numPr>
          <w:ilvl w:val="5"/>
          <w:numId w:val="1"/>
        </w:numPr>
        <w:rPr/>
      </w:pPr>
      <w:bookmarkStart w:id="1266" w:name="__RefHeading___Toc3808069_1067777946"/>
      <w:bookmarkStart w:id="1267" w:name="_Toc547"/>
      <w:bookmarkEnd w:id="1266"/>
      <w:r>
        <w:rPr>
          <w:rtl w:val="true"/>
        </w:rPr>
        <w:t>اشاره</w:t>
      </w:r>
      <w:bookmarkEnd w:id="1267"/>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اذن شوهر منتقل به منزل غير مسكون خود شد، پس از آن طلاق داد او را،</w:t>
      </w:r>
      <w:bookmarkStart w:id="1268" w:name="pg10265_89966"/>
    </w:p>
    <w:p>
      <w:pPr>
        <w:pStyle w:val="BookText"/>
        <w:rPr/>
      </w:pPr>
      <w:bookmarkEnd w:id="1268"/>
      <w:r>
        <w:rPr>
          <w:rFonts w:ascii="IRNazanin" w:hAnsi="IRNazanin" w:eastAsia="IRNazanin"/>
          <w:color w:val="111111"/>
          <w:sz w:val="28"/>
          <w:sz w:val="28"/>
          <w:szCs w:val="28"/>
          <w:rtl w:val="true"/>
          <w:lang w:bidi="fa-IR"/>
        </w:rPr>
        <w:t>عده در منزل دوّم مى گيرد اگر چه مال و عيال خودرا نقل نداده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نقل داد و خودش منتقل نشده طلاق داده شد، عده در همان منزل اوّل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منتقل به منزل دوّم شد، پس از آن رجوع به اوّل كرد براى نقل متاع، پس طلاق داده شد، اعتداد در دوّم مى نمايد كه منزل او است، نه اوّل كه محل خروج با اذن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اوّل خارج شد و به دوّم نرسيده طلاق داده شد، اظهر عدم نهى از اخراج و خروج است، و نفقه و سكنى تا انقضاى عدّه بر ذمّۀ زوج است</w:t>
      </w:r>
      <w:r>
        <w:rPr>
          <w:rFonts w:eastAsia="IRNazanin" w:cs="IRNazanin"/>
          <w:color w:val="111111"/>
          <w:sz w:val="28"/>
          <w:szCs w:val="28"/>
          <w:rtl w:val="true"/>
          <w:lang w:bidi="fa-IR"/>
        </w:rPr>
        <w:t>.</w:t>
      </w:r>
    </w:p>
    <w:p>
      <w:pPr>
        <w:pStyle w:val="Heading6"/>
        <w:numPr>
          <w:ilvl w:val="5"/>
          <w:numId w:val="1"/>
        </w:numPr>
        <w:rPr/>
      </w:pPr>
      <w:bookmarkStart w:id="1269" w:name="__RefHeading___Toc3808071_1067777946"/>
      <w:bookmarkStart w:id="1270" w:name="_Toc548"/>
      <w:bookmarkEnd w:id="1269"/>
      <w:r>
        <w:rPr>
          <w:rtl w:val="true"/>
        </w:rPr>
        <w:t>نهى از اخراج و خروج شرط صحّت اعتداد نيست</w:t>
      </w:r>
      <w:bookmarkEnd w:id="1270"/>
    </w:p>
    <w:p>
      <w:pPr>
        <w:pStyle w:val="BookText"/>
        <w:rPr/>
      </w:pPr>
      <w:r>
        <w:rPr>
          <w:rFonts w:ascii="IRNazanin" w:hAnsi="IRNazanin" w:eastAsia="IRNazanin"/>
          <w:color w:val="111111"/>
          <w:sz w:val="28"/>
          <w:sz w:val="28"/>
          <w:szCs w:val="28"/>
          <w:rtl w:val="true"/>
          <w:lang w:bidi="fa-IR"/>
        </w:rPr>
        <w:t>و نهى از اخراج و خروج تعبّد است و شرط صحّت اعتداد نيست، پس مخالفت بدون توافق، معصيت است و اعادۀ عده ندارد</w:t>
      </w:r>
      <w:r>
        <w:rPr>
          <w:rFonts w:eastAsia="IRNazanin" w:cs="IRNazanin"/>
          <w:color w:val="111111"/>
          <w:sz w:val="28"/>
          <w:szCs w:val="28"/>
          <w:rtl w:val="true"/>
          <w:lang w:bidi="fa-IR"/>
        </w:rPr>
        <w:t>.</w:t>
      </w:r>
    </w:p>
    <w:p>
      <w:pPr>
        <w:pStyle w:val="Heading6"/>
        <w:numPr>
          <w:ilvl w:val="5"/>
          <w:numId w:val="1"/>
        </w:numPr>
        <w:rPr/>
      </w:pPr>
      <w:bookmarkStart w:id="1271" w:name="__RefHeading___Toc3808073_1067777946"/>
      <w:bookmarkStart w:id="1272" w:name="_Toc549"/>
      <w:bookmarkEnd w:id="1271"/>
      <w:r>
        <w:rPr>
          <w:rtl w:val="true"/>
        </w:rPr>
        <w:t>سكناى بَدَوِيۀ رجعيّه</w:t>
      </w:r>
      <w:bookmarkEnd w:id="1272"/>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بدويه در منزل طلاق اعتداد مى نمايد و در زمان ارتحال نازلين به آن زمين، با آنها ارتحال مى نمايد</w:t>
      </w:r>
      <w:r>
        <w:rPr>
          <w:rFonts w:eastAsia="Amiri" w:cs="Amiri" w:ascii="Amiri" w:hAnsi="Amiri"/>
          <w:color w:val="111111"/>
          <w:sz w:val="28"/>
          <w:szCs w:val="28"/>
          <w:rtl w:val="true"/>
          <w:lang w:bidi="ar-SA"/>
        </w:rPr>
        <w:t>.</w:t>
      </w:r>
    </w:p>
    <w:p>
      <w:pPr>
        <w:pStyle w:val="Heading6"/>
        <w:numPr>
          <w:ilvl w:val="5"/>
          <w:numId w:val="1"/>
        </w:numPr>
        <w:rPr/>
      </w:pPr>
      <w:bookmarkStart w:id="1273" w:name="__RefHeading___Toc3808075_1067777946"/>
      <w:bookmarkStart w:id="1274" w:name="_Toc550"/>
      <w:bookmarkEnd w:id="1273"/>
      <w:r>
        <w:rPr>
          <w:rtl w:val="true"/>
        </w:rPr>
        <w:t>اعتداد در سفينه</w:t>
      </w:r>
      <w:bookmarkEnd w:id="1274"/>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سفينۀ مخصوصه، مسكن زوجه بود، به اينكه زوج او ملاح بود، در همانجا عده مى گيرد اگر در همانجا طلاق داده شد، وگرنه چون در سفر است، اعتداد به منزل مخصوص اختصاص ندارد</w:t>
      </w:r>
      <w:r>
        <w:rPr>
          <w:rFonts w:eastAsia="IRNazanin" w:cs="IRNazanin"/>
          <w:color w:val="111111"/>
          <w:sz w:val="28"/>
          <w:szCs w:val="28"/>
          <w:rtl w:val="true"/>
          <w:lang w:bidi="fa-IR"/>
        </w:rPr>
        <w:t>.</w:t>
      </w:r>
    </w:p>
    <w:p>
      <w:pPr>
        <w:pStyle w:val="Heading6"/>
        <w:numPr>
          <w:ilvl w:val="5"/>
          <w:numId w:val="1"/>
        </w:numPr>
        <w:rPr/>
      </w:pPr>
      <w:bookmarkStart w:id="1275" w:name="__RefHeading___Toc3808077_1067777946"/>
      <w:bookmarkStart w:id="1276" w:name="_Toc551"/>
      <w:bookmarkEnd w:id="1275"/>
      <w:r>
        <w:rPr>
          <w:rtl w:val="true"/>
        </w:rPr>
        <w:t>حكم استحقاق اجرت سكنى در صورت سكونت در غير منزل زوج</w:t>
      </w:r>
      <w:bookmarkEnd w:id="1276"/>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ساكن شد در غير منزل طلاق بدون اذن زوج، استحقاق اجرت سكنى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قبل از طلاق ساكن در منزل خودش بوده و طلاق در آن زمان واقع شد و در آنجا ماند، پس اگر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تبرّع و تطوع بود، استحقاق اجرت ندارد وگرنه در</w:t>
      </w:r>
      <w:bookmarkStart w:id="1277" w:name="pg10265_89967"/>
    </w:p>
    <w:p>
      <w:pPr>
        <w:pStyle w:val="BookText"/>
        <w:rPr/>
      </w:pPr>
      <w:bookmarkEnd w:id="1277"/>
      <w:r>
        <w:rPr>
          <w:rFonts w:ascii="IRNazanin" w:hAnsi="IRNazanin" w:eastAsia="IRNazanin"/>
          <w:color w:val="111111"/>
          <w:sz w:val="28"/>
          <w:sz w:val="28"/>
          <w:szCs w:val="28"/>
          <w:rtl w:val="true"/>
          <w:lang w:bidi="fa-IR"/>
        </w:rPr>
        <w:t>ذمۀ زوج ثابت است؛ و هم چنين اگر خودش استيجار منزلى نمود و در آنجا ساكن شد</w:t>
      </w:r>
      <w:r>
        <w:rPr>
          <w:rFonts w:eastAsia="IRNazanin" w:cs="IRNazanin"/>
          <w:color w:val="111111"/>
          <w:sz w:val="28"/>
          <w:szCs w:val="28"/>
          <w:rtl w:val="true"/>
          <w:lang w:bidi="fa-IR"/>
        </w:rPr>
        <w:t>.</w:t>
      </w:r>
    </w:p>
    <w:p>
      <w:pPr>
        <w:pStyle w:val="Heading4"/>
        <w:numPr>
          <w:ilvl w:val="3"/>
          <w:numId w:val="1"/>
        </w:numPr>
        <w:rPr/>
      </w:pPr>
      <w:bookmarkStart w:id="1278" w:name="__RefHeading___Toc3808079_1067777946"/>
      <w:bookmarkStart w:id="1279" w:name="_Toc552"/>
      <w:bookmarkEnd w:id="1278"/>
      <w:r>
        <w:rPr>
          <w:rtl w:val="true"/>
        </w:rPr>
        <w:t>عدم استحقاق نفقه براى عدّۀ وفات</w:t>
      </w:r>
      <w:bookmarkEnd w:id="127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متوفى عنها زوجها، نفقه و سكنى ندارد اگر چه حامل باشد، چه اينكه قايل باشيم در مورد ثبوت به اينكه نفقه براى حمل است، يا براى حامل</w:t>
      </w:r>
      <w:r>
        <w:rPr>
          <w:rFonts w:eastAsia="IRNazanin" w:cs="IRNazanin"/>
          <w:color w:val="111111"/>
          <w:sz w:val="28"/>
          <w:szCs w:val="28"/>
          <w:rtl w:val="true"/>
          <w:lang w:bidi="fa-IR"/>
        </w:rPr>
        <w:t>.</w:t>
      </w:r>
    </w:p>
    <w:p>
      <w:pPr>
        <w:pStyle w:val="Heading4"/>
        <w:numPr>
          <w:ilvl w:val="3"/>
          <w:numId w:val="1"/>
        </w:numPr>
        <w:rPr/>
      </w:pPr>
      <w:bookmarkStart w:id="1280" w:name="__RefHeading___Toc3808081_1067777946"/>
      <w:bookmarkStart w:id="1281" w:name="_Toc553"/>
      <w:bookmarkEnd w:id="1280"/>
      <w:r>
        <w:rPr>
          <w:rtl w:val="true"/>
        </w:rPr>
        <w:t>تزويج در عدّه</w:t>
      </w:r>
      <w:bookmarkEnd w:id="1281"/>
    </w:p>
    <w:p>
      <w:pPr>
        <w:pStyle w:val="Heading5"/>
        <w:numPr>
          <w:ilvl w:val="4"/>
          <w:numId w:val="1"/>
        </w:numPr>
        <w:rPr/>
      </w:pPr>
      <w:bookmarkStart w:id="1282" w:name="__RefHeading___Toc3808083_1067777946"/>
      <w:bookmarkStart w:id="1283" w:name="_Toc554"/>
      <w:bookmarkEnd w:id="1282"/>
      <w:r>
        <w:rPr>
          <w:rtl w:val="true"/>
        </w:rPr>
        <w:t>اشاره</w:t>
      </w:r>
      <w:bookmarkEnd w:id="128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عده تزويج كرد خود را، صحيح نيست چه جاهل باشد چه عالم، و عدۀ اوّل منقطع نمى شود به اين عقد فاسد؛ پس اگر دخولى از دومى نبود، تغييرى در عدۀ اوّل نمى كند؛ و اگر دومى وطى نمود، با علمِ به تحريم، زانى است و عده براى او نيست، با حمل و عدم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جاهل بود و وطى نمود و حملى حاصل نشد، بعد از اتمام عدۀ اوّل ابتدا مى نمايد به عدۀ كامله براى دومى، و كافى نيست احتساب مشترك براى هر دو و اكمال دومى تا آخر بنابر احتياط لزومى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جاهل بود و حمل حاصل شد و دلالت كرد اماره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مدت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اينكه حمل مال شوهر اوّل است، براى اولى عده مى گيرد به وضع حمل و براى دومى به سه قرء در صاحبۀ اقراء يا به سه ماه از زمان وضع حمل؛ و اگر اماره اى دلالت كرد كه حمل مال دومى است، عده مى گيرد براى دومى به وضع حمل؛ پس از وضع؛ اتمام مى نمايد عدۀ اولى را به اقراء يا اشهر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جا كه عده، اشهر يا اقراء است، در مسترابه به حيض، سابقْ عده است؛ و در مسترابه به حمل گذشت كلام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وطى موجب اعتداد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وضع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اثناى عدۀ اولى به اقراء بود، پس در تلفيق با طهر بعد از ولادت اگر متصل نباشد نفاس، يا استيناف قرء بعد از نفاس </w:t>
      </w:r>
      <w:bookmarkStart w:id="1284" w:name="pg10265_89968"/>
    </w:p>
    <w:p>
      <w:pPr>
        <w:pStyle w:val="BookText"/>
        <w:rPr/>
      </w:pPr>
      <w:bookmarkEnd w:id="1284"/>
      <w:r>
        <w:rPr>
          <w:rFonts w:ascii="Amiri" w:hAnsi="Amiri" w:eastAsia="Amiri" w:cs="Amiri"/>
          <w:color w:val="111111"/>
          <w:sz w:val="28"/>
          <w:sz w:val="28"/>
          <w:szCs w:val="28"/>
          <w:rtl w:val="true"/>
          <w:lang w:bidi="ar-SA"/>
        </w:rPr>
        <w:t>متصل به ولادت، يا خروج قرء سابق بر ولادت از عده، تأمل است</w:t>
      </w:r>
      <w:r>
        <w:rPr>
          <w:rFonts w:eastAsia="Amiri" w:cs="Amiri" w:ascii="Amiri" w:hAnsi="Amiri"/>
          <w:color w:val="111111"/>
          <w:sz w:val="28"/>
          <w:szCs w:val="28"/>
          <w:rtl w:val="true"/>
          <w:lang w:bidi="ar-SA"/>
        </w:rPr>
        <w:t>.</w:t>
      </w:r>
    </w:p>
    <w:p>
      <w:pPr>
        <w:pStyle w:val="Heading5"/>
        <w:numPr>
          <w:ilvl w:val="4"/>
          <w:numId w:val="1"/>
        </w:numPr>
        <w:rPr/>
      </w:pPr>
      <w:bookmarkStart w:id="1285" w:name="__RefHeading___Toc3808085_1067777946"/>
      <w:bookmarkStart w:id="1286" w:name="_Toc555"/>
      <w:bookmarkEnd w:id="1285"/>
      <w:r>
        <w:rPr>
          <w:rtl w:val="true"/>
        </w:rPr>
        <w:t>وطى به شبهه در اثناى عدّه</w:t>
      </w:r>
      <w:bookmarkEnd w:id="1286"/>
    </w:p>
    <w:p>
      <w:pPr>
        <w:pStyle w:val="BookText"/>
        <w:rPr/>
      </w:pPr>
      <w:r>
        <w:rPr>
          <w:rFonts w:ascii="IRNazanin" w:hAnsi="IRNazanin" w:eastAsia="IRNazanin"/>
          <w:color w:val="111111"/>
          <w:sz w:val="28"/>
          <w:sz w:val="28"/>
          <w:szCs w:val="28"/>
          <w:rtl w:val="true"/>
          <w:lang w:bidi="fa-IR"/>
        </w:rPr>
        <w:t>اگر بعد از طلاق اولى دو قرء گذشت، پس از آن وطى به شبهه محقّق شد و حملى حاصل نشد، اكمال مى نمايد عدۀ اولى را به اقراء؛ پس از آن اگر خون، سه ماه منقطع شد، عدۀ دومى به سه ماه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نوبت عدۀ دومى يائسه شد، عده براى دومى ندارد اگر چه در اثناى عدۀ اولى يائسه نبوده بنابر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 شبهه آيا از زمان عدۀ اولى محسوب مى شود و فراش نيست، يا آنكه اكمال عده بعد از ظهور حال مى شود، يا فرق است بين وطى و غير آن از زمان عقد پس وطى فراش دوّم است نه عقد فاسد؟ احتمالاتى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اماره اى بر انتفاى حمل از اوّل و دوّم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اينكه ولادت در اكثر از بالاترين مدت حمل از وطى اوّل و پايين ترين مدت حمل از وطى دوّم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حمل از دو عده خارج است، بلكه عدۀ اوّل را بعد از وضع حمل اتمام مى نمايد، پس از آن ابتداى به عدۀ دومى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حكم زنا به سبب حمل مرتّب نمى شود؛ و با احتمال لحوق به هر يك از اوّل و دوّم آيا با قرعه تعيين مى شود، يا آنكه دومى اولىٰ است، يا آنكه تعبّد شرعى به نفى از هر دو است پس احتمال ملغىٰ است‌؟ احتمالاتى است</w:t>
      </w:r>
      <w:r>
        <w:rPr>
          <w:rFonts w:eastAsia="IRNazanin" w:cs="IRNazanin"/>
          <w:color w:val="111111"/>
          <w:sz w:val="28"/>
          <w:szCs w:val="28"/>
          <w:rtl w:val="true"/>
          <w:lang w:bidi="fa-IR"/>
        </w:rPr>
        <w:t>.</w:t>
      </w:r>
    </w:p>
    <w:p>
      <w:pPr>
        <w:pStyle w:val="Heading4"/>
        <w:numPr>
          <w:ilvl w:val="3"/>
          <w:numId w:val="1"/>
        </w:numPr>
        <w:rPr/>
      </w:pPr>
      <w:bookmarkStart w:id="1287" w:name="__RefHeading___Toc3808087_1067777946"/>
      <w:bookmarkStart w:id="1288" w:name="_Toc556"/>
      <w:bookmarkEnd w:id="1287"/>
      <w:r>
        <w:rPr>
          <w:rtl w:val="true"/>
        </w:rPr>
        <w:t>مبدأ عدّه</w:t>
      </w:r>
      <w:bookmarkEnd w:id="128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زوجۀ حاضر، از حين طلاق و وفات، عده مى گيرد؛ و هم چنين زوجۀ غايب، از حين وقوع طلاق كه ثابت باشد، عده مى گيرد؛ و اگر غايب وفات كرد، مبدأ اعتداد از وقت بلوغ خبر وفات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اظهر عدم لحوق محبوس و مريض و نحو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بلوغ خبر به سببى غير غيبت منتفى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غايب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حكم اعتداد حاضر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w:t>
      </w:r>
      <w:bookmarkStart w:id="1289" w:name="pg10265_89969"/>
    </w:p>
    <w:p>
      <w:pPr>
        <w:pStyle w:val="BookText"/>
        <w:rPr/>
      </w:pPr>
      <w:bookmarkEnd w:id="1289"/>
      <w:r>
        <w:rPr>
          <w:rFonts w:ascii="Amiri" w:hAnsi="Amiri" w:eastAsia="Amiri" w:cs="Amiri"/>
          <w:color w:val="111111"/>
          <w:sz w:val="28"/>
          <w:sz w:val="28"/>
          <w:szCs w:val="28"/>
          <w:rtl w:val="true"/>
          <w:lang w:bidi="ar-SA"/>
        </w:rPr>
        <w:t>امۀ مزوّجه، مثل حره است در اين حكم بنابر احوط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زوجهْ مجنونه يا صغيره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وفات زوج غايب به ولى او نرسيد تا وقتى كه افاقه حاصل شد و يا كبيره شد، اظهر اعتداد از حين بلوغ خبر است، نه از حين وفات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 الولد و محلله كه زوجه نيستند، عدۀ آنها از زمان وفات مالك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زوجه، فرقى بين دائميّه و منقطعه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بلوغِ موجب اعتداد، شرط آن اخبار عدل يا بيّنه نيست؛ بلى بعد از عده هم جايز نيست تزويج مگر بعد از ثبوت شرعى موت زوج و خروج عده، لكن اگر اقدام به تزويج شد بعد معلوم شد صدق اخبار و وقوع عقد بعد از انقضاى عدّه، صحيح است نكاح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بلوغ از ساير امارات ظنيه، به حكم بلوغ نيست اگر چه محل احتياط است در اعتداد و كفايت آن با مصادفت؛ به خلاف كتابت و نحو آن كه براى بلوغ است، كه به منزلۀ بلوغ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وجوب اعتداد به بلوغ، يا جواز تاخير، يا 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است، و اظهر وجوب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مطلّقه در حاضر و غايب، از حين طلاق عدّه مى گيرد؛ مگر آنكه نداند زمان طلاق را كه از حين بلوغ، عده مى گيرد با احتساب مقدارى از زمان كه مى داند گذشته است از زمان واقعى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حلال بودن ازدواج، موقوف به ثابت شدن طلاق است، چنانكه در وفات گذشت</w:t>
      </w:r>
      <w:r>
        <w:rPr>
          <w:rFonts w:eastAsia="IRNazanin" w:cs="IRNazanin"/>
          <w:color w:val="111111"/>
          <w:sz w:val="28"/>
          <w:szCs w:val="28"/>
          <w:rtl w:val="true"/>
          <w:lang w:bidi="fa-IR"/>
        </w:rPr>
        <w:t>.</w:t>
      </w:r>
    </w:p>
    <w:p>
      <w:pPr>
        <w:pStyle w:val="Heading4"/>
        <w:numPr>
          <w:ilvl w:val="3"/>
          <w:numId w:val="1"/>
        </w:numPr>
        <w:rPr/>
      </w:pPr>
      <w:bookmarkStart w:id="1290" w:name="__RefHeading___Toc3808089_1067777946"/>
      <w:bookmarkStart w:id="1291" w:name="_Toc557"/>
      <w:bookmarkEnd w:id="1290"/>
      <w:r>
        <w:rPr>
          <w:rtl w:val="true"/>
        </w:rPr>
        <w:t>حكم عدّۀ طلاق دوّم واقع در اثناى عدّۀ طلاق اوّل</w:t>
      </w:r>
      <w:bookmarkEnd w:id="129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دخول طلاق داد، پس از آن رجوع كرد در اثناى عده، پس از رجوع طلاق داد قبل از دخول ديگر، بايد استيناف نمايد عده را، چون طلاق وارد بر منكوحۀ مدخول بها از همان نكاح شده است؛ 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خُلع واقع شد بعد از طلاق متعقّب بدخول متعقّب به رجوع در عده، در استيناف عده</w:t>
      </w:r>
      <w:r>
        <w:rPr>
          <w:rFonts w:eastAsia="IRNazanin" w:cs="IRNazanin"/>
          <w:color w:val="111111"/>
          <w:sz w:val="28"/>
          <w:szCs w:val="28"/>
          <w:rtl w:val="true"/>
          <w:lang w:bidi="fa-IR"/>
        </w:rPr>
        <w:t xml:space="preserve">. </w:t>
      </w:r>
      <w:bookmarkStart w:id="1292" w:name="pg10265_89970"/>
    </w:p>
    <w:p>
      <w:pPr>
        <w:pStyle w:val="BookText"/>
        <w:rPr/>
      </w:pPr>
      <w:bookmarkEnd w:id="1292"/>
      <w:r>
        <w:rPr>
          <w:rFonts w:ascii="IRNazanin" w:hAnsi="IRNazanin" w:eastAsia="IRNazanin"/>
          <w:color w:val="111111"/>
          <w:sz w:val="28"/>
          <w:sz w:val="28"/>
          <w:szCs w:val="28"/>
          <w:rtl w:val="true"/>
          <w:lang w:bidi="fa-IR"/>
        </w:rPr>
        <w:t>اگر خُلع نمود زن را بعد از دخول با شرط خلع، پس از آن ازدواج نمود با او در عده و طلاق داد قبل از دخول در عقب عقد دوّم، براى عقد دوم عدّه لازم نيست، چون پس از فراش دوّم، دخول واقع نشده است؛ ولى عدّۀ عقد اوّل كه دخول در آن واقع شده بوده، لازم است سپرى شود</w:t>
      </w:r>
      <w:r>
        <w:rPr>
          <w:rFonts w:eastAsia="IRNazanin" w:cs="IRNazanin"/>
          <w:color w:val="111111"/>
          <w:sz w:val="28"/>
          <w:szCs w:val="28"/>
          <w:rtl w:val="true"/>
          <w:lang w:bidi="fa-IR"/>
        </w:rPr>
        <w:t>.</w:t>
      </w:r>
    </w:p>
    <w:p>
      <w:pPr>
        <w:pStyle w:val="Heading4"/>
        <w:numPr>
          <w:ilvl w:val="3"/>
          <w:numId w:val="1"/>
        </w:numPr>
        <w:rPr/>
      </w:pPr>
      <w:bookmarkStart w:id="1293" w:name="__RefHeading___Toc3808091_1067777946"/>
      <w:bookmarkStart w:id="1294" w:name="_Toc558"/>
      <w:bookmarkEnd w:id="1293"/>
      <w:r>
        <w:rPr>
          <w:rtl w:val="true"/>
        </w:rPr>
        <w:t>عدۀ وطى به شبهه و ساير احكام مترتّب بر آن</w:t>
      </w:r>
      <w:bookmarkEnd w:id="129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وطى به شبهه حدّ ندارد و عدّه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شبهه مخصوص به زن باشد عده ندارد و استحقاق مهر ثابت است؛ بلكه ميزان، جهل واطى است كه سبب حق اعتداد او مى شود، لكن احتياط در اعتداد زن اگر خصوص او جاهل باشد ترك نشود؛ پس اگر زن عالم بود و مرد واطى جاهل، عده لازم است و وطى او محترم است و زن استحقاق مهر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عالم مطلقاً حد است و به او ولد لاحق نيست؛ و بر جاهل مطلقاً حد نيست و به او ولد ملحق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 جاهل بود و زنى كه عالم بوده امه بود، ولد لاحق به مرد مى شود و قيمت ولد در روز ولادت او با حيات، بر مرد است، و مهر المثل زن هم براى مولى ثابت است، يا عُشر در بكر و نصف عُشر در ثيّب به نحوى كه در نكاح گذشت</w:t>
      </w:r>
      <w:r>
        <w:rPr>
          <w:rFonts w:eastAsia="IRNazanin" w:cs="IRNazanin"/>
          <w:color w:val="111111"/>
          <w:sz w:val="28"/>
          <w:szCs w:val="28"/>
          <w:rtl w:val="true"/>
          <w:lang w:bidi="fa-IR"/>
        </w:rPr>
        <w:t>.</w:t>
      </w:r>
    </w:p>
    <w:p>
      <w:pPr>
        <w:pStyle w:val="Heading4"/>
        <w:numPr>
          <w:ilvl w:val="3"/>
          <w:numId w:val="1"/>
        </w:numPr>
        <w:rPr/>
      </w:pPr>
      <w:bookmarkStart w:id="1295" w:name="__RefHeading___Toc3808093_1067777946"/>
      <w:bookmarkStart w:id="1296" w:name="_Toc559"/>
      <w:bookmarkEnd w:id="1295"/>
      <w:r>
        <w:rPr>
          <w:rtl w:val="true"/>
        </w:rPr>
        <w:t>وطى به شبهه توسّط مطلّق در ايّام عدّه</w:t>
      </w:r>
      <w:bookmarkEnd w:id="129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طلاق بائن طلاق داد، پس از آن در عدّه وطى به شبهه نمود، احوط عدم تداخل دو عده است، اگر چه تداخل در مورد قابل چه حامل باشد مطلقه يا غير حامل، خالى از 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طلاق رجعى بود و عدۀ او زمان حمل بود، تا وضع حمل مى تواند رجوع نمايد بنابر آنكه وطى شبهۀ طارى، رجوع تعبدى نيست</w:t>
      </w:r>
      <w:r>
        <w:rPr>
          <w:rFonts w:eastAsia="IRNazanin" w:cs="IRNazanin"/>
          <w:color w:val="111111"/>
          <w:sz w:val="28"/>
          <w:szCs w:val="28"/>
          <w:rtl w:val="true"/>
          <w:lang w:bidi="fa-IR"/>
        </w:rPr>
        <w:t>.</w:t>
      </w:r>
    </w:p>
    <w:p>
      <w:pPr>
        <w:pStyle w:val="Heading4"/>
        <w:numPr>
          <w:ilvl w:val="3"/>
          <w:numId w:val="1"/>
        </w:numPr>
        <w:rPr/>
      </w:pPr>
      <w:bookmarkStart w:id="1297" w:name="__RefHeading___Toc3808095_1067777946"/>
      <w:bookmarkStart w:id="1298" w:name="_Toc560"/>
      <w:bookmarkEnd w:id="1297"/>
      <w:r>
        <w:rPr>
          <w:rtl w:val="true"/>
        </w:rPr>
        <w:t>فرض تحقق حمل در صورت وطى به شبهه توسّط مطلّق در ايّام عدّه</w:t>
      </w:r>
      <w:bookmarkEnd w:id="129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وطى به شبهه سبب حمل شد و عارض بر عدۀ طلاق به اقراء بود كه در </w:t>
      </w:r>
      <w:bookmarkStart w:id="1299" w:name="pg10265_89971"/>
    </w:p>
    <w:p>
      <w:pPr>
        <w:pStyle w:val="BookText"/>
        <w:rPr/>
      </w:pPr>
      <w:bookmarkEnd w:id="1299"/>
      <w:r>
        <w:rPr>
          <w:rFonts w:ascii="Amiri" w:hAnsi="Amiri" w:eastAsia="Amiri" w:cs="Amiri"/>
          <w:color w:val="111111"/>
          <w:sz w:val="28"/>
          <w:sz w:val="28"/>
          <w:szCs w:val="28"/>
          <w:rtl w:val="true"/>
          <w:lang w:bidi="ar-SA"/>
        </w:rPr>
        <w:t>حمل اتفاق نيفتاد، احوط استيناف يا اتمام عده به اقراء است بعد از وضع حمل در صورت مفروضه كه واطى و طلاق دهنده، يكى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وطى شبهه عارض بر عدّۀ حمل بود و اعتداد به اشهر از وطى شبهه بود و كمتر از سه ماه مانده بود تا وضع، استيناف يا اتمام اشهر بعد از وضع مى نمايد؛ و اگر در حمل خونها را ديد، جمع بين دو عده در زمان ممكن، خالى از وجه نيست، بلكه ممكن است به وضع، هر دو عده منقضى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عده به اقراء يا اشهر باشد، پس بنابر تداخل، استيناف عدّه پس از وطى شبهه مى نمايد، و در مقدار اكمال اولى هر دو مشتركند؛ و اگر طلاق رجعى بوده در همان بقيه كه مشترك با دوّم است مى تواند رجوع نمايد، نه در بقيه، و مى تواند در بقيه و بعد از آن تجديد نكاح نمايد با عدم استيفاى عدد 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جنسِ دو عدّه، مختلف باشد و يكى به اقراء يا اشهر و ديگرى با وضع حمل باشد، پس مقتضاى هركدام رعايت مى شود، و گاهى در بعض يا تمام تداخل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عدۀ طلاق، حمل بود و طلاق رجعى بود، مى تواند تا وضع، رجوع نمايد؛ و اگر باقى مانده از عدۀ وطى شبهه، در بقيه رجوع نيست و تجديد نكاح جايز است،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عدۀ طلاق، حمل نبود بلكه عدۀ وطى، حمل بود، پس اگر زمان حمل داخل در عدۀ مشترك بود، اظهر جواز رجوع است تا انتهاى عدۀ طلاق رجعى؛ و اگر بقيه از اين عده بود در آن بقيه هم مى تواند رجوع نمايد؛ و اگر منقضى شده بود عدۀ طلاق يا بقيۀ آن يا تمام آن، بعد از وضع حساب مى شود، در خصوص واقع در عدۀ طلاق رجوع هست و در آنچه خارج از آن است رجوع نيست</w:t>
      </w:r>
      <w:r>
        <w:rPr>
          <w:rFonts w:eastAsia="IRNazanin" w:cs="IRNazanin"/>
          <w:color w:val="111111"/>
          <w:sz w:val="28"/>
          <w:szCs w:val="28"/>
          <w:rtl w:val="true"/>
          <w:lang w:bidi="fa-IR"/>
        </w:rPr>
        <w:t>.</w:t>
      </w:r>
    </w:p>
    <w:p>
      <w:pPr>
        <w:pStyle w:val="Heading4"/>
        <w:numPr>
          <w:ilvl w:val="3"/>
          <w:numId w:val="1"/>
        </w:numPr>
        <w:rPr/>
      </w:pPr>
      <w:bookmarkStart w:id="1300" w:name="__RefHeading___Toc3808097_1067777946"/>
      <w:bookmarkStart w:id="1301" w:name="_Toc561"/>
      <w:bookmarkEnd w:id="1300"/>
      <w:r>
        <w:rPr>
          <w:rtl w:val="true"/>
        </w:rPr>
        <w:t>فسخ مطلقۀ رجعيه در اثناى عده</w:t>
      </w:r>
      <w:bookmarkEnd w:id="130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فسخ كرد مطلقۀ رجعيّه در اثناى عده و بنابر تاثير فسخ بود، براى آن </w:t>
      </w:r>
      <w:bookmarkStart w:id="1302" w:name="pg10265_89972"/>
    </w:p>
    <w:p>
      <w:pPr>
        <w:pStyle w:val="BookText"/>
        <w:rPr/>
      </w:pPr>
      <w:bookmarkEnd w:id="1302"/>
      <w:r>
        <w:rPr>
          <w:rFonts w:ascii="Amiri" w:hAnsi="Amiri" w:eastAsia="Amiri" w:cs="Amiri"/>
          <w:color w:val="111111"/>
          <w:sz w:val="28"/>
          <w:sz w:val="28"/>
          <w:szCs w:val="28"/>
          <w:rtl w:val="true"/>
          <w:lang w:bidi="ar-SA"/>
        </w:rPr>
        <w:t>ابتداى عدۀ معيّن مى شود؛ و تداخل با عدۀ سابقه در بعض و اكمال دومى، موقوف به شرط تداخل است، لكن با تداخل رجوع بقيۀ اوّل نيست در فسخ، به خلاف وطى شبهه، به جهت اقتضاى فسخ عدم بقاى نكاح را به خلاف وطى</w:t>
      </w:r>
      <w:r>
        <w:rPr>
          <w:rFonts w:eastAsia="Amiri" w:cs="Amiri" w:ascii="Amiri" w:hAnsi="Amiri"/>
          <w:color w:val="111111"/>
          <w:sz w:val="28"/>
          <w:szCs w:val="28"/>
          <w:rtl w:val="true"/>
          <w:lang w:bidi="ar-SA"/>
        </w:rPr>
        <w:t>.</w:t>
      </w:r>
    </w:p>
    <w:p>
      <w:pPr>
        <w:pStyle w:val="Heading4"/>
        <w:numPr>
          <w:ilvl w:val="3"/>
          <w:numId w:val="1"/>
        </w:numPr>
        <w:rPr/>
      </w:pPr>
      <w:bookmarkStart w:id="1303" w:name="__RefHeading___Toc3808099_1067777946"/>
      <w:bookmarkStart w:id="1304" w:name="_Toc562"/>
      <w:bookmarkEnd w:id="1303"/>
      <w:r>
        <w:rPr>
          <w:rtl w:val="true"/>
        </w:rPr>
        <w:t>نكاح با مشتبه در اثناى عدۀ رجعيّه</w:t>
      </w:r>
      <w:bookmarkEnd w:id="130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ازدواج كرد با مشتبه در اثناى عدۀ رجعيه و از دومى حمل حاصل شد، عدۀ دومى به وضع حمل است و عدّۀ اولى را بعد از وضع حمل به اقراء يا اشهر اكمال مى نمايد؛ و آنچه محسوب از عدۀ رجعيه است حتى در مورد تداخل دو عده، جواز رجوع در آن هست به خلاف آنچه مخصوص به عدۀ وطى شبهه است؛ و در صورت رجوع در عدۀ رجعيه، جواز وطى بعد از انقضاى عدّۀ دوّم، معلوم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وحده و الصلاة علىٰ محمد و آله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5" w:name="pg10265_89974"/>
      <w:bookmarkStart w:id="1306" w:name="pg10265_89974"/>
      <w:bookmarkEnd w:id="1306"/>
    </w:p>
    <w:p>
      <w:pPr>
        <w:pStyle w:val="Heading2"/>
        <w:numPr>
          <w:ilvl w:val="1"/>
          <w:numId w:val="1"/>
        </w:numPr>
        <w:rPr/>
      </w:pPr>
      <w:bookmarkStart w:id="1307" w:name="pg10265_89974"/>
      <w:bookmarkStart w:id="1308" w:name="__RefHeading___Toc3808101_1067777946"/>
      <w:bookmarkStart w:id="1309" w:name="_Toc563"/>
      <w:bookmarkEnd w:id="1307"/>
      <w:bookmarkEnd w:id="1308"/>
      <w:r>
        <w:rPr>
          <w:rtl w:val="true"/>
        </w:rPr>
        <w:t>كتاب خُلع</w:t>
      </w:r>
      <w:bookmarkEnd w:id="1309"/>
    </w:p>
    <w:p>
      <w:pPr>
        <w:pStyle w:val="Heading3"/>
        <w:numPr>
          <w:ilvl w:val="2"/>
          <w:numId w:val="1"/>
        </w:numPr>
        <w:rPr/>
      </w:pPr>
      <w:bookmarkStart w:id="1310" w:name="__RefHeading___Toc3808103_1067777946"/>
      <w:bookmarkStart w:id="1311" w:name="_Toc564"/>
      <w:bookmarkEnd w:id="1310"/>
      <w:r>
        <w:rPr>
          <w:rtl w:val="true"/>
        </w:rPr>
        <w:t>اشاره</w:t>
      </w:r>
      <w:bookmarkEnd w:id="1311"/>
    </w:p>
    <w:p>
      <w:pPr>
        <w:pStyle w:val="BookText"/>
        <w:rPr/>
      </w:pPr>
      <w:r>
        <w:rPr>
          <w:rFonts w:ascii="Amiri" w:hAnsi="Amiri" w:eastAsia="Amiri" w:cs="Amiri"/>
          <w:color w:val="111111"/>
          <w:sz w:val="28"/>
          <w:sz w:val="28"/>
          <w:szCs w:val="28"/>
          <w:rtl w:val="true"/>
          <w:lang w:bidi="ar-SA"/>
        </w:rPr>
        <w:t>صيغۀ خُلع</w:t>
      </w:r>
    </w:p>
    <w:p>
      <w:pPr>
        <w:pStyle w:val="BookText"/>
        <w:rPr/>
      </w:pPr>
      <w:r>
        <w:rPr>
          <w:rFonts w:ascii="Amiri" w:hAnsi="Amiri" w:eastAsia="Amiri" w:cs="Amiri"/>
          <w:color w:val="111111"/>
          <w:sz w:val="28"/>
          <w:sz w:val="28"/>
          <w:szCs w:val="28"/>
          <w:rtl w:val="true"/>
          <w:lang w:bidi="ar-SA"/>
        </w:rPr>
        <w:t>احكام فديه</w:t>
      </w:r>
    </w:p>
    <w:p>
      <w:pPr>
        <w:pStyle w:val="BookText"/>
        <w:rPr/>
      </w:pPr>
      <w:r>
        <w:rPr>
          <w:rFonts w:ascii="Amiri" w:hAnsi="Amiri" w:eastAsia="Amiri" w:cs="Amiri"/>
          <w:color w:val="111111"/>
          <w:sz w:val="28"/>
          <w:sz w:val="28"/>
          <w:szCs w:val="28"/>
          <w:rtl w:val="true"/>
          <w:lang w:bidi="ar-SA"/>
        </w:rPr>
        <w:t>شرايط صحّت خُلع</w:t>
      </w:r>
    </w:p>
    <w:p>
      <w:pPr>
        <w:pStyle w:val="BookText"/>
        <w:rPr/>
      </w:pPr>
      <w:r>
        <w:rPr>
          <w:rFonts w:ascii="Amiri" w:hAnsi="Amiri" w:eastAsia="Amiri" w:cs="Amiri"/>
          <w:color w:val="111111"/>
          <w:sz w:val="28"/>
          <w:sz w:val="28"/>
          <w:szCs w:val="28"/>
          <w:rtl w:val="true"/>
          <w:lang w:bidi="ar-SA"/>
        </w:rPr>
        <w:t>احكام خُلع و تنازع در خُلع</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مبارات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2" w:name="pg10265_89976"/>
      <w:bookmarkStart w:id="1313" w:name="pg10265_89976"/>
      <w:bookmarkEnd w:id="1313"/>
    </w:p>
    <w:p>
      <w:pPr>
        <w:pStyle w:val="Heading3"/>
        <w:numPr>
          <w:ilvl w:val="2"/>
          <w:numId w:val="1"/>
        </w:numPr>
        <w:rPr/>
      </w:pPr>
      <w:bookmarkStart w:id="1314" w:name="pg10265_89976"/>
      <w:bookmarkStart w:id="1315" w:name="__RefHeading___Toc3808105_1067777946"/>
      <w:bookmarkStart w:id="1316" w:name="_Toc565"/>
      <w:bookmarkEnd w:id="1314"/>
      <w:bookmarkEnd w:id="1315"/>
      <w:r>
        <w:rPr>
          <w:rtl w:val="true"/>
        </w:rPr>
        <w:t>فصل اوّل صيغۀ خُلع</w:t>
      </w:r>
      <w:bookmarkEnd w:id="1316"/>
    </w:p>
    <w:p>
      <w:pPr>
        <w:pStyle w:val="Heading4"/>
        <w:numPr>
          <w:ilvl w:val="3"/>
          <w:numId w:val="1"/>
        </w:numPr>
        <w:rPr/>
      </w:pPr>
      <w:bookmarkStart w:id="1317" w:name="__RefHeading___Toc3808107_1067777946"/>
      <w:bookmarkStart w:id="1318" w:name="_Toc566"/>
      <w:bookmarkEnd w:id="1317"/>
      <w:r>
        <w:rPr>
          <w:rtl w:val="true"/>
        </w:rPr>
        <w:t>تعريف خُلع</w:t>
      </w:r>
      <w:bookmarkEnd w:id="1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است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ازالۀ نكاح، با فديه از زن و با كراهت خصوص زن</w:t>
      </w:r>
      <w:r>
        <w:rPr>
          <w:rFonts w:eastAsia="Amiri" w:cs="Amiri" w:ascii="Amiri" w:hAnsi="Amiri"/>
          <w:color w:val="111111"/>
          <w:sz w:val="28"/>
          <w:szCs w:val="28"/>
          <w:rtl w:val="true"/>
          <w:lang w:bidi="ar-SA"/>
        </w:rPr>
        <w:t>».</w:t>
      </w:r>
    </w:p>
    <w:p>
      <w:pPr>
        <w:pStyle w:val="Heading4"/>
        <w:numPr>
          <w:ilvl w:val="3"/>
          <w:numId w:val="1"/>
        </w:numPr>
        <w:rPr/>
      </w:pPr>
      <w:bookmarkStart w:id="1319" w:name="__RefHeading___Toc3808109_1067777946"/>
      <w:bookmarkStart w:id="1320" w:name="_Toc567"/>
      <w:bookmarkEnd w:id="1319"/>
      <w:r>
        <w:rPr>
          <w:rtl w:val="true"/>
        </w:rPr>
        <w:t>صيغۀ خُلع</w:t>
      </w:r>
      <w:bookmarkEnd w:id="1320"/>
    </w:p>
    <w:p>
      <w:pPr>
        <w:pStyle w:val="BookText"/>
        <w:rPr/>
      </w:pPr>
      <w:r>
        <w:rPr>
          <w:rFonts w:ascii="Amiri" w:hAnsi="Amiri" w:eastAsia="Amiri" w:cs="Amiri"/>
          <w:color w:val="111111"/>
          <w:sz w:val="28"/>
          <w:sz w:val="28"/>
          <w:szCs w:val="28"/>
          <w:rtl w:val="true"/>
          <w:lang w:bidi="ar-SA"/>
        </w:rPr>
        <w:t>صيغۀ آن عبارت است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خلعتك عَلى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فلانة مختلعة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كسر يا 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اظهر ترتّب احكام خلع است بدون تعقيب آن به صيغۀ 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احوط عدم وقوع خلع است به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فاسختك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اَقلتُك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خلع، طلاق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مجرد از اتباع به طلاق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فسخ؛ پس در عدد طلاقها داخل و محسوب است</w:t>
      </w:r>
      <w:r>
        <w:rPr>
          <w:rFonts w:eastAsia="IRNazanin" w:cs="IRNazanin"/>
          <w:color w:val="111111"/>
          <w:sz w:val="28"/>
          <w:szCs w:val="28"/>
          <w:rtl w:val="true"/>
          <w:lang w:bidi="fa-IR"/>
        </w:rPr>
        <w:t>.</w:t>
      </w:r>
    </w:p>
    <w:p>
      <w:pPr>
        <w:pStyle w:val="Heading4"/>
        <w:numPr>
          <w:ilvl w:val="3"/>
          <w:numId w:val="1"/>
        </w:numPr>
        <w:rPr/>
      </w:pPr>
      <w:bookmarkStart w:id="1321" w:name="__RefHeading___Toc3808111_1067777946"/>
      <w:bookmarkStart w:id="1322" w:name="_Toc568"/>
      <w:bookmarkEnd w:id="1321"/>
      <w:r>
        <w:rPr>
          <w:rtl w:val="true"/>
        </w:rPr>
        <w:t>بعضى از موارد صدق و يا عدم صدق خُلع</w:t>
      </w:r>
      <w:bookmarkEnd w:id="1322"/>
    </w:p>
    <w:p>
      <w:pPr>
        <w:pStyle w:val="BookText"/>
        <w:rPr/>
      </w:pPr>
      <w:r>
        <w:rPr>
          <w:rFonts w:ascii="IRNazanin" w:hAnsi="IRNazanin" w:eastAsia="IRNazanin"/>
          <w:color w:val="111111"/>
          <w:sz w:val="28"/>
          <w:sz w:val="28"/>
          <w:szCs w:val="28"/>
          <w:rtl w:val="true"/>
          <w:lang w:bidi="fa-IR"/>
        </w:rPr>
        <w:t>و طلاق به عوض، با كراهت زن بالخصوص، خلع است اگر چه خالى از لفظ خلع باشد، و احكام خلع بر آن مرتّب است بنابر اظهر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خواست از شوهر طلاق به عوض را، پس خلع كرد او را بدون لفظ طلاق، صحيح است و خلع واقع مى شود بنابر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خواست خلع به عوض را، پس طلاق داد به عوض، لازم است بذل، چه آنكه خلع طلاق باشد، يا محتاج به طلاق </w:t>
      </w:r>
    </w:p>
    <w:p>
      <w:pPr>
        <w:pStyle w:val="BookText"/>
        <w:rPr/>
      </w:pPr>
      <w:r>
        <w:rPr>
          <w:rFonts w:ascii="Amiri" w:hAnsi="Amiri" w:eastAsia="Amiri" w:cs="Amiri"/>
          <w:color w:val="111111"/>
          <w:sz w:val="28"/>
          <w:sz w:val="28"/>
          <w:szCs w:val="28"/>
          <w:rtl w:val="true"/>
          <w:lang w:bidi="ar-SA"/>
        </w:rPr>
        <w:t>باشد، نه آنكه فسخ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ابتدائاً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طالق بكذا عوضاً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عليك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طلاق رجعى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خلع بودن، موقوف است به تقدم بذل او براى خلع و تعقّب به خلع، مثل اينكه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بذلت لكَ كذا علىٰ أن تخلعنى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خلعتك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طالق بذلك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تقدم خلع با تعقّب به قبول زن، يا تقدم دال بر طلاق به عوض بر قبول 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احوط تلفظ به بذل فداء است در حال اختيار، و عدم اكتفاى به دفع به قصد فداء، و ذكر فداء است لفظاً در خُلع، و عدم اكتفاى به مجرّد قصد است</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بگويد مرا طلاق بده با هزار تومان مثلاً، اگر جواب بدهد فوراً، خلع محقّق مى شود؛ و اگر منفصل باشد به مدتى، خلع نمى شود و استحقاق عوض ندارد، بلكه اگر قبول لاحق نشد رجعى يا بائن غير خلع مى شود</w:t>
      </w:r>
      <w:r>
        <w:rPr>
          <w:rFonts w:eastAsia="IRNazanin" w:cs="IRNazanin"/>
          <w:color w:val="111111"/>
          <w:sz w:val="28"/>
          <w:szCs w:val="28"/>
          <w:rtl w:val="true"/>
          <w:lang w:bidi="fa-IR"/>
        </w:rPr>
        <w:t xml:space="preserve">. </w:t>
      </w:r>
      <w:bookmarkStart w:id="1323" w:name="pg10265_89978"/>
    </w:p>
    <w:p>
      <w:pPr>
        <w:pStyle w:val="Heading3"/>
        <w:numPr>
          <w:ilvl w:val="2"/>
          <w:numId w:val="1"/>
        </w:numPr>
        <w:rPr/>
      </w:pPr>
      <w:bookmarkStart w:id="1324" w:name="__RefHeading___Toc3808113_1067777946"/>
      <w:bookmarkStart w:id="1325" w:name="_Toc569"/>
      <w:bookmarkEnd w:id="1323"/>
      <w:bookmarkEnd w:id="1324"/>
      <w:r>
        <w:rPr>
          <w:rtl w:val="true"/>
        </w:rPr>
        <w:t>فصل دوّم احكام فديه</w:t>
      </w:r>
      <w:bookmarkEnd w:id="1325"/>
    </w:p>
    <w:p>
      <w:pPr>
        <w:pStyle w:val="Heading4"/>
        <w:numPr>
          <w:ilvl w:val="3"/>
          <w:numId w:val="1"/>
        </w:numPr>
        <w:rPr/>
      </w:pPr>
      <w:bookmarkStart w:id="1326" w:name="__RefHeading___Toc3808115_1067777946"/>
      <w:bookmarkStart w:id="1327" w:name="_Toc570"/>
      <w:bookmarkEnd w:id="1326"/>
      <w:r>
        <w:rPr>
          <w:rtl w:val="true"/>
        </w:rPr>
        <w:t>اشاره</w:t>
      </w:r>
      <w:bookmarkEnd w:id="1327"/>
    </w:p>
    <w:p>
      <w:pPr>
        <w:pStyle w:val="BookText"/>
        <w:rPr/>
      </w:pPr>
      <w:r>
        <w:rPr>
          <w:rFonts w:ascii="IRNazanin" w:hAnsi="IRNazanin" w:eastAsia="IRNazanin"/>
          <w:color w:val="111111"/>
          <w:sz w:val="28"/>
          <w:sz w:val="28"/>
          <w:szCs w:val="28"/>
          <w:rtl w:val="true"/>
          <w:lang w:bidi="fa-IR"/>
        </w:rPr>
        <w:t>خلع محقّق مى شود با زوجيّت دائميّۀ 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چيز كه صلاحيت امهار داشته باشد، صلاحيت فداء دارد، و اگر صلاحيت امهار ندارد، صلاحيت فداء ندارد</w:t>
      </w:r>
      <w:r>
        <w:rPr>
          <w:rFonts w:eastAsia="IRNazanin" w:cs="IRNazanin"/>
          <w:color w:val="111111"/>
          <w:sz w:val="28"/>
          <w:szCs w:val="28"/>
          <w:rtl w:val="true"/>
          <w:lang w:bidi="fa-IR"/>
        </w:rPr>
        <w:t>.</w:t>
      </w:r>
    </w:p>
    <w:p>
      <w:pPr>
        <w:pStyle w:val="Heading4"/>
        <w:numPr>
          <w:ilvl w:val="3"/>
          <w:numId w:val="1"/>
        </w:numPr>
        <w:rPr/>
      </w:pPr>
      <w:bookmarkStart w:id="1328" w:name="__RefHeading___Toc3808117_1067777946"/>
      <w:bookmarkStart w:id="1329" w:name="_Toc571"/>
      <w:bookmarkEnd w:id="1328"/>
      <w:r>
        <w:rPr>
          <w:rtl w:val="true"/>
        </w:rPr>
        <w:t>علم و جهل به فداء</w:t>
      </w:r>
      <w:bookmarkEnd w:id="1329"/>
    </w:p>
    <w:p>
      <w:pPr>
        <w:pStyle w:val="BookText"/>
        <w:rPr/>
      </w:pPr>
      <w:r>
        <w:rPr>
          <w:rFonts w:ascii="IRNazanin" w:hAnsi="IRNazanin" w:eastAsia="IRNazanin"/>
          <w:color w:val="111111"/>
          <w:sz w:val="28"/>
          <w:sz w:val="28"/>
          <w:szCs w:val="28"/>
          <w:rtl w:val="true"/>
          <w:lang w:bidi="fa-IR"/>
        </w:rPr>
        <w:t>و جهالت قابل انتهاى به علم، مضر نيست به فداء؛ به خلاف غير قابل، مثل درهم با اختلاف نقد بلد بدون غلبۀ بعض، و اگر غالب بود، منصرف مى شود اطلاق به غالب؛ مثل صورت تعيين اگر چه در غير غالب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ذكر كرد اَلْف را بدون تعيين و قصد تميز، خلع واقع نمى شود، بلكه احوط عدم اكتفاى به مجرّد قصد تميز از ذكر آن است، چنانكه در اصل فداء گذشت، اگر چه زن موافق بشود با مقصود زوج كه مجهول زن است</w:t>
      </w:r>
      <w:r>
        <w:rPr>
          <w:rFonts w:eastAsia="IRNazanin" w:cs="IRNazanin"/>
          <w:color w:val="111111"/>
          <w:sz w:val="28"/>
          <w:szCs w:val="28"/>
          <w:rtl w:val="true"/>
          <w:lang w:bidi="fa-IR"/>
        </w:rPr>
        <w:t>.</w:t>
      </w:r>
    </w:p>
    <w:p>
      <w:pPr>
        <w:pStyle w:val="Heading4"/>
        <w:numPr>
          <w:ilvl w:val="3"/>
          <w:numId w:val="1"/>
        </w:numPr>
        <w:rPr/>
      </w:pPr>
      <w:bookmarkStart w:id="1330" w:name="__RefHeading___Toc3808119_1067777946"/>
      <w:bookmarkStart w:id="1331" w:name="_Toc572"/>
      <w:bookmarkEnd w:id="1330"/>
      <w:r>
        <w:rPr>
          <w:rtl w:val="true"/>
        </w:rPr>
        <w:t>غير مملوك بودن فدا و يا مستحق غير بودن آن</w:t>
      </w:r>
      <w:bookmarkEnd w:id="133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فداء، مملوك مسلمان نباشد، مثل خمر و خنزير، بذل فاسد است و خلع واقع نمى شود؛ و در صورت تعقيب به طلاق، طلاق رجعى واقع مى شود، و در صورت اقتصار بر خلع تأمل است در وقوع طلاق رجعى اگر چه خالى از وجه نيست اگر چه بدون قصد طلاق به عوض، طلاق به صيغۀ خلع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غير باشد</w:t>
      </w:r>
      <w:r>
        <w:rPr>
          <w:rFonts w:eastAsia="IRNazanin" w:cs="IRNazanin"/>
          <w:color w:val="111111"/>
          <w:sz w:val="28"/>
          <w:szCs w:val="28"/>
          <w:rtl w:val="true"/>
          <w:lang w:bidi="fa-IR"/>
        </w:rPr>
        <w:t xml:space="preserve">. </w:t>
      </w:r>
      <w:bookmarkStart w:id="1332" w:name="pg10265_89979"/>
    </w:p>
    <w:p>
      <w:pPr>
        <w:pStyle w:val="BookText"/>
        <w:rPr/>
      </w:pPr>
      <w:bookmarkEnd w:id="1332"/>
      <w:r>
        <w:rPr>
          <w:rFonts w:ascii="IRNazanin" w:hAnsi="IRNazanin" w:eastAsia="IRNazanin"/>
          <w:color w:val="111111"/>
          <w:sz w:val="28"/>
          <w:sz w:val="28"/>
          <w:szCs w:val="28"/>
          <w:rtl w:val="true"/>
          <w:lang w:bidi="fa-IR"/>
        </w:rPr>
        <w:t>و اگر جاهل به عدم مملوكيت باشد، مثل اعتقاد خلّيّت خمرى يا اعتقاد عدم مغصوبيت و مستحق غير بودن، صحيح است خلع؛ و به قدر آن ظرف، خَلّ مستحَق خالع است اگر قصد تشخص نباشد، وگرنه در استحقاق قيمت يا بطلان فداء و انقلاب به رجعى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حمل دابّه يا جاريه را فداء قرار داد با عدم وجود آن، فداء صحيح نيست، و در صورت اطمينان به وجودش بعد از فداء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ثمرۀ نخل اگر ما فى الكف را فداء قرار داد، پس اگر بداند كه متموّل است، صحيح است و اگر خلاف مكشوف شد فداء باطل و طلاق رجعى است؛ و اگر نداند باطل است</w:t>
      </w:r>
      <w:r>
        <w:rPr>
          <w:rFonts w:eastAsia="IRNazanin" w:cs="IRNazanin"/>
          <w:color w:val="111111"/>
          <w:sz w:val="28"/>
          <w:szCs w:val="28"/>
          <w:rtl w:val="true"/>
          <w:lang w:bidi="fa-IR"/>
        </w:rPr>
        <w:t>.</w:t>
      </w:r>
    </w:p>
    <w:p>
      <w:pPr>
        <w:pStyle w:val="Heading4"/>
        <w:numPr>
          <w:ilvl w:val="3"/>
          <w:numId w:val="1"/>
        </w:numPr>
        <w:rPr/>
      </w:pPr>
      <w:bookmarkStart w:id="1333" w:name="__RefHeading___Toc3808121_1067777946"/>
      <w:bookmarkStart w:id="1334" w:name="_Toc573"/>
      <w:bookmarkEnd w:id="1333"/>
      <w:r>
        <w:rPr>
          <w:rtl w:val="true"/>
        </w:rPr>
        <w:t>بذل فداء</w:t>
      </w:r>
      <w:bookmarkEnd w:id="1334"/>
    </w:p>
    <w:p>
      <w:pPr>
        <w:pStyle w:val="BookText"/>
        <w:rPr/>
      </w:pPr>
      <w:r>
        <w:rPr>
          <w:rFonts w:ascii="IRNazanin" w:hAnsi="IRNazanin" w:eastAsia="IRNazanin"/>
          <w:color w:val="111111"/>
          <w:sz w:val="28"/>
          <w:sz w:val="28"/>
          <w:szCs w:val="28"/>
          <w:rtl w:val="true"/>
          <w:lang w:bidi="fa-IR"/>
        </w:rPr>
        <w:t>بذل فداء، صحيح است، چه آنكه از زن باشد يا وكيل او يا ضامن به اذن او يا متبرع به فداء باذن او به نحوى كه افتداى اضافه به اختيار او باشد، از مال خودش يا غير به نحو مذكور، اگر چه احتياط در تقديم قرض و نحو آن بر فداء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بذل او و رجوع او با اذن او مؤثر است، اظهر جواز رجوع است با ضمان و تبرّع اگر چه بعد از استرجاع، مالك اولى مالك باشد فداء را نه زن؛ و صورت تقدّم سؤال زن يا تأخر قبول او فرقى ندارد در جهت مذكوره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اجنبى بذل نمود به ادّعاى وكالت از زوجه بعد معلوم شد كذب او، فداء و خلع صحيح نيست، و در رجعى بودن طلاق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تعبير به طلاق، گذشت بيان مختار</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طلِّقها على الف من مالها و علىّ ضمانها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عبدها هذا و علىّ ضمانه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رضايت زن، صحيح است فداء و خلع؛ و اگر راضى به دفع بذل نشد و اجازه نكرد، خلع محقّق نمى شود و طلاق رجعى مى شود بنابر آنچه گذشت؛ و اگر اجازۀ كاشفه، لاحق شد، صحّت فداء و خلع و ضمان، خالى از وجه نيست</w:t>
      </w:r>
      <w:r>
        <w:rPr>
          <w:rFonts w:eastAsia="IRNazanin" w:cs="IRNazanin"/>
          <w:color w:val="111111"/>
          <w:sz w:val="28"/>
          <w:szCs w:val="28"/>
          <w:rtl w:val="true"/>
          <w:lang w:bidi="fa-IR"/>
        </w:rPr>
        <w:t xml:space="preserve">. </w:t>
      </w:r>
      <w:bookmarkStart w:id="1335" w:name="pg10265_89980"/>
    </w:p>
    <w:p>
      <w:pPr>
        <w:pStyle w:val="Heading4"/>
        <w:numPr>
          <w:ilvl w:val="3"/>
          <w:numId w:val="1"/>
        </w:numPr>
        <w:rPr/>
      </w:pPr>
      <w:bookmarkStart w:id="1336" w:name="__RefHeading___Toc3808123_1067777946"/>
      <w:bookmarkStart w:id="1337" w:name="_Toc574"/>
      <w:bookmarkEnd w:id="1335"/>
      <w:bookmarkEnd w:id="1336"/>
      <w:r>
        <w:rPr>
          <w:rtl w:val="true"/>
        </w:rPr>
        <w:t>خلع در مرض موت</w:t>
      </w:r>
      <w:bookmarkEnd w:id="1337"/>
    </w:p>
    <w:p>
      <w:pPr>
        <w:pStyle w:val="BookText"/>
        <w:rPr/>
      </w:pPr>
      <w:r>
        <w:rPr>
          <w:rFonts w:ascii="IRNazanin" w:hAnsi="IRNazanin" w:eastAsia="IRNazanin"/>
          <w:color w:val="111111"/>
          <w:sz w:val="28"/>
          <w:sz w:val="28"/>
          <w:szCs w:val="28"/>
          <w:rtl w:val="true"/>
          <w:lang w:bidi="fa-IR"/>
        </w:rPr>
        <w:t xml:space="preserve">اگر در مرض موت فداء كرد براى خلع، صحيح است اگر چه زايد بر ثلث مال خود بذل نموده باشد، بنابراين كه منجّزات از اصل است، چنانچه مختار همين است مطلقاً يا در غير عتق؛ اگر چه منسوب به مشهور در خصوص اين مقام اين است كه زايد بر مهر المثل، از ثلث محسوب مى شود؛ و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همه از ثلث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مرض زوج تاثيرى در خلع او ندارد اگر چه به كمتر از مهر المثل باشد</w:t>
      </w:r>
      <w:r>
        <w:rPr>
          <w:rFonts w:eastAsia="IRNazanin" w:cs="IRNazanin"/>
          <w:color w:val="111111"/>
          <w:sz w:val="28"/>
          <w:szCs w:val="28"/>
          <w:rtl w:val="true"/>
          <w:lang w:bidi="fa-IR"/>
        </w:rPr>
        <w:t>.</w:t>
      </w:r>
    </w:p>
    <w:p>
      <w:pPr>
        <w:pStyle w:val="Heading4"/>
        <w:numPr>
          <w:ilvl w:val="3"/>
          <w:numId w:val="1"/>
        </w:numPr>
        <w:rPr/>
      </w:pPr>
      <w:bookmarkStart w:id="1338" w:name="__RefHeading___Toc3808125_1067777946"/>
      <w:bookmarkStart w:id="1339" w:name="_Toc575"/>
      <w:bookmarkEnd w:id="1338"/>
      <w:r>
        <w:rPr>
          <w:rtl w:val="true"/>
        </w:rPr>
        <w:t>اگر فدا، شير دادن يا نفقۀ طفل باشد</w:t>
      </w:r>
      <w:bookmarkEnd w:id="1339"/>
    </w:p>
    <w:p>
      <w:pPr>
        <w:pStyle w:val="BookText"/>
        <w:rPr/>
      </w:pPr>
      <w:r>
        <w:rPr>
          <w:rFonts w:ascii="IRNazanin" w:hAnsi="IRNazanin" w:eastAsia="IRNazanin"/>
          <w:color w:val="111111"/>
          <w:sz w:val="28"/>
          <w:sz w:val="28"/>
          <w:szCs w:val="28"/>
          <w:rtl w:val="true"/>
          <w:lang w:bidi="fa-IR"/>
        </w:rPr>
        <w:t>اگر فداء، شير دادن طفل زوج باشد، از هر زنى باشد صحيح است با تعيين مدت؛ و در اكتفاى به تعيين وقت به فطام عادى، وجهى است در صورتى كه تفاوت، مورد تسامح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نفقۀ طفل را فداء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نفقۀ ما بعد رضاع هم داخل فداء بود، تعيين مدت لازم است؛ و در كم و كيف ادام و طعام و كسوه اگر متعارفْ معتاد آنها نباشد، بايد تعيين شود؛ و اگر چيزى از اينها كه به قدر متعارف داده مى شد زياد آمد به واسطۀ خصوصيت طفل، مال زوج است؛ و اگر كم آمد، بر والد است اگر ولد فقير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قبل از مدت معينه وفات كرد، اجرت يا قيمت باقى مانده به شوهر برمى گردد اگر مادام الحياة نبوده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وجوب تعجيل دفع در يك دفعه، بر زن، تأمل است و مورد احتياط است</w:t>
      </w:r>
      <w:r>
        <w:rPr>
          <w:rFonts w:eastAsia="Amiri" w:cs="Amiri" w:ascii="Amiri" w:hAnsi="Amiri"/>
          <w:color w:val="111111"/>
          <w:sz w:val="28"/>
          <w:szCs w:val="28"/>
          <w:rtl w:val="true"/>
          <w:lang w:bidi="ar-SA"/>
        </w:rPr>
        <w:t>.</w:t>
      </w:r>
    </w:p>
    <w:p>
      <w:pPr>
        <w:pStyle w:val="Heading4"/>
        <w:numPr>
          <w:ilvl w:val="3"/>
          <w:numId w:val="1"/>
        </w:numPr>
        <w:rPr/>
      </w:pPr>
      <w:bookmarkStart w:id="1340" w:name="__RefHeading___Toc3808127_1067777946"/>
      <w:bookmarkStart w:id="1341" w:name="_Toc576"/>
      <w:bookmarkEnd w:id="1340"/>
      <w:r>
        <w:rPr>
          <w:rtl w:val="true"/>
        </w:rPr>
        <w:t>تلف فدا قبل از قبض</w:t>
      </w:r>
      <w:bookmarkEnd w:id="1341"/>
    </w:p>
    <w:p>
      <w:pPr>
        <w:pStyle w:val="BookText"/>
        <w:rPr/>
      </w:pPr>
      <w:r>
        <w:rPr>
          <w:rFonts w:ascii="Amiri" w:hAnsi="Amiri" w:eastAsia="Amiri" w:cs="Amiri"/>
          <w:color w:val="111111"/>
          <w:sz w:val="28"/>
          <w:sz w:val="28"/>
          <w:szCs w:val="28"/>
          <w:rtl w:val="true"/>
          <w:lang w:bidi="ar-SA"/>
        </w:rPr>
        <w:t>و تلف فداء قبل از قبض، به هر نحو باشد، موجب بطلان آن يا خلع نمى شود، بلكه بر زن اداى مثل يا قيمت تالف است</w:t>
      </w:r>
      <w:r>
        <w:rPr>
          <w:rFonts w:eastAsia="Amiri" w:cs="Amiri" w:ascii="Amiri" w:hAnsi="Amiri"/>
          <w:color w:val="111111"/>
          <w:sz w:val="28"/>
          <w:szCs w:val="28"/>
          <w:rtl w:val="true"/>
          <w:lang w:bidi="ar-SA"/>
        </w:rPr>
        <w:t>.</w:t>
      </w:r>
    </w:p>
    <w:p>
      <w:pPr>
        <w:pStyle w:val="Heading4"/>
        <w:numPr>
          <w:ilvl w:val="3"/>
          <w:numId w:val="1"/>
        </w:numPr>
        <w:rPr/>
      </w:pPr>
      <w:bookmarkStart w:id="1342" w:name="__RefHeading___Toc3808129_1067777946"/>
      <w:bookmarkStart w:id="1343" w:name="_Toc577"/>
      <w:bookmarkEnd w:id="1342"/>
      <w:r>
        <w:rPr>
          <w:rtl w:val="true"/>
        </w:rPr>
        <w:t>انكشاف عيب يا خلاف در وصف فدا</w:t>
      </w:r>
      <w:bookmarkEnd w:id="134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فداء موصوف به وصفى بود، و مدفوع ظاهر شد بر خلاف وصف، مى تواند رد نمايد و مطالبۀ موصوف نمايد، و مى تواند تراضى به مدفوع كه فاقد وصف است </w:t>
      </w:r>
      <w:bookmarkStart w:id="1344" w:name="pg10265_89981"/>
    </w:p>
    <w:p>
      <w:pPr>
        <w:pStyle w:val="BookText"/>
        <w:rPr/>
      </w:pPr>
      <w:bookmarkEnd w:id="1344"/>
      <w:r>
        <w:rPr>
          <w:rFonts w:ascii="IRNazanin" w:hAnsi="IRNazanin" w:eastAsia="IRNazanin"/>
          <w:color w:val="111111"/>
          <w:sz w:val="28"/>
          <w:sz w:val="28"/>
          <w:szCs w:val="28"/>
          <w:rtl w:val="true"/>
          <w:lang w:bidi="fa-IR"/>
        </w:rPr>
        <w:t>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معيب بود، مى تواند رد نمايد و مطالبۀ صحيح نمايد؛ و مى تواند قبول نمايد با مطالبۀ ارش؛ اگر چه بدون تراضى، در كلى كه فرد مدفوع معيب است، محل تأمل است، به خلاف صورتى كه فداءِ معيّن، معيب باشد كه مخيّر است بين رد و امساك با 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فداء عبد بود با تقييد به حبشى بودن او، پس زنجى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رد، فسخِ بذلِ فداء مى شود و طلاق رجعى مى شود، مگر آنكه مقصود از فداء در بذل و قبول، ماليّت باشد كه در مثل و قيمت حاصل است و فسخ فداء به تدارك نمى شود و خلع على اىّ تقدير، صحيح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اين تقدير، اين حكم، جارى در مختلف الجنس مثل ثوب و حيوان است كه مى تواند مطالبۀ مثل يا قيمت نمايد، يا امساك با تفاوت نمايد؛ و على اىّ حال فسخِ فداء نمى شود</w:t>
      </w:r>
      <w:r>
        <w:rPr>
          <w:rFonts w:eastAsia="Amiri" w:cs="Amiri" w:ascii="Amiri" w:hAnsi="Amiri"/>
          <w:color w:val="111111"/>
          <w:sz w:val="28"/>
          <w:szCs w:val="28"/>
          <w:rtl w:val="true"/>
          <w:lang w:bidi="ar-SA"/>
        </w:rPr>
        <w:t>.</w:t>
      </w:r>
    </w:p>
    <w:p>
      <w:pPr>
        <w:pStyle w:val="Heading4"/>
        <w:numPr>
          <w:ilvl w:val="3"/>
          <w:numId w:val="1"/>
        </w:numPr>
        <w:rPr/>
      </w:pPr>
      <w:bookmarkStart w:id="1345" w:name="__RefHeading___Toc3808131_1067777946"/>
      <w:bookmarkStart w:id="1346" w:name="_Toc578"/>
      <w:bookmarkEnd w:id="1345"/>
      <w:r>
        <w:rPr>
          <w:rtl w:val="true"/>
        </w:rPr>
        <w:t>لزوم ظهور انشاى بذل</w:t>
      </w:r>
      <w:bookmarkEnd w:id="1346"/>
    </w:p>
    <w:p>
      <w:pPr>
        <w:pStyle w:val="BookText"/>
        <w:rPr/>
      </w:pPr>
      <w:r>
        <w:rPr>
          <w:rFonts w:ascii="IRNazanin" w:hAnsi="IRNazanin" w:eastAsia="IRNazanin"/>
          <w:color w:val="111111"/>
          <w:sz w:val="28"/>
          <w:sz w:val="28"/>
          <w:szCs w:val="28"/>
          <w:rtl w:val="true"/>
          <w:lang w:bidi="fa-IR"/>
        </w:rPr>
        <w:t>اگر دفع نمود مقدارى را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طلاق بده مرا هر وقت كه خواستى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انشاى بذل، ظاهر نيست، خلع صحيح نيست اگر چه متصل به اين كلام باشد؛ به خلاف صورتى كه قرينه بر انشاى بذل فعلى باشد، و در اين،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ضرر به اتصال بذل و خلع نميرساند؛ و در صورت عدم انشاى بذل، طلاق بعدى اگر چه فورى باشد خلع نمى شود، بلكه در مورد قابل، رجعى مى شود</w:t>
      </w:r>
      <w:r>
        <w:rPr>
          <w:rFonts w:eastAsia="IRNazanin" w:cs="IRNazanin"/>
          <w:color w:val="111111"/>
          <w:sz w:val="28"/>
          <w:szCs w:val="28"/>
          <w:rtl w:val="true"/>
          <w:lang w:bidi="fa-IR"/>
        </w:rPr>
        <w:t>.</w:t>
      </w:r>
    </w:p>
    <w:p>
      <w:pPr>
        <w:pStyle w:val="Heading4"/>
        <w:numPr>
          <w:ilvl w:val="3"/>
          <w:numId w:val="1"/>
        </w:numPr>
        <w:rPr/>
      </w:pPr>
      <w:bookmarkStart w:id="1347" w:name="__RefHeading___Toc3808133_1067777946"/>
      <w:bookmarkStart w:id="1348" w:name="_Toc579"/>
      <w:bookmarkEnd w:id="1347"/>
      <w:r>
        <w:rPr>
          <w:rtl w:val="true"/>
        </w:rPr>
        <w:t>خلع اكثر از يكى به يك فدا</w:t>
      </w:r>
      <w:bookmarkEnd w:id="1348"/>
    </w:p>
    <w:p>
      <w:pPr>
        <w:pStyle w:val="BookText"/>
        <w:rPr/>
      </w:pPr>
      <w:r>
        <w:rPr>
          <w:rFonts w:ascii="IRNazanin" w:hAnsi="IRNazanin" w:eastAsia="IRNazanin"/>
          <w:color w:val="111111"/>
          <w:sz w:val="28"/>
          <w:sz w:val="28"/>
          <w:szCs w:val="28"/>
          <w:rtl w:val="true"/>
          <w:lang w:bidi="fa-IR"/>
        </w:rPr>
        <w:t xml:space="preserve">اگر دو زن را با يك فديه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يك منّ از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نمود، صحيح مى شود و بين آنها بالسويه تقسيط مى شود، مگر قرينه بر تقسيم به نحو ديگر ذكر نمايد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 زن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با هزار طلاق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يكى را طلاق داد، براى او نصف هزار است مگر استفادۀ شرطيت ضميمۀ طلاق در فداء باشد؛ و بعد از گذشتن </w:t>
      </w:r>
      <w:bookmarkStart w:id="1349" w:name="pg10265_89982"/>
    </w:p>
    <w:p>
      <w:pPr>
        <w:pStyle w:val="BookText"/>
        <w:rPr/>
      </w:pPr>
      <w:bookmarkEnd w:id="1349"/>
      <w:r>
        <w:rPr>
          <w:rFonts w:ascii="IRNazanin" w:hAnsi="IRNazanin" w:eastAsia="IRNazanin"/>
          <w:color w:val="111111"/>
          <w:sz w:val="28"/>
          <w:sz w:val="28"/>
          <w:szCs w:val="28"/>
          <w:rtl w:val="true"/>
          <w:lang w:bidi="fa-IR"/>
        </w:rPr>
        <w:t>فوريت اگر ديگرى را طلاق داد، رجعى مى شود و عوض ندارد؛ و هم چنين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خالعتكما بالف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يكى قبول كند و ديگرى قبول نكند</w:t>
      </w:r>
      <w:r>
        <w:rPr>
          <w:rFonts w:eastAsia="IRNazanin" w:cs="IRNazanin"/>
          <w:color w:val="111111"/>
          <w:sz w:val="28"/>
          <w:szCs w:val="28"/>
          <w:rtl w:val="true"/>
          <w:lang w:bidi="fa-IR"/>
        </w:rPr>
        <w:t>.</w:t>
      </w:r>
    </w:p>
    <w:p>
      <w:pPr>
        <w:pStyle w:val="Heading4"/>
        <w:numPr>
          <w:ilvl w:val="3"/>
          <w:numId w:val="1"/>
        </w:numPr>
        <w:rPr/>
      </w:pPr>
      <w:bookmarkStart w:id="1350" w:name="__RefHeading___Toc3808135_1067777946"/>
      <w:bookmarkStart w:id="1351" w:name="_Toc580"/>
      <w:bookmarkEnd w:id="1350"/>
      <w:r>
        <w:rPr>
          <w:rtl w:val="true"/>
        </w:rPr>
        <w:t>انكشاف بودن عين، مال غير</w:t>
      </w:r>
      <w:bookmarkEnd w:id="1351"/>
    </w:p>
    <w:p>
      <w:pPr>
        <w:pStyle w:val="BookText"/>
        <w:rPr/>
      </w:pPr>
      <w:r>
        <w:rPr>
          <w:rFonts w:ascii="IRNazanin" w:hAnsi="IRNazanin" w:eastAsia="IRNazanin"/>
          <w:color w:val="111111"/>
          <w:sz w:val="28"/>
          <w:sz w:val="28"/>
          <w:szCs w:val="28"/>
          <w:rtl w:val="true"/>
          <w:lang w:bidi="fa-IR"/>
        </w:rPr>
        <w:t>اگر خلع نمود بر عينى، پس ظاهر شد كه مستحَق غير است، پس اگر مقصود ماليّت باشد، خلع صحيح است و مثل يا قيمت را استحقاق مطالبه دارد؛ و اگر مقصود شخصيت است، خلع باطل و طلاق رجعى مى شود به نحو متقدّم در نظاير</w:t>
      </w:r>
      <w:r>
        <w:rPr>
          <w:rFonts w:eastAsia="IRNazanin" w:cs="IRNazanin"/>
          <w:color w:val="111111"/>
          <w:sz w:val="28"/>
          <w:szCs w:val="28"/>
          <w:rtl w:val="true"/>
          <w:lang w:bidi="fa-IR"/>
        </w:rPr>
        <w:t>.</w:t>
      </w:r>
    </w:p>
    <w:p>
      <w:pPr>
        <w:pStyle w:val="Heading4"/>
        <w:numPr>
          <w:ilvl w:val="3"/>
          <w:numId w:val="1"/>
        </w:numPr>
        <w:rPr/>
      </w:pPr>
      <w:bookmarkStart w:id="1352" w:name="__RefHeading___Toc3808137_1067777946"/>
      <w:bookmarkStart w:id="1353" w:name="_Toc581"/>
      <w:bookmarkEnd w:id="1352"/>
      <w:r>
        <w:rPr>
          <w:rtl w:val="true"/>
        </w:rPr>
        <w:t>جواز بذل توسط امه</w:t>
      </w:r>
      <w:bookmarkEnd w:id="1353"/>
    </w:p>
    <w:p>
      <w:pPr>
        <w:pStyle w:val="BookText"/>
        <w:rPr/>
      </w:pPr>
      <w:r>
        <w:rPr>
          <w:rFonts w:ascii="IRNazanin" w:hAnsi="IRNazanin" w:eastAsia="IRNazanin"/>
          <w:color w:val="111111"/>
          <w:sz w:val="28"/>
          <w:sz w:val="28"/>
          <w:szCs w:val="28"/>
          <w:rtl w:val="true"/>
          <w:lang w:bidi="fa-IR"/>
        </w:rPr>
        <w:t xml:space="preserve">اظهر جواز بذل امه است فداء را، چه آنكه از مال سيد با اذن او باشد يا از مال خودش بعد از عتق باشد، و احوط ترك دوّم و اناطه اوّل به آنچه در بذل متبرع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تقدير تماميّت اذن مولىٰ در افتداء، منصرف به مهر المثل مى شود؛ و اگر بذل زايد بر مهر المثل كرد، زايد بر مهر مثل، حكم صورت عدم اذن در فداء به مال سيد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بذل كرد عين مملوكۀ سيد را پس اجازه كرد مولى، بذل و خلع صحيح است؛ و اگر اجازه نكرد، خلع صحيح است، نه فداء، و مثل يا قيمت در ذمۀ امه است كه بعد از عتق و يسار مطالبه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سيد بذل كرد رقبۀ امه را براى خلع، اظهر فساد بذل است و صحّت خلع، به معنى انقلاب بر رجعى، يا به نحو خلع با ثبوت قيمت در ذمّۀ امه براى بعد از عتق و يسار، به اختلاف قصد ماليّت و خصوصيت شخصيّه، چنانكه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جايز است بذل رقبۀ زوجه براى خلع زن ديگر، و مشتمل بر محذور بذل در صورت سابقه نيست؛ لكن نسبت به مختلعه از بذل متبرع است كه بايد اضافه به زوجۀ مختلعه داشته باشد، و گذشت بيان آن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بذل مكاتبۀ مُطْلَقه صحيح است و اعتراضى بر او از مالك نيست در صورت عدم منافات با اصل تكسب؛ و در لحوق مشروطه به مُطلَقه يا امۀ غير مكاتبه تأمل است</w:t>
      </w:r>
      <w:r>
        <w:rPr>
          <w:rFonts w:eastAsia="Amiri" w:cs="Amiri" w:ascii="Amiri" w:hAnsi="Amiri"/>
          <w:color w:val="111111"/>
          <w:sz w:val="28"/>
          <w:szCs w:val="28"/>
          <w:rtl w:val="true"/>
          <w:lang w:bidi="ar-SA"/>
        </w:rPr>
        <w:t xml:space="preserve">. </w:t>
      </w:r>
      <w:bookmarkStart w:id="1354" w:name="pg10265_89983"/>
    </w:p>
    <w:p>
      <w:pPr>
        <w:pStyle w:val="Heading3"/>
        <w:numPr>
          <w:ilvl w:val="2"/>
          <w:numId w:val="1"/>
        </w:numPr>
        <w:rPr/>
      </w:pPr>
      <w:bookmarkStart w:id="1355" w:name="__RefHeading___Toc3808139_1067777946"/>
      <w:bookmarkStart w:id="1356" w:name="_Toc582"/>
      <w:bookmarkEnd w:id="1354"/>
      <w:bookmarkEnd w:id="1355"/>
      <w:r>
        <w:rPr>
          <w:rtl w:val="true"/>
        </w:rPr>
        <w:t>فصل سوّم شرايط صحّت خُلع</w:t>
      </w:r>
      <w:bookmarkEnd w:id="1356"/>
    </w:p>
    <w:p>
      <w:pPr>
        <w:pStyle w:val="Heading4"/>
        <w:numPr>
          <w:ilvl w:val="3"/>
          <w:numId w:val="1"/>
        </w:numPr>
        <w:rPr/>
      </w:pPr>
      <w:bookmarkStart w:id="1357" w:name="__RefHeading___Toc3808141_1067777946"/>
      <w:bookmarkStart w:id="1358" w:name="_Toc583"/>
      <w:bookmarkEnd w:id="1357"/>
      <w:r>
        <w:rPr>
          <w:rtl w:val="true"/>
        </w:rPr>
        <w:t>شرايط معتبر در خلُع</w:t>
      </w:r>
      <w:bookmarkEnd w:id="1358"/>
    </w:p>
    <w:p>
      <w:pPr>
        <w:pStyle w:val="BookText"/>
        <w:rPr/>
      </w:pPr>
      <w:r>
        <w:rPr>
          <w:rFonts w:ascii="Amiri" w:hAnsi="Amiri" w:eastAsia="Amiri" w:cs="Amiri"/>
          <w:color w:val="111111"/>
          <w:sz w:val="28"/>
          <w:sz w:val="28"/>
          <w:szCs w:val="28"/>
          <w:rtl w:val="true"/>
          <w:lang w:bidi="ar-SA"/>
        </w:rPr>
        <w:t>معتبر است در خلع، بلوغ خالع، و كمال عقل او، و اختيار در مقابل اكراه، و قصد در مقابل غفلت و سهو و عبث و سكر و غضب كه رافع قصد جدّى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ولى طفل خلع نمود با مصلحت، يا عدم مفسده بنابر كفايت آن، صحيح مى شود در صورتى كه خلع طلاق نباشد و فسخ باشد، به خلاف تقدير فرديت طلاق كه مشروط به شروط طلاق مى شود</w:t>
      </w:r>
      <w:r>
        <w:rPr>
          <w:rFonts w:eastAsia="IRNazanin" w:cs="IRNazanin"/>
          <w:color w:val="111111"/>
          <w:sz w:val="28"/>
          <w:szCs w:val="28"/>
          <w:rtl w:val="true"/>
          <w:lang w:bidi="fa-IR"/>
        </w:rPr>
        <w:t>.</w:t>
      </w:r>
    </w:p>
    <w:p>
      <w:pPr>
        <w:pStyle w:val="Heading4"/>
        <w:numPr>
          <w:ilvl w:val="3"/>
          <w:numId w:val="1"/>
        </w:numPr>
        <w:rPr/>
      </w:pPr>
      <w:bookmarkStart w:id="1359" w:name="__RefHeading___Toc3808143_1067777946"/>
      <w:bookmarkStart w:id="1360" w:name="_Toc584"/>
      <w:bookmarkEnd w:id="1359"/>
      <w:r>
        <w:rPr>
          <w:rtl w:val="true"/>
        </w:rPr>
        <w:t>شرايط مختلعه</w:t>
      </w:r>
      <w:bookmarkEnd w:id="1360"/>
    </w:p>
    <w:p>
      <w:pPr>
        <w:pStyle w:val="BookText"/>
        <w:rPr/>
      </w:pPr>
      <w:r>
        <w:rPr>
          <w:rFonts w:ascii="IRNazanin" w:hAnsi="IRNazanin" w:eastAsia="IRNazanin"/>
          <w:color w:val="111111"/>
          <w:sz w:val="28"/>
          <w:sz w:val="28"/>
          <w:szCs w:val="28"/>
          <w:rtl w:val="true"/>
          <w:lang w:bidi="fa-IR"/>
        </w:rPr>
        <w:t>معتبر است در مختلعه كه در طهر غير مواقعه باشد اگر مدخول بها است و صغيره و يائسه نيست و زوج حاضر است با او، و اينكه كراهت از خصوص زن باشد نه از خصوص مرد يا از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ظاهر شد از زن بلوغ كراهت به حد تهديد شوهر به قول يا فعل، به وقوع خودش در محرَّمى مربوط به حقوق زوج در تقدير عدم بينونت، خلع صحيح است؛ وگرنه خلع به مجرّد ظهور كراهت زن بقاى بر زوجيّت را خالى از تأمل نيست، و احتياط مناسب ترك نشود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مفاد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لأدخلنّ عليكَ من تكره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 شنيد، واجب نيست بر او خلع، حتى به عنوان نهى از منكر اگر چه مستحب باشد</w:t>
      </w:r>
      <w:r>
        <w:rPr>
          <w:rFonts w:eastAsia="IRNazanin" w:cs="IRNazanin"/>
          <w:color w:val="111111"/>
          <w:sz w:val="28"/>
          <w:szCs w:val="28"/>
          <w:rtl w:val="true"/>
          <w:lang w:bidi="fa-IR"/>
        </w:rPr>
        <w:t xml:space="preserve">. </w:t>
      </w:r>
      <w:bookmarkStart w:id="1361" w:name="pg10265_89984"/>
    </w:p>
    <w:p>
      <w:pPr>
        <w:pStyle w:val="Heading4"/>
        <w:numPr>
          <w:ilvl w:val="3"/>
          <w:numId w:val="1"/>
        </w:numPr>
        <w:rPr/>
      </w:pPr>
      <w:bookmarkStart w:id="1362" w:name="__RefHeading___Toc3808145_1067777946"/>
      <w:bookmarkStart w:id="1363" w:name="_Toc585"/>
      <w:bookmarkEnd w:id="1361"/>
      <w:bookmarkEnd w:id="1362"/>
      <w:r>
        <w:rPr>
          <w:rtl w:val="true"/>
        </w:rPr>
        <w:t>خلع حامل و يائسه و غير مدخول بها</w:t>
      </w:r>
      <w:bookmarkEnd w:id="1363"/>
    </w:p>
    <w:p>
      <w:pPr>
        <w:pStyle w:val="BookText"/>
        <w:rPr/>
      </w:pPr>
      <w:r>
        <w:rPr>
          <w:rFonts w:ascii="IRNazanin" w:hAnsi="IRNazanin" w:eastAsia="IRNazanin"/>
          <w:color w:val="111111"/>
          <w:sz w:val="28"/>
          <w:sz w:val="28"/>
          <w:szCs w:val="28"/>
          <w:rtl w:val="true"/>
          <w:lang w:bidi="fa-IR"/>
        </w:rPr>
        <w:t>خلع حامل و غير مدخولٌ بها و يائسه اگر چه در طهر مواقعه باشد، مثل طلاق غير خلعى آنها كه على اىّ تقدير صحيح است، مانعى ندارد</w:t>
      </w:r>
      <w:r>
        <w:rPr>
          <w:rFonts w:eastAsia="IRNazanin" w:cs="IRNazanin"/>
          <w:color w:val="111111"/>
          <w:sz w:val="28"/>
          <w:szCs w:val="28"/>
          <w:rtl w:val="true"/>
          <w:lang w:bidi="fa-IR"/>
        </w:rPr>
        <w:t>.</w:t>
      </w:r>
    </w:p>
    <w:p>
      <w:pPr>
        <w:pStyle w:val="Heading4"/>
        <w:numPr>
          <w:ilvl w:val="3"/>
          <w:numId w:val="1"/>
        </w:numPr>
        <w:rPr/>
      </w:pPr>
      <w:bookmarkStart w:id="1364" w:name="__RefHeading___Toc3808147_1067777946"/>
      <w:bookmarkStart w:id="1365" w:name="_Toc586"/>
      <w:bookmarkEnd w:id="1364"/>
      <w:r>
        <w:rPr>
          <w:rtl w:val="true"/>
        </w:rPr>
        <w:t>لزوم حضور دو شاهد عادل</w:t>
      </w:r>
      <w:bookmarkEnd w:id="1365"/>
    </w:p>
    <w:p>
      <w:pPr>
        <w:pStyle w:val="BookText"/>
        <w:rPr/>
      </w:pPr>
      <w:r>
        <w:rPr>
          <w:rFonts w:ascii="IRNazanin" w:hAnsi="IRNazanin" w:eastAsia="IRNazanin"/>
          <w:color w:val="111111"/>
          <w:sz w:val="28"/>
          <w:sz w:val="28"/>
          <w:szCs w:val="28"/>
          <w:rtl w:val="true"/>
          <w:lang w:bidi="fa-IR"/>
        </w:rPr>
        <w:t xml:space="preserve">و حضور دو شاهد عادل و سماع آنها خلع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ايجاب و قبول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مثل طلاق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بايد مجرد از شرط باشد مثل طلاق مجرد از فداء</w:t>
      </w:r>
      <w:r>
        <w:rPr>
          <w:rFonts w:eastAsia="IRNazanin" w:cs="IRNazanin"/>
          <w:color w:val="111111"/>
          <w:sz w:val="28"/>
          <w:szCs w:val="28"/>
          <w:rtl w:val="true"/>
          <w:lang w:bidi="fa-IR"/>
        </w:rPr>
        <w:t>.</w:t>
      </w:r>
    </w:p>
    <w:p>
      <w:pPr>
        <w:pStyle w:val="Heading4"/>
        <w:numPr>
          <w:ilvl w:val="3"/>
          <w:numId w:val="1"/>
        </w:numPr>
        <w:rPr/>
      </w:pPr>
      <w:bookmarkStart w:id="1366" w:name="__RefHeading___Toc3808149_1067777946"/>
      <w:bookmarkStart w:id="1367" w:name="_Toc587"/>
      <w:bookmarkEnd w:id="1366"/>
      <w:r>
        <w:rPr>
          <w:rtl w:val="true"/>
        </w:rPr>
        <w:t>صحّت خلع از محجور عليه</w:t>
      </w:r>
      <w:bookmarkEnd w:id="1367"/>
    </w:p>
    <w:p>
      <w:pPr>
        <w:pStyle w:val="BookText"/>
        <w:rPr/>
      </w:pPr>
      <w:r>
        <w:rPr>
          <w:rFonts w:ascii="IRNazanin" w:hAnsi="IRNazanin" w:eastAsia="IRNazanin"/>
          <w:color w:val="111111"/>
          <w:sz w:val="28"/>
          <w:sz w:val="28"/>
          <w:szCs w:val="28"/>
          <w:rtl w:val="true"/>
          <w:lang w:bidi="fa-IR"/>
        </w:rPr>
        <w:t>خلع صحيح است از محجور عليه براى تبذير يا افلاس، و طلاق به عوض يا بدون آن؛ و تسليم مال به سفيه جايز نيست، بلكه به ولى او دفع مى شود وگرنه دافع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تلف شد در يد سفيه قبل از علم ولىّ و عوض، عين بود، ولىّ ضامن نيست؛ و اگر عالم بود و گذاشت دريد سفيه تا تلف شد، تفريط و معصيت كرده و ضمان او هم با اين گونه تلف محتمل است؛ و اگر عوض، دين بود، مى تواند ولىّ به مختلعه رجوع نمايد و فرد مستحَق را مطالبه نمايد، زيرا مقبوضِ سفيه، به منزلۀ غير مقبوض است، و مى تواند مختلعه، از سفيه استرداد نمايد قبل از تلف، و ضمان سفيه تالف را براى مختلعه، مشكل است؛ و بر ولى با امكان انتزاع از سفيه، ضمان نيست در اين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اذن ولى در قبض سفيه اگر صحيح باشد، رافع ضمان مختلعه است، به خلاف تقدير عدم صحّت</w:t>
      </w:r>
      <w:r>
        <w:rPr>
          <w:rFonts w:eastAsia="IRNazanin" w:cs="IRNazanin"/>
          <w:color w:val="111111"/>
          <w:sz w:val="28"/>
          <w:szCs w:val="28"/>
          <w:rtl w:val="true"/>
          <w:lang w:bidi="fa-IR"/>
        </w:rPr>
        <w:t>.</w:t>
      </w:r>
    </w:p>
    <w:p>
      <w:pPr>
        <w:pStyle w:val="Heading4"/>
        <w:numPr>
          <w:ilvl w:val="3"/>
          <w:numId w:val="1"/>
        </w:numPr>
        <w:rPr/>
      </w:pPr>
      <w:bookmarkStart w:id="1368" w:name="__RefHeading___Toc3808151_1067777946"/>
      <w:bookmarkStart w:id="1369" w:name="_Toc588"/>
      <w:bookmarkEnd w:id="1368"/>
      <w:r>
        <w:rPr>
          <w:rtl w:val="true"/>
        </w:rPr>
        <w:t>بذل مختلعه سفيهه و مفلّسه</w:t>
      </w:r>
      <w:bookmarkEnd w:id="136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مختلعه اگر سفيهه باشد، بذل او بدون اذن ولىّ فاسد است؛ و هم چنين مفلسه در آنچه متعلَّق حق غرما است؛ و اگر فداء در ذمّه باشد، محتمل است صحّت بذل در هر دو در صورتى كه در شخص اين بذل سفاهت نباشد و با اذن ولى باشد و در مفلس بعد از زوال حجر مطالبه بشود</w:t>
      </w:r>
      <w:r>
        <w:rPr>
          <w:rFonts w:eastAsia="IRNazanin" w:cs="IRNazanin"/>
          <w:color w:val="111111"/>
          <w:sz w:val="28"/>
          <w:szCs w:val="28"/>
          <w:rtl w:val="true"/>
          <w:lang w:bidi="fa-IR"/>
        </w:rPr>
        <w:t xml:space="preserve">. </w:t>
      </w:r>
      <w:bookmarkStart w:id="1370" w:name="pg10265_89985"/>
    </w:p>
    <w:p>
      <w:pPr>
        <w:pStyle w:val="Heading4"/>
        <w:numPr>
          <w:ilvl w:val="3"/>
          <w:numId w:val="1"/>
        </w:numPr>
        <w:rPr/>
      </w:pPr>
      <w:bookmarkStart w:id="1371" w:name="__RefHeading___Toc3808153_1067777946"/>
      <w:bookmarkStart w:id="1372" w:name="_Toc589"/>
      <w:bookmarkEnd w:id="1370"/>
      <w:bookmarkEnd w:id="1371"/>
      <w:r>
        <w:rPr>
          <w:rtl w:val="true"/>
        </w:rPr>
        <w:t>خلع ذمى و حربى</w:t>
      </w:r>
      <w:bookmarkEnd w:id="1372"/>
    </w:p>
    <w:p>
      <w:pPr>
        <w:pStyle w:val="BookText"/>
        <w:rPr/>
      </w:pPr>
      <w:r>
        <w:rPr>
          <w:rFonts w:ascii="IRNazanin" w:hAnsi="IRNazanin" w:eastAsia="IRNazanin"/>
          <w:color w:val="111111"/>
          <w:sz w:val="28"/>
          <w:sz w:val="28"/>
          <w:szCs w:val="28"/>
          <w:rtl w:val="true"/>
          <w:lang w:bidi="fa-IR"/>
        </w:rPr>
        <w:t>تصحيح مى شود به حسب احكام، خلع ذمى و حربى در ما بين خودشان اگر چه فداء خمر يا خنزير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دو يا يكى اسلام اختيار كرد بعد از خلع و قبل از اقباض، قيمتِ نزد اهل آن را ضامن و مستحِق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ترافع نزد مسلمانها كردند، حاكم شرع امضا مى نمايد خلع آنها را در هر حال در ما بين خودشان به ترتيب متقدّم؛ و اگر ترافع قبل از تقابض بود، در امر حاكم به اقباض عين يا قيمت تأمل است؛ و اگر تقابض بعد از اسلام بود، ابطال مى نمايد قبض را اگر اسقاط نبوده است؛ و اگر اسقاط حق بوده، چيزى بر زن نيست؛ و اگر تقابض با علم به حرمت بوده، تعزير مى شوند</w:t>
      </w:r>
      <w:r>
        <w:rPr>
          <w:rFonts w:eastAsia="IRNazanin" w:cs="IRNazanin"/>
          <w:color w:val="111111"/>
          <w:sz w:val="28"/>
          <w:szCs w:val="28"/>
          <w:rtl w:val="true"/>
          <w:lang w:bidi="fa-IR"/>
        </w:rPr>
        <w:t>.</w:t>
      </w:r>
    </w:p>
    <w:p>
      <w:pPr>
        <w:pStyle w:val="Heading4"/>
        <w:numPr>
          <w:ilvl w:val="3"/>
          <w:numId w:val="1"/>
        </w:numPr>
        <w:rPr/>
      </w:pPr>
      <w:bookmarkStart w:id="1373" w:name="__RefHeading___Toc3808155_1067777946"/>
      <w:bookmarkStart w:id="1374" w:name="_Toc590"/>
      <w:bookmarkEnd w:id="1373"/>
      <w:r>
        <w:rPr>
          <w:rtl w:val="true"/>
        </w:rPr>
        <w:t>شرط حق رجوع</w:t>
      </w:r>
      <w:bookmarkEnd w:id="1374"/>
    </w:p>
    <w:p>
      <w:pPr>
        <w:pStyle w:val="BookText"/>
        <w:rPr/>
      </w:pPr>
      <w:r>
        <w:rPr>
          <w:rFonts w:ascii="IRNazanin" w:hAnsi="IRNazanin" w:eastAsia="IRNazanin"/>
          <w:color w:val="111111"/>
          <w:sz w:val="28"/>
          <w:sz w:val="28"/>
          <w:szCs w:val="28"/>
          <w:rtl w:val="true"/>
          <w:lang w:bidi="fa-IR"/>
        </w:rPr>
        <w:t>شرط حق رجوع در فداء در عده، يا شرط رجوع به نكاح در عده بر تقدير رجوع زن در فداء در عده، چون مقتضاى عقد خلع است، مبطل خلع نيست</w:t>
      </w:r>
      <w:r>
        <w:rPr>
          <w:rFonts w:eastAsia="IRNazanin" w:cs="IRNazanin"/>
          <w:color w:val="111111"/>
          <w:sz w:val="28"/>
          <w:szCs w:val="28"/>
          <w:rtl w:val="true"/>
          <w:lang w:bidi="fa-IR"/>
        </w:rPr>
        <w:t>.</w:t>
      </w:r>
    </w:p>
    <w:p>
      <w:pPr>
        <w:pStyle w:val="Heading4"/>
        <w:numPr>
          <w:ilvl w:val="3"/>
          <w:numId w:val="1"/>
        </w:numPr>
        <w:rPr/>
      </w:pPr>
      <w:bookmarkStart w:id="1375" w:name="__RefHeading___Toc3808157_1067777946"/>
      <w:bookmarkStart w:id="1376" w:name="_Toc591"/>
      <w:bookmarkEnd w:id="1375"/>
      <w:r>
        <w:rPr>
          <w:rtl w:val="true"/>
        </w:rPr>
        <w:t>تعليق در خلع</w:t>
      </w:r>
      <w:bookmarkEnd w:id="1376"/>
    </w:p>
    <w:p>
      <w:pPr>
        <w:pStyle w:val="BookText"/>
        <w:rPr/>
      </w:pPr>
      <w:r>
        <w:rPr>
          <w:rFonts w:ascii="Amiri" w:hAnsi="Amiri" w:eastAsia="Amiri" w:cs="Amiri"/>
          <w:color w:val="111111"/>
          <w:sz w:val="28"/>
          <w:sz w:val="28"/>
          <w:szCs w:val="28"/>
          <w:rtl w:val="true"/>
          <w:lang w:bidi="ar-SA"/>
        </w:rPr>
        <w:t>و تعليق بر امر مقارن محقّق معلوم، ضرر ندارد؛ و در محتمل آن، صحّت خلع به رجاى حصول، خالى از وجه نيست بر تقدير مصادفت با واقع</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خالعتك ان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 اگر چه مقارن ايجاب خلع، زن بخواهد خلع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معلّق به مشيّت محقّقۀ معلومۀ زن براى خالع حين خلع باشد، دور نيست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تعليق انشائى به غير آنچه اشاره به آن شد، مبطل خلع و استدعاى آن و قبول است، و همه بايد به صورت تنجيز در انشا باشند، مگر آنچه اشاره به آن شد، بنابر احوط</w:t>
      </w:r>
      <w:r>
        <w:rPr>
          <w:rFonts w:eastAsia="IRNazanin" w:cs="IRNazanin"/>
          <w:color w:val="111111"/>
          <w:sz w:val="28"/>
          <w:szCs w:val="28"/>
          <w:rtl w:val="true"/>
          <w:lang w:bidi="fa-IR"/>
        </w:rPr>
        <w:t xml:space="preserve">. </w:t>
      </w:r>
      <w:bookmarkStart w:id="1377" w:name="pg10265_89986"/>
    </w:p>
    <w:p>
      <w:pPr>
        <w:pStyle w:val="Heading3"/>
        <w:numPr>
          <w:ilvl w:val="2"/>
          <w:numId w:val="1"/>
        </w:numPr>
        <w:rPr/>
      </w:pPr>
      <w:bookmarkStart w:id="1378" w:name="__RefHeading___Toc3808159_1067777946"/>
      <w:bookmarkStart w:id="1379" w:name="_Toc592"/>
      <w:bookmarkEnd w:id="1377"/>
      <w:bookmarkEnd w:id="1378"/>
      <w:r>
        <w:rPr>
          <w:rtl w:val="true"/>
        </w:rPr>
        <w:t>فصل چهارم احكام خُلع و تنازع در خُلع</w:t>
      </w:r>
      <w:bookmarkEnd w:id="1379"/>
    </w:p>
    <w:p>
      <w:pPr>
        <w:pStyle w:val="Heading4"/>
        <w:numPr>
          <w:ilvl w:val="3"/>
          <w:numId w:val="1"/>
        </w:numPr>
        <w:rPr/>
      </w:pPr>
      <w:bookmarkStart w:id="1380" w:name="__RefHeading___Toc3808161_1067777946"/>
      <w:bookmarkStart w:id="1381" w:name="_Toc593"/>
      <w:bookmarkEnd w:id="1380"/>
      <w:r>
        <w:rPr/>
        <w:t>1</w:t>
      </w:r>
      <w:r>
        <w:rPr>
          <w:rtl w:val="true"/>
        </w:rPr>
        <w:t xml:space="preserve">. </w:t>
      </w:r>
      <w:r>
        <w:rPr>
          <w:rtl w:val="true"/>
        </w:rPr>
        <w:t>احكام خلع</w:t>
      </w:r>
      <w:bookmarkEnd w:id="1381"/>
    </w:p>
    <w:p>
      <w:pPr>
        <w:pStyle w:val="Heading5"/>
        <w:numPr>
          <w:ilvl w:val="4"/>
          <w:numId w:val="1"/>
        </w:numPr>
        <w:rPr/>
      </w:pPr>
      <w:bookmarkStart w:id="1382" w:name="__RefHeading___Toc3808163_1067777946"/>
      <w:bookmarkStart w:id="1383" w:name="_Toc594"/>
      <w:bookmarkEnd w:id="1382"/>
      <w:r>
        <w:rPr>
          <w:rtl w:val="true"/>
        </w:rPr>
        <w:t>اكراه بر فداء</w:t>
      </w:r>
      <w:bookmarkEnd w:id="13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اكراه بر فداء كرد معصيت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 حقوق غير واجبه براى فديه دادن و هم چنين ترك حقوق واجبه اگر براى اين غرض نباشد از اكراه محرَّم بر فداء نيست، اگر چه محرّم است نه به عنوان اكراه؛ به خلاف صورت قصد اين غرض از ترك 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اكراه بر فداء، طلاق داد، تسليم فديه نمى نمايد و طلاق رجعى مى شود در مورد قابل</w:t>
      </w:r>
      <w:r>
        <w:rPr>
          <w:rFonts w:eastAsia="IRNazanin" w:cs="IRNazanin"/>
          <w:color w:val="111111"/>
          <w:sz w:val="28"/>
          <w:szCs w:val="28"/>
          <w:rtl w:val="true"/>
          <w:lang w:bidi="fa-IR"/>
        </w:rPr>
        <w:t>.</w:t>
      </w:r>
    </w:p>
    <w:p>
      <w:pPr>
        <w:pStyle w:val="Heading5"/>
        <w:numPr>
          <w:ilvl w:val="4"/>
          <w:numId w:val="1"/>
        </w:numPr>
        <w:rPr/>
      </w:pPr>
      <w:bookmarkStart w:id="1384" w:name="__RefHeading___Toc3808165_1067777946"/>
      <w:bookmarkStart w:id="1385" w:name="_Toc595"/>
      <w:bookmarkEnd w:id="1384"/>
      <w:r>
        <w:rPr>
          <w:rtl w:val="true"/>
        </w:rPr>
        <w:t>عدم صحّت خلع بدون كراهت</w:t>
      </w:r>
      <w:bookmarkEnd w:id="138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خلع كرد بدون كراهت زوجين، صحيح نيست و مالك فديه نمى شود، و طلاق با اين حال رجعى مى شود در مورد قابل با تلفظ به لفظ طلاق يا مطلقاً چنانكه گذشت، و در غير آن يا بائن است يا باطل چنانكه در محلش گذشت، و اظهر عدم بطلان است با تلفظ به طلاق</w:t>
      </w:r>
      <w:r>
        <w:rPr>
          <w:rFonts w:eastAsia="IRNazanin" w:cs="IRNazanin"/>
          <w:color w:val="111111"/>
          <w:sz w:val="28"/>
          <w:szCs w:val="28"/>
          <w:rtl w:val="true"/>
          <w:lang w:bidi="fa-IR"/>
        </w:rPr>
        <w:t>.</w:t>
      </w:r>
    </w:p>
    <w:p>
      <w:pPr>
        <w:pStyle w:val="Heading5"/>
        <w:numPr>
          <w:ilvl w:val="4"/>
          <w:numId w:val="1"/>
        </w:numPr>
        <w:rPr/>
      </w:pPr>
      <w:bookmarkStart w:id="1386" w:name="__RefHeading___Toc3808167_1067777946"/>
      <w:bookmarkStart w:id="1387" w:name="_Toc596"/>
      <w:bookmarkEnd w:id="1386"/>
      <w:r>
        <w:rPr>
          <w:rtl w:val="true"/>
        </w:rPr>
        <w:t>بدسلوكى در فرض ارتكاب فاحشه</w:t>
      </w:r>
      <w:bookmarkEnd w:id="138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مرتكب فاحشه شد، جايز است براى زوج بد سلوكى با او براى فديه دادن براى خلع؛ و فاحشه اى كه مسوّغ عضل باشد، متيقن آن زنا است، و شمول آن به</w:t>
      </w:r>
      <w:bookmarkStart w:id="1388" w:name="pg10265_89987"/>
    </w:p>
    <w:p>
      <w:pPr>
        <w:pStyle w:val="BookText"/>
        <w:rPr/>
      </w:pPr>
      <w:bookmarkEnd w:id="1388"/>
      <w:r>
        <w:rPr>
          <w:rFonts w:ascii="Amiri" w:hAnsi="Amiri" w:eastAsia="Amiri" w:cs="Amiri"/>
          <w:color w:val="111111"/>
          <w:sz w:val="28"/>
          <w:sz w:val="28"/>
          <w:szCs w:val="28"/>
          <w:rtl w:val="true"/>
          <w:lang w:bidi="ar-SA"/>
        </w:rPr>
        <w:t>نشوز دور نيست، و محتمل است عموم به ساير معاصى؛ و احوط اعتبار كشف فاحشه از كراهت زن است، مثل ساير موارد خلع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بايد رعايت جايز بودن منع حقوق زن از قبيل نفقه و هجر بنمايد بنابر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عضل براى زايد از مهر مسمّى كه باو داده است ننمايد در صورت اضرار</w:t>
      </w:r>
      <w:r>
        <w:rPr>
          <w:rFonts w:eastAsia="IRNazanin" w:cs="IRNazanin"/>
          <w:color w:val="111111"/>
          <w:sz w:val="28"/>
          <w:szCs w:val="28"/>
          <w:rtl w:val="true"/>
          <w:lang w:bidi="fa-IR"/>
        </w:rPr>
        <w:t>.</w:t>
      </w:r>
    </w:p>
    <w:p>
      <w:pPr>
        <w:pStyle w:val="Heading5"/>
        <w:numPr>
          <w:ilvl w:val="4"/>
          <w:numId w:val="1"/>
        </w:numPr>
        <w:rPr/>
      </w:pPr>
      <w:bookmarkStart w:id="1389" w:name="__RefHeading___Toc3808169_1067777946"/>
      <w:bookmarkStart w:id="1390" w:name="_Toc597"/>
      <w:bookmarkEnd w:id="1389"/>
      <w:r>
        <w:rPr>
          <w:rtl w:val="true"/>
        </w:rPr>
        <w:t>احكام رجوع در بذل</w:t>
      </w:r>
      <w:bookmarkEnd w:id="139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احوط عدم رجوع در بذل است، با عدم امكان رجوع خالع شرعاً و عقلاً به واسطۀ انقضاى عدّه يا عدم اعتداد يا عدم علم به رجوع؛ اگر چه رجوع بدون علم به احتمال مصادفت با بذل نافذ است، چون اعتبار آن طريقى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صورت رجوع در بذل، اظهر ثبوت تمام احكام مطلقۀ رجعيه است، مثل نفقه و توارث و عدم جواز نكاح اخت و خامسه، به خلاف ما قبل از رجوع كه حكم بائن در جميع مذكورات، ثابت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نكاح اخت، احوط عدم رجوع در بذل است اگر چه ممكن باشد رجوع خالع به طلاق دادن اخت به نحو بائن و رجوع به مختلعه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رجوع به بعض، در حكم رجوع به مجموع فداء است بنابر اظهر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اظهر عدم اختصاص رجعى بودن طلاق محقّق به خلع در صورت رجوع زن به فداء، به صورت خلع به صيغۀ طلاق به عوض است، بلكه خلع مجرّد هم طلاق رجعى مى شود در مورد قابل، و بائن مى شود در غير آن مورد، يعنى باقى است بينونت و رجوع محل ندارد اگر چه احوط به احتياط مناسب اقتصار است</w:t>
      </w:r>
      <w:r>
        <w:rPr>
          <w:rFonts w:eastAsia="IRNazanin" w:cs="IRNazanin"/>
          <w:color w:val="111111"/>
          <w:sz w:val="28"/>
          <w:szCs w:val="28"/>
          <w:rtl w:val="true"/>
          <w:lang w:bidi="fa-IR"/>
        </w:rPr>
        <w:t>.</w:t>
      </w:r>
    </w:p>
    <w:p>
      <w:pPr>
        <w:pStyle w:val="Heading5"/>
        <w:numPr>
          <w:ilvl w:val="4"/>
          <w:numId w:val="1"/>
        </w:numPr>
        <w:rPr/>
      </w:pPr>
      <w:bookmarkStart w:id="1391" w:name="__RefHeading___Toc3808171_1067777946"/>
      <w:bookmarkStart w:id="1392" w:name="_Toc598"/>
      <w:bookmarkEnd w:id="1391"/>
      <w:r>
        <w:rPr>
          <w:rtl w:val="true"/>
        </w:rPr>
        <w:t>بطلان شرط رجوع در خلع و حكم صحّت و عدم صحّت طلاق</w:t>
      </w:r>
      <w:bookmarkEnd w:id="139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خلع كرد و شرط رجوع نمود، شرط باطل است، بلكه خلع هم باطل است اگر قبول زن متأخر باشد، و طلاق هم محسوب نمى شود بنابر احوط؛ و در صورت تقدمِ بذلِ زن و تأخرِ قصد شرطى از قصد خلعىِ محقّق، اظهر صحّت خلع است و</w:t>
      </w:r>
      <w:bookmarkStart w:id="1393" w:name="pg10265_89988"/>
    </w:p>
    <w:p>
      <w:pPr>
        <w:pStyle w:val="BookText"/>
        <w:rPr/>
      </w:pPr>
      <w:bookmarkEnd w:id="1393"/>
      <w:r>
        <w:rPr>
          <w:rFonts w:ascii="IRNazanin" w:hAnsi="IRNazanin" w:eastAsia="IRNazanin"/>
          <w:color w:val="111111"/>
          <w:sz w:val="28"/>
          <w:sz w:val="28"/>
          <w:szCs w:val="28"/>
          <w:rtl w:val="true"/>
          <w:lang w:bidi="fa-IR"/>
        </w:rPr>
        <w:t>بطلان شرط، و منقلب به رجعى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شرط با طلاق به عوض باشد كه آن هم مصداق خلع است، اگر چه صحّت اصل طلاق در همان صورتى كه خلع صحيح نبود بى وجه نيست با تحقق قصد اصل طلاق در ضمن قصد طلاق به عوض، به طور رجعى يا بائن؛ و از اينجا هم احتمال صحّت در صيغۀ خلع معلوم مى شود جريان آن و اللّٰه العالم</w:t>
      </w:r>
      <w:r>
        <w:rPr>
          <w:rFonts w:eastAsia="IRNazanin" w:cs="IRNazanin"/>
          <w:color w:val="111111"/>
          <w:sz w:val="28"/>
          <w:szCs w:val="28"/>
          <w:rtl w:val="true"/>
          <w:lang w:bidi="fa-IR"/>
        </w:rPr>
        <w:t>.</w:t>
      </w:r>
    </w:p>
    <w:p>
      <w:pPr>
        <w:pStyle w:val="Heading5"/>
        <w:numPr>
          <w:ilvl w:val="4"/>
          <w:numId w:val="1"/>
        </w:numPr>
        <w:rPr/>
      </w:pPr>
      <w:bookmarkStart w:id="1394" w:name="__RefHeading___Toc3808173_1067777946"/>
      <w:bookmarkStart w:id="1395" w:name="_Toc599"/>
      <w:bookmarkEnd w:id="1394"/>
      <w:r>
        <w:rPr>
          <w:rtl w:val="true"/>
        </w:rPr>
        <w:t>بعد از خلع بودن رجوع، طلاق و ظهار و ايلاء محقّق نمى شود</w:t>
      </w:r>
      <w:bookmarkEnd w:id="139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مختلعه، قابل طلاق بعد از خلع نيست، مگر آنكه رجوع به بذل و رجوع در نكاح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ظهار و ايلاء كه ثبوت زوجيّت معتبر است در آنها، بعد از خلع بدون رجوع محقّق نمى شوند</w:t>
      </w:r>
      <w:r>
        <w:rPr>
          <w:rFonts w:eastAsia="IRNazanin" w:cs="IRNazanin"/>
          <w:color w:val="111111"/>
          <w:sz w:val="28"/>
          <w:szCs w:val="28"/>
          <w:rtl w:val="true"/>
          <w:lang w:bidi="fa-IR"/>
        </w:rPr>
        <w:t>.</w:t>
      </w:r>
    </w:p>
    <w:p>
      <w:pPr>
        <w:pStyle w:val="Heading5"/>
        <w:numPr>
          <w:ilvl w:val="4"/>
          <w:numId w:val="1"/>
        </w:numPr>
        <w:rPr/>
      </w:pPr>
      <w:bookmarkStart w:id="1396" w:name="__RefHeading___Toc3808175_1067777946"/>
      <w:bookmarkStart w:id="1397" w:name="_Toc600"/>
      <w:bookmarkEnd w:id="1396"/>
      <w:r>
        <w:rPr>
          <w:rtl w:val="true"/>
        </w:rPr>
        <w:t>تقاضاى سه طلاق در مقابل مبلغى</w:t>
      </w:r>
      <w:bookmarkEnd w:id="1397"/>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طلِّقنى ثلاثاً بألف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گوينده از اماميه بود، محمول بر مشروع در مذهب او است كه صورت تخلل دو رجوع بين سه طلاق باشد، لكن صحّت خلع حتى در يكى در مقابل ثلث مجموع ألف، خالى از تأمل نيست؛ بلى صحّت يك طلاق به نحو رجعى يا بائن، دور نيست در تقدير عدم صحّت خلع در يكى به عوض ثلث مجموع الف، و متيقّن از دو احتمال، جواز رجوع در تقدير رجوع زن به بذل مذكور است در مورد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طلِّقنى ثلاثاً بالف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صورتى كه بيش از يك طلاق باقى نمانده باشد، چه عالمه باشد چه جاهله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دو طلاق باقى مانده باشد، پس يك طلاق داد، كه مثل صورت بقاى سه طلاق است مگر در كيفيّت توزيع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طلاق بدهد، احتمال توزيع به ثلثين، قائم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از روى اشتباه و جهلِ به حكم، قصد كرد وفاق مذهب غير اماميه را، دور نيست به واسطۀ كشف قصد نتيجه، يك طلاق صحيح و خلع باشد، و عوض او </w:t>
      </w:r>
      <w:bookmarkStart w:id="1398" w:name="pg10265_89989"/>
    </w:p>
    <w:p>
      <w:pPr>
        <w:pStyle w:val="BookText"/>
        <w:rPr/>
      </w:pPr>
      <w:bookmarkEnd w:id="1398"/>
      <w:r>
        <w:rPr>
          <w:rFonts w:ascii="Amiri" w:hAnsi="Amiri" w:eastAsia="Amiri" w:cs="Amiri"/>
          <w:color w:val="111111"/>
          <w:sz w:val="28"/>
          <w:sz w:val="28"/>
          <w:szCs w:val="28"/>
          <w:rtl w:val="true"/>
          <w:lang w:bidi="ar-SA"/>
        </w:rPr>
        <w:t>ثلث مجموع يا تمام آن باشد، در صورتى كه در مقالۀ اماميّه، مختار همين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از غير ايشان بود و مقصودش ثلاثه بدون تخلّل رجوع، موافق مذهب او بود، پس بذل صحيح نيست نزد ما، و طلاق اوّل نزد ما صحيح است و خلع نيست بلكه رجعى در مورد قابل و بائن در غير آن است</w:t>
      </w:r>
      <w:r>
        <w:rPr>
          <w:rFonts w:eastAsia="IRNazanin" w:cs="IRNazanin"/>
          <w:color w:val="111111"/>
          <w:sz w:val="28"/>
          <w:szCs w:val="28"/>
          <w:rtl w:val="true"/>
          <w:lang w:bidi="fa-IR"/>
        </w:rPr>
        <w:t>.</w:t>
      </w:r>
    </w:p>
    <w:p>
      <w:pPr>
        <w:pStyle w:val="Heading5"/>
        <w:numPr>
          <w:ilvl w:val="4"/>
          <w:numId w:val="1"/>
        </w:numPr>
        <w:rPr/>
      </w:pPr>
      <w:bookmarkStart w:id="1399" w:name="__RefHeading___Toc3808177_1067777946"/>
      <w:bookmarkStart w:id="1400" w:name="_Toc601"/>
      <w:bookmarkEnd w:id="1399"/>
      <w:r>
        <w:rPr>
          <w:rtl w:val="true"/>
        </w:rPr>
        <w:t>تقاضاى يك طلاق به مبلغى و اجراى سه طلاق توسّط زوج به طور ارسال و توالى</w:t>
      </w:r>
      <w:bookmarkEnd w:id="1400"/>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طلّقنى واحدة بالف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سه طلاق داد به طور ارسال، خلع واقع مى شود و مستحق الف است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طالق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وقوع يك طلاق به آن، چنانچه اصح است؛ 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طالق فطالق فطالق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توالى، اوّلى واقع مى شود و بقيه لغو مى شود و مستحق الف در مقابل اوّلى مى شود؛ مگر اينكه نيّت كند الف را در مقابل جميع يا غير اوّل، كه اوّلى رجعى مى شود كه در مقابل عوض مبذول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اقرب صحّت است به نحو خلع در صورتى كه قصد طلاق به عوض ثلث باشد به اولى، چون متضمن است بذل جميع، بذل ثلث را؛ نه در صورتى كه قصد عوض در دومى يا سوّمى نمايد كه طلاق دوّم و سوّم و فداء در مقابل آنها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اگر قصد عوض در اولى نداشته و قصد تبرّع و مجانيّت نداشته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جواب استدعا قرار داده بوده، كه خلع به عوض ثلث بودن، بلكه جميع، خالى از وجه نيست؛ و اگر قصد مجّانيّت داشته، رجعى واقع مى شود و طلاقهاى بعدى باطل است</w:t>
      </w:r>
      <w:r>
        <w:rPr>
          <w:rFonts w:eastAsia="IRNazanin" w:cs="IRNazanin"/>
          <w:color w:val="111111"/>
          <w:sz w:val="28"/>
          <w:szCs w:val="28"/>
          <w:rtl w:val="true"/>
          <w:lang w:bidi="fa-IR"/>
        </w:rPr>
        <w:t>.</w:t>
      </w:r>
    </w:p>
    <w:p>
      <w:pPr>
        <w:pStyle w:val="Heading5"/>
        <w:numPr>
          <w:ilvl w:val="4"/>
          <w:numId w:val="1"/>
        </w:numPr>
        <w:rPr/>
      </w:pPr>
      <w:bookmarkStart w:id="1401" w:name="__RefHeading___Toc3808179_1067777946"/>
      <w:bookmarkStart w:id="1402" w:name="_Toc602"/>
      <w:bookmarkEnd w:id="1401"/>
      <w:r>
        <w:rPr>
          <w:rtl w:val="true"/>
        </w:rPr>
        <w:t>تقاضاى طلاق و ابراء از مهر توسط ولى</w:t>
      </w:r>
      <w:bookmarkEnd w:id="1402"/>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پدر بالغۀ رشيده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بده و تو برئ از مهر او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طلاق داد، رجعى مى شود، و پدر براى زوج يا دختر ضامن نمى شود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ولىّ‌، به واسطۀ صغر و آنچه ملحق به آن است، با عدم مفسده در اين گونه </w:t>
      </w:r>
      <w:bookmarkStart w:id="1403" w:name="pg10265_89990"/>
    </w:p>
    <w:p>
      <w:pPr>
        <w:pStyle w:val="BookText"/>
        <w:rPr/>
      </w:pPr>
      <w:bookmarkEnd w:id="1403"/>
      <w:r>
        <w:rPr>
          <w:rFonts w:ascii="Amiri" w:hAnsi="Amiri" w:eastAsia="Amiri" w:cs="Amiri"/>
          <w:color w:val="111111"/>
          <w:sz w:val="28"/>
          <w:sz w:val="28"/>
          <w:szCs w:val="28"/>
          <w:rtl w:val="true"/>
          <w:lang w:bidi="ar-SA"/>
        </w:rPr>
        <w:t>تصرفات ماليّه، محتمل است صحّت ابراء و خلع به عوض آن، بنابر كفايت عدم مفسده در تصرفات ولى در مال مولىّٰ عليه</w:t>
      </w:r>
      <w:r>
        <w:rPr>
          <w:rFonts w:eastAsia="Amiri" w:cs="Amiri" w:ascii="Amiri" w:hAnsi="Amiri"/>
          <w:color w:val="111111"/>
          <w:sz w:val="28"/>
          <w:szCs w:val="28"/>
          <w:rtl w:val="true"/>
          <w:lang w:bidi="ar-SA"/>
        </w:rPr>
        <w:t>.</w:t>
      </w:r>
    </w:p>
    <w:p>
      <w:pPr>
        <w:pStyle w:val="Heading5"/>
        <w:numPr>
          <w:ilvl w:val="4"/>
          <w:numId w:val="1"/>
        </w:numPr>
        <w:rPr/>
      </w:pPr>
      <w:bookmarkStart w:id="1404" w:name="__RefHeading___Toc3808181_1067777946"/>
      <w:bookmarkStart w:id="1405" w:name="_Toc603"/>
      <w:bookmarkEnd w:id="1404"/>
      <w:r>
        <w:rPr>
          <w:rtl w:val="true"/>
        </w:rPr>
        <w:t>توكيل در خلع و بذل</w:t>
      </w:r>
      <w:bookmarkEnd w:id="1405"/>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 توكيل كرد در انجام خلع بدون قيد، صحيح است و از مهر المثل تجاوز نمى نمايد با نقد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اگر زوج، توكيل در خلع كرد، از مهر المثل كمتر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نقد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قرار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وكيلِ زوجه، زايد بر مهر المثل بذل نمود، بذل باطل و يا موقوف به اجازۀ زن است؛ و در صورت اوّل يا عدم اجازه، طلاق رجعى مى شود در مورد قابل با وقوع خلع به صيغۀ 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وكيل زوج به اقل از مهر المثل خلع نمود، باطل است خلع با عدم اجازۀ بذل خاص؛ و اگر طلاق داد با آن عوض، واقع نمى شود، چون صادر از اجنبى است</w:t>
      </w:r>
      <w:r>
        <w:rPr>
          <w:rFonts w:eastAsia="IRNazanin" w:cs="IRNazanin"/>
          <w:color w:val="111111"/>
          <w:sz w:val="28"/>
          <w:szCs w:val="28"/>
          <w:rtl w:val="true"/>
          <w:lang w:bidi="fa-IR"/>
        </w:rPr>
        <w:t>.</w:t>
      </w:r>
    </w:p>
    <w:p>
      <w:pPr>
        <w:pStyle w:val="Heading4"/>
        <w:numPr>
          <w:ilvl w:val="3"/>
          <w:numId w:val="1"/>
        </w:numPr>
        <w:rPr/>
      </w:pPr>
      <w:bookmarkStart w:id="1406" w:name="__RefHeading___Toc3808183_1067777946"/>
      <w:bookmarkStart w:id="1407" w:name="_Toc604"/>
      <w:bookmarkEnd w:id="1406"/>
      <w:r>
        <w:rPr/>
        <w:t>2</w:t>
      </w:r>
      <w:r>
        <w:rPr>
          <w:rtl w:val="true"/>
        </w:rPr>
        <w:t xml:space="preserve">. </w:t>
      </w:r>
      <w:r>
        <w:rPr>
          <w:rtl w:val="true"/>
        </w:rPr>
        <w:t>احكام تنازع در خُلع</w:t>
      </w:r>
      <w:bookmarkEnd w:id="14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اتفاق در قدر فداء و اختلاف در جنس آن داشتند، اظهر تحالف و تساقط دو دعوى و رجوع به ممكنِ از مهر المثل است، يعنى غير زايد از دعواى زوج، و خلع صحيح است بر حسب اتفاق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اختلاف فقط در قدر باشد، قول زن با يمين او مقدم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اتفاق داشتند بر ذكر قدر و عدم ذكر جنس و اختلاف در ارادۀ جنسى بود، يا آنكه اختلاف داشتند در توافق بر ارادۀ جنسى و اختلاف در خصوص آن مراد بود، اظهر تحالف است؛ مثل صورت اختلاف در جنس مذكور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اختلاف در اصل ارادۀ جنسى از قدر مذكور داشتند، اظهر تقديم قول مدّعى صحّت فداء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خلع نمودم تورا با ألفى در ذمۀ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ذمۀ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ساقط </w:t>
      </w:r>
    </w:p>
    <w:p>
      <w:pPr>
        <w:pStyle w:val="BookText"/>
        <w:rPr/>
      </w:pPr>
      <w:r>
        <w:rPr>
          <w:rFonts w:ascii="IRNazanin" w:hAnsi="IRNazanin" w:eastAsia="IRNazanin"/>
          <w:color w:val="111111"/>
          <w:sz w:val="28"/>
          <w:sz w:val="28"/>
          <w:szCs w:val="28"/>
          <w:rtl w:val="true"/>
          <w:lang w:bidi="fa-IR"/>
        </w:rPr>
        <w:t xml:space="preserve">مى شود از زن با يمين او و ثابت نمى شود بر زيد، و خلع صحيح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متأخرين منسوب است و در آن تأمل است به جهت غلبۀ ارتباط فداء به خود زن به استقلال و اين سبب توجّه يمين به خالع است، بلى بر زيد چيزى ثابت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مخالعت كرده است با تو فلان و عوض بر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زن بگويد در 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 با اين قدر مخالعت كرد و فلان، ضامن يا مؤدى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زن است فداء مخصوص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 ندارد، و بر فلان، چيزى ثابت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ادّعاى خلع كرد و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اجنبى خلع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عوض بر زن نيست و بينونت خلع حاصل است و بر اجنبى چيزى ثابت نيست</w:t>
      </w:r>
      <w:r>
        <w:rPr>
          <w:rFonts w:eastAsia="IRNazanin" w:cs="IRNazanin"/>
          <w:color w:val="111111"/>
          <w:sz w:val="28"/>
          <w:szCs w:val="28"/>
          <w:rtl w:val="true"/>
          <w:lang w:bidi="fa-IR"/>
        </w:rPr>
        <w:t>.</w:t>
      </w:r>
      <w:bookmarkStart w:id="1408" w:name="pg10265_89992"/>
    </w:p>
    <w:p>
      <w:pPr>
        <w:pStyle w:val="Heading3"/>
        <w:numPr>
          <w:ilvl w:val="2"/>
          <w:numId w:val="1"/>
        </w:numPr>
        <w:rPr/>
      </w:pPr>
      <w:bookmarkStart w:id="1409" w:name="__RefHeading___Toc3808185_1067777946"/>
      <w:bookmarkStart w:id="1410" w:name="_Toc605"/>
      <w:bookmarkEnd w:id="1408"/>
      <w:bookmarkEnd w:id="1409"/>
      <w:r>
        <w:rPr>
          <w:rtl w:val="true"/>
        </w:rPr>
        <w:t>فصل پنجم مبارات</w:t>
      </w:r>
      <w:bookmarkEnd w:id="1410"/>
    </w:p>
    <w:p>
      <w:pPr>
        <w:pStyle w:val="Heading4"/>
        <w:numPr>
          <w:ilvl w:val="3"/>
          <w:numId w:val="1"/>
        </w:numPr>
        <w:rPr/>
      </w:pPr>
      <w:bookmarkStart w:id="1411" w:name="__RefHeading___Toc3808187_1067777946"/>
      <w:bookmarkStart w:id="1412" w:name="_Toc606"/>
      <w:bookmarkEnd w:id="1411"/>
      <w:r>
        <w:rPr>
          <w:rtl w:val="true"/>
        </w:rPr>
        <w:t>تعريف، شروط و صيغۀ مبارات</w:t>
      </w:r>
      <w:bookmarkEnd w:id="1412"/>
    </w:p>
    <w:p>
      <w:pPr>
        <w:pStyle w:val="BookText"/>
        <w:rPr/>
      </w:pPr>
      <w:r>
        <w:rPr>
          <w:rFonts w:ascii="IRNazanin" w:hAnsi="IRNazanin" w:eastAsia="IRNazanin"/>
          <w:color w:val="111111"/>
          <w:sz w:val="28"/>
          <w:sz w:val="28"/>
          <w:szCs w:val="28"/>
          <w:rtl w:val="true"/>
          <w:lang w:bidi="fa-IR"/>
        </w:rPr>
        <w:t xml:space="preserve">و 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كراهت هر يك از زوجين، ديگرى را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حاصل مى شود به قول 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بارأتك على كذا، فانت 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فرقى در محقّق كراهت زوجه و حد آن، بين خلع و مبارات نيست بنابر اظهر؛ و فارق، ضميمۀ كراهت زوج است به مطلق كراهت محققه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مبارات اگر به صيغۀ خلع نباشد، اظهر احتياج آن است به اتباع به صيغۀ طلاق در حصول بينونت، به خلاف آنكه اگر به صيغۀ خلع باشد، چنانكه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 در مورد منافات بين زوجين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طالق بكذا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صحيح است و مبارات واقع مى شود و احكام آن مرتّب مى شود، كما اينكه در مورد خصوص كراهت زوجه، خلع مقابل مبارات واقع مى شود و احكام آن مرتّب مى شود</w:t>
      </w:r>
      <w:r>
        <w:rPr>
          <w:rFonts w:eastAsia="IRNazanin" w:cs="IRNazanin"/>
          <w:color w:val="111111"/>
          <w:sz w:val="28"/>
          <w:szCs w:val="28"/>
          <w:rtl w:val="true"/>
          <w:lang w:bidi="fa-IR"/>
        </w:rPr>
        <w:t>.</w:t>
      </w:r>
    </w:p>
    <w:p>
      <w:pPr>
        <w:pStyle w:val="Heading4"/>
        <w:numPr>
          <w:ilvl w:val="3"/>
          <w:numId w:val="1"/>
        </w:numPr>
        <w:rPr/>
      </w:pPr>
      <w:bookmarkStart w:id="1413" w:name="__RefHeading___Toc3808189_1067777946"/>
      <w:bookmarkStart w:id="1414" w:name="_Toc607"/>
      <w:bookmarkEnd w:id="1413"/>
      <w:r>
        <w:rPr>
          <w:rtl w:val="true"/>
        </w:rPr>
        <w:t>اعتبار شروط طلاق و خلع در مبارات</w:t>
      </w:r>
      <w:bookmarkEnd w:id="141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شروط معتبره در خلع در طرفين، معتبر است در مبارات در زوجين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شروط معتبره در نفس طلاق، معتبر است در هر يك از خلع و مبارات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مقابل 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صيغۀ طلاق معتبر است، لازم است در طلاق بعد از مبارات</w:t>
      </w:r>
      <w:r>
        <w:rPr>
          <w:rFonts w:eastAsia="IRNazanin" w:cs="IRNazanin"/>
          <w:color w:val="111111"/>
          <w:sz w:val="28"/>
          <w:szCs w:val="28"/>
          <w:rtl w:val="true"/>
          <w:lang w:bidi="fa-IR"/>
        </w:rPr>
        <w:t xml:space="preserve">. </w:t>
      </w:r>
      <w:bookmarkStart w:id="1415" w:name="pg10265_89993"/>
    </w:p>
    <w:p>
      <w:pPr>
        <w:pStyle w:val="Heading4"/>
        <w:numPr>
          <w:ilvl w:val="3"/>
          <w:numId w:val="1"/>
        </w:numPr>
        <w:rPr/>
      </w:pPr>
      <w:bookmarkStart w:id="1416" w:name="__RefHeading___Toc3808191_1067777946"/>
      <w:bookmarkStart w:id="1417" w:name="_Toc608"/>
      <w:bookmarkEnd w:id="1415"/>
      <w:bookmarkEnd w:id="1416"/>
      <w:r>
        <w:rPr>
          <w:rtl w:val="true"/>
        </w:rPr>
        <w:t>احكام رجوع در مبارات</w:t>
      </w:r>
      <w:bookmarkEnd w:id="1417"/>
    </w:p>
    <w:p>
      <w:pPr>
        <w:pStyle w:val="BookText"/>
        <w:rPr/>
      </w:pPr>
      <w:r>
        <w:rPr>
          <w:rFonts w:ascii="IRNazanin" w:hAnsi="IRNazanin" w:eastAsia="IRNazanin"/>
          <w:color w:val="111111"/>
          <w:sz w:val="28"/>
          <w:sz w:val="28"/>
          <w:szCs w:val="28"/>
          <w:rtl w:val="true"/>
          <w:lang w:bidi="fa-IR"/>
        </w:rPr>
        <w:t>طلاق به عوض در مورد مبارات، بائن است و زوج حق رجوع ندارد مگر با رجوع زوجه در بذل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رجوع زوج در عده، بعد از رجوع زوجه در بذل در عده، جايز است چنانكه در خلع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رجوع در بعض فديه، به نحو رجوع در خلع است، چنانكه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رجوع زوج با رجوع زوجه، در مبارات لازم نيست؛ چنانكه در خلع مقابل مبارات لازم نيست</w:t>
      </w:r>
      <w:r>
        <w:rPr>
          <w:rFonts w:eastAsia="IRNazanin" w:cs="IRNazanin"/>
          <w:color w:val="111111"/>
          <w:sz w:val="28"/>
          <w:szCs w:val="28"/>
          <w:rtl w:val="true"/>
          <w:lang w:bidi="fa-IR"/>
        </w:rPr>
        <w:t>.</w:t>
      </w:r>
    </w:p>
    <w:p>
      <w:pPr>
        <w:pStyle w:val="Heading4"/>
        <w:numPr>
          <w:ilvl w:val="3"/>
          <w:numId w:val="1"/>
        </w:numPr>
        <w:rPr/>
      </w:pPr>
      <w:bookmarkStart w:id="1418" w:name="__RefHeading___Toc3808193_1067777946"/>
      <w:bookmarkStart w:id="1419" w:name="_Toc609"/>
      <w:bookmarkEnd w:id="1418"/>
      <w:r>
        <w:rPr>
          <w:rtl w:val="true"/>
        </w:rPr>
        <w:t>افتراق مبارات از خلع</w:t>
      </w:r>
      <w:bookmarkEnd w:id="1419"/>
    </w:p>
    <w:p>
      <w:pPr>
        <w:pStyle w:val="BookText"/>
        <w:rPr/>
      </w:pPr>
      <w:r>
        <w:rPr>
          <w:rFonts w:ascii="IRNazanin" w:hAnsi="IRNazanin" w:eastAsia="IRNazanin"/>
          <w:color w:val="111111"/>
          <w:sz w:val="28"/>
          <w:sz w:val="28"/>
          <w:szCs w:val="28"/>
          <w:rtl w:val="true"/>
          <w:lang w:bidi="fa-IR"/>
        </w:rPr>
        <w:t>افتراق مبارات از خلع مقابل با آن، در چند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كراهت زوجين در مبارات، و كراهت خصوص زوجه در خلع مقابل با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آنچه گذشت از احتياج به تعقيب به صيغۀ طلاق اگر به صيغه خلع واقع نشود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آنها، اينكه در مبارات مهر يا كمتر از مهر فديه قرار داده مى شود و زايد از مهر جايز نيست؛ و در خلع مقابل مبارات، زايد جايز است</w:t>
      </w:r>
      <w:r>
        <w:rPr>
          <w:rFonts w:eastAsia="Amiri" w:cs="Amiri" w:ascii="Amiri" w:hAnsi="Amiri"/>
          <w:color w:val="111111"/>
          <w:sz w:val="28"/>
          <w:szCs w:val="28"/>
          <w:rtl w:val="true"/>
          <w:lang w:bidi="ar-SA"/>
        </w:rPr>
        <w:t xml:space="preserve">. </w:t>
      </w:r>
      <w:bookmarkStart w:id="1420" w:name="pg10265_89994"/>
    </w:p>
    <w:p>
      <w:pPr>
        <w:pStyle w:val="Heading2"/>
        <w:numPr>
          <w:ilvl w:val="1"/>
          <w:numId w:val="1"/>
        </w:numPr>
        <w:rPr/>
      </w:pPr>
      <w:bookmarkStart w:id="1421" w:name="__RefHeading___Toc3808195_1067777946"/>
      <w:bookmarkStart w:id="1422" w:name="_Toc610"/>
      <w:bookmarkEnd w:id="1420"/>
      <w:bookmarkEnd w:id="1421"/>
      <w:r>
        <w:rPr>
          <w:rtl w:val="true"/>
        </w:rPr>
        <w:t>كتاب ظهار</w:t>
      </w:r>
      <w:bookmarkEnd w:id="1422"/>
    </w:p>
    <w:p>
      <w:pPr>
        <w:pStyle w:val="Heading3"/>
        <w:numPr>
          <w:ilvl w:val="2"/>
          <w:numId w:val="1"/>
        </w:numPr>
        <w:rPr/>
      </w:pPr>
      <w:bookmarkStart w:id="1423" w:name="__RefHeading___Toc3808197_1067777946"/>
      <w:bookmarkStart w:id="1424" w:name="_Toc611"/>
      <w:bookmarkEnd w:id="1423"/>
      <w:r>
        <w:rPr>
          <w:rtl w:val="true"/>
        </w:rPr>
        <w:t>اشاره</w:t>
      </w:r>
      <w:bookmarkEnd w:id="1424"/>
    </w:p>
    <w:p>
      <w:pPr>
        <w:pStyle w:val="BookText"/>
        <w:rPr/>
      </w:pPr>
      <w:r>
        <w:rPr>
          <w:rFonts w:ascii="Amiri" w:hAnsi="Amiri" w:eastAsia="Amiri" w:cs="Amiri"/>
          <w:color w:val="111111"/>
          <w:sz w:val="28"/>
          <w:sz w:val="28"/>
          <w:szCs w:val="28"/>
          <w:rtl w:val="true"/>
          <w:lang w:bidi="ar-SA"/>
        </w:rPr>
        <w:t>صيغۀ ظهار</w:t>
      </w:r>
    </w:p>
    <w:p>
      <w:pPr>
        <w:pStyle w:val="BookText"/>
        <w:rPr/>
      </w:pPr>
      <w:r>
        <w:rPr>
          <w:rFonts w:ascii="IRNazanin" w:hAnsi="IRNazanin" w:eastAsia="IRNazanin"/>
          <w:color w:val="111111"/>
          <w:sz w:val="28"/>
          <w:sz w:val="28"/>
          <w:szCs w:val="28"/>
          <w:rtl w:val="true"/>
          <w:lang w:bidi="fa-IR"/>
        </w:rPr>
        <w:t>آنچه در مُظاهِر و مُظاهرَه</w:t>
      </w:r>
    </w:p>
    <w:p>
      <w:pPr>
        <w:pStyle w:val="BookText"/>
        <w:rPr/>
      </w:pPr>
      <w:r>
        <w:rPr>
          <w:rFonts w:ascii="IRNazanin" w:hAnsi="IRNazanin" w:eastAsia="IRNazanin"/>
          <w:color w:val="111111"/>
          <w:sz w:val="28"/>
          <w:sz w:val="28"/>
          <w:szCs w:val="28"/>
          <w:rtl w:val="true"/>
          <w:lang w:bidi="fa-IR"/>
        </w:rPr>
        <w:t>معتبر است</w:t>
      </w:r>
    </w:p>
    <w:p>
      <w:pPr>
        <w:pStyle w:val="BookText"/>
        <w:rPr/>
      </w:pPr>
      <w:r>
        <w:rPr>
          <w:rFonts w:ascii="Amiri" w:hAnsi="Amiri" w:eastAsia="Amiri" w:cs="Amiri"/>
          <w:color w:val="111111"/>
          <w:sz w:val="28"/>
          <w:sz w:val="28"/>
          <w:szCs w:val="28"/>
          <w:rtl w:val="true"/>
          <w:lang w:bidi="ar-SA"/>
        </w:rPr>
        <w:t>احكام ظهار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كفّارات ظهار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5" w:name="pg10265_89996"/>
      <w:bookmarkStart w:id="1426" w:name="pg10265_89996"/>
      <w:bookmarkEnd w:id="1426"/>
    </w:p>
    <w:p>
      <w:pPr>
        <w:pStyle w:val="Heading3"/>
        <w:numPr>
          <w:ilvl w:val="2"/>
          <w:numId w:val="1"/>
        </w:numPr>
        <w:rPr/>
      </w:pPr>
      <w:bookmarkStart w:id="1427" w:name="pg10265_89996"/>
      <w:bookmarkStart w:id="1428" w:name="__RefHeading___Toc3808199_1067777946"/>
      <w:bookmarkStart w:id="1429" w:name="_Toc612"/>
      <w:bookmarkEnd w:id="1427"/>
      <w:bookmarkEnd w:id="1428"/>
      <w:r>
        <w:rPr>
          <w:rtl w:val="true"/>
        </w:rPr>
        <w:t>فصل اوّل صيغۀ ظهار</w:t>
      </w:r>
      <w:bookmarkEnd w:id="1429"/>
    </w:p>
    <w:p>
      <w:pPr>
        <w:pStyle w:val="Heading4"/>
        <w:numPr>
          <w:ilvl w:val="3"/>
          <w:numId w:val="1"/>
        </w:numPr>
        <w:rPr/>
      </w:pPr>
      <w:bookmarkStart w:id="1430" w:name="__RefHeading___Toc3808201_1067777946"/>
      <w:bookmarkStart w:id="1431" w:name="_Toc613"/>
      <w:bookmarkEnd w:id="1430"/>
      <w:r>
        <w:rPr>
          <w:rtl w:val="true"/>
        </w:rPr>
        <w:t>اشاره</w:t>
      </w:r>
      <w:bookmarkEnd w:id="1431"/>
    </w:p>
    <w:p>
      <w:pPr>
        <w:pStyle w:val="BookText"/>
        <w:rPr/>
      </w:pPr>
      <w:r>
        <w:rPr>
          <w:rFonts w:ascii="Amiri" w:hAnsi="Amiri" w:eastAsia="Amiri" w:cs="Amiri"/>
          <w:color w:val="111111"/>
          <w:sz w:val="28"/>
          <w:sz w:val="28"/>
          <w:szCs w:val="28"/>
          <w:rtl w:val="true"/>
          <w:lang w:bidi="ar-SA"/>
        </w:rPr>
        <w:t>صيغۀ ظهار عبارت است از قول 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علىّ كظهر 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مؤدّى معناى آن باشد</w:t>
      </w:r>
      <w:r>
        <w:rPr>
          <w:rFonts w:eastAsia="IRNazanin" w:cs="IRNazanin"/>
          <w:color w:val="111111"/>
          <w:sz w:val="28"/>
          <w:szCs w:val="28"/>
          <w:rtl w:val="true"/>
          <w:lang w:bidi="fa-IR"/>
        </w:rPr>
        <w:t>.</w:t>
      </w:r>
    </w:p>
    <w:p>
      <w:pPr>
        <w:pStyle w:val="Heading4"/>
        <w:numPr>
          <w:ilvl w:val="3"/>
          <w:numId w:val="1"/>
        </w:numPr>
        <w:rPr/>
      </w:pPr>
      <w:bookmarkStart w:id="1432" w:name="__RefHeading___Toc3808203_1067777946"/>
      <w:bookmarkStart w:id="1433" w:name="_Toc614"/>
      <w:bookmarkEnd w:id="1432"/>
      <w:r>
        <w:rPr>
          <w:rtl w:val="true"/>
        </w:rPr>
        <w:t>فروض تحقّق و عدم تحقّق ظهار</w:t>
      </w:r>
      <w:bookmarkEnd w:id="1433"/>
    </w:p>
    <w:p>
      <w:pPr>
        <w:pStyle w:val="BookText"/>
        <w:rPr/>
      </w:pPr>
      <w:r>
        <w:rPr>
          <w:rFonts w:ascii="IRNazanin" w:hAnsi="IRNazanin" w:eastAsia="IRNazanin"/>
          <w:color w:val="111111"/>
          <w:sz w:val="28"/>
          <w:sz w:val="28"/>
          <w:szCs w:val="28"/>
          <w:rtl w:val="true"/>
          <w:lang w:bidi="fa-IR"/>
        </w:rPr>
        <w:t xml:space="preserve">و اظهر تحقّق ظهار، به تشبيهِ به سائر محارم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عمّه و 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تشبيه به محارم ابديّه به سبب مصاهرت، وجهى براى انعقاد ظهار است؛ بلكه به سبب رضاع هم انعقاد، متّجه و موافق احتياط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تشبيه به اجزاى بدن محارم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شَعر و 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انعقاد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علىّ كاُمّى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سائر محارم، به قصد ظهار، اظهر انعقاد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بعض اجزاى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 يا به ظهر او تشبيه كرد، در انعقاد ظهارِ مقصود، تأمّل است و مورد احتياط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تشبيه بعض به بعض،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يدكِ كيَدِ 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كظهر 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اظهر عدم انعقاد ظهار است در تشبيه به محرّمات غير ابديّه به سبب مصاهرت،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 زوجه و عمّه و خالۀ زوجه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تشبيه به رجالِ اقارب، اثرى ندارد؛ و هم چنين ايقاع ظهار از زوجه اثرى ندارد</w:t>
      </w:r>
      <w:r>
        <w:rPr>
          <w:rFonts w:eastAsia="IRNazanin" w:cs="IRNazanin"/>
          <w:color w:val="111111"/>
          <w:sz w:val="28"/>
          <w:szCs w:val="28"/>
          <w:rtl w:val="true"/>
          <w:lang w:bidi="fa-IR"/>
        </w:rPr>
        <w:t xml:space="preserve">. </w:t>
      </w:r>
      <w:bookmarkStart w:id="1434" w:name="pg10265_89997"/>
    </w:p>
    <w:p>
      <w:pPr>
        <w:pStyle w:val="Heading4"/>
        <w:numPr>
          <w:ilvl w:val="3"/>
          <w:numId w:val="1"/>
        </w:numPr>
        <w:rPr/>
      </w:pPr>
      <w:bookmarkStart w:id="1435" w:name="__RefHeading___Toc3808205_1067777946"/>
      <w:bookmarkStart w:id="1436" w:name="_Toc615"/>
      <w:bookmarkEnd w:id="1434"/>
      <w:bookmarkEnd w:id="1435"/>
      <w:r>
        <w:rPr>
          <w:rtl w:val="true"/>
        </w:rPr>
        <w:t>اعتبار حضور دو شاهد عادل</w:t>
      </w:r>
      <w:bookmarkEnd w:id="1436"/>
    </w:p>
    <w:p>
      <w:pPr>
        <w:pStyle w:val="BookText"/>
        <w:rPr/>
      </w:pPr>
      <w:r>
        <w:rPr>
          <w:rFonts w:ascii="Amiri" w:hAnsi="Amiri" w:eastAsia="Amiri" w:cs="Amiri"/>
          <w:color w:val="111111"/>
          <w:sz w:val="28"/>
          <w:sz w:val="28"/>
          <w:szCs w:val="28"/>
          <w:rtl w:val="true"/>
          <w:lang w:bidi="ar-SA"/>
        </w:rPr>
        <w:t>معتبر است در وقوع ظهار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حضور دو شاهد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صيغۀ ظهار را سماع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واقع نمى شود ظهار در يمين به اينكه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فعلت ذلك أو تركته، فانت علىّ كظهر 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متعلّق به زوج نمايد يا زوجه</w:t>
      </w:r>
      <w:r>
        <w:rPr>
          <w:rFonts w:eastAsia="IRNazanin" w:cs="IRNazanin"/>
          <w:color w:val="111111"/>
          <w:sz w:val="28"/>
          <w:szCs w:val="28"/>
          <w:rtl w:val="true"/>
          <w:lang w:bidi="fa-IR"/>
        </w:rPr>
        <w:t>.</w:t>
      </w:r>
    </w:p>
    <w:p>
      <w:pPr>
        <w:pStyle w:val="Heading4"/>
        <w:numPr>
          <w:ilvl w:val="3"/>
          <w:numId w:val="1"/>
        </w:numPr>
        <w:rPr/>
      </w:pPr>
      <w:bookmarkStart w:id="1437" w:name="__RefHeading___Toc3808207_1067777946"/>
      <w:bookmarkStart w:id="1438" w:name="_Toc616"/>
      <w:bookmarkEnd w:id="1437"/>
      <w:r>
        <w:rPr>
          <w:rtl w:val="true"/>
        </w:rPr>
        <w:t>صُوَر تعليق در ظهار و حكم هر كدام</w:t>
      </w:r>
      <w:bookmarkEnd w:id="1438"/>
    </w:p>
    <w:p>
      <w:pPr>
        <w:pStyle w:val="BookText"/>
        <w:rPr/>
      </w:pPr>
      <w:r>
        <w:rPr>
          <w:rFonts w:ascii="IRNazanin" w:hAnsi="IRNazanin" w:eastAsia="IRNazanin"/>
          <w:color w:val="111111"/>
          <w:sz w:val="28"/>
          <w:sz w:val="28"/>
          <w:szCs w:val="28"/>
          <w:rtl w:val="true"/>
          <w:lang w:bidi="fa-IR"/>
        </w:rPr>
        <w:t>و تعليق انشاى ظهار به اينكه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انقضى الشهر أو دخل الجمعة فأنت علىّ كظهر 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 ظهار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اعتبار عدم اضرار به ازيد از آنچه مترتّب بر نفس ظهار است، تأمّل است، و محل احتياط به وقوع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اظهر، صحّت ظهارِ معلَّق بر شرط است به اينكه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علىّ كظهر اُمّي إن قربتك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واقع مى شود حين مقاربت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فعل، نه حين انشاى صيغه، مثل صورت عدم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كفاره در دوّمى حين انشاء، لازم است، و در اول حين وقوع معلَّقٌ عليه لازم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صحّت ظهار موقّت به مدتى، تأمّل است، و محل احتياط به وقوع است اگر چه مدت كمتر از مدت تربّص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طالق كظهر 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اقرب وقوع طلاق و ظهار در طلاق رجعى است با قصد هر دو، چنانچه ظاهر لفظها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 جدّى يكى از آنها بود، خصوص مقصود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قصد يكى به مجموع دو صيغه داشت، هيچ كدام حاصل نمى شود بنا بر عدم اكتفا به كنايات در طلاق و ظهار، چه آنكه قصد يكى به مجموعِ دو صيغه نمايد، يا قصد هر كدام از دو به مجموع دو صيغه نمايد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چنين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كظهر اُمّي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تصوير صور مذكوره و احكام آنها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علىّ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علىّ حرام كظهر 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علىّ كظهر اُمّي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أظهر وقوع ظهار است با قصد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علىّ كظهر اُمّي إن ظاهرتُ ضرّتَك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ظهار كرد ضرّه را، هر دو ظهار، فعلى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ظاهرتُ من إحداكما،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أيّكما ظاهرتُ منها فالاُخرى علىّ‌، كظهر 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ظهار كرد يكى معين را، ظهارِ معيّن، واقع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وقوع ظهار بدون تعيين،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 در ظهارِ يك 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ظاهَرَ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اجنبيّه است، پس اگر قصد تلفظ دارد، ظهارِ معلَّق واقع مى شود بعد از تحقّق معلَّقٌ عليه؛ و اگر قصد ظهار شرعى دارد، هيچ واقع نمى شود، مگر آنكه ممكن باشد تزويج و ظهار بعد از آن و واقع شود اين ممكن، كه ظهار معلَّق هم محقّق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نصب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اجنبيّه را، پس اگر تلفّظ، مقصود باشد، معلَّق صحيح مى شود با تحقّق معلَّقٌ عليه؛ و اگر مقصود واقع باشد، هيچ واقع نمى شود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بگويد در مقام تعليق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صحّت معلّق، موقوف بر قصد تلفظ يا امكان تحقّق در زمان مترقّب و وقوع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مقام تعليق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فلانة الأجنبيّة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نكاح و ظهار كرد، صحّت دو ظهار، مبنى بر قصدِ فلان به نحو اشاره به معيّن است يا قصد توصيف و تسميه مبنى بر تطبيق باشد در حين تعليق؛ و در مقام مرافعه، مبنى بر ترجيح اشاره بر وصف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قصد نكاح حقيقىِ شرعىِ با اجنبيّه كرد در مقام تعليق، ظهار معلَّق واقع نمى شود، اگر چه بعد نكاح كرد و ظهار نمود؛ بلى ظهار بعدى محقّق مى شود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معلّق نمايد ظهار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شرط، واقع نمى شود، چون مشيّت تشريعيّه منتفى است در حرام، و تكوينيّه معلوم العدم است، زيرا بايد ظهارِ </w:t>
      </w:r>
    </w:p>
    <w:p>
      <w:pPr>
        <w:pStyle w:val="BookText"/>
        <w:rPr/>
      </w:pPr>
      <w:r>
        <w:rPr>
          <w:rFonts w:ascii="IRNazanin" w:hAnsi="IRNazanin" w:eastAsia="IRNazanin"/>
          <w:color w:val="111111"/>
          <w:sz w:val="28"/>
          <w:sz w:val="28"/>
          <w:szCs w:val="28"/>
          <w:rtl w:val="true"/>
          <w:lang w:bidi="fa-IR"/>
        </w:rPr>
        <w:t>غيرِ معلّق واقع شود تا بدانيم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 تبرّك باشد نه شرط، واقع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معلَّقٌ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مشيّت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اظهر وقوع ظهار است، زيرا ظهار بلا تعليق واقع نشده و مورد مشيّت تكوينيّه واقع نشده، و هم چنين مشيّت تشريعيّه در حرام نيست؛ و فَرق عدليّه و اشعريّه در تعلّق مشيّت خدا به فعل اختيارى يا به نفس فعل عبد، فارق نيست در اين 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تعليق به نقيضين، در حكم عدم تعليق است</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تعليق بر مجموع دو امر كرد، با وقوعِ يكى، واقع نمى شود؛ و با وقوع دو مع التعاقب، واقع نمى شود اگر تعليقِ به مجموع به يك دفعه نمود؛ و اگر مقصود وقوع آنها على البدل يا اگر چه به نحو تعاقب باشد بوده است، واقع مى شود</w:t>
      </w:r>
      <w:r>
        <w:rPr>
          <w:rFonts w:eastAsia="IRNazanin" w:cs="IRNazanin"/>
          <w:color w:val="111111"/>
          <w:sz w:val="28"/>
          <w:szCs w:val="28"/>
          <w:rtl w:val="true"/>
          <w:lang w:bidi="fa-IR"/>
        </w:rPr>
        <w:t xml:space="preserve">. </w:t>
      </w:r>
      <w:bookmarkStart w:id="1439" w:name="pg10265_90000"/>
    </w:p>
    <w:p>
      <w:pPr>
        <w:pStyle w:val="Heading3"/>
        <w:numPr>
          <w:ilvl w:val="2"/>
          <w:numId w:val="1"/>
        </w:numPr>
        <w:rPr/>
      </w:pPr>
      <w:bookmarkStart w:id="1440" w:name="__RefHeading___Toc3808209_1067777946"/>
      <w:bookmarkStart w:id="1441" w:name="_Toc617"/>
      <w:bookmarkEnd w:id="1439"/>
      <w:bookmarkEnd w:id="1440"/>
      <w:r>
        <w:rPr>
          <w:rtl w:val="true"/>
        </w:rPr>
        <w:t>فصل دوّم آنچه در مُظاهِر و مُظاهرَه معتبر است</w:t>
      </w:r>
      <w:bookmarkEnd w:id="1441"/>
    </w:p>
    <w:p>
      <w:pPr>
        <w:pStyle w:val="Heading4"/>
        <w:numPr>
          <w:ilvl w:val="3"/>
          <w:numId w:val="1"/>
        </w:numPr>
        <w:rPr/>
      </w:pPr>
      <w:bookmarkStart w:id="1442" w:name="__RefHeading___Toc3808211_1067777946"/>
      <w:bookmarkStart w:id="1443" w:name="_Toc618"/>
      <w:bookmarkEnd w:id="1442"/>
      <w:r>
        <w:rPr>
          <w:rtl w:val="true"/>
        </w:rPr>
        <w:t>شرايط معتبر در مُظاهِر</w:t>
      </w:r>
      <w:bookmarkEnd w:id="1443"/>
    </w:p>
    <w:p>
      <w:pPr>
        <w:pStyle w:val="BookText"/>
        <w:rPr/>
      </w:pPr>
      <w:r>
        <w:rPr>
          <w:rFonts w:ascii="IRNazanin" w:hAnsi="IRNazanin" w:eastAsia="IRNazanin"/>
          <w:color w:val="111111"/>
          <w:sz w:val="28"/>
          <w:sz w:val="28"/>
          <w:szCs w:val="28"/>
          <w:rtl w:val="true"/>
          <w:lang w:bidi="fa-IR"/>
        </w:rPr>
        <w:t>معتبر است در فاعل ظهار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ظهار مراهق اثرى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ظهار مجنون در غير حال افاقه اثرى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اكراه، و در مقابل غير قاصد به واسطۀ سكر يا اغما يا غضب مفرط يا نوم يا غفلت و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طلاق به قصد ظهار و به جاى آن، يا ظهار به قصد طلاق و به جاى آن، تأثيرى در هيچ كدام از طلاق و ظهار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خصىّ و مجبوب، ظهار آنها مؤثّر است در صورت عروض عدم تمكّن از وطى بعد از دخول بنا بر اشتراط 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شديم به تحريم غير وطى از سائر استمتاعات به سبب ظهار، به خلاف قول به اختصاص حرمت به وطى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صحّت ظهار 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منسوب به اكثر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تمكّن از صوم به اختيار اسلام، تأمّل است؛ و بر تقدير صحّت مطلقاً يا بنا بر صحّت عتق و اطعام از كافر، در صورت ترافع به سوى حكّام اسلام، منع از وطى مى شود تا آنكه اختيار كفاره و مقدماتش نمايد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ظهار مملوك صحيح است؛ و بر او از كفاره، غير از روزۀ يك ماه نيست</w:t>
      </w:r>
      <w:r>
        <w:rPr>
          <w:rFonts w:eastAsia="Amiri" w:cs="Amiri" w:ascii="Amiri" w:hAnsi="Amiri"/>
          <w:color w:val="111111"/>
          <w:sz w:val="28"/>
          <w:szCs w:val="28"/>
          <w:rtl w:val="true"/>
          <w:lang w:bidi="ar-SA"/>
        </w:rPr>
        <w:t xml:space="preserve">. </w:t>
      </w:r>
      <w:bookmarkStart w:id="1444" w:name="pg10265_90001"/>
    </w:p>
    <w:p>
      <w:pPr>
        <w:pStyle w:val="Heading4"/>
        <w:numPr>
          <w:ilvl w:val="3"/>
          <w:numId w:val="1"/>
        </w:numPr>
        <w:rPr/>
      </w:pPr>
      <w:bookmarkStart w:id="1445" w:name="__RefHeading___Toc3808213_1067777946"/>
      <w:bookmarkStart w:id="1446" w:name="_Toc619"/>
      <w:bookmarkEnd w:id="1444"/>
      <w:bookmarkEnd w:id="1445"/>
      <w:r>
        <w:rPr>
          <w:rtl w:val="true"/>
        </w:rPr>
        <w:t>شرايط معتبر در مُظاهَره</w:t>
      </w:r>
      <w:bookmarkEnd w:id="1446"/>
    </w:p>
    <w:p>
      <w:pPr>
        <w:pStyle w:val="BookText"/>
        <w:rPr/>
      </w:pPr>
      <w:r>
        <w:rPr>
          <w:rFonts w:ascii="IRNazanin" w:hAnsi="IRNazanin" w:eastAsia="IRNazanin"/>
          <w:color w:val="111111"/>
          <w:sz w:val="28"/>
          <w:sz w:val="28"/>
          <w:szCs w:val="28"/>
          <w:rtl w:val="true"/>
          <w:lang w:bidi="fa-IR"/>
        </w:rPr>
        <w:t xml:space="preserve">معتبر است در مظاهره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منكوحه به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با اجنبيّه صحيح نيست اگر چه به نحو معلَّق بر تزويج باشد؛ و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طهر غير مواقعه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 حاضر بودن زوج، وگرنه صحيح است به نحوى كه در طلاق مذكور شد؛ و هم چنين اگر يائسه يا صغيره باشد، صحيح است بدون شرط اخير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شرطها بايد در حين ايقاع صيغۀ ظهار محقّق باشند، نه حين وقوع شرط اگر معلَّق بر شرط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اظهر اعتبار دخول است در صحّت 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وقوع ظهار بر منقطعه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بر 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آن دخول شده است، مثل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در محلَّله مساوات با مملوكه است در وقوع ظهار با دخول به او</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فرقى در وطى بين قُبل و دُبر نيست در ظهار و احكام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فرقى بين صغيره و كبيره، و مجنونه و عاقله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مريضه اى كه در غير دُبُر، وطى آنها ممكن نباشد، بعد از دخول، ظهار با آنها صحيح است</w:t>
      </w:r>
      <w:r>
        <w:rPr>
          <w:rFonts w:eastAsia="IRNazanin" w:cs="IRNazanin"/>
          <w:color w:val="111111"/>
          <w:sz w:val="28"/>
          <w:szCs w:val="28"/>
          <w:rtl w:val="true"/>
          <w:lang w:bidi="fa-IR"/>
        </w:rPr>
        <w:t xml:space="preserve">. </w:t>
      </w:r>
      <w:bookmarkStart w:id="1447" w:name="pg10265_90002"/>
    </w:p>
    <w:p>
      <w:pPr>
        <w:pStyle w:val="Heading3"/>
        <w:numPr>
          <w:ilvl w:val="2"/>
          <w:numId w:val="1"/>
        </w:numPr>
        <w:rPr/>
      </w:pPr>
      <w:bookmarkStart w:id="1448" w:name="__RefHeading___Toc3808215_1067777946"/>
      <w:bookmarkStart w:id="1449" w:name="_Toc620"/>
      <w:bookmarkEnd w:id="1447"/>
      <w:bookmarkEnd w:id="1448"/>
      <w:r>
        <w:rPr>
          <w:rtl w:val="true"/>
        </w:rPr>
        <w:t>فصل سوّم احكام ظهار</w:t>
      </w:r>
      <w:bookmarkEnd w:id="1449"/>
    </w:p>
    <w:p>
      <w:pPr>
        <w:pStyle w:val="Heading4"/>
        <w:numPr>
          <w:ilvl w:val="3"/>
          <w:numId w:val="1"/>
        </w:numPr>
        <w:rPr/>
      </w:pPr>
      <w:bookmarkStart w:id="1450" w:name="__RefHeading___Toc3808217_1067777946"/>
      <w:bookmarkStart w:id="1451" w:name="_Toc621"/>
      <w:bookmarkEnd w:id="1450"/>
      <w:r>
        <w:rPr>
          <w:rtl w:val="true"/>
        </w:rPr>
        <w:t>حرمت ظهار</w:t>
      </w:r>
      <w:bookmarkEnd w:id="14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آن معصيت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عفو از خصوص آن تأمّل است</w:t>
      </w:r>
      <w:r>
        <w:rPr>
          <w:rFonts w:eastAsia="Amiri" w:cs="Amiri" w:ascii="Amiri" w:hAnsi="Amiri"/>
          <w:color w:val="111111"/>
          <w:sz w:val="28"/>
          <w:szCs w:val="28"/>
          <w:rtl w:val="true"/>
          <w:lang w:bidi="ar-SA"/>
        </w:rPr>
        <w:t>.</w:t>
      </w:r>
    </w:p>
    <w:p>
      <w:pPr>
        <w:pStyle w:val="Heading4"/>
        <w:numPr>
          <w:ilvl w:val="3"/>
          <w:numId w:val="1"/>
        </w:numPr>
        <w:rPr/>
      </w:pPr>
      <w:bookmarkStart w:id="1452" w:name="__RefHeading___Toc3808219_1067777946"/>
      <w:bookmarkStart w:id="1453" w:name="_Toc622"/>
      <w:bookmarkEnd w:id="1452"/>
      <w:r>
        <w:rPr>
          <w:rtl w:val="true"/>
        </w:rPr>
        <w:t>زمان وجوب كفّاره بر مظاهِر</w:t>
      </w:r>
      <w:bookmarkEnd w:id="145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كفاره بر مُظاهِر واجب نمى شود مگر با اراده مواقعۀ بر مظاهَره، به اراده اى كه از آن عدول ننمايد؛ و حرام مى شود بر او وطى قبل از 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مواقعه بدون تكفير نمود بر او دو كفاره است، مگر با جهل به حكم يا نسيان آن كه كفاره تعدّد ندارد</w:t>
      </w:r>
      <w:r>
        <w:rPr>
          <w:rFonts w:eastAsia="IRNazanin" w:cs="IRNazanin"/>
          <w:color w:val="111111"/>
          <w:sz w:val="28"/>
          <w:szCs w:val="28"/>
          <w:rtl w:val="true"/>
          <w:lang w:bidi="fa-IR"/>
        </w:rPr>
        <w:t>.</w:t>
      </w:r>
    </w:p>
    <w:p>
      <w:pPr>
        <w:pStyle w:val="Heading4"/>
        <w:numPr>
          <w:ilvl w:val="3"/>
          <w:numId w:val="1"/>
        </w:numPr>
        <w:rPr/>
      </w:pPr>
      <w:bookmarkStart w:id="1454" w:name="__RefHeading___Toc3808221_1067777946"/>
      <w:bookmarkStart w:id="1455" w:name="_Toc623"/>
      <w:bookmarkEnd w:id="1454"/>
      <w:r>
        <w:rPr>
          <w:rtl w:val="true"/>
        </w:rPr>
        <w:t>تكرّر كفّاره به تعدّد وطى</w:t>
      </w:r>
      <w:bookmarkEnd w:id="1455"/>
    </w:p>
    <w:p>
      <w:pPr>
        <w:pStyle w:val="BookText"/>
        <w:rPr/>
      </w:pPr>
      <w:r>
        <w:rPr>
          <w:rFonts w:ascii="IRNazanin" w:hAnsi="IRNazanin" w:eastAsia="IRNazanin"/>
          <w:color w:val="111111"/>
          <w:sz w:val="28"/>
          <w:sz w:val="28"/>
          <w:szCs w:val="28"/>
          <w:rtl w:val="true"/>
          <w:lang w:bidi="fa-IR"/>
        </w:rPr>
        <w:t>و با تعدّد وطى قبل از تكفير، متعدّد مى شود بر او كفاره به عدد وطى بدون كفاره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وطى، از ظهار كفاره داد و يك كفاره بر او ثابت ماند، ثبوت كفارۀ ثالثه به وطى دوم محل تأمّل است، زيرا موجب تعدّد، وطى قبل از تكفير از ظهار است و مفروض حصول آن است؛ پس اظهر، عدم تعدّد است در فرض</w:t>
      </w:r>
      <w:r>
        <w:rPr>
          <w:rFonts w:eastAsia="IRNazanin" w:cs="IRNazanin"/>
          <w:color w:val="111111"/>
          <w:sz w:val="28"/>
          <w:szCs w:val="28"/>
          <w:rtl w:val="true"/>
          <w:lang w:bidi="fa-IR"/>
        </w:rPr>
        <w:t>.</w:t>
      </w:r>
    </w:p>
    <w:p>
      <w:pPr>
        <w:pStyle w:val="Heading4"/>
        <w:numPr>
          <w:ilvl w:val="3"/>
          <w:numId w:val="1"/>
        </w:numPr>
        <w:rPr/>
      </w:pPr>
      <w:bookmarkStart w:id="1456" w:name="__RefHeading___Toc3808223_1067777946"/>
      <w:bookmarkStart w:id="1457" w:name="_Toc624"/>
      <w:bookmarkEnd w:id="1456"/>
      <w:r>
        <w:rPr>
          <w:rtl w:val="true"/>
        </w:rPr>
        <w:t>حرمت وطى قبل تكفير اگر بعد از ظهار طلاق رجعى بدهد و</w:t>
      </w:r>
      <w:r>
        <w:rPr>
          <w:rtl w:val="true"/>
        </w:rPr>
        <w:t>...</w:t>
      </w:r>
      <w:bookmarkEnd w:id="145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طلاق داد بعد از ظهار به طلاق رجعى پس از آن در عده رجوع كرد، حرام است وطى او قبل از تكفير از 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تزويج كرد او را بعد از انقضاى اجل، پس از آن وطى نمود، كفاره بر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طلاق، بائن</w:t>
      </w:r>
      <w:bookmarkStart w:id="1458" w:name="pg10265_90003"/>
    </w:p>
    <w:p>
      <w:pPr>
        <w:pStyle w:val="BookText"/>
        <w:rPr/>
      </w:pPr>
      <w:bookmarkEnd w:id="1458"/>
      <w:r>
        <w:rPr>
          <w:rFonts w:ascii="IRNazanin" w:hAnsi="IRNazanin" w:eastAsia="IRNazanin"/>
          <w:color w:val="111111"/>
          <w:sz w:val="28"/>
          <w:sz w:val="28"/>
          <w:szCs w:val="28"/>
          <w:rtl w:val="true"/>
          <w:lang w:bidi="fa-IR"/>
        </w:rPr>
        <w:t>بود و در عده تزويج نمود او را پس وطى نمود، بر او كفاره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كفاره نيست اگر زوجين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نمايند، يا يكى از آنها قبل از عود؛ يا هر دو مرتد بشوند يا يكى از آنها، چه فطرى باشد ارتداد و چه ملّى، قبل از دخول باشد يا بعد از آن در صورتى كه زوج مرتد فطرى باشد؛ و اگر ارتدادش ملى باشد يا مرتد زن باشد، پس به حكم طلاق رجعى است، چون زوجيّت عود مى نمايد اگر اختيار اسلام در عده نمايد، و حكم آن تكفير به ظهار از زوجيّت به سبب اول است</w:t>
      </w:r>
      <w:r>
        <w:rPr>
          <w:rFonts w:eastAsia="IRNazanin" w:cs="IRNazanin"/>
          <w:color w:val="111111"/>
          <w:sz w:val="28"/>
          <w:szCs w:val="28"/>
          <w:rtl w:val="true"/>
          <w:lang w:bidi="fa-IR"/>
        </w:rPr>
        <w:t>.</w:t>
      </w:r>
    </w:p>
    <w:p>
      <w:pPr>
        <w:pStyle w:val="Heading4"/>
        <w:numPr>
          <w:ilvl w:val="3"/>
          <w:numId w:val="1"/>
        </w:numPr>
        <w:rPr/>
      </w:pPr>
      <w:bookmarkStart w:id="1459" w:name="__RefHeading___Toc3808225_1067777946"/>
      <w:bookmarkStart w:id="1460" w:name="_Toc625"/>
      <w:bookmarkEnd w:id="1459"/>
      <w:r>
        <w:rPr>
          <w:rtl w:val="true"/>
        </w:rPr>
        <w:t>اگر با زوجۀ امۀ خود ظهار كند و</w:t>
      </w:r>
      <w:r>
        <w:rPr>
          <w:rtl w:val="true"/>
        </w:rPr>
        <w:t>...</w:t>
      </w:r>
      <w:bookmarkEnd w:id="146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ظهار كرد با زوجۀ خود كه اَمه بود، پس از آن خريد آن را، نكاح باطل مى شود، 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ظهار؛ و با وطى به ملك، كفاره واجب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غير زوج از مالك خريد او را، پس فسخ كرد نكاح او را، حكم ظهار ساقط مى شود؛ پس اگر زوج به عقد جديدى نكاح كرد همان زن را، كفاره به وطى او واجب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مالك با مملوكه خود ظهار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صحّت اين ظهار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فروخت به غير، حكم ظهار باطل مى شود اگر چه پس از آن بخرد از مشترى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عتق كرد مظاهره را پس از آن تزويج كرد او را، ساقط است حكم ظهار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ظهار كرد با زنى و عود كرد، و داشت زوجه امۀ مظاهره را و گفت به مالك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از جانب من از ظهار ديگر من كه عود كرده ام، عتق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عتق كرد، كفاره محقّق مى شود به عتق او، و نكاح امه، منفسخ مى شود به واسطۀ ملك كه لازم عتق است، و ظهار هم باطل مى شود؛ و با تزويج متأخّر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محقّق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ظهار ثابت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عتق كرد با استدعاى مظاهر از كفارۀ ديگرى كه بر او ثابت شده باشد، كه حكم ظهار ساقط مى شود</w:t>
      </w:r>
      <w:r>
        <w:rPr>
          <w:rFonts w:eastAsia="IRNazanin" w:cs="IRNazanin"/>
          <w:color w:val="111111"/>
          <w:sz w:val="28"/>
          <w:szCs w:val="28"/>
          <w:rtl w:val="true"/>
          <w:lang w:bidi="fa-IR"/>
        </w:rPr>
        <w:t xml:space="preserve">. </w:t>
      </w:r>
      <w:bookmarkStart w:id="1461" w:name="pg10265_90004"/>
    </w:p>
    <w:p>
      <w:pPr>
        <w:pStyle w:val="Heading4"/>
        <w:numPr>
          <w:ilvl w:val="3"/>
          <w:numId w:val="1"/>
        </w:numPr>
        <w:rPr/>
      </w:pPr>
      <w:bookmarkStart w:id="1462" w:name="__RefHeading___Toc3808227_1067777946"/>
      <w:bookmarkStart w:id="1463" w:name="_Toc626"/>
      <w:bookmarkEnd w:id="1461"/>
      <w:bookmarkEnd w:id="1462"/>
      <w:r>
        <w:rPr>
          <w:rtl w:val="true"/>
        </w:rPr>
        <w:t>صورتهاى مختلف تعليق ظهار و حكم هر كدام</w:t>
      </w:r>
      <w:bookmarkEnd w:id="146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علىّ كظهر اُمّي ان شاء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زيد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مى شود بنا بر دخول شرط در ظهار، و هم چنين نظائر اين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زيد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شئت ان شاء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 دو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اظهر وقوع است، يا گفتن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معلّقٌ عليه، مشيّت صبى مميز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معلّق به مشيّت زن نمود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باطن راضى نبود، ظاهراً واقع مى شود، نه در واقع و نزد زن در ترتيب 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تبرّك، واقع مى شود، نه به قصد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يشأ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تعليق، واقع مى شود حتى نزد اشعرى اگر قائل باشد، چون متعلّقِ مشيّت، ظهارِ غير معلّق است</w:t>
      </w:r>
      <w:r>
        <w:rPr>
          <w:rFonts w:eastAsia="IRNazanin" w:cs="IRNazanin"/>
          <w:color w:val="111111"/>
          <w:sz w:val="28"/>
          <w:szCs w:val="28"/>
          <w:rtl w:val="true"/>
          <w:lang w:bidi="fa-IR"/>
        </w:rPr>
        <w:t>.</w:t>
      </w:r>
    </w:p>
    <w:p>
      <w:pPr>
        <w:pStyle w:val="Heading4"/>
        <w:numPr>
          <w:ilvl w:val="3"/>
          <w:numId w:val="1"/>
        </w:numPr>
        <w:rPr/>
      </w:pPr>
      <w:bookmarkStart w:id="1464" w:name="__RefHeading___Toc3808229_1067777946"/>
      <w:bookmarkStart w:id="1465" w:name="_Toc627"/>
      <w:bookmarkEnd w:id="1464"/>
      <w:r>
        <w:rPr>
          <w:rtl w:val="true"/>
        </w:rPr>
        <w:t>ظهار از چهار زن با يك صيغه</w:t>
      </w:r>
      <w:bookmarkEnd w:id="146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چهار زن با يك صيغه ظهار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انتنّ علىّ كظهر 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كفاره با عود به چهار واجب مى شود، و احكام چهار ظهار مرتّب مى شود</w:t>
      </w:r>
      <w:r>
        <w:rPr>
          <w:rFonts w:eastAsia="IRNazanin" w:cs="IRNazanin"/>
          <w:color w:val="111111"/>
          <w:sz w:val="28"/>
          <w:szCs w:val="28"/>
          <w:rtl w:val="true"/>
          <w:lang w:bidi="fa-IR"/>
        </w:rPr>
        <w:t>.</w:t>
      </w:r>
    </w:p>
    <w:p>
      <w:pPr>
        <w:pStyle w:val="Heading4"/>
        <w:numPr>
          <w:ilvl w:val="3"/>
          <w:numId w:val="1"/>
        </w:numPr>
        <w:rPr/>
      </w:pPr>
      <w:bookmarkStart w:id="1466" w:name="__RefHeading___Toc3808231_1067777946"/>
      <w:bookmarkStart w:id="1467" w:name="_Toc628"/>
      <w:bookmarkEnd w:id="1466"/>
      <w:r>
        <w:rPr>
          <w:rtl w:val="true"/>
        </w:rPr>
        <w:t>ظهار مكرّر</w:t>
      </w:r>
      <w:bookmarkEnd w:id="1467"/>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بعد از ظهار، ظهار ديگر نمود، پس با تخلّل وطى و تكفير لازم، تعدّد محل شك نيست؛ و بدون آنها با قصد تأكيد، اظهر عدم تعدّد است در تكفير؛ و بدون قصد تأكيد، احوط تعدّد تكفير است با تعدّد ظهار به عدد ظهارى كه محقّق شده است، پس اگر پنج مرتبه ظهار كرده است با عود، پنج كفاره مى دهد بنا بر قول اكثر و موافق احتياط؛ و اگر بدون تكفير، وطى نمود، يك كفارۀ وطىِ بدون تكفير مى دهد كه لازم يقينى است، مضافاً به كفاره هاى ظهارها هر كدام از آنها كه به عود، ايجاب كفاره مى كرد و تكفير نكرده بوده است</w:t>
      </w:r>
      <w:r>
        <w:rPr>
          <w:rFonts w:eastAsia="IRNazanin" w:cs="IRNazanin"/>
          <w:color w:val="111111"/>
          <w:sz w:val="28"/>
          <w:szCs w:val="28"/>
          <w:rtl w:val="true"/>
          <w:lang w:bidi="fa-IR"/>
        </w:rPr>
        <w:t>.</w:t>
      </w:r>
      <w:bookmarkStart w:id="1468" w:name="pg10265_90005"/>
    </w:p>
    <w:p>
      <w:pPr>
        <w:pStyle w:val="Heading4"/>
        <w:numPr>
          <w:ilvl w:val="3"/>
          <w:numId w:val="1"/>
        </w:numPr>
        <w:rPr/>
      </w:pPr>
      <w:bookmarkStart w:id="1469" w:name="__RefHeading___Toc3808233_1067777946"/>
      <w:bookmarkStart w:id="1470" w:name="_Toc629"/>
      <w:bookmarkEnd w:id="1468"/>
      <w:bookmarkEnd w:id="1469"/>
      <w:r>
        <w:rPr>
          <w:rtl w:val="true"/>
        </w:rPr>
        <w:t>حكم ظهار مطلق و معلّق</w:t>
      </w:r>
      <w:bookmarkEnd w:id="1470"/>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ظهار، مطلق بود، حرام است وطى قبل از 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معلّق بر شرطى بود، جائز است وطى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شرط حاصل نشده است، و وطى، كفاره ندارد قبل از حصول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مستظهر از آن اين است كه با يك وطى، شرط حاصل مى شود؛ و مرجع ظهار به اين است كه همان آخر، وطى حلال باشد؛ پس بعد از وطى اگر عود كرد و ارادۀ وطى دوم كرد، بايد كفارۀ ظهار بدهد؛ و اگر كفاره نداد و وطى دوم نمود، دو كفاره بايد بدهد؛ و به نفس وطى اول، كفاره واجب نمى شود بنابراين كه هم شرط و هم محقّق مشروط و هم محقّق عود مى شود چون اختيارى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فصل زمانى لازم باشد بين تحقّق ظهار و عود به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يعودون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وطى آنى نيست، فاصله محقّق مى شود؛ و اين امرى است ممكن، لكن مخالفِ استظهارِ متقدِّم است</w:t>
      </w:r>
      <w:r>
        <w:rPr>
          <w:rFonts w:eastAsia="IRNazanin" w:cs="IRNazanin"/>
          <w:color w:val="111111"/>
          <w:sz w:val="28"/>
          <w:szCs w:val="28"/>
          <w:rtl w:val="true"/>
          <w:lang w:bidi="fa-IR"/>
        </w:rPr>
        <w:t>.</w:t>
      </w:r>
    </w:p>
    <w:p>
      <w:pPr>
        <w:pStyle w:val="Heading4"/>
        <w:numPr>
          <w:ilvl w:val="3"/>
          <w:numId w:val="1"/>
        </w:numPr>
        <w:rPr/>
      </w:pPr>
      <w:bookmarkStart w:id="1471" w:name="__RefHeading___Toc3808235_1067777946"/>
      <w:bookmarkStart w:id="1472" w:name="_Toc630"/>
      <w:bookmarkEnd w:id="1471"/>
      <w:r>
        <w:rPr>
          <w:rtl w:val="true"/>
        </w:rPr>
        <w:t>حكم تعليق ظهار بر نفى فعل</w:t>
      </w:r>
      <w:bookmarkEnd w:id="1472"/>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معلّق نمود ظهار را بر نفى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نفى دخول دار، يا نفى تزويج با 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نمى شود ظهار تا زمان يأس از وقوع فعل به مثل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 موت بود، كفاره محل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قرينه براى مدت نفى فعل بود، به مضىّ مدّت، محقّق مى شود ظهار</w:t>
      </w:r>
      <w:r>
        <w:rPr>
          <w:rFonts w:eastAsia="IRNazanin" w:cs="IRNazanin"/>
          <w:color w:val="111111"/>
          <w:sz w:val="28"/>
          <w:szCs w:val="28"/>
          <w:rtl w:val="true"/>
          <w:lang w:bidi="fa-IR"/>
        </w:rPr>
        <w:t>.</w:t>
      </w:r>
    </w:p>
    <w:p>
      <w:pPr>
        <w:pStyle w:val="Heading4"/>
        <w:numPr>
          <w:ilvl w:val="3"/>
          <w:numId w:val="1"/>
        </w:numPr>
        <w:rPr/>
      </w:pPr>
      <w:bookmarkStart w:id="1473" w:name="__RefHeading___Toc3808237_1067777946"/>
      <w:bookmarkStart w:id="1474" w:name="_Toc631"/>
      <w:bookmarkEnd w:id="1473"/>
      <w:r>
        <w:rPr>
          <w:rtl w:val="true"/>
        </w:rPr>
        <w:t>حكم تعليق ظهار بر حمل زن</w:t>
      </w:r>
      <w:bookmarkEnd w:id="1474"/>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علىّ كظهر اُمّي إن كنت حاملا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اثر حمل در زمان تعليق، ظاهر بود، يا آنكه ظاهر شد به واسطۀ ولادت در كمتر از شش ماه از حين تعليق، معلوم مى شود وقوع ظهار در زمان تعليق</w:t>
      </w:r>
      <w:r>
        <w:rPr>
          <w:rFonts w:eastAsia="IRNazanin" w:cs="IRNazanin"/>
          <w:color w:val="111111"/>
          <w:sz w:val="28"/>
          <w:szCs w:val="28"/>
          <w:rtl w:val="true"/>
          <w:lang w:bidi="fa-IR"/>
        </w:rPr>
        <w:t>.</w:t>
      </w:r>
      <w:bookmarkStart w:id="1475" w:name="pg10265_90006"/>
    </w:p>
    <w:p>
      <w:pPr>
        <w:pStyle w:val="BookText"/>
        <w:rPr/>
      </w:pPr>
      <w:bookmarkEnd w:id="1475"/>
      <w:r>
        <w:rPr>
          <w:rFonts w:ascii="IRNazanin" w:hAnsi="IRNazanin" w:eastAsia="IRNazanin"/>
          <w:color w:val="111111"/>
          <w:sz w:val="28"/>
          <w:sz w:val="28"/>
          <w:szCs w:val="28"/>
          <w:rtl w:val="true"/>
          <w:lang w:bidi="fa-IR"/>
        </w:rPr>
        <w:t>و اگر ولادت در اكثر از مدت اقصاى حمل بود از زمان تعليق، ظاهر مى شود انتفاى حمل در زمان تعليق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مابين ادنىٰ و اقصى مدت حمل از زمان تعليق، ولادت واقع شد، و بعد از تعليق وطى واقع شد، يا آنكه مثل وطى محتمل بود، واقع نمى شود ظهار در زمان تعليق به واسطۀ احتمال تجدّد و حدوث آن از زمان وطى معلوم يا محتمل در صورت امكان حمل به سبب اين وطى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وطى متأخّر محتمل نبود، اظهر انعقاد ظهار است در حين تعليق كه زمان ما بين آن و ولادت ما بين اقصى و ادنى بوده و وطى ديگرى محتمل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تعليق ظهار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ولدتِ انثى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دختر متولد شد، از حين ولادت ظهار واقع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 حاملاً باُنثى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مى شود به ولادت اُنثى، حمل به آن از زمان تعليق ظهار و وقوع ظهار در همان زمان</w:t>
      </w:r>
      <w:r>
        <w:rPr>
          <w:rFonts w:eastAsia="IRNazanin" w:cs="IRNazanin"/>
          <w:color w:val="111111"/>
          <w:sz w:val="28"/>
          <w:szCs w:val="28"/>
          <w:rtl w:val="true"/>
          <w:lang w:bidi="fa-IR"/>
        </w:rPr>
        <w:t>.</w:t>
      </w:r>
    </w:p>
    <w:p>
      <w:pPr>
        <w:pStyle w:val="Heading4"/>
        <w:numPr>
          <w:ilvl w:val="3"/>
          <w:numId w:val="1"/>
        </w:numPr>
        <w:rPr/>
      </w:pPr>
      <w:bookmarkStart w:id="1476" w:name="__RefHeading___Toc3808239_1067777946"/>
      <w:bookmarkStart w:id="1477" w:name="_Toc632"/>
      <w:bookmarkEnd w:id="1476"/>
      <w:r>
        <w:rPr>
          <w:rtl w:val="true"/>
        </w:rPr>
        <w:t>حكم تعليق ظهار بر حيض زن</w:t>
      </w:r>
      <w:bookmarkEnd w:id="1477"/>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مقام تعليق ظهار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حضتِ حيضةً‌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وقوع ظهار موقوف به انقضاى ايام حيض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گذشتن سه روز بدون معارض يا در تقدير عدم احتمال معارض، معلوم مى شود وقوع ظهار از اول رؤيت خون، چه حكم به حيضيّت از همان زمان باشد، مثل رؤيت در ايام عادت يا بعد از گذشتن سه روز، مثل رؤيت در غير ايام عادت بنابر قولى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تعليق به حيض در حال حيضِ معلوم بود، ظاهر، توقف وقوع به حيض ديگرى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اكتفاى به قول زن در اخبارِ از حيض در مقام اثباتِ ظهار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سائر آثار حيض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است؛ و اگر مراد مظاهِر، اعم از حيض مخبَر به به اخبار زن باشد، تصديق مى شود</w:t>
      </w:r>
      <w:r>
        <w:rPr>
          <w:rFonts w:eastAsia="IRNazanin" w:cs="IRNazanin"/>
          <w:color w:val="111111"/>
          <w:sz w:val="28"/>
          <w:szCs w:val="28"/>
          <w:rtl w:val="true"/>
          <w:lang w:bidi="fa-IR"/>
        </w:rPr>
        <w:t xml:space="preserve">. </w:t>
      </w:r>
      <w:bookmarkStart w:id="1478" w:name="pg10265_90007"/>
    </w:p>
    <w:p>
      <w:pPr>
        <w:pStyle w:val="Heading4"/>
        <w:numPr>
          <w:ilvl w:val="3"/>
          <w:numId w:val="1"/>
        </w:numPr>
        <w:rPr/>
      </w:pPr>
      <w:bookmarkStart w:id="1479" w:name="__RefHeading___Toc3808241_1067777946"/>
      <w:bookmarkStart w:id="1480" w:name="_Toc633"/>
      <w:bookmarkEnd w:id="1478"/>
      <w:bookmarkEnd w:id="1479"/>
      <w:r>
        <w:rPr>
          <w:rtl w:val="true"/>
        </w:rPr>
        <w:t>حكم تعليق ظهار بر دخول زن به خانه و يا</w:t>
      </w:r>
      <w:r>
        <w:rPr>
          <w:rtl w:val="true"/>
        </w:rPr>
        <w:t>...</w:t>
      </w:r>
      <w:bookmarkEnd w:id="1480"/>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دخلتِ الدار أو كلّمتِ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هر كدام، ظهار واقع مى شود؛ و آن ديگر اگر واقع شد، اثرى ندارد بنا بر اعتبار تعدّد صيغه در ظهار اگر چه دو شرط با تعاقب واقع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دخلتِ الدار، فأنت علىّ‌، كظهر اُمّي؛ و إن كلّمتِ زيداً فأنت علىّ كظهر 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 وقوع متعدّد، ظهار متعدّد مى شود با اقتران و تعاقب دو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دخلتِ و كلّمتِ‌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لازم است در وقوع ظهار وقوع مجموع دو شرط، و وقوع يكى كافى نيست، و اظهر عدم افادۀ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جملۀ شرطيّه كه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را بدون قرينۀ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علىّ كظهر اُمّي إن دخلتِ الدار إن كلّمتِ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قرينه بر مماثلت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اَللّٰهُ يُرِيدُ أَنْ يُغْوِيَكُمْ‌</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اظهر تقدير عاطف است، مثل آنكه مذكور باشد، پس تقديم دومى لازم نيست مگر با قرينه، بلكه اصل اجتماع لازم نيست بنا بر اظهر چون استظهار عطفِ تعليق بر تعليق مى شود اگر قرينه نباشد</w:t>
      </w:r>
      <w:r>
        <w:rPr>
          <w:rFonts w:eastAsia="IRNazanin" w:cs="IRNazanin"/>
          <w:color w:val="111111"/>
          <w:sz w:val="28"/>
          <w:szCs w:val="28"/>
          <w:rtl w:val="true"/>
          <w:lang w:bidi="fa-IR"/>
        </w:rPr>
        <w:t>.</w:t>
      </w:r>
    </w:p>
    <w:p>
      <w:pPr>
        <w:pStyle w:val="Heading4"/>
        <w:numPr>
          <w:ilvl w:val="3"/>
          <w:numId w:val="1"/>
        </w:numPr>
        <w:rPr/>
      </w:pPr>
      <w:bookmarkStart w:id="1481" w:name="__RefHeading___Toc3808243_1067777946"/>
      <w:bookmarkStart w:id="1482" w:name="_Toc634"/>
      <w:bookmarkEnd w:id="1481"/>
      <w:r>
        <w:rPr>
          <w:rtl w:val="true"/>
        </w:rPr>
        <w:t>حكم تعليق ظهار بر مخالفت امر زوج</w:t>
      </w:r>
      <w:bookmarkEnd w:id="1482"/>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ظهار را معلَّق بر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نهى از فعلى كرد و مخالفت كرد، اظهر عدم تحقّق ظهار است، مگر با قرينه بر ارادۀ اعم از تكليف تحريمى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اگر معلّق بر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پس از آن امر كرد و مخالفت شد</w:t>
      </w:r>
      <w:r>
        <w:rPr>
          <w:rFonts w:eastAsia="IRNazanin" w:cs="IRNazanin"/>
          <w:color w:val="111111"/>
          <w:sz w:val="28"/>
          <w:szCs w:val="28"/>
          <w:rtl w:val="true"/>
          <w:lang w:bidi="fa-IR"/>
        </w:rPr>
        <w:t>.</w:t>
      </w:r>
    </w:p>
    <w:p>
      <w:pPr>
        <w:pStyle w:val="Heading4"/>
        <w:numPr>
          <w:ilvl w:val="3"/>
          <w:numId w:val="1"/>
        </w:numPr>
        <w:rPr/>
      </w:pPr>
      <w:bookmarkStart w:id="1483" w:name="__RefHeading___Toc3808245_1067777946"/>
      <w:bookmarkStart w:id="1484" w:name="_Toc635"/>
      <w:bookmarkEnd w:id="1483"/>
      <w:r>
        <w:rPr>
          <w:rtl w:val="true"/>
        </w:rPr>
        <w:t>حكم تعليق ظهار بر قذف زيد يا تكلّم با او</w:t>
      </w:r>
      <w:bookmarkEnd w:id="1484"/>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معلّق كرد ظهار را بر 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تكلّم با او، مبنىّ است وقوع ظهار با قذف</w:t>
      </w:r>
      <w:bookmarkStart w:id="1485" w:name="pg10265_90008"/>
    </w:p>
    <w:p>
      <w:pPr>
        <w:pStyle w:val="BookText"/>
        <w:rPr/>
      </w:pPr>
      <w:bookmarkEnd w:id="1485"/>
      <w:r>
        <w:rPr>
          <w:rFonts w:ascii="Amiri" w:hAnsi="Amiri" w:eastAsia="Amiri" w:cs="Amiri"/>
          <w:color w:val="111111"/>
          <w:sz w:val="28"/>
          <w:sz w:val="28"/>
          <w:szCs w:val="28"/>
          <w:rtl w:val="true"/>
          <w:lang w:bidi="ar-SA"/>
        </w:rPr>
        <w:t>ميّت و تكلّم با ميّت يا غافل يا اصمّ بر فهم اطلاق در خصوص تعبير ظهارِ معلّق، در محاوره عرف متخاطبين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معلّقٌ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اطلاق آن به ضرب ميّت ضعيف است، به خلاف ضربى كه مولِم شخص مضروب كه 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معلّقٌ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قرينه نباشد، محمول بر بودن زن مظاهره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معلّقٌ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او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قرينه نباشد، محمول بر بودن ضارب و مضروب در مسجد است</w:t>
      </w:r>
      <w:r>
        <w:rPr>
          <w:rFonts w:eastAsia="IRNazanin" w:cs="IRNazanin"/>
          <w:color w:val="111111"/>
          <w:sz w:val="28"/>
          <w:szCs w:val="28"/>
          <w:rtl w:val="true"/>
          <w:lang w:bidi="fa-IR"/>
        </w:rPr>
        <w:t>.</w:t>
      </w:r>
    </w:p>
    <w:p>
      <w:pPr>
        <w:pStyle w:val="Heading4"/>
        <w:numPr>
          <w:ilvl w:val="3"/>
          <w:numId w:val="1"/>
        </w:numPr>
        <w:rPr/>
      </w:pPr>
      <w:bookmarkStart w:id="1486" w:name="__RefHeading___Toc3808247_1067777946"/>
      <w:bookmarkStart w:id="1487" w:name="_Toc636"/>
      <w:bookmarkEnd w:id="1486"/>
      <w:r>
        <w:rPr>
          <w:rtl w:val="true"/>
        </w:rPr>
        <w:t>حكم تعليق ظهار بر رؤيت زيد</w:t>
      </w:r>
      <w:bookmarkEnd w:id="1487"/>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معلّقٌ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رؤيت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رؤيت ميّت و نائم مى شود؛ و كافى است، اگر بعض او مرئى بشود، به خلاف آنكه اگر همۀ بدن مستور باشد؛ و اگر در آب صافى ديد يا با حيلولت شيشه ديد، رؤيت محقّق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ديدن در آينه يا انعكاس در آب صافى، وجهى است مأخوذ از تنقيح مناط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زن نابينا شد، حضور آن مرئى يا مسّ او كافى نيست، مگر مناط معلوم شود كه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حال عمىٰ تعليق نمود، مراد حضور نزد زوجه با علم به آن است</w:t>
      </w:r>
      <w:r>
        <w:rPr>
          <w:rFonts w:eastAsia="IRNazanin" w:cs="IRNazanin"/>
          <w:color w:val="111111"/>
          <w:sz w:val="28"/>
          <w:szCs w:val="28"/>
          <w:rtl w:val="true"/>
          <w:lang w:bidi="fa-IR"/>
        </w:rPr>
        <w:t>.</w:t>
      </w:r>
    </w:p>
    <w:p>
      <w:pPr>
        <w:pStyle w:val="Heading4"/>
        <w:numPr>
          <w:ilvl w:val="3"/>
          <w:numId w:val="1"/>
        </w:numPr>
        <w:rPr/>
      </w:pPr>
      <w:bookmarkStart w:id="1488" w:name="__RefHeading___Toc3808249_1067777946"/>
      <w:bookmarkStart w:id="1489" w:name="_Toc637"/>
      <w:bookmarkEnd w:id="1488"/>
      <w:r>
        <w:rPr>
          <w:rtl w:val="true"/>
        </w:rPr>
        <w:t>حكم تعليق ظهار بر مسّ زيد</w:t>
      </w:r>
      <w:bookmarkEnd w:id="1489"/>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معلّقٌ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فرقى بين حيات زيد و موت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 بعض بدن با بعض بدن،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ماسّ بايد از آنچه كه روح دارد باشد، و ممسوس هم احوط در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 محدِث قرآن را و در مسّ ميّت كه موجب غسل است، گذشت بيان مشترك بين اين مسائل</w:t>
      </w:r>
      <w:r>
        <w:rPr>
          <w:rFonts w:eastAsia="IRNazanin" w:cs="IRNazanin"/>
          <w:color w:val="111111"/>
          <w:sz w:val="28"/>
          <w:szCs w:val="28"/>
          <w:rtl w:val="true"/>
          <w:lang w:bidi="fa-IR"/>
        </w:rPr>
        <w:t>.</w:t>
      </w:r>
    </w:p>
    <w:p>
      <w:pPr>
        <w:pStyle w:val="Heading4"/>
        <w:numPr>
          <w:ilvl w:val="3"/>
          <w:numId w:val="1"/>
        </w:numPr>
        <w:rPr/>
      </w:pPr>
      <w:bookmarkStart w:id="1490" w:name="__RefHeading___Toc3808251_1067777946"/>
      <w:bookmarkStart w:id="1491" w:name="_Toc638"/>
      <w:bookmarkEnd w:id="1490"/>
      <w:r>
        <w:rPr>
          <w:rtl w:val="true"/>
        </w:rPr>
        <w:t>حكم تعليق ظهار بر ماه مخصوص</w:t>
      </w:r>
      <w:bookmarkEnd w:id="1491"/>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ظهارِ موقت، صحيح باشد و معلّق به ماه مخصوص باشد، واقع مى شود در</w:t>
      </w:r>
      <w:bookmarkStart w:id="1492" w:name="pg10265_90009"/>
    </w:p>
    <w:p>
      <w:pPr>
        <w:pStyle w:val="BookText"/>
        <w:rPr/>
      </w:pPr>
      <w:bookmarkEnd w:id="1492"/>
      <w:r>
        <w:rPr>
          <w:rFonts w:ascii="IRNazanin" w:hAnsi="IRNazanin" w:eastAsia="IRNazanin"/>
          <w:color w:val="111111"/>
          <w:sz w:val="28"/>
          <w:sz w:val="28"/>
          <w:szCs w:val="28"/>
          <w:rtl w:val="true"/>
          <w:lang w:bidi="fa-IR"/>
        </w:rPr>
        <w:t>اول اجزاى شب هلال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يوم يا اول نهار آن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مى شود نزد طلوع فجر از روز اول آن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رعايت مى شود قرائن در تعيين يكى از محتملات آن كه عبارت از اول جزء شب شانزدهم و اول روز آخر و آخر جزء از روز آخر است، و اگر قرينه نباشد، اقرب وسط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وقت انتصاف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رعايت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احتمالى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 نقص ماه و آخر نصف اول، وقت انتصاف مى شود؛ و محتمل است كه به غروب پانزدهم مطلقاً انتصاف عرفى محقّق باشد، و احتياط مناسب در ترتيب اثر ترك نشود</w:t>
      </w:r>
      <w:r>
        <w:rPr>
          <w:rFonts w:eastAsia="IRNazanin" w:cs="IRNazanin"/>
          <w:color w:val="111111"/>
          <w:sz w:val="28"/>
          <w:szCs w:val="28"/>
          <w:rtl w:val="true"/>
          <w:lang w:bidi="fa-IR"/>
        </w:rPr>
        <w:t>.</w:t>
      </w:r>
    </w:p>
    <w:p>
      <w:pPr>
        <w:pStyle w:val="Heading4"/>
        <w:numPr>
          <w:ilvl w:val="3"/>
          <w:numId w:val="1"/>
        </w:numPr>
        <w:rPr/>
      </w:pPr>
      <w:bookmarkStart w:id="1493" w:name="__RefHeading___Toc3808253_1067777946"/>
      <w:bookmarkStart w:id="1494" w:name="_Toc639"/>
      <w:bookmarkEnd w:id="1493"/>
      <w:r>
        <w:rPr>
          <w:rtl w:val="true"/>
        </w:rPr>
        <w:t>حكم تعليق ظهار بر امر غير اختيارى</w:t>
      </w:r>
      <w:bookmarkEnd w:id="1494"/>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معلّقٌ عليه غير اختيارى بود، مثل قدوم حاج؛ يا آنكه اختيارى بود و عمداً و بدون عذر ايقاع شد، ظهار واقع مى شود؛ و اگر به غفلت يا نسيان يا اكراه يا جهل به تعليق يا موضوع معلَّقٌ عليه يا جنون يا سكر و نحو اينها واقع شد، تحقّق ظهار مبنى بر فهم اطلاق قصدى در مقام تعليق است؛ و اقرب عدم اطلاق است به واسطۀ عرفيّت اين اعذار و بودن فعل با آنها عرفاً كالعدم با قطع نظر از حكم شرع، و اللّٰه العالم</w:t>
      </w:r>
      <w:r>
        <w:rPr>
          <w:rFonts w:eastAsia="IRNazanin" w:cs="IRNazanin"/>
          <w:color w:val="111111"/>
          <w:sz w:val="28"/>
          <w:szCs w:val="28"/>
          <w:rtl w:val="true"/>
          <w:lang w:bidi="fa-IR"/>
        </w:rPr>
        <w:t>.</w:t>
      </w:r>
    </w:p>
    <w:p>
      <w:pPr>
        <w:pStyle w:val="Heading4"/>
        <w:numPr>
          <w:ilvl w:val="3"/>
          <w:numId w:val="1"/>
        </w:numPr>
        <w:rPr/>
      </w:pPr>
      <w:bookmarkStart w:id="1495" w:name="__RefHeading___Toc3808255_1067777946"/>
      <w:bookmarkStart w:id="1496" w:name="_Toc640"/>
      <w:bookmarkEnd w:id="1495"/>
      <w:r>
        <w:rPr>
          <w:rtl w:val="true"/>
        </w:rPr>
        <w:t>حرمت وطى قبل از تكفير</w:t>
      </w:r>
      <w:bookmarkEnd w:id="1496"/>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مظاهر، وطى قبل از تكفير، حرام است، كفارۀ واجبه هر كدام از سه خصلت باشد؛ پس اگر قبل از اتمام مثل صوم و اطعام، وطى كرد، اظهر اين است كه كفارۀ ظهار با استمرار عود يا اتمام و حفظ تتابع محقّق مى شود، و كفارۀ وطى قبل از تكفير بعد از اتمام اوّلى لازم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اظهر عدم حرمت غير وطى از سائر استمتاعات با مظاهره است اگر چه احوط اجتناب است</w:t>
      </w:r>
      <w:r>
        <w:rPr>
          <w:rFonts w:eastAsia="IRNazanin" w:cs="IRNazanin"/>
          <w:color w:val="111111"/>
          <w:sz w:val="28"/>
          <w:szCs w:val="28"/>
          <w:rtl w:val="true"/>
          <w:lang w:bidi="fa-IR"/>
        </w:rPr>
        <w:t xml:space="preserve">. </w:t>
      </w:r>
      <w:bookmarkStart w:id="1497" w:name="pg10265_90010"/>
    </w:p>
    <w:p>
      <w:pPr>
        <w:pStyle w:val="Heading4"/>
        <w:numPr>
          <w:ilvl w:val="3"/>
          <w:numId w:val="1"/>
        </w:numPr>
        <w:rPr/>
      </w:pPr>
      <w:bookmarkStart w:id="1498" w:name="__RefHeading___Toc3808257_1067777946"/>
      <w:bookmarkStart w:id="1499" w:name="_Toc641"/>
      <w:bookmarkEnd w:id="1497"/>
      <w:bookmarkEnd w:id="1498"/>
      <w:r>
        <w:rPr>
          <w:rtl w:val="true"/>
        </w:rPr>
        <w:t>اگر مظاهر از اداى كفّاره عاجز بود</w:t>
      </w:r>
      <w:bookmarkEnd w:id="1499"/>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عاجز بود مظاهر از خصال كفاره و هر چه كه قائم مقام آنها باشد غير استغفار، اظهر وجوب استغفار و اِجزاى آن و جواز وطى بعد از استغفار است؛ اگر چه احوط ترك وطى است با ترقّب تمكّن از تكفير اگر چه به اخذ صدقه باشد، تا واجب نشده باشد وطى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مقرون به توبه است از 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ظهار و چه وطى بدون تكفير باشد؛ اگر چه حكم مى شود به مجرد استغفار به توبه در ظاهر، لكن در باطن تابع واقع توبه است</w:t>
      </w:r>
      <w:r>
        <w:rPr>
          <w:rFonts w:eastAsia="IRNazanin" w:cs="IRNazanin"/>
          <w:color w:val="111111"/>
          <w:sz w:val="28"/>
          <w:szCs w:val="28"/>
          <w:rtl w:val="true"/>
          <w:lang w:bidi="fa-IR"/>
        </w:rPr>
        <w:t>.</w:t>
      </w:r>
    </w:p>
    <w:p>
      <w:pPr>
        <w:pStyle w:val="Heading4"/>
        <w:numPr>
          <w:ilvl w:val="3"/>
          <w:numId w:val="1"/>
        </w:numPr>
        <w:rPr/>
      </w:pPr>
      <w:bookmarkStart w:id="1500" w:name="__RefHeading___Toc3808259_1067777946"/>
      <w:bookmarkStart w:id="1501" w:name="_Toc642"/>
      <w:bookmarkEnd w:id="1500"/>
      <w:r>
        <w:rPr>
          <w:rtl w:val="true"/>
        </w:rPr>
        <w:t>اگر مظاهر به وظيفۀ خود عمل نكرد</w:t>
      </w:r>
      <w:bookmarkEnd w:id="1501"/>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مظاهره مى تواند صبر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صبر نكرد، مراجعه به حاكم شرع مى نمايد؛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مخير مى نمايد زوج را بين تكفير و رجوع، يا طلاق، و سه ماه از حين مرافعه به او مهلت مى دهد؛ پس اگر اختيار كرد يكى از اين دو را، كه كارى با او نيست؛ وگرنه حبس مى نمايد او را و در مطعم و مشرب تضييق مى كند بر او در غير سدّ رمق تا آنكه اختيار نمايد يكى از آن دو را، و تعيين نمى نمايد طلاق را بر او، و از جانب او طلاق نمى دهد، مگر آنكه مقيم بر تحريم و اضرار با تمكّن از تكفير باشد كه اجبار بر طلاق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جريان نظير اين امر در اَمه و متمتَّعٌ بها و تخيير بين تزويج به غير يا بذل مدت و بين تكفير و رجوع تا آنكه ظهار بى اثر بشود، تأمّل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اظهر در غير قادر بر كفاره، قيام استغفار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 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خصال ثلاثه و آنچه به منزلۀ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عدم اجزاى استغفار براى عاجز از تكفير، اجبار بر خصوص طلاق در صورت اضرار، خالى از وجه نيست، 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و الصلاة علىٰ سيّد أنبيائه محمّد و آله الاطهرين و اللعن علىٰ أعدائهم</w:t>
      </w:r>
    </w:p>
    <w:p>
      <w:pPr>
        <w:pStyle w:val="BookText"/>
        <w:rPr/>
      </w:pPr>
      <w:r>
        <w:rPr>
          <w:rFonts w:ascii="Amiri" w:hAnsi="Amiri" w:eastAsia="Amiri" w:cs="Amiri"/>
          <w:color w:val="111111"/>
          <w:sz w:val="28"/>
          <w:sz w:val="28"/>
          <w:szCs w:val="28"/>
          <w:rtl w:val="true"/>
          <w:lang w:bidi="ar-SA"/>
        </w:rPr>
        <w:t xml:space="preserve">أجمعين بلغ المقام بيد العبد محمّد تقى بن محمود عفى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التوفيق</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الإتمام كالبدء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الخميس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bookmarkStart w:id="1502" w:name="pg10265_90011"/>
    </w:p>
    <w:p>
      <w:pPr>
        <w:pStyle w:val="Heading3"/>
        <w:numPr>
          <w:ilvl w:val="2"/>
          <w:numId w:val="1"/>
        </w:numPr>
        <w:rPr/>
      </w:pPr>
      <w:bookmarkStart w:id="1503" w:name="__RefHeading___Toc3808261_1067777946"/>
      <w:bookmarkStart w:id="1504" w:name="_Toc643"/>
      <w:bookmarkEnd w:id="1502"/>
      <w:bookmarkEnd w:id="1503"/>
      <w:r>
        <w:rPr>
          <w:rtl w:val="true"/>
        </w:rPr>
        <w:t>فصل چهارم كفّارات ظهار</w:t>
      </w:r>
      <w:bookmarkEnd w:id="1504"/>
    </w:p>
    <w:p>
      <w:pPr>
        <w:pStyle w:val="Heading4"/>
        <w:numPr>
          <w:ilvl w:val="3"/>
          <w:numId w:val="1"/>
        </w:numPr>
        <w:rPr/>
      </w:pPr>
      <w:bookmarkStart w:id="1505" w:name="__RefHeading___Toc3808263_1067777946"/>
      <w:bookmarkStart w:id="1506" w:name="_Toc644"/>
      <w:bookmarkEnd w:id="1505"/>
      <w:r>
        <w:rPr>
          <w:rtl w:val="true"/>
        </w:rPr>
        <w:t>اشاره</w:t>
      </w:r>
      <w:bookmarkEnd w:id="1506"/>
    </w:p>
    <w:p>
      <w:pPr>
        <w:pStyle w:val="BookText"/>
        <w:rPr/>
      </w:pPr>
      <w:r>
        <w:rPr>
          <w:rFonts w:ascii="IRNazanin" w:hAnsi="IRNazanin" w:eastAsia="IRNazanin"/>
          <w:color w:val="111111"/>
          <w:sz w:val="28"/>
          <w:sz w:val="28"/>
          <w:szCs w:val="28"/>
          <w:rtl w:val="true"/>
          <w:lang w:bidi="fa-IR"/>
        </w:rPr>
        <w:t>فصل چهارم كفّارات ظهار</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بِسْمِ اَللّٰهِ اَلرَّحْمٰنِ اَلرَّحِيمِ مقصود در اينجا، ذكر غير كفارات احرام است</w:t>
      </w:r>
      <w:r>
        <w:rPr>
          <w:rFonts w:eastAsia="Amiri" w:cs="Amiri" w:ascii="Amiri" w:hAnsi="Amiri"/>
          <w:color w:val="111111"/>
          <w:sz w:val="28"/>
          <w:szCs w:val="28"/>
          <w:rtl w:val="true"/>
          <w:lang w:bidi="ar-SA"/>
        </w:rPr>
        <w:t>.</w:t>
      </w:r>
    </w:p>
    <w:p>
      <w:pPr>
        <w:pStyle w:val="Heading4"/>
        <w:numPr>
          <w:ilvl w:val="3"/>
          <w:numId w:val="1"/>
        </w:numPr>
        <w:rPr/>
      </w:pPr>
      <w:bookmarkStart w:id="1507" w:name="__RefHeading___Toc3808265_1067777946"/>
      <w:bookmarkStart w:id="1508" w:name="_Toc645"/>
      <w:bookmarkEnd w:id="1507"/>
      <w:r>
        <w:rPr/>
        <w:t>1</w:t>
      </w:r>
      <w:r>
        <w:rPr>
          <w:rtl w:val="true"/>
        </w:rPr>
        <w:t xml:space="preserve">. </w:t>
      </w:r>
      <w:r>
        <w:rPr>
          <w:rtl w:val="true"/>
        </w:rPr>
        <w:t>اقسام كفّاره</w:t>
      </w:r>
      <w:bookmarkEnd w:id="1508"/>
    </w:p>
    <w:p>
      <w:pPr>
        <w:pStyle w:val="Heading5"/>
        <w:numPr>
          <w:ilvl w:val="4"/>
          <w:numId w:val="1"/>
        </w:numPr>
        <w:rPr/>
      </w:pPr>
      <w:bookmarkStart w:id="1509" w:name="__RefHeading___Toc3808267_1067777946"/>
      <w:bookmarkStart w:id="1510" w:name="_Toc646"/>
      <w:bookmarkEnd w:id="1509"/>
      <w:r>
        <w:rPr>
          <w:rtl w:val="true"/>
        </w:rPr>
        <w:t>اشاره</w:t>
      </w:r>
      <w:bookmarkEnd w:id="1510"/>
    </w:p>
    <w:p>
      <w:pPr>
        <w:pStyle w:val="BookText"/>
        <w:rPr/>
      </w:pPr>
      <w:r>
        <w:rPr>
          <w:rFonts w:ascii="IRNazanin" w:hAnsi="IRNazanin" w:eastAsia="IRNazanin"/>
          <w:color w:val="111111"/>
          <w:sz w:val="28"/>
          <w:sz w:val="28"/>
          <w:szCs w:val="28"/>
          <w:rtl w:val="true"/>
          <w:lang w:bidi="fa-IR"/>
        </w:rPr>
        <w:t>و كفاره چهار 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جامع هر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كفارۀ جمع</w:t>
      </w:r>
      <w:r>
        <w:rPr>
          <w:rFonts w:eastAsia="IRNazanin" w:cs="IRNazanin"/>
          <w:color w:val="111111"/>
          <w:sz w:val="28"/>
          <w:szCs w:val="28"/>
          <w:rtl w:val="true"/>
          <w:lang w:bidi="fa-IR"/>
        </w:rPr>
        <w:t>».</w:t>
      </w:r>
    </w:p>
    <w:p>
      <w:pPr>
        <w:pStyle w:val="Heading5"/>
        <w:numPr>
          <w:ilvl w:val="4"/>
          <w:numId w:val="1"/>
        </w:numPr>
        <w:rPr/>
      </w:pPr>
      <w:bookmarkStart w:id="1511" w:name="__RefHeading___Toc3808269_1067777946"/>
      <w:bookmarkStart w:id="1512" w:name="_Toc647"/>
      <w:bookmarkEnd w:id="1511"/>
      <w:r>
        <w:rPr>
          <w:rtl w:val="true"/>
        </w:rPr>
        <w:t>موارد كفّاره مرتّبه</w:t>
      </w:r>
      <w:bookmarkEnd w:id="1512"/>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سه مورد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كفارۀ ظهار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افطار در يك روز از قضاى صوم ماه رمضان بعد از زوال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واجب در اول و دوم عتق است؛ و با عجز از آن، روزه دو ماه پى درپى؛ و با عجز از آن، اطعام شصت 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لحوق جماع در اعتكاف واجب به اين دو، تأمّل است، اگر چه اظهر تخيير است، و لكن احوط ترتيب است مثل ظهار</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واجب در سوّم، اطعام ده مسكين است؛ و با عجز از آن، صوم سه روز با قضاى در يك روز بدل آن روز و اتمام همان روز به وجهى كه در محلش گذشت</w:t>
      </w:r>
      <w:r>
        <w:rPr>
          <w:rFonts w:eastAsia="IRNazanin" w:cs="IRNazanin"/>
          <w:color w:val="111111"/>
          <w:sz w:val="28"/>
          <w:szCs w:val="28"/>
          <w:rtl w:val="true"/>
          <w:lang w:bidi="fa-IR"/>
        </w:rPr>
        <w:t xml:space="preserve">. </w:t>
      </w:r>
      <w:bookmarkStart w:id="1513" w:name="pg10265_90012"/>
    </w:p>
    <w:p>
      <w:pPr>
        <w:pStyle w:val="Heading5"/>
        <w:numPr>
          <w:ilvl w:val="4"/>
          <w:numId w:val="1"/>
        </w:numPr>
        <w:rPr/>
      </w:pPr>
      <w:bookmarkStart w:id="1514" w:name="__RefHeading___Toc3808271_1067777946"/>
      <w:bookmarkStart w:id="1515" w:name="_Toc648"/>
      <w:bookmarkEnd w:id="1513"/>
      <w:bookmarkEnd w:id="1514"/>
      <w:r>
        <w:rPr>
          <w:rtl w:val="true"/>
        </w:rPr>
        <w:t>موارد كفّاره مخيّره</w:t>
      </w:r>
      <w:bookmarkEnd w:id="1515"/>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افطار در يك روز از ماه رمضان با واجب بودن صوم آن روز بر 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تخيير بين خصال ثلاثه و حكم فرق بين افطار بين محلّل و محرّم گذشت در كتاب 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حكم كفارۀ افطارِ روزى كه به سبب نذر معيّن شده باشد، و كفارۀ حنث در عهد، در محل آنها مذكور خواهد شد؛ و تخيير در آنها اشهر يا مشهور است؛ و احوط در اين دو موافقت با افطار صوم رمضان است</w:t>
      </w:r>
      <w:r>
        <w:rPr>
          <w:rFonts w:eastAsia="Amiri" w:cs="Amiri" w:ascii="Amiri" w:hAnsi="Amiri"/>
          <w:color w:val="111111"/>
          <w:sz w:val="28"/>
          <w:szCs w:val="28"/>
          <w:rtl w:val="true"/>
          <w:lang w:bidi="ar-SA"/>
        </w:rPr>
        <w:t>.</w:t>
      </w:r>
    </w:p>
    <w:p>
      <w:pPr>
        <w:pStyle w:val="Heading5"/>
        <w:numPr>
          <w:ilvl w:val="4"/>
          <w:numId w:val="1"/>
        </w:numPr>
        <w:rPr/>
      </w:pPr>
      <w:bookmarkStart w:id="1516" w:name="__RefHeading___Toc3808273_1067777946"/>
      <w:bookmarkStart w:id="1517" w:name="_Toc649"/>
      <w:bookmarkEnd w:id="1516"/>
      <w:r>
        <w:rPr>
          <w:rtl w:val="true"/>
        </w:rPr>
        <w:t>كفّاره مطلق نذر</w:t>
      </w:r>
      <w:bookmarkEnd w:id="1517"/>
    </w:p>
    <w:p>
      <w:pPr>
        <w:pStyle w:val="BookText"/>
        <w:rPr/>
      </w:pPr>
      <w:r>
        <w:rPr>
          <w:rFonts w:ascii="IRNazanin" w:hAnsi="IRNazanin" w:eastAsia="IRNazanin"/>
          <w:color w:val="111111"/>
          <w:sz w:val="28"/>
          <w:sz w:val="28"/>
          <w:szCs w:val="28"/>
          <w:rtl w:val="true"/>
          <w:lang w:bidi="fa-IR"/>
        </w:rPr>
        <w:t>و اما مطلق نذر، پس احتياط موافق با الحاق به صوم رمضان است؛ و همين قول اشهر است، لكن اظهر ثبوت كفارۀ يمين است در آن</w:t>
      </w:r>
      <w:r>
        <w:rPr>
          <w:rFonts w:eastAsia="IRNazanin" w:cs="IRNazanin"/>
          <w:color w:val="111111"/>
          <w:sz w:val="28"/>
          <w:szCs w:val="28"/>
          <w:rtl w:val="true"/>
          <w:lang w:bidi="fa-IR"/>
        </w:rPr>
        <w:t>.</w:t>
      </w:r>
    </w:p>
    <w:p>
      <w:pPr>
        <w:pStyle w:val="Heading5"/>
        <w:numPr>
          <w:ilvl w:val="4"/>
          <w:numId w:val="1"/>
        </w:numPr>
        <w:rPr/>
      </w:pPr>
      <w:bookmarkStart w:id="1518" w:name="__RefHeading___Toc3808275_1067777946"/>
      <w:bookmarkStart w:id="1519" w:name="_Toc650"/>
      <w:bookmarkEnd w:id="1518"/>
      <w:r>
        <w:rPr>
          <w:rtl w:val="true"/>
        </w:rPr>
        <w:t>كفّاره يمين</w:t>
      </w:r>
      <w:bookmarkEnd w:id="1519"/>
    </w:p>
    <w:p>
      <w:pPr>
        <w:pStyle w:val="BookText"/>
        <w:rPr/>
      </w:pPr>
      <w:r>
        <w:rPr>
          <w:rFonts w:ascii="IRNazanin" w:hAnsi="IRNazanin" w:eastAsia="IRNazanin"/>
          <w:color w:val="111111"/>
          <w:sz w:val="28"/>
          <w:sz w:val="28"/>
          <w:szCs w:val="28"/>
          <w:rtl w:val="true"/>
          <w:lang w:bidi="fa-IR"/>
        </w:rPr>
        <w:t xml:space="preserve">و كفارۀ يمين مشتمل است بر تخيير و ترتيب؛ و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ده 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پوشانيدن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از همه عاجز شد، سه روز روزه مى گيرد</w:t>
      </w:r>
      <w:r>
        <w:rPr>
          <w:rFonts w:eastAsia="IRNazanin" w:cs="IRNazanin"/>
          <w:color w:val="111111"/>
          <w:sz w:val="28"/>
          <w:szCs w:val="28"/>
          <w:rtl w:val="true"/>
          <w:lang w:bidi="fa-IR"/>
        </w:rPr>
        <w:t>.</w:t>
      </w:r>
    </w:p>
    <w:p>
      <w:pPr>
        <w:pStyle w:val="Heading5"/>
        <w:numPr>
          <w:ilvl w:val="4"/>
          <w:numId w:val="1"/>
        </w:numPr>
        <w:rPr/>
      </w:pPr>
      <w:bookmarkStart w:id="1520" w:name="__RefHeading___Toc3808277_1067777946"/>
      <w:bookmarkStart w:id="1521" w:name="_Toc651"/>
      <w:bookmarkEnd w:id="1520"/>
      <w:r>
        <w:rPr>
          <w:rtl w:val="true"/>
        </w:rPr>
        <w:t>كفّاره جمع</w:t>
      </w:r>
      <w:bookmarkEnd w:id="1521"/>
    </w:p>
    <w:p>
      <w:pPr>
        <w:pStyle w:val="BookText"/>
        <w:rPr/>
      </w:pPr>
      <w:r>
        <w:rPr>
          <w:rFonts w:ascii="IRNazanin" w:hAnsi="IRNazanin" w:eastAsia="IRNazanin"/>
          <w:color w:val="111111"/>
          <w:sz w:val="28"/>
          <w:sz w:val="28"/>
          <w:szCs w:val="28"/>
          <w:rtl w:val="true"/>
          <w:lang w:bidi="fa-IR"/>
        </w:rPr>
        <w:t>و كفارۀ جمع در قتل مؤمن است از روى عمد، كه بايد عتق و صوم دو ماه پى درپى و اطعام شصت مسكين نمايد</w:t>
      </w:r>
      <w:r>
        <w:rPr>
          <w:rFonts w:eastAsia="IRNazanin" w:cs="IRNazanin"/>
          <w:color w:val="111111"/>
          <w:sz w:val="28"/>
          <w:szCs w:val="28"/>
          <w:rtl w:val="true"/>
          <w:lang w:bidi="fa-IR"/>
        </w:rPr>
        <w:t>.</w:t>
      </w:r>
    </w:p>
    <w:p>
      <w:pPr>
        <w:pStyle w:val="Heading5"/>
        <w:numPr>
          <w:ilvl w:val="4"/>
          <w:numId w:val="1"/>
        </w:numPr>
        <w:rPr/>
      </w:pPr>
      <w:bookmarkStart w:id="1522" w:name="__RefHeading___Toc3808279_1067777946"/>
      <w:bookmarkStart w:id="1523" w:name="_Toc652"/>
      <w:bookmarkEnd w:id="1522"/>
      <w:r>
        <w:rPr>
          <w:rtl w:val="true"/>
        </w:rPr>
        <w:t>چند مسأله</w:t>
      </w:r>
      <w:bookmarkEnd w:id="1523"/>
    </w:p>
    <w:p>
      <w:pPr>
        <w:pStyle w:val="Heading6"/>
        <w:numPr>
          <w:ilvl w:val="5"/>
          <w:numId w:val="1"/>
        </w:numPr>
        <w:rPr/>
      </w:pPr>
      <w:bookmarkStart w:id="1524" w:name="__RefHeading___Toc3808281_1067777946"/>
      <w:bookmarkStart w:id="1525" w:name="_Toc653"/>
      <w:bookmarkEnd w:id="1524"/>
      <w:r>
        <w:rPr>
          <w:rtl w:val="true"/>
        </w:rPr>
        <w:t>حلف بر برائت</w:t>
      </w:r>
      <w:bookmarkEnd w:id="15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حلف به برائت از خداى تعالى يا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است، و اثرى از حيث كفاره ندارد بنا بر اظهر</w:t>
      </w:r>
      <w:r>
        <w:rPr>
          <w:rFonts w:eastAsia="Amiri" w:cs="Amiri" w:ascii="Amiri" w:hAnsi="Amiri"/>
          <w:color w:val="111111"/>
          <w:sz w:val="28"/>
          <w:szCs w:val="28"/>
          <w:rtl w:val="true"/>
          <w:lang w:bidi="ar-SA"/>
        </w:rPr>
        <w:t>.</w:t>
      </w:r>
      <w:bookmarkStart w:id="1526" w:name="pg10265_90013"/>
    </w:p>
    <w:p>
      <w:pPr>
        <w:pStyle w:val="BookText"/>
        <w:rPr/>
      </w:pPr>
      <w:bookmarkEnd w:id="1526"/>
      <w:r>
        <w:rPr>
          <w:rFonts w:ascii="IRNazanin" w:hAnsi="IRNazanin" w:eastAsia="IRNazanin"/>
          <w:color w:val="111111"/>
          <w:sz w:val="28"/>
          <w:sz w:val="28"/>
          <w:szCs w:val="28"/>
          <w:rtl w:val="true"/>
          <w:lang w:bidi="fa-IR"/>
        </w:rPr>
        <w:t>و اكراه بر برائت از مذكور، مسوّغ برائت صوريّه است نه قلبيّه، مگر براى غافل، يا عامى غير متمكّن، يا غير ملتفت به تفكيك بين دو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حلف بر برائت در غير مقام اكراه، شديد است كراهت آن و خلاف احتياط است، و گاهى حرام است اگر موجب اضلال و افساد ديگران باشد، حتى اگر لقلقه زبان باشد كه ممكن است اضلال غير و معنون به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معلّقٌ عليه، محال، يا معلوم العدم غير اختيارى، يا ممكنِ اختيارىِ مقصود العدم باشد و تعليق براى ردع از آن عمل باشد، اظهر عدم حرمت آنست فضلاً از ايجاب كفر، در صورتى كه عنوان اضلال محقّق نشود</w:t>
      </w:r>
      <w:r>
        <w:rPr>
          <w:rFonts w:eastAsia="IRNazanin" w:cs="IRNazanin"/>
          <w:color w:val="111111"/>
          <w:sz w:val="28"/>
          <w:szCs w:val="28"/>
          <w:rtl w:val="true"/>
          <w:lang w:bidi="fa-IR"/>
        </w:rPr>
        <w:t>.</w:t>
      </w:r>
    </w:p>
    <w:p>
      <w:pPr>
        <w:pStyle w:val="Heading6"/>
        <w:numPr>
          <w:ilvl w:val="5"/>
          <w:numId w:val="1"/>
        </w:numPr>
        <w:rPr/>
      </w:pPr>
      <w:bookmarkStart w:id="1527" w:name="__RefHeading___Toc3808283_1067777946"/>
      <w:bookmarkStart w:id="1528" w:name="_Toc654"/>
      <w:bookmarkEnd w:id="1527"/>
      <w:r>
        <w:rPr>
          <w:rtl w:val="true"/>
        </w:rPr>
        <w:t>كندن مو يا كشيدن آن در مصيبت</w:t>
      </w:r>
      <w:bookmarkEnd w:id="152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قطع موى در مصيبت قريب يا غير او، از زن، كفاره است؛ و اظهر اين است كه آن كفاره مخيّره است، اگر چه احوط كفارۀ ظهار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جزّ بعض، موجب كفاره است بنا بر اظهر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حلق و احراق، ملحق به نتف است بنا بر اظهر</w:t>
      </w:r>
      <w:r>
        <w:rPr>
          <w:rFonts w:eastAsia="Amiri" w:cs="Amiri" w:ascii="Amiri" w:hAnsi="Amiri"/>
          <w:color w:val="111111"/>
          <w:sz w:val="28"/>
          <w:szCs w:val="28"/>
          <w:rtl w:val="true"/>
          <w:lang w:bidi="ar-SA"/>
        </w:rPr>
        <w:t>.</w:t>
      </w:r>
    </w:p>
    <w:p>
      <w:pPr>
        <w:pStyle w:val="Heading6"/>
        <w:numPr>
          <w:ilvl w:val="5"/>
          <w:numId w:val="1"/>
        </w:numPr>
        <w:rPr/>
      </w:pPr>
      <w:bookmarkStart w:id="1529" w:name="__RefHeading___Toc3808285_1067777946"/>
      <w:bookmarkStart w:id="1530" w:name="_Toc655"/>
      <w:bookmarkEnd w:id="1529"/>
      <w:r>
        <w:rPr>
          <w:rtl w:val="true"/>
        </w:rPr>
        <w:t>كفارۀ كندن مو يا شكافتن جامه در مصيبت</w:t>
      </w:r>
      <w:bookmarkEnd w:id="153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نتف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موى خود را و خدش روى در مصاب قريب يا بعيد، و شكافتن مرد جامه خود را در موت ولد يا زوجه، كفارۀ يمين است؛ و در خدش اگر موجب آمدن خون نباشد، حكم مبنى بر احتياط است؛ و خدش بعض روى كافى است در وجوب كفاره؛ و خدش و ادماى غيرِ روى، موجب كفّاره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شقّ زن جامۀ خود را در مصيبت ولد يا زوج، كفاره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قطع مرد موى خود را يا كندن آن، كفاره ندارد در آنجايى كه از زن كفاره دارد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شكافتن جامه، متعارف در كار عزادار رعايت مى شود چه كم باشد چه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ولد چه پسر باشند يا دختر، و چه ولد پسر باشد يا دختر، براى آنها حكم ولد ثابت است بنا بر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زوجه در حكم مذكور، اعم از حرّه و امه، و از </w:t>
      </w:r>
      <w:bookmarkStart w:id="1531" w:name="pg10265_90014"/>
    </w:p>
    <w:p>
      <w:pPr>
        <w:pStyle w:val="BookText"/>
        <w:rPr/>
      </w:pPr>
      <w:bookmarkEnd w:id="1531"/>
      <w:r>
        <w:rPr>
          <w:rFonts w:ascii="Amiri" w:hAnsi="Amiri" w:eastAsia="Amiri" w:cs="Amiri"/>
          <w:color w:val="111111"/>
          <w:sz w:val="28"/>
          <w:sz w:val="28"/>
          <w:szCs w:val="28"/>
          <w:rtl w:val="true"/>
          <w:lang w:bidi="ar-SA"/>
        </w:rPr>
        <w:t>منقطعه است؛ و الحاق مطلّقۀ رجعيّه به زوجه در حكم مذكور مبنى بر احتياط است؛ و اظهر عدم لحوق امۀ مملوكه به زوجه است در اين حكم</w:t>
      </w:r>
      <w:r>
        <w:rPr>
          <w:rFonts w:eastAsia="Amiri" w:cs="Amiri" w:ascii="Amiri" w:hAnsi="Amiri"/>
          <w:color w:val="111111"/>
          <w:sz w:val="28"/>
          <w:szCs w:val="28"/>
          <w:rtl w:val="true"/>
          <w:lang w:bidi="ar-SA"/>
        </w:rPr>
        <w:t>.</w:t>
      </w:r>
    </w:p>
    <w:p>
      <w:pPr>
        <w:pStyle w:val="Heading6"/>
        <w:numPr>
          <w:ilvl w:val="5"/>
          <w:numId w:val="1"/>
        </w:numPr>
        <w:rPr/>
      </w:pPr>
      <w:bookmarkStart w:id="1532" w:name="__RefHeading___Toc3808287_1067777946"/>
      <w:bookmarkStart w:id="1533" w:name="_Toc656"/>
      <w:bookmarkEnd w:id="1532"/>
      <w:r>
        <w:rPr>
          <w:rtl w:val="true"/>
        </w:rPr>
        <w:t>كفارۀ وطى امۀ حائض</w:t>
      </w:r>
      <w:bookmarkEnd w:id="153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كفارۀ وطى حائض و مقدار آن در ازمنه حيض، گذشت در محلش؛ و كفارۀ وطى اَمه حائض، سه مدّ از طعام است بنا بر احوط</w:t>
      </w:r>
      <w:r>
        <w:rPr>
          <w:rFonts w:eastAsia="IRNazanin" w:cs="IRNazanin"/>
          <w:color w:val="111111"/>
          <w:sz w:val="28"/>
          <w:szCs w:val="28"/>
          <w:rtl w:val="true"/>
          <w:lang w:bidi="fa-IR"/>
        </w:rPr>
        <w:t>.</w:t>
      </w:r>
    </w:p>
    <w:p>
      <w:pPr>
        <w:pStyle w:val="Heading6"/>
        <w:numPr>
          <w:ilvl w:val="5"/>
          <w:numId w:val="1"/>
        </w:numPr>
        <w:rPr/>
      </w:pPr>
      <w:bookmarkStart w:id="1534" w:name="__RefHeading___Toc3808289_1067777946"/>
      <w:bookmarkStart w:id="1535" w:name="_Toc657"/>
      <w:bookmarkEnd w:id="1534"/>
      <w:r>
        <w:rPr>
          <w:rtl w:val="true"/>
        </w:rPr>
        <w:t>استحباب تكفير به پنج صاع آرد</w:t>
      </w:r>
      <w:bookmarkEnd w:id="153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مستحب است تكفير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صاع از 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كسى كه ازدواج كرده باشد يا شوهر دارد يا در عده، چه با علم باشد چه بدون آن، چه رفع به امام براى اقامۀ حد بشود يا نه</w:t>
      </w:r>
      <w:r>
        <w:rPr>
          <w:rFonts w:eastAsia="IRNazanin" w:cs="IRNazanin"/>
          <w:color w:val="111111"/>
          <w:sz w:val="28"/>
          <w:szCs w:val="28"/>
          <w:rtl w:val="true"/>
          <w:lang w:bidi="fa-IR"/>
        </w:rPr>
        <w:t>.</w:t>
      </w:r>
    </w:p>
    <w:p>
      <w:pPr>
        <w:pStyle w:val="Heading6"/>
        <w:numPr>
          <w:ilvl w:val="5"/>
          <w:numId w:val="1"/>
        </w:numPr>
        <w:rPr/>
      </w:pPr>
      <w:bookmarkStart w:id="1536" w:name="__RefHeading___Toc3808291_1067777946"/>
      <w:bookmarkStart w:id="1537" w:name="_Toc658"/>
      <w:bookmarkEnd w:id="1536"/>
      <w:r>
        <w:rPr>
          <w:rtl w:val="true"/>
        </w:rPr>
        <w:t>حكم خواب در وقت نماز عشا تا نصف شب</w:t>
      </w:r>
      <w:bookmarkEnd w:id="153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بخوابد تا وقت قضاى نماز عشا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نصف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بلكه احوط اين است كه همان روز را صائم بشود اگر چه خواب بدون اختيار بوده؛ و اظهر عدم وجوب صوم است چنانكه اكثر متأخّرين قائل به عدم وجوب مى باشند</w:t>
      </w:r>
      <w:r>
        <w:rPr>
          <w:rFonts w:eastAsia="IRNazanin" w:cs="IRNazanin"/>
          <w:color w:val="111111"/>
          <w:sz w:val="28"/>
          <w:szCs w:val="28"/>
          <w:rtl w:val="true"/>
          <w:lang w:bidi="fa-IR"/>
        </w:rPr>
        <w:t>.</w:t>
      </w:r>
    </w:p>
    <w:p>
      <w:pPr>
        <w:pStyle w:val="Heading6"/>
        <w:numPr>
          <w:ilvl w:val="5"/>
          <w:numId w:val="1"/>
        </w:numPr>
        <w:rPr/>
      </w:pPr>
      <w:bookmarkStart w:id="1538" w:name="__RefHeading___Toc3808293_1067777946"/>
      <w:bookmarkStart w:id="1539" w:name="_Toc659"/>
      <w:bookmarkEnd w:id="1538"/>
      <w:r>
        <w:rPr>
          <w:rtl w:val="true"/>
        </w:rPr>
        <w:t>طارى شدن عجز در صوم نذرى</w:t>
      </w:r>
      <w:bookmarkEnd w:id="1539"/>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نذر كرده صوم روزى را، پس اگر معين باشد و عجز طارى شد يا آنكه غير معين باشد و استمرار عجز ظاهر شد، ندباً صدقه مى دهد به مدّى از طعام براى يك روز؛ و اگر غير معين و عجز غير ظاهر باشد استمرار آن، بايد در وقت تمكّن مباشرت نمايد</w:t>
      </w:r>
      <w:r>
        <w:rPr>
          <w:rFonts w:eastAsia="IRNazanin" w:cs="IRNazanin"/>
          <w:color w:val="111111"/>
          <w:sz w:val="28"/>
          <w:szCs w:val="28"/>
          <w:rtl w:val="true"/>
          <w:lang w:bidi="fa-IR"/>
        </w:rPr>
        <w:t>.</w:t>
      </w:r>
    </w:p>
    <w:p>
      <w:pPr>
        <w:pStyle w:val="Heading4"/>
        <w:numPr>
          <w:ilvl w:val="3"/>
          <w:numId w:val="1"/>
        </w:numPr>
        <w:rPr/>
      </w:pPr>
      <w:bookmarkStart w:id="1540" w:name="__RefHeading___Toc3808295_1067777946"/>
      <w:bookmarkStart w:id="1541" w:name="_Toc660"/>
      <w:bookmarkEnd w:id="1540"/>
      <w:r>
        <w:rPr/>
        <w:t>2</w:t>
      </w:r>
      <w:r>
        <w:rPr>
          <w:rtl w:val="true"/>
        </w:rPr>
        <w:t xml:space="preserve">. </w:t>
      </w:r>
      <w:r>
        <w:rPr>
          <w:rtl w:val="true"/>
        </w:rPr>
        <w:t>خصال كفّاره</w:t>
      </w:r>
      <w:bookmarkEnd w:id="1541"/>
    </w:p>
    <w:p>
      <w:pPr>
        <w:pStyle w:val="Heading5"/>
        <w:numPr>
          <w:ilvl w:val="4"/>
          <w:numId w:val="1"/>
        </w:numPr>
        <w:rPr/>
      </w:pPr>
      <w:bookmarkStart w:id="1542" w:name="__RefHeading___Toc3808297_1067777946"/>
      <w:bookmarkStart w:id="1543" w:name="_Toc661"/>
      <w:bookmarkEnd w:id="1542"/>
      <w:r>
        <w:rPr>
          <w:rtl w:val="true"/>
        </w:rPr>
        <w:t>اول</w:t>
      </w:r>
      <w:r>
        <w:rPr>
          <w:rtl w:val="true"/>
        </w:rPr>
        <w:t xml:space="preserve">. </w:t>
      </w:r>
      <w:r>
        <w:rPr>
          <w:rtl w:val="true"/>
        </w:rPr>
        <w:t>عتق</w:t>
      </w:r>
      <w:bookmarkEnd w:id="1543"/>
    </w:p>
    <w:p>
      <w:pPr>
        <w:pStyle w:val="Heading6"/>
        <w:numPr>
          <w:ilvl w:val="5"/>
          <w:numId w:val="1"/>
        </w:numPr>
        <w:rPr/>
      </w:pPr>
      <w:bookmarkStart w:id="1544" w:name="__RefHeading___Toc3808299_1067777946"/>
      <w:bookmarkStart w:id="1545" w:name="_Toc662"/>
      <w:bookmarkEnd w:id="1544"/>
      <w:r>
        <w:rPr>
          <w:rtl w:val="true"/>
        </w:rPr>
        <w:t>اشاره</w:t>
      </w:r>
      <w:bookmarkEnd w:id="154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متعيّن است عتق رقبه در كفّارۀ مرتّبه بر 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محقّق است وجدان به مالك </w:t>
      </w:r>
      <w:bookmarkStart w:id="1546" w:name="pg10265_90015"/>
    </w:p>
    <w:p>
      <w:pPr>
        <w:pStyle w:val="BookText"/>
        <w:rPr/>
      </w:pPr>
      <w:bookmarkEnd w:id="1546"/>
      <w:r>
        <w:rPr>
          <w:rFonts w:ascii="Amiri" w:hAnsi="Amiri" w:eastAsia="Amiri" w:cs="Amiri"/>
          <w:color w:val="111111"/>
          <w:sz w:val="28"/>
          <w:sz w:val="28"/>
          <w:szCs w:val="28"/>
          <w:rtl w:val="true"/>
          <w:lang w:bidi="ar-SA"/>
        </w:rPr>
        <w:t>بودن رقبه بدون حاجت به آن يا مالك بودن ثمن آن با امكان ابتياع بدون اضرار به حال</w:t>
      </w:r>
      <w:r>
        <w:rPr>
          <w:rFonts w:eastAsia="Amiri" w:cs="Amiri" w:ascii="Amiri" w:hAnsi="Amiri"/>
          <w:color w:val="111111"/>
          <w:sz w:val="28"/>
          <w:szCs w:val="28"/>
          <w:rtl w:val="true"/>
          <w:lang w:bidi="ar-SA"/>
        </w:rPr>
        <w:t>.</w:t>
      </w:r>
    </w:p>
    <w:p>
      <w:pPr>
        <w:pStyle w:val="Heading6"/>
        <w:numPr>
          <w:ilvl w:val="5"/>
          <w:numId w:val="1"/>
        </w:numPr>
        <w:rPr/>
      </w:pPr>
      <w:bookmarkStart w:id="1547" w:name="__RefHeading___Toc3808301_1067777946"/>
      <w:bookmarkStart w:id="1548" w:name="_Toc663"/>
      <w:bookmarkEnd w:id="1547"/>
      <w:r>
        <w:rPr>
          <w:rtl w:val="true"/>
        </w:rPr>
        <w:t>اوصاف معتبره در رقبه</w:t>
      </w:r>
      <w:bookmarkEnd w:id="1548"/>
    </w:p>
    <w:p>
      <w:pPr>
        <w:pStyle w:val="Heading6"/>
        <w:numPr>
          <w:ilvl w:val="5"/>
          <w:numId w:val="1"/>
        </w:numPr>
        <w:rPr/>
      </w:pPr>
      <w:bookmarkStart w:id="1549" w:name="__RefHeading___Toc3808303_1067777946"/>
      <w:bookmarkStart w:id="1550" w:name="_Toc664"/>
      <w:bookmarkEnd w:id="1549"/>
      <w:r>
        <w:rPr>
          <w:rtl w:val="true"/>
        </w:rPr>
        <w:t>الف</w:t>
      </w:r>
      <w:r>
        <w:rPr>
          <w:rtl w:val="true"/>
        </w:rPr>
        <w:t xml:space="preserve">. </w:t>
      </w:r>
      <w:r>
        <w:rPr>
          <w:rtl w:val="true"/>
        </w:rPr>
        <w:t>ايمان</w:t>
      </w:r>
      <w:bookmarkEnd w:id="1550"/>
    </w:p>
    <w:p>
      <w:pPr>
        <w:pStyle w:val="BookText"/>
        <w:rPr/>
      </w:pPr>
      <w:r>
        <w:rPr>
          <w:rFonts w:ascii="IRNazanin" w:hAnsi="IRNazanin" w:eastAsia="IRNazanin"/>
          <w:color w:val="111111"/>
          <w:sz w:val="28"/>
          <w:sz w:val="28"/>
          <w:szCs w:val="28"/>
          <w:rtl w:val="true"/>
          <w:lang w:bidi="fa-IR"/>
        </w:rPr>
        <w:t xml:space="preserve">معتبر است در عتق رقبه از كفارۀ قتل اگر چه عمدى باشد بنا بر اظهر،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معنى اسلام كه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 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علم به مخالفت قلب با اظهار است، يا حكم اسلام به سبب اسلام احد ابوين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اعتبار آن در سائر كفارات، احوط است، بلكه در خصوص بعضى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افطار روزى از ماه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عتق غير مسلم در غير كفاره، محل تأمّل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معتبر نيست در صحّت عتق اثنا عشرى بودن؛ بلكه ناصبى نبودن، و عتق مستضعف مانعى ندارد، بنا بر اظهر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فرقى بين ذكر و انثى و صغير و كبير نيست در صورتى كه صغيرِ غير بالغ، احد ابوين او در حين ولادت يا قبل از بلوغ، مسلمان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احوط در كفارۀ قتل، عتق بالغ مسلم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عتق حمل محكوم به 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واسطۀ اسلام احد ابوين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مجزى نيست در تقدير تعقّب به موت بعد از ولادت و انفصال با حيات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اشارۀ بالغ اخرس در صورتى كه ابوين او كافر بوده اند، اگر مفهِم اسلام باشد، به منزله تلفظ غير اخرس است به شهادتين، و عتق او صحيح است در موارد اعتبار ايمان به معناى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اقرار به شهادتين كافى است در حكم به اسلام، و اظهار برائت از غير اسلام شرط نيست</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صحّت عتق مسبىّ از اولاد كفار اگر چه با احد ابوين او نباشد تأمّل است، اگر </w:t>
      </w:r>
      <w:bookmarkStart w:id="1551" w:name="pg10265_90016"/>
    </w:p>
    <w:p>
      <w:pPr>
        <w:pStyle w:val="BookText"/>
        <w:rPr/>
      </w:pPr>
      <w:bookmarkEnd w:id="1551"/>
      <w:r>
        <w:rPr>
          <w:rFonts w:ascii="IRNazanin" w:hAnsi="IRNazanin" w:eastAsia="IRNazanin"/>
          <w:color w:val="111111"/>
          <w:sz w:val="28"/>
          <w:sz w:val="28"/>
          <w:szCs w:val="28"/>
          <w:rtl w:val="true"/>
          <w:lang w:bidi="fa-IR"/>
        </w:rPr>
        <w:t>چه محكوم به طهارت است به تبعيّت سابى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مراهق مميّز، اسلام اختيار كرد به اقرار به شهادتين با آنكه سبب ديگرى براى اسلام تبعى او نبود، در حكم به اسلام او تأمّل است؛ و مقتضاى استصحابِ تبعيّتِ كفر، عدم وجوب، بلكه عدم جواز تفريق او از ابوين او است</w:t>
      </w:r>
      <w:r>
        <w:rPr>
          <w:rFonts w:eastAsia="IRNazanin" w:cs="IRNazanin"/>
          <w:color w:val="111111"/>
          <w:sz w:val="28"/>
          <w:szCs w:val="28"/>
          <w:rtl w:val="true"/>
          <w:lang w:bidi="fa-IR"/>
        </w:rPr>
        <w:t>.</w:t>
      </w:r>
    </w:p>
    <w:p>
      <w:pPr>
        <w:pStyle w:val="Heading6"/>
        <w:numPr>
          <w:ilvl w:val="5"/>
          <w:numId w:val="1"/>
        </w:numPr>
        <w:rPr/>
      </w:pPr>
      <w:bookmarkStart w:id="1552" w:name="__RefHeading___Toc3808305_1067777946"/>
      <w:bookmarkStart w:id="1553" w:name="_Toc665"/>
      <w:bookmarkEnd w:id="1552"/>
      <w:r>
        <w:rPr>
          <w:rtl w:val="true"/>
        </w:rPr>
        <w:t>ب</w:t>
      </w:r>
      <w:r>
        <w:rPr>
          <w:rtl w:val="true"/>
        </w:rPr>
        <w:t xml:space="preserve">. </w:t>
      </w:r>
      <w:r>
        <w:rPr>
          <w:rtl w:val="true"/>
        </w:rPr>
        <w:t>سلامتى از عيوب</w:t>
      </w:r>
      <w:bookmarkEnd w:id="1553"/>
    </w:p>
    <w:p>
      <w:pPr>
        <w:pStyle w:val="BookText"/>
        <w:rPr/>
      </w:pPr>
      <w:r>
        <w:rPr>
          <w:rFonts w:ascii="IRNazanin" w:hAnsi="IRNazanin" w:eastAsia="IRNazanin"/>
          <w:color w:val="111111"/>
          <w:sz w:val="28"/>
          <w:sz w:val="28"/>
          <w:szCs w:val="28"/>
          <w:rtl w:val="true"/>
          <w:lang w:bidi="fa-IR"/>
        </w:rPr>
        <w:t xml:space="preserve">معتبر است در 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يا كنيز از عيوبى كه موجب عتق او است، مثل مبتلا به عِمىٰ يا جذام يا اقعاد يا تنكيل؛ و بر تقدير صحّت عتق آنها، مجزى از كفاره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و نقصان در سائر اعضا يا مثل صمم يا خُرس يا قطع يك دست يا يك پاى، مانع از صحّت عتق نيست؛ و هم چنين مرض موجب يأس از معالجه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عتق غير صاحب حيات مستقرّه، در كفاره، تأمّل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عتق ولد الزنا با بلوغ و توصيف اسلام مجزى است؛ و در تبعيّت او براى سابى يا احد ابوين، تأمّل است، لكن بعيد نيست تبعيّت كافرَين بنا بر جواز سبى در كفر، مگر آنكه به سببى از تبعيّت خارج بشود و تابع سابى بشود، و در غير اين مبنى، فرق بين كافرَين و مسلمَين ظاهر نيست، اگر چه محكوم به طهارت است قبل از بلوغ به حسب آنچه گذشت در محلش</w:t>
      </w:r>
      <w:r>
        <w:rPr>
          <w:rFonts w:eastAsia="IRNazanin" w:cs="IRNazanin"/>
          <w:color w:val="111111"/>
          <w:sz w:val="28"/>
          <w:szCs w:val="28"/>
          <w:rtl w:val="true"/>
          <w:lang w:bidi="fa-IR"/>
        </w:rPr>
        <w:t>.</w:t>
      </w:r>
    </w:p>
    <w:p>
      <w:pPr>
        <w:pStyle w:val="Heading6"/>
        <w:numPr>
          <w:ilvl w:val="5"/>
          <w:numId w:val="1"/>
        </w:numPr>
        <w:rPr/>
      </w:pPr>
      <w:bookmarkStart w:id="1554" w:name="__RefHeading___Toc3808307_1067777946"/>
      <w:bookmarkStart w:id="1555" w:name="_Toc666"/>
      <w:bookmarkEnd w:id="1554"/>
      <w:r>
        <w:rPr>
          <w:rtl w:val="true"/>
        </w:rPr>
        <w:t>ج</w:t>
      </w:r>
      <w:r>
        <w:rPr>
          <w:rtl w:val="true"/>
        </w:rPr>
        <w:t xml:space="preserve">. </w:t>
      </w:r>
      <w:r>
        <w:rPr>
          <w:rtl w:val="true"/>
        </w:rPr>
        <w:t>تماميّت مِلك</w:t>
      </w:r>
      <w:bookmarkEnd w:id="1555"/>
    </w:p>
    <w:p>
      <w:pPr>
        <w:pStyle w:val="BookText"/>
        <w:rPr/>
      </w:pPr>
      <w:r>
        <w:rPr>
          <w:rFonts w:ascii="IRNazanin" w:hAnsi="IRNazanin" w:eastAsia="IRNazanin"/>
          <w:color w:val="111111"/>
          <w:sz w:val="28"/>
          <w:sz w:val="28"/>
          <w:szCs w:val="28"/>
          <w:rtl w:val="true"/>
          <w:lang w:bidi="fa-IR"/>
        </w:rPr>
        <w:t>در عتق مدبّر قبل از نقض تدبير به نحو ديگر، خلاف است، اظهر و اشهر صحّت عتق است؛ و بعد از نقض آن جائز است بدون خلاف</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عتق مكاتبِ مطلق بعد از اداى چيزى از مال الكتابه، مجزى نيست؛ به خلاف صورت عدم اداى چيزى از آن در مطلق و مطلقاً در مشروط كه محل خلاف است و اكثر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صحّت عتق آنها است؛ و آن بعد از تفاسخ عقد كتابت، واضح است؛ و قبل از آن، مبنى بر عدم لزوم اين عقد است بر مالك وگرنه ممنوع است از نقض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عتق آبق در صورت علم به حيات او مجزى است؛ و هم چنين در زمان استصحاب حيات او بنا 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ولد، عتق او مجزى است اگر چه ولد در حيات باشد بنا بر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عبدى كه وصيّت شده است خدمت ابديّۀ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عتق ولد الزنا كه محكوم به اسلام است، مجزى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عتق دو نصف از دو عبد با تقدير عدم سرايت و در موردى كه مانعى از سرايت باشد مثل مبعّض، مجزى از عتق يك رقبه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عتق نصف عبد 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مجزى است از كفارۀ منويّه با ايسار معتِق و دفع عوض باقى، با اتّصال زمان دفع به زمان عتق بعض و انفصال آن بنا بر اظهر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معسر باشد در حين عتق نصيب، مجزى از كفاره نيست اگر چه بعد موسِر شود؛ و در صحّت عتق تأمّل است، چون مقصود به آن، كفارۀ غير واقعه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عتق كرد از كفاره، بعض عبد خودش را، سرايت در همه مى كند و مجزى از كفاره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عتق مرهون بدون اذن مرتهن و اجازه او، صحيح نيست در كفاره و غير آن؛ و اظهر عدم ايقاف عتق موسر است تا فك رهن به ادا يا ابدال عين مرهونه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عبد قتل عمدى كرد، محتمل است صحّت عتق او و وجوب تسليم به مجنىّ عليه براى قود مگر آنكه تعريض عبد به قتل، به غير تعيين مجنىٌ عليه،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خطايى باشد، اظهر صحّت عتق است از موسر و تعيين فداء است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قبل از عتق، مصالحه و توافق بين مالك و ولىّ مجنىٌّ عليه شد، خارج است از اشكال در هر 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عتق معسر بدون توافق و مصالحه نافذ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عتق مرتدّ بعد از رجوع به اسلام، مجزى است اگر ملّى بوده؛ و اگر فطرى بوده، محل تأمّل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عدم اجزا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وجوب قتل براى اقامه حدّ بر مرتكب به موجب آن، مانع از نفوذ عتق نيست </w:t>
      </w:r>
    </w:p>
    <w:p>
      <w:pPr>
        <w:pStyle w:val="BookText"/>
        <w:rPr/>
      </w:pPr>
      <w:r>
        <w:rPr>
          <w:rFonts w:ascii="IRNazanin" w:hAnsi="IRNazanin" w:eastAsia="IRNazanin"/>
          <w:color w:val="111111"/>
          <w:sz w:val="28"/>
          <w:sz w:val="28"/>
          <w:szCs w:val="28"/>
          <w:rtl w:val="true"/>
          <w:lang w:bidi="fa-IR"/>
        </w:rPr>
        <w:t>بنابر اظهر؛ و همچنين ارتكاب عملى كه قصاص آن موجب انعتاق است، مثل قلع دو چشم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منذور العتق يا تصدّق، عتق او صحيح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مشروط به شرط غير حاصل و متوقّع الحصول، احوط ترك عتق است؛ و در صورت عتق، احوط تجديد عتق بعد از حصول شرط است، و احوط رعايت احتياط مناسب در نذر تصدّق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پس از سؤال غير، مالك، عتق كرد مملوكِ خودش را از جانب سائل، صحيح و مجزى است، چون كه با ابقاى يد بر ملك، دافع و قابض معاطاتى با اذن متملّك مى شود به عوض واقعى، و قرض معاطاتى واقع مى شود، و به تحقّق عتق مأمورٌ به، لازم و مشغول الذمه به بدل واقعى مى شود بنا بر جواز در رد عين در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 در حين 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من است ده تومان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قصد بيان بدل واقعى نداشت بلكه قصد تمليك خصوصيّت در مقابل تملّك عبد داشت، اظهر انعقاد 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مسمّىٰ به نحو معاطاة به نحو اعم از اينكه قولِ مقدّم، قبولِ فعلِ متأخّر باشد كه دافعيّت و قابضيّت بقائى عبد با اذن مشترى باشد؛ و همان مسمّىٰ را مشترى بايد پس از عتق تسليم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تبرّعاً از جانب حىّ عتق كرد بدون سؤال او تبرّع را، اقرب نفوذ عتق از معتق عنه است با احراز رضاى او بر تقدير التفات؛ و هم چنين در عتق از ميّت بنابر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فرقى بين وارث و از ملك خودش و غير وارث نيست بنا بر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مروىّ تفصيل در تطوّع وارث از جانب ميّت بين وصيّت و عدم آن است، و از اين جهت، خصوص اين صورت مورد احتياط است؛ و در هيچ تقديرى از خود معتِق نافذ نيست مگر با تعدّد مقصود او به حسب تحليل و در واقع، بنا بر اظهر</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عبدك 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عتق صحيح و مجزى است از آمر به اتفاق؛ و زمان انتقال ملك به آمر، به حكم استصحاب، زمان يقين به آن است، و آن آنِ قبل </w:t>
      </w:r>
      <w:bookmarkStart w:id="1556" w:name="pg10265_90019"/>
    </w:p>
    <w:p>
      <w:pPr>
        <w:pStyle w:val="BookText"/>
        <w:rPr/>
      </w:pPr>
      <w:bookmarkEnd w:id="1556"/>
      <w:r>
        <w:rPr>
          <w:rFonts w:ascii="IRNazanin" w:hAnsi="IRNazanin" w:eastAsia="IRNazanin"/>
          <w:color w:val="111111"/>
          <w:sz w:val="28"/>
          <w:sz w:val="28"/>
          <w:szCs w:val="28"/>
          <w:rtl w:val="true"/>
          <w:lang w:bidi="fa-IR"/>
        </w:rPr>
        <w:t>از عتق كه كاشف از تحقّق شرط است از مشروط، به واسطۀ عدم امكان اجتماع ادخال در ملك و اخراج از آن در زمان واحد؛ پس آنِ قبل از تحقّق عتق، ملك آمر محقّق است يقيناً نه قبل از آن، به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عبدى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ملتفت باشد مأمور به خصوصيّات عتق مشروط به تملّك و محتمل باشد تقديم ايجاب و قبول بر عتق، محمول بر صحّت عتق از مأمور است</w:t>
      </w:r>
      <w:r>
        <w:rPr>
          <w:rFonts w:eastAsia="IRNazanin" w:cs="IRNazanin"/>
          <w:color w:val="111111"/>
          <w:sz w:val="28"/>
          <w:szCs w:val="28"/>
          <w:rtl w:val="true"/>
          <w:lang w:bidi="fa-IR"/>
        </w:rPr>
        <w:t>.</w:t>
      </w:r>
    </w:p>
    <w:p>
      <w:pPr>
        <w:pStyle w:val="Heading6"/>
        <w:numPr>
          <w:ilvl w:val="5"/>
          <w:numId w:val="1"/>
        </w:numPr>
        <w:rPr/>
      </w:pPr>
      <w:bookmarkStart w:id="1557" w:name="__RefHeading___Toc3808309_1067777946"/>
      <w:bookmarkStart w:id="1558" w:name="_Toc667"/>
      <w:bookmarkEnd w:id="1557"/>
      <w:r>
        <w:rPr>
          <w:rtl w:val="true"/>
        </w:rPr>
        <w:t>امور معتبره در صحّت عتق</w:t>
      </w:r>
      <w:bookmarkEnd w:id="1558"/>
    </w:p>
    <w:p>
      <w:pPr>
        <w:pStyle w:val="Heading6"/>
        <w:numPr>
          <w:ilvl w:val="5"/>
          <w:numId w:val="1"/>
        </w:numPr>
        <w:rPr/>
      </w:pPr>
      <w:bookmarkStart w:id="1559" w:name="__RefHeading___Toc3808311_1067777946"/>
      <w:bookmarkStart w:id="1560" w:name="_Toc668"/>
      <w:bookmarkEnd w:id="1559"/>
      <w:r>
        <w:rPr>
          <w:rtl w:val="true"/>
        </w:rPr>
        <w:t>الف</w:t>
      </w:r>
      <w:r>
        <w:rPr>
          <w:rtl w:val="true"/>
        </w:rPr>
        <w:t xml:space="preserve">. </w:t>
      </w:r>
      <w:r>
        <w:rPr>
          <w:rtl w:val="true"/>
        </w:rPr>
        <w:t>نيّت</w:t>
      </w:r>
      <w:bookmarkEnd w:id="1560"/>
    </w:p>
    <w:p>
      <w:pPr>
        <w:pStyle w:val="BookText"/>
        <w:rPr/>
      </w:pPr>
      <w:r>
        <w:rPr>
          <w:rFonts w:ascii="IRNazanin" w:hAnsi="IRNazanin" w:eastAsia="IRNazanin"/>
          <w:color w:val="111111"/>
          <w:sz w:val="28"/>
          <w:sz w:val="28"/>
          <w:szCs w:val="28"/>
          <w:rtl w:val="true"/>
          <w:lang w:bidi="fa-IR"/>
        </w:rPr>
        <w:t>معتبر است در صحّت عتق مثل سائر عبادات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مشتمل بر قصد قربت و آنچه مختار است در آن؛ پس صحيح نيست از كافرى كه متمشّى نشود از او قصد قربت به واسطۀ جحود مبدء اجلّ‌، يا غير آن از لوازم تقرّب؛ بلكه عباداتى كه مشروط است صحّت آنها به ايمان به معناى اخص، صحيح از غير مؤمن اثنا عشرى واقع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نيّت كفارۀ خاصه لازم است در صورتى كه ذمّه مشغول باشد به غير كفاره از سائر واجبات يا به كفاره از اسباب مختلفه، وگرنه، قصد امر فعلى ايجابى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در صورت اختلاف اسباب اگر مقصود، ترتيبِ در امتثال بر حسب ترتيب وجودىِ امر و اسباب آن باشد، كافى است در صورت عدم احتمال اقتران اسباب مختلفه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احوط در صورت اختلاف اسباب، قصد سبب است؛ و با آن، محلّى براى اشكال در صورت اختلاف در تعيين و تخيير عتق در ضمن خصال نيست</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مجتمع شود دو عتق واجب، يكى در مرتّبه و يكى در كفارۀ جمع، اظهر </w:t>
      </w:r>
      <w:bookmarkStart w:id="1561" w:name="pg10265_90020"/>
    </w:p>
    <w:p>
      <w:pPr>
        <w:pStyle w:val="BookText"/>
        <w:rPr/>
      </w:pPr>
      <w:bookmarkEnd w:id="1561"/>
      <w:r>
        <w:rPr>
          <w:rFonts w:ascii="Amiri" w:hAnsi="Amiri" w:eastAsia="Amiri" w:cs="Amiri"/>
          <w:color w:val="111111"/>
          <w:sz w:val="28"/>
          <w:sz w:val="28"/>
          <w:szCs w:val="28"/>
          <w:rtl w:val="true"/>
          <w:lang w:bidi="ar-SA"/>
        </w:rPr>
        <w:t>عدم لزوم تعيين است مثل دو كفّارۀ واجبه از سبب واحد مكرّر؛ بلى با تعيين در نيّت، اظهر عدم تأثير رفع يد بعد از عمل و تعيين همان منوىّ است ثانياً، بلكه در صورت اتحاد، لغو، و در صورت تعدّد، باطل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اظهر جريان مذكور در عتق، به حسب موارد مختلفه از وجوب غير كفاره و عدم وجوب، و اختلاف اسباب و اتحاد آنها به حسب سنخ، و اختلاف حكمى و عدم آن، در صوم كفاره است با محافظت بر عباديّت و نيّت قربت و لوازم آن در هر صورت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كفاره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باشد و نداند از چه سبب از اسباب مختلفه است، اكتفاى به قصد ما فى الذمه نمايد حتى اگر تحصيل علم ميسور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اگر مردد باشد كه در ذمّۀ او نذر يا كفاره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اكتفاى به قصد ما فى الذمه از عبادت متحده مى نمايد، چه عتق باشد يا 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عبد دارد و دو كفاره با عدم وجوب تعيين، و عتق نمود آن دو را يا نصف هر يك را، از كفارۀ مقصوده يا از كفارۀ واجبه، با قصد سرايت يا بدون التفات به آن، صحيح و مجزى از دو كفاره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نصف يك عبد را از كفارۀ واحده معينه عتق كرد، صحيح و مجزى است؛ به خلاف عتق دو نصف از دو عبد از يك كفاره كه مجزى و صحيح نيست، چنانچه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اظهر عدم صحّت و اجزاى عتق عمودَين بعد از اشتراى آنها است، بلكه انعتاق غير اختيارى و به حكم شرع است</w:t>
      </w:r>
      <w:r>
        <w:rPr>
          <w:rFonts w:eastAsia="Amiri" w:cs="Amiri" w:ascii="Amiri" w:hAnsi="Amiri"/>
          <w:color w:val="111111"/>
          <w:sz w:val="28"/>
          <w:szCs w:val="28"/>
          <w:rtl w:val="true"/>
          <w:lang w:bidi="ar-SA"/>
        </w:rPr>
        <w:t>.</w:t>
      </w:r>
    </w:p>
    <w:p>
      <w:pPr>
        <w:pStyle w:val="Heading6"/>
        <w:numPr>
          <w:ilvl w:val="5"/>
          <w:numId w:val="1"/>
        </w:numPr>
        <w:rPr/>
      </w:pPr>
      <w:bookmarkStart w:id="1562" w:name="__RefHeading___Toc3808313_1067777946"/>
      <w:bookmarkStart w:id="1563" w:name="_Toc669"/>
      <w:bookmarkEnd w:id="1562"/>
      <w:r>
        <w:rPr>
          <w:rtl w:val="true"/>
        </w:rPr>
        <w:t>ب</w:t>
      </w:r>
      <w:r>
        <w:rPr>
          <w:rtl w:val="true"/>
        </w:rPr>
        <w:t xml:space="preserve">. </w:t>
      </w:r>
      <w:r>
        <w:rPr>
          <w:rtl w:val="true"/>
        </w:rPr>
        <w:t>مجرّد بودن از عوض</w:t>
      </w:r>
      <w:bookmarkEnd w:id="156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اظهر عدم صحّت عتق به عوض است، چه از عبد باشد به نحو مكاتبه مطلقه يا مشروطه يا غير مكاتبه يا از غير عبد؛ و مجزى نيست از كفاره اگر هم صحيح باشد بر حسب اتفاق منقول</w:t>
      </w:r>
      <w:r>
        <w:rPr>
          <w:rFonts w:eastAsia="IRNazanin" w:cs="IRNazanin"/>
          <w:color w:val="111111"/>
          <w:sz w:val="28"/>
          <w:szCs w:val="28"/>
          <w:rtl w:val="true"/>
          <w:lang w:bidi="fa-IR"/>
        </w:rPr>
        <w:t xml:space="preserve">. </w:t>
      </w:r>
      <w:bookmarkStart w:id="1564" w:name="pg10265_90021"/>
    </w:p>
    <w:p>
      <w:pPr>
        <w:pStyle w:val="BookText"/>
        <w:rPr/>
      </w:pPr>
      <w:bookmarkEnd w:id="1564"/>
      <w:r>
        <w:rPr>
          <w:rFonts w:ascii="IRNazanin" w:hAnsi="IRNazanin" w:eastAsia="IRNazanin"/>
          <w:color w:val="111111"/>
          <w:sz w:val="28"/>
          <w:sz w:val="28"/>
          <w:szCs w:val="28"/>
          <w:rtl w:val="true"/>
          <w:lang w:bidi="fa-IR"/>
        </w:rPr>
        <w:t>و بنا بر وقوع عتق از مالك و عدم اجزا از كفاره، اظهر عدم استحقاق عوض است، مگر با احراز معوّض بودن عتق، نه عتق خاص كه مشروط است معاوضه به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 عوض بعد از عتق اثرى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ايقاع عتق به نيّت كفاره بدون مداخله جُعل در نيّت، مجزى از كفاره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اشترا به شرط عتق نمود، اجزاى آن از كفارۀ واجبه قبل يا بعد با نيّت كفاره، مبنىّ بر عدم صارف از اطلاق در مستحَق به شرط است، و در اين تقدير اجزا اقرب است</w:t>
      </w:r>
      <w:r>
        <w:rPr>
          <w:rFonts w:eastAsia="IRNazanin" w:cs="IRNazanin"/>
          <w:color w:val="111111"/>
          <w:sz w:val="28"/>
          <w:szCs w:val="28"/>
          <w:rtl w:val="true"/>
          <w:lang w:bidi="fa-IR"/>
        </w:rPr>
        <w:t>.</w:t>
      </w:r>
    </w:p>
    <w:p>
      <w:pPr>
        <w:pStyle w:val="Heading6"/>
        <w:numPr>
          <w:ilvl w:val="5"/>
          <w:numId w:val="1"/>
        </w:numPr>
        <w:rPr/>
      </w:pPr>
      <w:bookmarkStart w:id="1565" w:name="__RefHeading___Toc3808315_1067777946"/>
      <w:bookmarkStart w:id="1566" w:name="_Toc670"/>
      <w:bookmarkEnd w:id="1565"/>
      <w:r>
        <w:rPr>
          <w:rtl w:val="true"/>
        </w:rPr>
        <w:t>ج</w:t>
      </w:r>
      <w:r>
        <w:rPr>
          <w:rtl w:val="true"/>
        </w:rPr>
        <w:t xml:space="preserve">. </w:t>
      </w:r>
      <w:r>
        <w:rPr>
          <w:rtl w:val="true"/>
        </w:rPr>
        <w:t>حرام نبودن سبب</w:t>
      </w:r>
      <w:bookmarkEnd w:id="1566"/>
    </w:p>
    <w:p>
      <w:pPr>
        <w:pStyle w:val="BookText"/>
        <w:rPr/>
      </w:pPr>
      <w:r>
        <w:rPr>
          <w:rFonts w:ascii="IRNazanin" w:hAnsi="IRNazanin" w:eastAsia="IRNazanin"/>
          <w:color w:val="111111"/>
          <w:sz w:val="28"/>
          <w:sz w:val="28"/>
          <w:szCs w:val="28"/>
          <w:rtl w:val="true"/>
          <w:lang w:bidi="fa-IR"/>
        </w:rPr>
        <w:t>عتق به ايجاد سبب محرّم، به قصد كفاره، مجزى از كفاره نيست و منافى با قصد قربت است، اگر چه عتق قهرى شرعى حاصل مى شود، مثل تنكيل به عبد خود به قصد عتق از كفاره اى كه بر او است؛ به خلاف سبب غير محرّم، مثل عتق بعض عبد كه موجب سرايت به بعض ديگر بشود با نيّت كفاره</w:t>
      </w:r>
      <w:r>
        <w:rPr>
          <w:rFonts w:eastAsia="IRNazanin" w:cs="IRNazanin"/>
          <w:color w:val="111111"/>
          <w:sz w:val="28"/>
          <w:szCs w:val="28"/>
          <w:rtl w:val="true"/>
          <w:lang w:bidi="fa-IR"/>
        </w:rPr>
        <w:t>.</w:t>
      </w:r>
    </w:p>
    <w:p>
      <w:pPr>
        <w:pStyle w:val="Heading5"/>
        <w:numPr>
          <w:ilvl w:val="4"/>
          <w:numId w:val="1"/>
        </w:numPr>
        <w:rPr/>
      </w:pPr>
      <w:bookmarkStart w:id="1567" w:name="__RefHeading___Toc3808317_1067777946"/>
      <w:bookmarkStart w:id="1568" w:name="_Toc671"/>
      <w:bookmarkEnd w:id="1567"/>
      <w:r>
        <w:rPr/>
        <w:t>2</w:t>
      </w:r>
      <w:r>
        <w:rPr>
          <w:rtl w:val="true"/>
        </w:rPr>
        <w:t xml:space="preserve">. </w:t>
      </w:r>
      <w:r>
        <w:rPr>
          <w:rtl w:val="true"/>
        </w:rPr>
        <w:t>صوم</w:t>
      </w:r>
      <w:bookmarkEnd w:id="1568"/>
    </w:p>
    <w:p>
      <w:pPr>
        <w:pStyle w:val="Heading6"/>
        <w:numPr>
          <w:ilvl w:val="5"/>
          <w:numId w:val="1"/>
        </w:numPr>
        <w:rPr/>
      </w:pPr>
      <w:bookmarkStart w:id="1569" w:name="__RefHeading___Toc3808319_1067777946"/>
      <w:bookmarkStart w:id="1570" w:name="_Toc672"/>
      <w:bookmarkEnd w:id="1569"/>
      <w:r>
        <w:rPr>
          <w:rtl w:val="true"/>
        </w:rPr>
        <w:t>اشاره</w:t>
      </w:r>
      <w:bookmarkEnd w:id="1570"/>
    </w:p>
    <w:p>
      <w:pPr>
        <w:pStyle w:val="BookText"/>
        <w:rPr/>
      </w:pPr>
      <w:r>
        <w:rPr>
          <w:rFonts w:ascii="Amiri" w:hAnsi="Amiri" w:eastAsia="Amiri" w:cs="Amiri"/>
          <w:color w:val="111111"/>
          <w:sz w:val="28"/>
          <w:sz w:val="28"/>
          <w:szCs w:val="28"/>
          <w:rtl w:val="true"/>
          <w:lang w:bidi="ar-SA"/>
        </w:rPr>
        <w:t>صوم متعين مى شود در مُرتّبه، بعد از عجز از عتق به عدم رقبه و به عدم ثمن آن و به عدم تمكّن از شراى آن</w:t>
      </w:r>
      <w:r>
        <w:rPr>
          <w:rFonts w:eastAsia="Amiri" w:cs="Amiri" w:ascii="Amiri" w:hAnsi="Amiri"/>
          <w:color w:val="111111"/>
          <w:sz w:val="28"/>
          <w:szCs w:val="28"/>
          <w:rtl w:val="true"/>
          <w:lang w:bidi="ar-SA"/>
        </w:rPr>
        <w:t>.</w:t>
      </w:r>
    </w:p>
    <w:p>
      <w:pPr>
        <w:pStyle w:val="Heading6"/>
        <w:numPr>
          <w:ilvl w:val="5"/>
          <w:numId w:val="1"/>
        </w:numPr>
        <w:rPr/>
      </w:pPr>
      <w:bookmarkStart w:id="1571" w:name="__RefHeading___Toc3808321_1067777946"/>
      <w:bookmarkStart w:id="1572" w:name="_Toc673"/>
      <w:bookmarkEnd w:id="1571"/>
      <w:r>
        <w:rPr>
          <w:rtl w:val="true"/>
        </w:rPr>
        <w:t>مراد از وجدان و عدم آن در خصال كفاره</w:t>
      </w:r>
      <w:bookmarkEnd w:id="157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مراد از وجدان و عدم آن در خصال كفاره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غنى و فقر است،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داشتن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قوت شبانه روزى خود و واجب النفقۀ خود با كسوه و سائر لوازم كه از مستثنيات دين هستند و فاضل از حوائج سال او نيست تا غِنىٰ صادق باشد؟ احوط دوم است و اظهر اول؛ و بر هر تقدير با تكلّف عتق با عدم تعيّن آن مجزى است، يعنى بر غير واجد تعيّن ندارد نه آنكه مشروعيّت ندارد</w:t>
      </w:r>
      <w:r>
        <w:rPr>
          <w:rFonts w:eastAsia="Amiri" w:cs="Amiri" w:ascii="Amiri" w:hAnsi="Amiri"/>
          <w:color w:val="111111"/>
          <w:sz w:val="28"/>
          <w:szCs w:val="28"/>
          <w:rtl w:val="true"/>
          <w:lang w:bidi="ar-SA"/>
        </w:rPr>
        <w:t xml:space="preserve">. </w:t>
      </w:r>
      <w:bookmarkStart w:id="1573" w:name="pg10265_90022"/>
    </w:p>
    <w:p>
      <w:pPr>
        <w:pStyle w:val="BookText"/>
        <w:rPr/>
      </w:pPr>
      <w:bookmarkEnd w:id="1573"/>
      <w:r>
        <w:rPr>
          <w:rFonts w:ascii="IRNazanin" w:hAnsi="IRNazanin" w:eastAsia="IRNazanin"/>
          <w:color w:val="111111"/>
          <w:sz w:val="28"/>
          <w:sz w:val="28"/>
          <w:szCs w:val="28"/>
          <w:rtl w:val="true"/>
          <w:lang w:bidi="fa-IR"/>
        </w:rPr>
        <w:t>و بر تقدير عجز از عتق در كفارۀ ظهار و قتل خطأ، بر حرّ واجب مى شود صوم دو ماه پى درپى؛ و بر مملوك صوم يك ماه؛ و اگر آزاد شد قبل از اداى كفاره، بر او است آنچه بر حرّ است، يعنى اعتبار به حال ادا است نه حال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قبل از اتمام روزۀ يك ماه اگر آزاد شد، واجب است تكميل دو ماه روزه؛ و هم چنين اگر افساد كرد آنچه را كه شروع در آن كرده است كه حرّيّت قبل از ادا صادق است؛ به خلاف عجز از خصلۀ متقدّمه كه ساقط است به مجرد تلبّس به خصله متأخّره با مخالفت در 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افساد كرد آنچه را كه شروع در آن كرده است و موسِر شد، عتق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مبعَّض باشد، احوط تغليب حرّيت است، و محتمل است توزيع به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جزء حرّ، واجد ثمن عتق باشد و متمكّن از شرا باشد، واجب مى شود عتق</w:t>
      </w:r>
      <w:r>
        <w:rPr>
          <w:rFonts w:eastAsia="IRNazanin" w:cs="IRNazanin"/>
          <w:color w:val="111111"/>
          <w:sz w:val="28"/>
          <w:szCs w:val="28"/>
          <w:rtl w:val="true"/>
          <w:lang w:bidi="fa-IR"/>
        </w:rPr>
        <w:t>.</w:t>
      </w:r>
    </w:p>
    <w:p>
      <w:pPr>
        <w:pStyle w:val="Heading6"/>
        <w:numPr>
          <w:ilvl w:val="5"/>
          <w:numId w:val="1"/>
        </w:numPr>
        <w:rPr/>
      </w:pPr>
      <w:bookmarkStart w:id="1574" w:name="__RefHeading___Toc3808323_1067777946"/>
      <w:bookmarkStart w:id="1575" w:name="_Toc674"/>
      <w:bookmarkEnd w:id="1574"/>
      <w:r>
        <w:rPr>
          <w:rtl w:val="true"/>
        </w:rPr>
        <w:t>حكم افطار در كفارۀ پى درپى</w:t>
      </w:r>
      <w:bookmarkEnd w:id="1575"/>
    </w:p>
    <w:p>
      <w:pPr>
        <w:pStyle w:val="BookText"/>
        <w:rPr/>
      </w:pPr>
      <w:r>
        <w:rPr>
          <w:rFonts w:ascii="IRNazanin" w:hAnsi="IRNazanin" w:eastAsia="IRNazanin"/>
          <w:color w:val="111111"/>
          <w:sz w:val="28"/>
          <w:sz w:val="28"/>
          <w:szCs w:val="28"/>
          <w:rtl w:val="true"/>
          <w:lang w:bidi="fa-IR"/>
        </w:rPr>
        <w:t xml:space="preserve">و در آن صورتى كه كفارۀ او دو ماه پى درپى مى باشد، اگر افطار كرد در ماه اول يا يك روز بعد از آن بدون عذر، استيناف مى نمايد؛ و اگر با عذر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حيض و نفاس و مرض و اغما و جنون و سفر ضرورى نه غير ضرورى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تتابع منقطع نمى شود و بنا بر آنچه به جا آورده است،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حامل، افطار او براى خوف بر نفس يا ولد، قاطع تتابع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اكراه بر افطار، قاطع تتابع نيست اگر چه به حدّ اضطرار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تتابع محفوظ شد تا دو ماه، به اينكه يك روز از ماه دوم روزه گرفت، ترك تتابع در بقيّۀ ماه دوم، مضرّ نيست به كفاره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كلام در الحاق تتابع منذور در دو ماه، يا يك ماه نسبت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الحاق كفارۀ عبد به اين نسبت، در محل ديگر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حكم تخلل رمضان يا عيد در اثناى دو ماه،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 xml:space="preserve">. </w:t>
      </w:r>
      <w:bookmarkStart w:id="1576" w:name="pg10265_90023"/>
    </w:p>
    <w:p>
      <w:pPr>
        <w:pStyle w:val="Heading5"/>
        <w:numPr>
          <w:ilvl w:val="4"/>
          <w:numId w:val="1"/>
        </w:numPr>
        <w:rPr/>
      </w:pPr>
      <w:bookmarkStart w:id="1577" w:name="__RefHeading___Toc3808325_1067777946"/>
      <w:bookmarkStart w:id="1578" w:name="_Toc675"/>
      <w:bookmarkEnd w:id="1576"/>
      <w:bookmarkEnd w:id="1577"/>
      <w:r>
        <w:rPr/>
        <w:t>3</w:t>
      </w:r>
      <w:r>
        <w:rPr>
          <w:rtl w:val="true"/>
        </w:rPr>
        <w:t xml:space="preserve">. </w:t>
      </w:r>
      <w:r>
        <w:rPr>
          <w:rtl w:val="true"/>
        </w:rPr>
        <w:t>اطعام</w:t>
      </w:r>
      <w:bookmarkEnd w:id="1578"/>
    </w:p>
    <w:p>
      <w:pPr>
        <w:pStyle w:val="Heading6"/>
        <w:numPr>
          <w:ilvl w:val="5"/>
          <w:numId w:val="1"/>
        </w:numPr>
        <w:rPr/>
      </w:pPr>
      <w:bookmarkStart w:id="1579" w:name="__RefHeading___Toc3808327_1067777946"/>
      <w:bookmarkStart w:id="1580" w:name="_Toc676"/>
      <w:bookmarkEnd w:id="1579"/>
      <w:r>
        <w:rPr>
          <w:rtl w:val="true"/>
        </w:rPr>
        <w:t>اشاره</w:t>
      </w:r>
      <w:bookmarkEnd w:id="1580"/>
    </w:p>
    <w:p>
      <w:pPr>
        <w:pStyle w:val="BookText"/>
        <w:rPr/>
      </w:pPr>
      <w:r>
        <w:rPr>
          <w:rFonts w:ascii="IRNazanin" w:hAnsi="IRNazanin" w:eastAsia="IRNazanin"/>
          <w:color w:val="111111"/>
          <w:sz w:val="28"/>
          <w:sz w:val="28"/>
          <w:szCs w:val="28"/>
          <w:rtl w:val="true"/>
          <w:lang w:bidi="fa-IR"/>
        </w:rPr>
        <w:t xml:space="preserve">متعين است اطعام در كفارۀ مرتّبه، با عجز از صيام به سبب مرض يا هرم و ه رحالى كه با آن روزه صحيح نيست؛ و در انتقال با رجاى بُرء در زمان كوتاهى تأمّل است؛ و مى تواند با خوف ضرر يا زيادتى مرض يا بطء علاج آن، منتقل به اطعام بشود؛ 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مُظاهرى كه از ترك وطى در مدت صيام كفاره، خوف ضرر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سفر موجب انتقال نيست اگر متمكّن باشد از صيام با اقامه، مگر آنكه متعذر باشد اقامه، يا آنكه طويل باشد فاصلۀ زمانيۀ تمكّن از اقامه و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 در كفاره، شرط صحّت صوم است نه شرط وجوب آن</w:t>
      </w:r>
      <w:r>
        <w:rPr>
          <w:rFonts w:eastAsia="IRNazanin" w:cs="IRNazanin"/>
          <w:color w:val="111111"/>
          <w:sz w:val="28"/>
          <w:szCs w:val="28"/>
          <w:rtl w:val="true"/>
          <w:lang w:bidi="fa-IR"/>
        </w:rPr>
        <w:t>.</w:t>
      </w:r>
    </w:p>
    <w:p>
      <w:pPr>
        <w:pStyle w:val="Heading6"/>
        <w:numPr>
          <w:ilvl w:val="5"/>
          <w:numId w:val="1"/>
        </w:numPr>
        <w:rPr/>
      </w:pPr>
      <w:bookmarkStart w:id="1581" w:name="__RefHeading___Toc3808329_1067777946"/>
      <w:bookmarkStart w:id="1582" w:name="_Toc677"/>
      <w:bookmarkEnd w:id="1581"/>
      <w:r>
        <w:rPr>
          <w:rtl w:val="true"/>
        </w:rPr>
        <w:t>كافى بودن تسليم طعام و مقدار طعام در كفاره</w:t>
      </w:r>
      <w:bookmarkEnd w:id="1582"/>
    </w:p>
    <w:p>
      <w:pPr>
        <w:pStyle w:val="BookText"/>
        <w:rPr/>
      </w:pPr>
      <w:r>
        <w:rPr>
          <w:rFonts w:ascii="IRNazanin" w:hAnsi="IRNazanin" w:eastAsia="IRNazanin"/>
          <w:color w:val="111111"/>
          <w:sz w:val="28"/>
          <w:sz w:val="28"/>
          <w:szCs w:val="28"/>
          <w:rtl w:val="true"/>
          <w:lang w:bidi="fa-IR"/>
        </w:rPr>
        <w:t>و به هر كدام از اطعام و تسليمِ طعام، تكفير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مقدار طعامى كه تسليم مى شود اختلاف است، اظهر و اشهر كفايت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ربع صاع است، و مستحب و احوط دو 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اطعام، اشباع در يك مرتبه كافى است؛ و اطعامِ كمتر از عدد موظف، كافى نيست؛ و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وزن ثابت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محتمل است به ميزان صاع كه چهار مدّ است تقدير شود، بلكه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اطعام عدد اگر به كمتر از عدد تسليم شد، مجزى نيست، و هم چنين اگر اطعام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فقير پس از دفع، اشترا نمود، مى تواند به فقير ديگر بابت كفاره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بدهد؛ و هم چنين تا آخر اعداد لازمۀ كفاره</w:t>
      </w:r>
      <w:r>
        <w:rPr>
          <w:rFonts w:eastAsia="IRNazanin" w:cs="IRNazanin"/>
          <w:color w:val="111111"/>
          <w:sz w:val="28"/>
          <w:szCs w:val="28"/>
          <w:rtl w:val="true"/>
          <w:lang w:bidi="fa-IR"/>
        </w:rPr>
        <w:t>.</w:t>
      </w:r>
    </w:p>
    <w:p>
      <w:pPr>
        <w:pStyle w:val="Heading6"/>
        <w:numPr>
          <w:ilvl w:val="5"/>
          <w:numId w:val="1"/>
        </w:numPr>
        <w:rPr/>
      </w:pPr>
      <w:bookmarkStart w:id="1583" w:name="__RefHeading___Toc3808331_1067777946"/>
      <w:bookmarkStart w:id="1584" w:name="_Toc678"/>
      <w:bookmarkEnd w:id="1583"/>
      <w:r>
        <w:rPr>
          <w:rtl w:val="true"/>
        </w:rPr>
        <w:t>دادن چند كفاره به فقير واحد</w:t>
      </w:r>
      <w:bookmarkEnd w:id="158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 امكانِ تكرار كفارۀ واحده به مستحق واحد، مجزى از عدد نيست؛ و با تعذّرِ </w:t>
      </w:r>
      <w:bookmarkStart w:id="1585" w:name="pg10265_90024"/>
    </w:p>
    <w:p>
      <w:pPr>
        <w:pStyle w:val="BookText"/>
        <w:rPr/>
      </w:pPr>
      <w:bookmarkEnd w:id="1585"/>
      <w:r>
        <w:rPr>
          <w:rFonts w:ascii="IRNazanin" w:hAnsi="IRNazanin" w:eastAsia="IRNazanin"/>
          <w:color w:val="111111"/>
          <w:sz w:val="28"/>
          <w:sz w:val="28"/>
          <w:szCs w:val="28"/>
          <w:rtl w:val="true"/>
          <w:lang w:bidi="fa-IR"/>
        </w:rPr>
        <w:t>تعدّد، مجزى است در ايام متعدّده به يك مستحق كفاره دو نفر را در دو روز بدهد، و صبر تا حال تمكّن اگر قريب نباشد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كفارۀ متعدّده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آنكه از افطار ايام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مستحق واحد براى روزهاى او مى تواند دفع نمايد؛ و هم چنين اگر اشباع شود، دو مرتبه در يك روز، مثل اشباع دو نفر است در يك روز، و عدم تمكّن از دفع به متعدّد شرط نيست</w:t>
      </w:r>
      <w:r>
        <w:rPr>
          <w:rFonts w:eastAsia="IRNazanin" w:cs="IRNazanin"/>
          <w:color w:val="111111"/>
          <w:sz w:val="28"/>
          <w:szCs w:val="28"/>
          <w:rtl w:val="true"/>
          <w:lang w:bidi="fa-IR"/>
        </w:rPr>
        <w:t>.</w:t>
      </w:r>
    </w:p>
    <w:p>
      <w:pPr>
        <w:pStyle w:val="Heading6"/>
        <w:numPr>
          <w:ilvl w:val="5"/>
          <w:numId w:val="1"/>
        </w:numPr>
        <w:rPr/>
      </w:pPr>
      <w:bookmarkStart w:id="1586" w:name="__RefHeading___Toc3808333_1067777946"/>
      <w:bookmarkStart w:id="1587" w:name="_Toc679"/>
      <w:bookmarkEnd w:id="1586"/>
      <w:r>
        <w:rPr>
          <w:rtl w:val="true"/>
        </w:rPr>
        <w:t>چيزهايى كه براى اطعام كفايت مى كند و حدّ اطعام</w:t>
      </w:r>
      <w:bookmarkEnd w:id="1587"/>
    </w:p>
    <w:p>
      <w:pPr>
        <w:pStyle w:val="BookText"/>
        <w:rPr/>
      </w:pPr>
      <w:r>
        <w:rPr>
          <w:rFonts w:ascii="IRNazanin" w:hAnsi="IRNazanin" w:eastAsia="IRNazanin"/>
          <w:color w:val="111111"/>
          <w:sz w:val="28"/>
          <w:sz w:val="28"/>
          <w:szCs w:val="28"/>
          <w:rtl w:val="true"/>
          <w:lang w:bidi="fa-IR"/>
        </w:rPr>
        <w:t xml:space="preserve">در اطعام مجزى است هر چه كه ناميده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گندم و جو و كشمش و خرما و غير اينها از قوت غالب براى غالب مردم حتى آرد و نان؛ و رعايت متوسط از قوت اهل، افضل است خصوصاً در كفارۀ يمين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حد اطعام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نه تقدير به مدّ كه در تسليم متعين است؛ و احوط رعايت قوت غالب است در اطعام، مثل تسليم و ترك اكتفاى به اشباع از امثال مربّيات</w:t>
      </w:r>
      <w:r>
        <w:rPr>
          <w:rFonts w:eastAsia="Amiri" w:cs="Amiri" w:ascii="Amiri" w:hAnsi="Amiri"/>
          <w:color w:val="111111"/>
          <w:sz w:val="28"/>
          <w:szCs w:val="28"/>
          <w:rtl w:val="true"/>
          <w:lang w:bidi="ar-SA"/>
        </w:rPr>
        <w:t>.</w:t>
      </w:r>
    </w:p>
    <w:p>
      <w:pPr>
        <w:pStyle w:val="Heading6"/>
        <w:numPr>
          <w:ilvl w:val="5"/>
          <w:numId w:val="1"/>
        </w:numPr>
        <w:rPr/>
      </w:pPr>
      <w:bookmarkStart w:id="1588" w:name="__RefHeading___Toc3808335_1067777946"/>
      <w:bookmarkStart w:id="1589" w:name="_Toc680"/>
      <w:bookmarkEnd w:id="1588"/>
      <w:r>
        <w:rPr>
          <w:rtl w:val="true"/>
        </w:rPr>
        <w:t>اعتبار قصد قربت در خصال كفاره</w:t>
      </w:r>
      <w:bookmarkEnd w:id="1589"/>
    </w:p>
    <w:p>
      <w:pPr>
        <w:pStyle w:val="BookText"/>
        <w:rPr/>
      </w:pPr>
      <w:r>
        <w:rPr>
          <w:rFonts w:ascii="Amiri" w:hAnsi="Amiri" w:eastAsia="Amiri" w:cs="Amiri"/>
          <w:color w:val="111111"/>
          <w:sz w:val="28"/>
          <w:sz w:val="28"/>
          <w:szCs w:val="28"/>
          <w:rtl w:val="true"/>
          <w:lang w:bidi="ar-SA"/>
        </w:rPr>
        <w:t>معتبر است در همه خصال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قصد كفاره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قربت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در اطعام و كسوه، به نحوى كه در سائر عبادات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مستحب است ضميمه ادام به طعام؛ و اعلى گوشت، و ادنى نمك، و متوسط سركه و زيت است</w:t>
      </w:r>
      <w:r>
        <w:rPr>
          <w:rFonts w:eastAsia="IRNazanin" w:cs="IRNazanin"/>
          <w:color w:val="111111"/>
          <w:sz w:val="28"/>
          <w:szCs w:val="28"/>
          <w:rtl w:val="true"/>
          <w:lang w:bidi="fa-IR"/>
        </w:rPr>
        <w:t>.</w:t>
      </w:r>
    </w:p>
    <w:p>
      <w:pPr>
        <w:pStyle w:val="Heading6"/>
        <w:numPr>
          <w:ilvl w:val="5"/>
          <w:numId w:val="1"/>
        </w:numPr>
        <w:rPr/>
      </w:pPr>
      <w:bookmarkStart w:id="1590" w:name="__RefHeading___Toc3808337_1067777946"/>
      <w:bookmarkStart w:id="1591" w:name="_Toc681"/>
      <w:bookmarkEnd w:id="1590"/>
      <w:r>
        <w:rPr>
          <w:rtl w:val="true"/>
        </w:rPr>
        <w:t>موارد مختلفۀ جواز اطعام</w:t>
      </w:r>
      <w:bookmarkEnd w:id="1591"/>
    </w:p>
    <w:p>
      <w:pPr>
        <w:pStyle w:val="BookText"/>
        <w:rPr/>
      </w:pPr>
      <w:r>
        <w:rPr>
          <w:rFonts w:ascii="IRNazanin" w:hAnsi="IRNazanin" w:eastAsia="IRNazanin"/>
          <w:color w:val="111111"/>
          <w:sz w:val="28"/>
          <w:sz w:val="28"/>
          <w:szCs w:val="28"/>
          <w:rtl w:val="true"/>
          <w:lang w:bidi="fa-IR"/>
        </w:rPr>
        <w:t>جائز است جمع عدد لازم در يك مجلس و يك روز، و تفريق بين آنها، و اطعام بعضى و تسليم به بعضى ديگر، و تفريق از حيث جنس طعام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اطعام دو صغير به جاى اطعام يك كبير محسوب مى شود؛ و اطعام صغير با كبير به نحو انضمام، اطعام دو نفر محسوب مى شود</w:t>
      </w:r>
      <w:r>
        <w:rPr>
          <w:rFonts w:eastAsia="Amiri" w:cs="Amiri" w:ascii="Amiri" w:hAnsi="Amiri"/>
          <w:color w:val="111111"/>
          <w:sz w:val="28"/>
          <w:szCs w:val="28"/>
          <w:rtl w:val="true"/>
          <w:lang w:bidi="ar-SA"/>
        </w:rPr>
        <w:t xml:space="preserve">. </w:t>
      </w:r>
      <w:bookmarkStart w:id="1592" w:name="pg10265_90025"/>
    </w:p>
    <w:p>
      <w:pPr>
        <w:pStyle w:val="Heading6"/>
        <w:numPr>
          <w:ilvl w:val="5"/>
          <w:numId w:val="1"/>
        </w:numPr>
        <w:rPr/>
      </w:pPr>
      <w:bookmarkStart w:id="1593" w:name="__RefHeading___Toc3808339_1067777946"/>
      <w:bookmarkStart w:id="1594" w:name="_Toc682"/>
      <w:bookmarkEnd w:id="1592"/>
      <w:bookmarkEnd w:id="1593"/>
      <w:r>
        <w:rPr>
          <w:rtl w:val="true"/>
        </w:rPr>
        <w:t>دادن كفارۀ طعام به صغير</w:t>
      </w:r>
      <w:bookmarkEnd w:id="1594"/>
    </w:p>
    <w:p>
      <w:pPr>
        <w:pStyle w:val="BookText"/>
        <w:rPr/>
      </w:pPr>
      <w:r>
        <w:rPr>
          <w:rFonts w:ascii="IRNazanin" w:hAnsi="IRNazanin" w:eastAsia="IRNazanin"/>
          <w:color w:val="111111"/>
          <w:sz w:val="28"/>
          <w:sz w:val="28"/>
          <w:szCs w:val="28"/>
          <w:rtl w:val="true"/>
          <w:lang w:bidi="fa-IR"/>
        </w:rPr>
        <w:t>و تسليم مدّ به صغير در حال انفراد يا انضمام، خلاف احتياط است، مگر آنكه به هر كدام در صورت انفراد، يك مدّ تسليم نمايد و تسليم به دو نفر را يك كفاره حساب نمايد؛ اگر چه احتمال كفايت تسليم يك مُدّ به صغير به نحو مشروع براى يك كفاره، خصوصاً در صورت انضمام با كبير در يك مجلس، قريب است؛ و احوط از همه مذكورات، احتساب دو صغير است از يك كفاره در اطعام و تسليم در اجتماع و انفراد با محافظت بر تسليم يك مُدّ به هر كدام؛ و احوط از اين هم، ترك احتساب صغير در كفاره است مگر در متيقن، چون مفاد دليل، صغير عرفى است اگر چه بالغ باشد، و كبير عرفى اگر چه بالغ نباشد؛ و اللّٰه العالم</w:t>
      </w:r>
      <w:r>
        <w:rPr>
          <w:rFonts w:eastAsia="IRNazanin" w:cs="IRNazanin"/>
          <w:color w:val="111111"/>
          <w:sz w:val="28"/>
          <w:szCs w:val="28"/>
          <w:rtl w:val="true"/>
          <w:lang w:bidi="fa-IR"/>
        </w:rPr>
        <w:t>.</w:t>
      </w:r>
    </w:p>
    <w:p>
      <w:pPr>
        <w:pStyle w:val="Heading6"/>
        <w:numPr>
          <w:ilvl w:val="5"/>
          <w:numId w:val="1"/>
        </w:numPr>
        <w:rPr/>
      </w:pPr>
      <w:bookmarkStart w:id="1595" w:name="__RefHeading___Toc3808341_1067777946"/>
      <w:bookmarkStart w:id="1596" w:name="_Toc683"/>
      <w:bookmarkEnd w:id="1595"/>
      <w:r>
        <w:rPr>
          <w:rtl w:val="true"/>
        </w:rPr>
        <w:t>فقيرى كه كفاره به او تعلّق مى گيرد</w:t>
      </w:r>
      <w:bookmarkEnd w:id="1596"/>
    </w:p>
    <w:p>
      <w:pPr>
        <w:pStyle w:val="BookText"/>
        <w:rPr/>
      </w:pPr>
      <w:r>
        <w:rPr>
          <w:rFonts w:ascii="IRNazanin" w:hAnsi="IRNazanin" w:eastAsia="IRNazanin"/>
          <w:color w:val="111111"/>
          <w:sz w:val="28"/>
          <w:sz w:val="28"/>
          <w:szCs w:val="28"/>
          <w:rtl w:val="true"/>
          <w:lang w:bidi="fa-IR"/>
        </w:rPr>
        <w:t>اظهر جواز صرف كفاره است به فقراى مسلمينِ غير اهل ايمان، خصوصاً با عدم قدرت بر اعطاى اهل ايمان؛ اگر چه احوط رعايت ايمان است با قدرت اگر چه با تأخير تا زمان كمى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احوط عدم اعطاى كفاره است به غير فقير و 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مالك مؤونۀ سنه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سائر مصارف زكات</w:t>
      </w:r>
      <w:r>
        <w:rPr>
          <w:rFonts w:eastAsia="Amiri" w:cs="Amiri" w:ascii="Amiri" w:hAnsi="Amiri"/>
          <w:color w:val="111111"/>
          <w:sz w:val="28"/>
          <w:szCs w:val="28"/>
          <w:rtl w:val="true"/>
          <w:lang w:bidi="ar-SA"/>
        </w:rPr>
        <w:t>.</w:t>
      </w:r>
    </w:p>
    <w:p>
      <w:pPr>
        <w:pStyle w:val="Heading5"/>
        <w:numPr>
          <w:ilvl w:val="4"/>
          <w:numId w:val="1"/>
        </w:numPr>
        <w:rPr/>
      </w:pPr>
      <w:bookmarkStart w:id="1597" w:name="__RefHeading___Toc3808343_1067777946"/>
      <w:bookmarkStart w:id="1598" w:name="_Toc684"/>
      <w:bookmarkEnd w:id="1597"/>
      <w:r>
        <w:rPr/>
        <w:t>4</w:t>
      </w:r>
      <w:r>
        <w:rPr>
          <w:rtl w:val="true"/>
        </w:rPr>
        <w:t xml:space="preserve">. </w:t>
      </w:r>
      <w:r>
        <w:rPr>
          <w:rtl w:val="true"/>
        </w:rPr>
        <w:t>كِسوه</w:t>
      </w:r>
      <w:bookmarkEnd w:id="1598"/>
    </w:p>
    <w:p>
      <w:pPr>
        <w:pStyle w:val="Heading6"/>
        <w:numPr>
          <w:ilvl w:val="5"/>
          <w:numId w:val="1"/>
        </w:numPr>
        <w:rPr/>
      </w:pPr>
      <w:bookmarkStart w:id="1599" w:name="__RefHeading___Toc3808345_1067777946"/>
      <w:bookmarkStart w:id="1600" w:name="_Toc685"/>
      <w:bookmarkEnd w:id="1599"/>
      <w:r>
        <w:rPr>
          <w:rtl w:val="true"/>
        </w:rPr>
        <w:t>مراد از لباس در كسوه</w:t>
      </w:r>
      <w:bookmarkEnd w:id="1600"/>
    </w:p>
    <w:p>
      <w:pPr>
        <w:pStyle w:val="BookText"/>
        <w:rPr/>
      </w:pPr>
      <w:r>
        <w:rPr>
          <w:rFonts w:ascii="Amiri" w:hAnsi="Amiri" w:eastAsia="Amiri" w:cs="Amiri"/>
          <w:color w:val="111111"/>
          <w:sz w:val="28"/>
          <w:sz w:val="28"/>
          <w:szCs w:val="28"/>
          <w:rtl w:val="true"/>
          <w:lang w:bidi="ar-SA"/>
        </w:rPr>
        <w:t xml:space="preserve">در كسوۀ 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مخير است در كفارۀ يمين، بين آن و اطعام و 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اظهر كفايت يك جامۀ ساتر عورت است، و افضل دو جامه است، و احوط در حال اختيار دو جامه دادن است؛ و احوط در زن، رعايت ساتريّتِ تمام بدن است به مثل ازار و درع و خمار؛ و افضل رعايت كيفيّت، به تناسب با فصلِ دفع است از فصول سال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جديد بودن جامه لازم نيست، بلكه نافعِ متوسط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مشرف به پارگى </w:t>
      </w:r>
      <w:r>
        <w:rPr>
          <w:rFonts w:eastAsia="IRNazanin" w:cs="IRNazanin"/>
          <w:color w:val="111111"/>
          <w:sz w:val="28"/>
          <w:szCs w:val="28"/>
          <w:rtl w:val="true"/>
          <w:lang w:bidi="fa-IR"/>
        </w:rPr>
        <w:t xml:space="preserve">- </w:t>
      </w:r>
      <w:bookmarkStart w:id="1601" w:name="pg10265_90026"/>
    </w:p>
    <w:p>
      <w:pPr>
        <w:pStyle w:val="BookText"/>
        <w:rPr/>
      </w:pPr>
      <w:bookmarkEnd w:id="1601"/>
      <w:r>
        <w:rPr>
          <w:rFonts w:ascii="IRNazanin" w:hAnsi="IRNazanin" w:eastAsia="IRNazanin"/>
          <w:color w:val="111111"/>
          <w:sz w:val="28"/>
          <w:sz w:val="28"/>
          <w:szCs w:val="28"/>
          <w:rtl w:val="true"/>
          <w:lang w:bidi="fa-IR"/>
        </w:rPr>
        <w:t xml:space="preserve">كافى است، چه آنكه به نام پيراهن و ردا ناميده شود يا نه، از پنبه يا پشم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غير اينها، يا پوستى كه جائز باشد پوشيدن آن يا لباسى كه حرام نباشد بر فقير مثل حرير خالص بر غير زن، با اعتياد پوشيدن اگر چه جائز نباشد پوشيدن آن در حال نماز بنا بر احوط؛ و محتمل است اكتفاى به دفع جامه و تسليم آن اگر چه پوشيدن آن حرام باشد، با امكان ابدال يا لبس در حال ضرورت يا حرب يا انتفاع به غير پوشيدن، مثل تسليم 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صغير مثل كبير است در پوشش اگر چه مثل او نباشد در اطعام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دفع به فقير است ثوبى را كه مى پوشد، نه آنچه صالح براى پوشيدن صغير است كه بر حسب احتمالِ متقدّم،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تعذّر ده نفر، احوط انتظار است؛ و با يأس، تكرار بر موجود در ايام متعدّده است</w:t>
      </w:r>
      <w:r>
        <w:rPr>
          <w:rFonts w:eastAsia="Amiri" w:cs="Amiri" w:ascii="Amiri" w:hAnsi="Amiri"/>
          <w:color w:val="111111"/>
          <w:sz w:val="28"/>
          <w:szCs w:val="28"/>
          <w:rtl w:val="true"/>
          <w:lang w:bidi="ar-SA"/>
        </w:rPr>
        <w:t>.</w:t>
      </w:r>
    </w:p>
    <w:p>
      <w:pPr>
        <w:pStyle w:val="Heading4"/>
        <w:numPr>
          <w:ilvl w:val="3"/>
          <w:numId w:val="1"/>
        </w:numPr>
        <w:rPr/>
      </w:pPr>
      <w:bookmarkStart w:id="1602" w:name="__RefHeading___Toc3808347_1067777946"/>
      <w:bookmarkStart w:id="1603" w:name="_Toc686"/>
      <w:bookmarkEnd w:id="1602"/>
      <w:r>
        <w:rPr>
          <w:rtl w:val="true"/>
        </w:rPr>
        <w:t>چند مسأله</w:t>
      </w:r>
      <w:bookmarkEnd w:id="1603"/>
    </w:p>
    <w:p>
      <w:pPr>
        <w:pStyle w:val="Heading5"/>
        <w:numPr>
          <w:ilvl w:val="4"/>
          <w:numId w:val="1"/>
        </w:numPr>
        <w:rPr/>
      </w:pPr>
      <w:bookmarkStart w:id="1604" w:name="__RefHeading___Toc3808349_1067777946"/>
      <w:bookmarkStart w:id="1605" w:name="_Toc687"/>
      <w:bookmarkEnd w:id="1604"/>
      <w:r>
        <w:rPr>
          <w:rtl w:val="true"/>
        </w:rPr>
        <w:t>كفارۀ ايلاء از افراد كفارۀ يمين</w:t>
      </w:r>
      <w:bookmarkEnd w:id="16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كفارۀ ايلاء، مثل كفارۀ يمين و از افراد آن است اگر چه احكام خاصه هم دارد</w:t>
      </w:r>
      <w:r>
        <w:rPr>
          <w:rFonts w:eastAsia="IRNazanin" w:cs="IRNazanin"/>
          <w:color w:val="111111"/>
          <w:sz w:val="28"/>
          <w:szCs w:val="28"/>
          <w:rtl w:val="true"/>
          <w:lang w:bidi="fa-IR"/>
        </w:rPr>
        <w:t>.</w:t>
      </w:r>
    </w:p>
    <w:p>
      <w:pPr>
        <w:pStyle w:val="Heading5"/>
        <w:numPr>
          <w:ilvl w:val="4"/>
          <w:numId w:val="1"/>
        </w:numPr>
        <w:rPr/>
      </w:pPr>
      <w:bookmarkStart w:id="1606" w:name="__RefHeading___Toc3808351_1067777946"/>
      <w:bookmarkStart w:id="1607" w:name="_Toc688"/>
      <w:bookmarkEnd w:id="1606"/>
      <w:r>
        <w:rPr>
          <w:rtl w:val="true"/>
        </w:rPr>
        <w:t>استحباب عتق مملوك در صورت زدن او</w:t>
      </w:r>
      <w:bookmarkEnd w:id="160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مملوك خود را چه غلام باشد يا كنيز، بزند به اندازه يك حدّ، بدون سبب، يا آنكه بزند او را بدون استحقاق، مستحب است عتق آن مملوك؛ و مؤكَّد است مراتب استحباب به ازدياد ضرب و مراتب آن</w:t>
      </w:r>
      <w:r>
        <w:rPr>
          <w:rFonts w:eastAsia="IRNazanin" w:cs="IRNazanin"/>
          <w:color w:val="111111"/>
          <w:sz w:val="28"/>
          <w:szCs w:val="28"/>
          <w:rtl w:val="true"/>
          <w:lang w:bidi="fa-IR"/>
        </w:rPr>
        <w:t>.</w:t>
      </w:r>
    </w:p>
    <w:p>
      <w:pPr>
        <w:pStyle w:val="Heading5"/>
        <w:numPr>
          <w:ilvl w:val="4"/>
          <w:numId w:val="1"/>
        </w:numPr>
        <w:rPr/>
      </w:pPr>
      <w:bookmarkStart w:id="1608" w:name="__RefHeading___Toc3808353_1067777946"/>
      <w:bookmarkStart w:id="1609" w:name="_Toc689"/>
      <w:bookmarkEnd w:id="1608"/>
      <w:r>
        <w:rPr>
          <w:rtl w:val="true"/>
        </w:rPr>
        <w:t>كفايت دو ماه قمرى در كفاره</w:t>
      </w:r>
      <w:bookmarkEnd w:id="160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ماه هلالى، روزۀ آن مجزى است اگر چه يكى از آنها يا هر دو ناقص باشد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بعض اول را روزه گرفت و دوّمى را تمام كرد، تكميل اوّلى لازم است، لكن محتمل است هر دو ماه منكسر باشند كه با دو سى روز، اتمام بشوند؛ و محتمل </w:t>
      </w:r>
      <w:bookmarkStart w:id="1610" w:name="pg10265_90027"/>
    </w:p>
    <w:p>
      <w:pPr>
        <w:pStyle w:val="BookText"/>
        <w:rPr/>
      </w:pPr>
      <w:bookmarkEnd w:id="1610"/>
      <w:r>
        <w:rPr>
          <w:rFonts w:ascii="IRNazanin" w:hAnsi="IRNazanin" w:eastAsia="IRNazanin"/>
          <w:color w:val="111111"/>
          <w:sz w:val="28"/>
          <w:sz w:val="28"/>
          <w:szCs w:val="28"/>
          <w:rtl w:val="true"/>
          <w:lang w:bidi="fa-IR"/>
        </w:rPr>
        <w:t>است فقط تكميل اول به روزه گرفتن در مقدار فائت از آن لازم باشد، و محتمل است تكميل اول فقط به سى روز؛ و رعايت احتمال اول، احوط است؛</w:t>
      </w:r>
    </w:p>
    <w:p>
      <w:pPr>
        <w:pStyle w:val="BookText"/>
        <w:rPr/>
      </w:pPr>
      <w:r>
        <w:rPr>
          <w:rFonts w:ascii="IRNazanin" w:hAnsi="IRNazanin" w:eastAsia="IRNazanin"/>
          <w:color w:val="111111"/>
          <w:sz w:val="28"/>
          <w:sz w:val="28"/>
          <w:szCs w:val="28"/>
          <w:rtl w:val="true"/>
          <w:lang w:bidi="fa-IR"/>
        </w:rPr>
        <w:t xml:space="preserve">پس اگر روز آخرِ رجبِ ناقص را روزه گرفت و بعد از آن اتمام كرد شعبانِ ناقص را، پس بنا بر تكميل اوّلى به قدر سى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شوال روزه مى گيرد؛ و بنا بر تكميل اولى به قدر فائت،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شوال را روزه مى گيرد؛ و بنا بر انكسار هر دو، تتابع منتفى مى شود بنا بر اخلال فصل رمضان به تتابع چون كه بيش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صورتى كه ماه سوم رمضان نباشد، اگر يك روز از سوم را روزه گرفت، تتابع در بقيه كه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بر تقدير انكسار هر دو، لازم نيست</w:t>
      </w:r>
      <w:r>
        <w:rPr>
          <w:rFonts w:eastAsia="IRNazanin" w:cs="IRNazanin"/>
          <w:color w:val="111111"/>
          <w:sz w:val="28"/>
          <w:szCs w:val="28"/>
          <w:rtl w:val="true"/>
          <w:lang w:bidi="fa-IR"/>
        </w:rPr>
        <w:t>.</w:t>
      </w:r>
    </w:p>
    <w:p>
      <w:pPr>
        <w:pStyle w:val="Heading5"/>
        <w:numPr>
          <w:ilvl w:val="4"/>
          <w:numId w:val="1"/>
        </w:numPr>
        <w:rPr/>
      </w:pPr>
      <w:bookmarkStart w:id="1611" w:name="__RefHeading___Toc3808355_1067777946"/>
      <w:bookmarkStart w:id="1612" w:name="_Toc690"/>
      <w:bookmarkEnd w:id="1611"/>
      <w:r>
        <w:rPr>
          <w:rtl w:val="true"/>
        </w:rPr>
        <w:t>مراد از عجز و قدرت در خصال كفاره</w:t>
      </w:r>
      <w:bookmarkEnd w:id="161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در عجز و قدرت نسبت به خصال كفاره، به حال ادا واجب است نه زمان ايجاب؛ پس اگر بعد از وجوب عتق مقدور، عجز طارى شد به نحو متقدّم در صدق عرفى عجز، پس از آن در مرتّبه روزه گرفت، پس از آن قادر بر عتق شد، واجب نمى شود بر او عتق</w:t>
      </w:r>
      <w:r>
        <w:rPr>
          <w:rFonts w:eastAsia="IRNazanin" w:cs="IRNazanin"/>
          <w:color w:val="111111"/>
          <w:sz w:val="28"/>
          <w:szCs w:val="28"/>
          <w:rtl w:val="true"/>
          <w:lang w:bidi="fa-IR"/>
        </w:rPr>
        <w:t>.</w:t>
      </w:r>
    </w:p>
    <w:p>
      <w:pPr>
        <w:pStyle w:val="Heading5"/>
        <w:numPr>
          <w:ilvl w:val="4"/>
          <w:numId w:val="1"/>
        </w:numPr>
        <w:rPr/>
      </w:pPr>
      <w:bookmarkStart w:id="1613" w:name="__RefHeading___Toc3808357_1067777946"/>
      <w:bookmarkStart w:id="1614" w:name="_Toc691"/>
      <w:bookmarkEnd w:id="1613"/>
      <w:r>
        <w:rPr>
          <w:rtl w:val="true"/>
        </w:rPr>
        <w:t>وجوب عتق بر عبد بعد از تمكّن</w:t>
      </w:r>
      <w:bookmarkEnd w:id="161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عبد معتَق شد، پس از آن متمكّن شد از عتق قبل از تكفير به صوم، اظهر وجوب عتق است بر او، اگر چه در حال وجوب، عاجز و عبد بوده است</w:t>
      </w:r>
      <w:r>
        <w:rPr>
          <w:rFonts w:eastAsia="IRNazanin" w:cs="IRNazanin"/>
          <w:color w:val="111111"/>
          <w:sz w:val="28"/>
          <w:szCs w:val="28"/>
          <w:rtl w:val="true"/>
          <w:lang w:bidi="fa-IR"/>
        </w:rPr>
        <w:t>.</w:t>
      </w:r>
    </w:p>
    <w:p>
      <w:pPr>
        <w:pStyle w:val="Heading5"/>
        <w:numPr>
          <w:ilvl w:val="4"/>
          <w:numId w:val="1"/>
        </w:numPr>
        <w:rPr/>
      </w:pPr>
      <w:bookmarkStart w:id="1615" w:name="__RefHeading___Toc3808359_1067777946"/>
      <w:bookmarkStart w:id="1616" w:name="_Toc692"/>
      <w:bookmarkEnd w:id="1615"/>
      <w:r>
        <w:rPr>
          <w:rtl w:val="true"/>
        </w:rPr>
        <w:t>لزوم صبر براى وصول مال غائب، در كفاره</w:t>
      </w:r>
      <w:bookmarkEnd w:id="161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صاحبِ مالِ غائبى باشد كه در زمان قريب، متوقَّع است وصول آن، اظهر وجوب صبر است براى عتق و عدم مبادرت به صوم است؛ و اگر متضرر مى شود به صبر در كفارۀ ظهار به واسطۀ شاق بودن ترك مقاربت به مشقت شديده، اظهر جواز ترك صبر در آن زمان است براى آن مال يا براى پيدا شدن رقبه اگر مال دارد يا براى روزه دو ماه اگر مال مطلقاً ندارد</w:t>
      </w:r>
      <w:r>
        <w:rPr>
          <w:rFonts w:eastAsia="IRNazanin" w:cs="IRNazanin"/>
          <w:color w:val="111111"/>
          <w:sz w:val="28"/>
          <w:szCs w:val="28"/>
          <w:rtl w:val="true"/>
          <w:lang w:bidi="fa-IR"/>
        </w:rPr>
        <w:t>.</w:t>
      </w:r>
      <w:bookmarkStart w:id="1617" w:name="pg10265_90028"/>
    </w:p>
    <w:p>
      <w:pPr>
        <w:pStyle w:val="Heading5"/>
        <w:numPr>
          <w:ilvl w:val="4"/>
          <w:numId w:val="1"/>
        </w:numPr>
        <w:rPr/>
      </w:pPr>
      <w:bookmarkStart w:id="1618" w:name="__RefHeading___Toc3808361_1067777946"/>
      <w:bookmarkStart w:id="1619" w:name="_Toc693"/>
      <w:bookmarkEnd w:id="1617"/>
      <w:bookmarkEnd w:id="1618"/>
      <w:r>
        <w:rPr>
          <w:rtl w:val="true"/>
        </w:rPr>
        <w:t>اگر در وسط صوم قادر بر عتق شود و مانند آن</w:t>
      </w:r>
      <w:bookmarkEnd w:id="1619"/>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عاجز از عتق در مرتّبه، داخل در صوم شد اگر چه قدرى از روز باشد، پس از آن متمكّن از عتق شد، تعيّن ندارد بر او عتق، بلكه مى تواند ادامۀ صوم دو ماه بدهد، اگر چه احوط و افضل عتق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عاجز از صيام شد و داخل در اطعام شد و در اثنا متمكّن شد از صيام، جواز تكميل اطعام، خالى از وجه نيست؛ و احوط اختيار صيام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سقوط حكم عتق به واسطۀ شروع در صوم، مراعىٰ به اكمال صوم است؛ پس اگر قاطعى براى تتابع آمد و قدرت بر عتق موجود بود، اظهر وجوب عتق است قبل از شروع در صوم كه مفروض از افراد آن است؛ به خلاف صورتى كه قدرت بر عتق منتفى شد قبل از وجوب استيناف به واسطۀ قاطع، كه حكم صوم باقى است</w:t>
      </w:r>
      <w:r>
        <w:rPr>
          <w:rFonts w:eastAsia="IRNazanin" w:cs="IRNazanin"/>
          <w:color w:val="111111"/>
          <w:sz w:val="28"/>
          <w:szCs w:val="28"/>
          <w:rtl w:val="true"/>
          <w:lang w:bidi="fa-IR"/>
        </w:rPr>
        <w:t>.</w:t>
      </w:r>
    </w:p>
    <w:p>
      <w:pPr>
        <w:pStyle w:val="Heading5"/>
        <w:numPr>
          <w:ilvl w:val="4"/>
          <w:numId w:val="1"/>
        </w:numPr>
        <w:rPr/>
      </w:pPr>
      <w:bookmarkStart w:id="1620" w:name="__RefHeading___Toc3808363_1067777946"/>
      <w:bookmarkStart w:id="1621" w:name="_Toc694"/>
      <w:bookmarkEnd w:id="1620"/>
      <w:r>
        <w:rPr>
          <w:rtl w:val="true"/>
        </w:rPr>
        <w:t>عدم اجزاى عتق قبل از عود</w:t>
      </w:r>
      <w:bookmarkEnd w:id="1621"/>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بعد از ظهار، عتق نمود قبل از عود، اظهر عدم اجزاى از كفاره است</w:t>
      </w:r>
      <w:r>
        <w:rPr>
          <w:rFonts w:eastAsia="IRNazanin" w:cs="IRNazanin"/>
          <w:color w:val="111111"/>
          <w:sz w:val="28"/>
          <w:szCs w:val="28"/>
          <w:rtl w:val="true"/>
          <w:lang w:bidi="fa-IR"/>
        </w:rPr>
        <w:t>.</w:t>
      </w:r>
    </w:p>
    <w:p>
      <w:pPr>
        <w:pStyle w:val="Heading5"/>
        <w:numPr>
          <w:ilvl w:val="4"/>
          <w:numId w:val="1"/>
        </w:numPr>
        <w:rPr/>
      </w:pPr>
      <w:bookmarkStart w:id="1622" w:name="__RefHeading___Toc3808365_1067777946"/>
      <w:bookmarkStart w:id="1623" w:name="_Toc695"/>
      <w:bookmarkEnd w:id="1622"/>
      <w:r>
        <w:rPr>
          <w:rtl w:val="true"/>
        </w:rPr>
        <w:t>كيفيّت دفع كفّاره به طفل و مجنون</w:t>
      </w:r>
      <w:bookmarkEnd w:id="1623"/>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كفاره دفع مى شود به ولىّ طفل و مجنون نه به طفل و مجنون؛ و در اطعام جائز است با مباشرت طفل و مجنون انجام داده شود بدون اذن ولىّ در اطعام بنا بر اظهر؛ و اظهر اين است كه كسوه در حكم تسليم طعام است نه اطعام</w:t>
      </w:r>
      <w:r>
        <w:rPr>
          <w:rFonts w:eastAsia="Amiri" w:cs="Amiri" w:ascii="Amiri" w:hAnsi="Amiri"/>
          <w:color w:val="111111"/>
          <w:sz w:val="28"/>
          <w:szCs w:val="28"/>
          <w:rtl w:val="true"/>
          <w:lang w:bidi="ar-SA"/>
        </w:rPr>
        <w:t>.</w:t>
      </w:r>
    </w:p>
    <w:p>
      <w:pPr>
        <w:pStyle w:val="Heading5"/>
        <w:numPr>
          <w:ilvl w:val="4"/>
          <w:numId w:val="1"/>
        </w:numPr>
        <w:rPr/>
      </w:pPr>
      <w:bookmarkStart w:id="1624" w:name="__RefHeading___Toc3808367_1067777946"/>
      <w:bookmarkStart w:id="1625" w:name="_Toc696"/>
      <w:bookmarkEnd w:id="1624"/>
      <w:r>
        <w:rPr>
          <w:rtl w:val="true"/>
        </w:rPr>
        <w:t>عدم جواز پرداخت نفقه به واجب النفقه</w:t>
      </w:r>
      <w:bookmarkEnd w:id="1625"/>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 نمى شود كفاره در واجب النفقۀ مكفِّر، مثل پدر و مادر و اولاد و زن و مملوك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مكفّر مى تواند كفارۀ خود را به واجب النفقۀ ديگرى ادا نمايد غير زوجه او و مملوك او، اگر چه با بذل منفق، نفقه را، خلاف احتياط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اطعام مملوكِ غير، با فقر مالك و عدم نهى مالك، جائز و مجزى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دفع كفاره به واجب النفقه براى غير انفاق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توسعه و انفاق بر عائله </w:t>
      </w:r>
      <w:bookmarkStart w:id="1626" w:name="pg10265_90029"/>
    </w:p>
    <w:p>
      <w:pPr>
        <w:pStyle w:val="BookText"/>
        <w:rPr/>
      </w:pPr>
      <w:bookmarkEnd w:id="1626"/>
      <w:r>
        <w:rPr>
          <w:rFonts w:ascii="Amiri" w:hAnsi="Amiri" w:eastAsia="Amiri" w:cs="Amiri"/>
          <w:color w:val="111111"/>
          <w:sz w:val="28"/>
          <w:sz w:val="28"/>
          <w:szCs w:val="28"/>
          <w:rtl w:val="true"/>
          <w:lang w:bidi="ar-SA"/>
        </w:rPr>
        <w:t xml:space="preserve">خودشان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است، بنا بر جواز دفع زكات براى اين جهات، و حكم آن در كتاب زكات مذكور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 كفاره به سائر اقارب كه واجب النفقه نيستند، با وجود سائر شروط، جائز و افضل از دفع به غير قريب است</w:t>
      </w:r>
      <w:r>
        <w:rPr>
          <w:rFonts w:eastAsia="Amiri" w:cs="Amiri" w:ascii="Amiri" w:hAnsi="Amiri"/>
          <w:color w:val="111111"/>
          <w:sz w:val="28"/>
          <w:szCs w:val="28"/>
          <w:rtl w:val="true"/>
          <w:lang w:bidi="ar-SA"/>
        </w:rPr>
        <w:t>.</w:t>
      </w:r>
    </w:p>
    <w:p>
      <w:pPr>
        <w:pStyle w:val="Heading5"/>
        <w:numPr>
          <w:ilvl w:val="4"/>
          <w:numId w:val="1"/>
        </w:numPr>
        <w:rPr/>
      </w:pPr>
      <w:bookmarkStart w:id="1627" w:name="__RefHeading___Toc3808369_1067777946"/>
      <w:bookmarkStart w:id="1628" w:name="_Toc697"/>
      <w:bookmarkEnd w:id="1627"/>
      <w:r>
        <w:rPr>
          <w:rtl w:val="true"/>
        </w:rPr>
        <w:t>وجوب تقديم تكفير از ظهار بر مقاربت</w:t>
      </w:r>
      <w:bookmarkEnd w:id="1628"/>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واجب است تقديم تكفير از ظهار بر مقاربت، در همه خصال؛ و جائز نيست مواقعه قبل از اتمام تكفير، در همه خصال</w:t>
      </w:r>
      <w:r>
        <w:rPr>
          <w:rFonts w:eastAsia="Amiri" w:cs="Amiri" w:ascii="Amiri" w:hAnsi="Amiri"/>
          <w:color w:val="111111"/>
          <w:sz w:val="28"/>
          <w:szCs w:val="28"/>
          <w:rtl w:val="true"/>
          <w:lang w:bidi="ar-SA"/>
        </w:rPr>
        <w:t>.</w:t>
      </w:r>
    </w:p>
    <w:p>
      <w:pPr>
        <w:pStyle w:val="Heading5"/>
        <w:numPr>
          <w:ilvl w:val="4"/>
          <w:numId w:val="1"/>
        </w:numPr>
        <w:rPr/>
      </w:pPr>
      <w:bookmarkStart w:id="1629" w:name="__RefHeading___Toc3808371_1067777946"/>
      <w:bookmarkStart w:id="1630" w:name="_Toc698"/>
      <w:bookmarkEnd w:id="1629"/>
      <w:r>
        <w:rPr>
          <w:rtl w:val="true"/>
        </w:rPr>
        <w:t>تكميل يا تفريق هر خصلت كفّاره</w:t>
      </w:r>
      <w:bookmarkEnd w:id="1630"/>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كفارۀ مخيّره هر خصلتى را كه اختيار كرد، بايد تكميل عدد با آن نمايد و نمى تواند در بعض عدد خصلتى را اختيار نمايد و در بعض ديگر خصلت ديگر را اختيار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در خصلت واحده، تفريق در عدد به حسب اصناف مانعى ندارد، مثل اختيار يك قسم از قوت در بعضى و قسم ديگر در بعض ديگر؛ و هم چنين در كسوه</w:t>
      </w:r>
      <w:r>
        <w:rPr>
          <w:rFonts w:eastAsia="IRNazanin" w:cs="IRNazanin"/>
          <w:color w:val="111111"/>
          <w:sz w:val="28"/>
          <w:szCs w:val="28"/>
          <w:rtl w:val="true"/>
          <w:lang w:bidi="fa-IR"/>
        </w:rPr>
        <w:t>.</w:t>
      </w:r>
    </w:p>
    <w:p>
      <w:pPr>
        <w:pStyle w:val="Heading5"/>
        <w:numPr>
          <w:ilvl w:val="4"/>
          <w:numId w:val="1"/>
        </w:numPr>
        <w:rPr/>
      </w:pPr>
      <w:bookmarkStart w:id="1631" w:name="__RefHeading___Toc3808373_1067777946"/>
      <w:bookmarkStart w:id="1632" w:name="_Toc699"/>
      <w:bookmarkEnd w:id="1631"/>
      <w:r>
        <w:rPr>
          <w:rtl w:val="true"/>
        </w:rPr>
        <w:t>عدم كفايت پرداخت قيمت</w:t>
      </w:r>
      <w:bookmarkEnd w:id="1632"/>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قيمت در كفاره مجزى نيست، مگر با اطمينان به صرف در تملّك طعام به عنوان كفاره، يا در اطعام به جهت مقصوده دافع كفاره</w:t>
      </w:r>
      <w:r>
        <w:rPr>
          <w:rFonts w:eastAsia="IRNazanin" w:cs="IRNazanin"/>
          <w:color w:val="111111"/>
          <w:sz w:val="28"/>
          <w:szCs w:val="28"/>
          <w:rtl w:val="true"/>
          <w:lang w:bidi="fa-IR"/>
        </w:rPr>
        <w:t>.</w:t>
      </w:r>
    </w:p>
    <w:p>
      <w:pPr>
        <w:pStyle w:val="Heading5"/>
        <w:numPr>
          <w:ilvl w:val="4"/>
          <w:numId w:val="1"/>
        </w:numPr>
        <w:rPr/>
      </w:pPr>
      <w:bookmarkStart w:id="1633" w:name="__RefHeading___Toc3808375_1067777946"/>
      <w:bookmarkStart w:id="1634" w:name="_Toc700"/>
      <w:bookmarkEnd w:id="1633"/>
      <w:r>
        <w:rPr>
          <w:rtl w:val="true"/>
        </w:rPr>
        <w:t>كسى كه كفارۀ دو ماه بر او واجب شده و قادر نيست</w:t>
      </w:r>
      <w:bookmarkEnd w:id="1634"/>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واجب شده باشد تكفير به دو ماه پى درپى به واسطۀ عجز از دو خصلت ديگر در مرتّبه يا مخيّره، پس طارى شد عجز از اين خصلت، هيجده روز روزه مى گيرد بدل از همه آنها كه متعذر شده اند، و احوط تتابع در اين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متمكّن از روزۀ اين عدد نباشد، براى هر روز، يك مد طعام صدقه مى دهد و احوط دو 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در كفارۀ افطار در رمضان كه اطعام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مسكين است اگر متمكّن از روزه و اطعام نباشد عوض آن صدقه مى دهد به آنچه متمكّن است از عددى كه واجب است در تكفير اگر چه زيادتر يا كمتر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صدقه واجبه در كفاره عاجز شد، بدليّت استغفار ثابت است، و احوط ضمّ عزم بر ترك عود و ندامت است در آنچه معصيت بوده؛ و در عموم بدليّت در كفارۀ ظهار، گذشت محل بحث از آن</w:t>
      </w:r>
      <w:r>
        <w:rPr>
          <w:rFonts w:eastAsia="IRNazanin" w:cs="IRNazanin"/>
          <w:color w:val="111111"/>
          <w:sz w:val="28"/>
          <w:szCs w:val="28"/>
          <w:rtl w:val="true"/>
          <w:lang w:bidi="fa-IR"/>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35" w:name="pg10265_90032"/>
      <w:bookmarkStart w:id="1636" w:name="pg10265_90032"/>
      <w:bookmarkEnd w:id="1636"/>
    </w:p>
    <w:p>
      <w:pPr>
        <w:pStyle w:val="Heading2"/>
        <w:numPr>
          <w:ilvl w:val="1"/>
          <w:numId w:val="1"/>
        </w:numPr>
        <w:rPr/>
      </w:pPr>
      <w:bookmarkStart w:id="1637" w:name="pg10265_90032"/>
      <w:bookmarkStart w:id="1638" w:name="__RefHeading___Toc3808377_1067777946"/>
      <w:bookmarkStart w:id="1639" w:name="_Toc701"/>
      <w:bookmarkEnd w:id="1637"/>
      <w:bookmarkEnd w:id="1638"/>
      <w:r>
        <w:rPr>
          <w:rtl w:val="true"/>
        </w:rPr>
        <w:t>كتاب ايلاء</w:t>
      </w:r>
      <w:bookmarkEnd w:id="1639"/>
    </w:p>
    <w:p>
      <w:pPr>
        <w:pStyle w:val="Heading3"/>
        <w:numPr>
          <w:ilvl w:val="2"/>
          <w:numId w:val="1"/>
        </w:numPr>
        <w:rPr/>
      </w:pPr>
      <w:bookmarkStart w:id="1640" w:name="__RefHeading___Toc3808379_1067777946"/>
      <w:bookmarkStart w:id="1641" w:name="_Toc702"/>
      <w:bookmarkEnd w:id="1640"/>
      <w:r>
        <w:rPr>
          <w:rtl w:val="true"/>
        </w:rPr>
        <w:t>اشاره</w:t>
      </w:r>
      <w:bookmarkEnd w:id="1641"/>
    </w:p>
    <w:p>
      <w:pPr>
        <w:pStyle w:val="BookText"/>
        <w:rPr/>
      </w:pPr>
      <w:r>
        <w:rPr>
          <w:rFonts w:ascii="Amiri" w:hAnsi="Amiri" w:eastAsia="Amiri" w:cs="Amiri"/>
          <w:color w:val="111111"/>
          <w:sz w:val="28"/>
          <w:sz w:val="28"/>
          <w:szCs w:val="28"/>
          <w:rtl w:val="true"/>
          <w:lang w:bidi="ar-SA"/>
        </w:rPr>
        <w:t>صيغۀ ايلاء و شرايط مُولىٖ‌</w:t>
      </w:r>
    </w:p>
    <w:p>
      <w:pPr>
        <w:pStyle w:val="BookText"/>
        <w:rPr/>
      </w:pPr>
      <w:r>
        <w:rPr>
          <w:rFonts w:ascii="Amiri" w:hAnsi="Amiri" w:eastAsia="Amiri" w:cs="Amiri"/>
          <w:color w:val="111111"/>
          <w:sz w:val="28"/>
          <w:sz w:val="28"/>
          <w:szCs w:val="28"/>
          <w:rtl w:val="true"/>
          <w:lang w:bidi="ar-SA"/>
        </w:rPr>
        <w:t>و مُولىٰ‌</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ايلاء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2" w:name="pg10265_90034"/>
      <w:bookmarkStart w:id="1643" w:name="pg10265_90034"/>
      <w:bookmarkEnd w:id="1643"/>
    </w:p>
    <w:p>
      <w:pPr>
        <w:pStyle w:val="Heading3"/>
        <w:numPr>
          <w:ilvl w:val="2"/>
          <w:numId w:val="1"/>
        </w:numPr>
        <w:rPr/>
      </w:pPr>
      <w:bookmarkStart w:id="1644" w:name="pg10265_90034"/>
      <w:bookmarkStart w:id="1645" w:name="__RefHeading___Toc3808381_1067777946"/>
      <w:bookmarkStart w:id="1646" w:name="_Toc703"/>
      <w:bookmarkEnd w:id="1644"/>
      <w:bookmarkEnd w:id="1645"/>
      <w:r>
        <w:rPr>
          <w:rtl w:val="true"/>
        </w:rPr>
        <w:t>فصل اوّل صيغۀ ايلاء و شرايط مُولىٖ و مُولىٰ‌</w:t>
      </w:r>
      <w:bookmarkEnd w:id="1646"/>
    </w:p>
    <w:p>
      <w:pPr>
        <w:pStyle w:val="Heading4"/>
        <w:numPr>
          <w:ilvl w:val="3"/>
          <w:numId w:val="1"/>
        </w:numPr>
        <w:rPr/>
      </w:pPr>
      <w:bookmarkStart w:id="1647" w:name="__RefHeading___Toc3808383_1067777946"/>
      <w:bookmarkStart w:id="1648" w:name="_Toc704"/>
      <w:bookmarkEnd w:id="1647"/>
      <w:r>
        <w:rPr>
          <w:rtl w:val="true"/>
        </w:rPr>
        <w:t>تعريف ايلاء</w:t>
      </w:r>
      <w:bookmarkEnd w:id="16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متشرعه كه موضوع احكام خاصه است در ضمن حلف،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حلف به ترك وطى زوجۀ دائمۀ مدخولٌ بها، با قيود آتيه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فاقد بعضى از آنها باشد، فقط احكام يمين مطلق مترتّب مى شود نه احكام ايلاء</w:t>
      </w:r>
      <w:r>
        <w:rPr>
          <w:rFonts w:eastAsia="IRNazanin" w:cs="IRNazanin"/>
          <w:color w:val="111111"/>
          <w:sz w:val="28"/>
          <w:szCs w:val="28"/>
          <w:rtl w:val="true"/>
          <w:lang w:bidi="fa-IR"/>
        </w:rPr>
        <w:t>.</w:t>
      </w:r>
    </w:p>
    <w:p>
      <w:pPr>
        <w:pStyle w:val="Heading4"/>
        <w:numPr>
          <w:ilvl w:val="3"/>
          <w:numId w:val="1"/>
        </w:numPr>
        <w:rPr/>
      </w:pPr>
      <w:bookmarkStart w:id="1649" w:name="__RefHeading___Toc3808385_1067777946"/>
      <w:bookmarkStart w:id="1650" w:name="_Toc705"/>
      <w:bookmarkEnd w:id="1649"/>
      <w:r>
        <w:rPr/>
        <w:t>1</w:t>
      </w:r>
      <w:r>
        <w:rPr>
          <w:rtl w:val="true"/>
        </w:rPr>
        <w:t xml:space="preserve">. </w:t>
      </w:r>
      <w:r>
        <w:rPr>
          <w:rtl w:val="true"/>
        </w:rPr>
        <w:t>صيغۀ ايلاء و شروط آن</w:t>
      </w:r>
      <w:bookmarkEnd w:id="1650"/>
    </w:p>
    <w:p>
      <w:pPr>
        <w:pStyle w:val="BookText"/>
        <w:rPr/>
      </w:pPr>
      <w:r>
        <w:rPr>
          <w:rFonts w:ascii="Amiri" w:hAnsi="Amiri" w:eastAsia="Amiri" w:cs="Amiri"/>
          <w:color w:val="111111"/>
          <w:sz w:val="28"/>
          <w:sz w:val="28"/>
          <w:szCs w:val="28"/>
          <w:rtl w:val="true"/>
          <w:lang w:bidi="ar-SA"/>
        </w:rPr>
        <w:t xml:space="preserve">و حلف در ايلاء و غير آن، منعقد نمى شود به غير اسماى مختصۀ به خداى تعالى يا غالبه در آن حضرت اجلّ مثل نبىّ و 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كعبه از محترمها؛ و بايد تلفظ بشود به جملۀ مشتمله بر قسم به خداى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عربيّت شرط انعقادش نيست</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بايد متلفظ، قاصد باشد، نه ساهى و نائم و 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منعقد مى شود به تعبير به جماع و وطى و نحو اينها به جهت ظهور عرفى، و لازم نيست مواظبت به الفاظ صريحۀ لغويّه؛ و قيود زائده بر اين، بر تقدير اعتبار، بايد با قرينه مذكوره باشد؛ و انعقاد آن به مثل تعبير به ملامسه و مسيس و مقاربت، با قصد وطى در قُبل، خالى از وجه نيست</w:t>
      </w:r>
      <w:r>
        <w:rPr>
          <w:rFonts w:eastAsia="Amiri" w:cs="Amiri" w:ascii="Amiri" w:hAnsi="Amiri"/>
          <w:color w:val="111111"/>
          <w:sz w:val="28"/>
          <w:szCs w:val="28"/>
          <w:rtl w:val="true"/>
          <w:lang w:bidi="ar-SA"/>
        </w:rPr>
        <w:t xml:space="preserve">. </w:t>
      </w:r>
      <w:bookmarkStart w:id="1651" w:name="pg10265_90035"/>
    </w:p>
    <w:p>
      <w:pPr>
        <w:pStyle w:val="BookText"/>
        <w:rPr/>
      </w:pPr>
      <w:bookmarkEnd w:id="1651"/>
      <w:r>
        <w:rPr>
          <w:rFonts w:ascii="Amiri" w:hAnsi="Amiri" w:eastAsia="Amiri" w:cs="Amiri"/>
          <w:color w:val="111111"/>
          <w:sz w:val="28"/>
          <w:sz w:val="28"/>
          <w:szCs w:val="28"/>
          <w:rtl w:val="true"/>
          <w:lang w:bidi="ar-SA"/>
        </w:rPr>
        <w:t>و حلف بر ترك وطى در دُبر يا در حال حيض و نفاس، ايلاء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معتبر است در ايلاء تنجيز يا نه، مثل يمين در غير ايلاء؟ اظهر جواز تعليق است به معلوم الحصول در حال يا استقبال و نحو آن كه در اضرارِ ايلاء، تغييرى محتمل نيست به سبب آن، و در غير اينها احوط اعتبار تنجيز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حلف نمود به عتاق و طلاق كه او را وطى ننمايد يا به صدقه يا به تحريم بر خود آن زن را، نه ايلاء منعقد مى شود نزد ما اگر چه قصد ايلاء نمايد، و نه يمين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بگويد به 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وطى كردم تو را، بر من است اين قدر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يك از آنها منعقد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يك زن ايلاء نمود و به زن ديگر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شريك نمودم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قصد ايلاء به دومى، واقع نمى شود ايلاء به دومى، بلكه بايد مشتمل بر تسميه باشد با قصد ايلاء و شروط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منعقد نمى شود ايلاء مگر در مقام اضرار بنا بر احوط، و حلف بر ترك وطى براى صلاح شير يا اصلاح حال مريض ايلاء واقع نمى شود بنا بر اظهر و حكم يمين با شروط آن جارى است</w:t>
      </w:r>
      <w:r>
        <w:rPr>
          <w:rFonts w:eastAsia="IRNazanin" w:cs="IRNazanin"/>
          <w:color w:val="111111"/>
          <w:sz w:val="28"/>
          <w:szCs w:val="28"/>
          <w:rtl w:val="true"/>
          <w:lang w:bidi="fa-IR"/>
        </w:rPr>
        <w:t>.</w:t>
      </w:r>
    </w:p>
    <w:p>
      <w:pPr>
        <w:pStyle w:val="Heading4"/>
        <w:numPr>
          <w:ilvl w:val="3"/>
          <w:numId w:val="1"/>
        </w:numPr>
        <w:rPr/>
      </w:pPr>
      <w:bookmarkStart w:id="1652" w:name="__RefHeading___Toc3808387_1067777946"/>
      <w:bookmarkStart w:id="1653" w:name="_Toc706"/>
      <w:bookmarkEnd w:id="1652"/>
      <w:r>
        <w:rPr/>
        <w:t>2</w:t>
      </w:r>
      <w:r>
        <w:rPr>
          <w:rtl w:val="true"/>
        </w:rPr>
        <w:t xml:space="preserve">. </w:t>
      </w:r>
      <w:r>
        <w:rPr>
          <w:rtl w:val="true"/>
        </w:rPr>
        <w:t>شرائط ايلاءكننده</w:t>
      </w:r>
      <w:bookmarkEnd w:id="1653"/>
    </w:p>
    <w:p>
      <w:pPr>
        <w:pStyle w:val="BookText"/>
        <w:rPr/>
      </w:pPr>
      <w:r>
        <w:rPr>
          <w:rFonts w:ascii="IRNazanin" w:hAnsi="IRNazanin" w:eastAsia="IRNazanin"/>
          <w:color w:val="111111"/>
          <w:sz w:val="28"/>
          <w:sz w:val="28"/>
          <w:szCs w:val="28"/>
          <w:rtl w:val="true"/>
          <w:lang w:bidi="fa-IR"/>
        </w:rPr>
        <w:t xml:space="preserve">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ايلاء، از ايلاءكننده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صبى و مجنون و مكرَه و ساهى و نائم و عابث واقع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صحيح است ايلاء مملوك، چه آنكه زوجۀ او حرّه باشد يا امۀ مولاى زوج يا ديگر، شرط شده باشد رقيّت ولد امۀ مزوّجه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زوجيّت شرط ايلاء است، پس با مملوكۀ خود، ايلاء واقع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 دوام آن، محل تأمّل است، اظهر اعتبار دوام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ذمّى بلكه از مقِرّ به الوهيّت، و منحلّ به سبب اسلام نمى شود بنا بر آنچه ظاهر است از اتفاق اماميّه بر آن</w:t>
      </w:r>
      <w:r>
        <w:rPr>
          <w:rFonts w:eastAsia="IRNazanin" w:cs="IRNazanin"/>
          <w:color w:val="111111"/>
          <w:sz w:val="28"/>
          <w:szCs w:val="28"/>
          <w:rtl w:val="true"/>
          <w:lang w:bidi="fa-IR"/>
        </w:rPr>
        <w:t xml:space="preserve">. </w:t>
      </w:r>
      <w:bookmarkStart w:id="1654" w:name="pg10265_90036"/>
    </w:p>
    <w:p>
      <w:pPr>
        <w:pStyle w:val="BookText"/>
        <w:rPr/>
      </w:pPr>
      <w:bookmarkEnd w:id="1654"/>
      <w:r>
        <w:rPr>
          <w:rFonts w:ascii="IRNazanin" w:hAnsi="IRNazanin" w:eastAsia="IRNazanin"/>
          <w:color w:val="111111"/>
          <w:sz w:val="28"/>
          <w:sz w:val="28"/>
          <w:szCs w:val="28"/>
          <w:rtl w:val="true"/>
          <w:lang w:bidi="fa-IR"/>
        </w:rPr>
        <w:t>و منعقد مى شود ايلاء خصىّ كه قادر بر ادخال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مقطوع الذكر كه قادر بر مجامعت و غير مساحقه نيست تأمّل است؛ و بنا بر انعقاد، فئۀ او به قول است اگر مساحقه و نحو آن ممكن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اعتبار اضرار است در جميع موارد ايلاء چنانكه گذشت</w:t>
      </w:r>
      <w:r>
        <w:rPr>
          <w:rFonts w:eastAsia="IRNazanin" w:cs="IRNazanin"/>
          <w:color w:val="111111"/>
          <w:sz w:val="28"/>
          <w:szCs w:val="28"/>
          <w:rtl w:val="true"/>
          <w:lang w:bidi="fa-IR"/>
        </w:rPr>
        <w:t>.</w:t>
      </w:r>
    </w:p>
    <w:p>
      <w:pPr>
        <w:pStyle w:val="Heading4"/>
        <w:numPr>
          <w:ilvl w:val="3"/>
          <w:numId w:val="1"/>
        </w:numPr>
        <w:rPr/>
      </w:pPr>
      <w:bookmarkStart w:id="1655" w:name="__RefHeading___Toc3808389_1067777946"/>
      <w:bookmarkStart w:id="1656" w:name="_Toc707"/>
      <w:bookmarkEnd w:id="1655"/>
      <w:r>
        <w:rPr/>
        <w:t>3</w:t>
      </w:r>
      <w:r>
        <w:rPr>
          <w:rtl w:val="true"/>
        </w:rPr>
        <w:t xml:space="preserve">. </w:t>
      </w:r>
      <w:r>
        <w:rPr>
          <w:rtl w:val="true"/>
        </w:rPr>
        <w:t>شرائط ايلاء شونده</w:t>
      </w:r>
      <w:bookmarkEnd w:id="1656"/>
    </w:p>
    <w:p>
      <w:pPr>
        <w:pStyle w:val="BookText"/>
        <w:rPr/>
      </w:pPr>
      <w:r>
        <w:rPr>
          <w:rFonts w:ascii="Amiri" w:hAnsi="Amiri" w:eastAsia="Amiri" w:cs="Amiri"/>
          <w:color w:val="111111"/>
          <w:sz w:val="28"/>
          <w:sz w:val="28"/>
          <w:szCs w:val="28"/>
          <w:rtl w:val="true"/>
          <w:lang w:bidi="ar-SA"/>
        </w:rPr>
        <w:t>و معتبر است در صحّت ايلاء، دخول به زوجه؛ و مدرك آن وجهى است براى عدم صحّت ايلاء مجبوب الاصل كه قادر بر جماع و ادخال نبوده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ايلاء با حرّه و زوجۀ مملوكه و از حرّ و زوج مملوك واقع مى شود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مرافعه براى ضرب مدت، با زن است؛ و براى او است مطالبه فئه اگر چه زوجه مملوكه باشد، و اعتراضى از مالك بر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ذمّيه بر تقدير صحّت نكاح، ايقاع ايلاء مى شود، مثل مسلمه</w:t>
      </w:r>
      <w:r>
        <w:rPr>
          <w:rFonts w:eastAsia="IRNazanin" w:cs="IRNazanin"/>
          <w:color w:val="111111"/>
          <w:sz w:val="28"/>
          <w:szCs w:val="28"/>
          <w:rtl w:val="true"/>
          <w:lang w:bidi="fa-IR"/>
        </w:rPr>
        <w:t xml:space="preserve">. </w:t>
      </w:r>
      <w:bookmarkStart w:id="1657" w:name="pg10265_90037"/>
    </w:p>
    <w:p>
      <w:pPr>
        <w:pStyle w:val="Heading3"/>
        <w:numPr>
          <w:ilvl w:val="2"/>
          <w:numId w:val="1"/>
        </w:numPr>
        <w:rPr/>
      </w:pPr>
      <w:bookmarkStart w:id="1658" w:name="__RefHeading___Toc3808391_1067777946"/>
      <w:bookmarkStart w:id="1659" w:name="_Toc708"/>
      <w:bookmarkEnd w:id="1657"/>
      <w:bookmarkEnd w:id="1658"/>
      <w:r>
        <w:rPr>
          <w:rtl w:val="true"/>
        </w:rPr>
        <w:t>فصل دوّم احكام ايلاء</w:t>
      </w:r>
      <w:bookmarkEnd w:id="1659"/>
    </w:p>
    <w:p>
      <w:pPr>
        <w:pStyle w:val="Heading4"/>
        <w:numPr>
          <w:ilvl w:val="3"/>
          <w:numId w:val="1"/>
        </w:numPr>
        <w:rPr/>
      </w:pPr>
      <w:bookmarkStart w:id="1660" w:name="__RefHeading___Toc3808393_1067777946"/>
      <w:bookmarkStart w:id="1661" w:name="_Toc709"/>
      <w:bookmarkEnd w:id="1660"/>
      <w:r>
        <w:rPr>
          <w:rtl w:val="true"/>
        </w:rPr>
        <w:t>حدّ اقل زمانى كه با آن ايلاء محقق مى شود</w:t>
      </w:r>
      <w:bookmarkEnd w:id="16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بايد تحريم در ايلاء، بر مُولىٖ‌، مطلق باشد كه محمول بر تأبيد است يا در مدتى زائد بر چهار ماه باشد؛ پس در چهار ماه و كمتر، ايلاء محقّق نمى شود؛ و هم چنين تعليق به فعلى باشد كه محتمل باشد در چهار ماه يا كمتر محقّق شود به احتمالى كه خلافش مورد اطمينان نباشد، بلكه يمين است و حكم يمين را دارد با شروط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صورتى كه مدت به نحو يقين يا ظنّ قوى بيش از چهار ماه است، واقع مى شود؛ و در صورتى كه مدت را زمان بقاى خودش قرار دهد، مثل تأبيد ذكرى است، و هم چنين بقاى زيد اگر مورد اطمينان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علم به اكثريت از چهار ماه يا اطمينان، دخالت در صحّت واقعيّه دارد يا در حكم به صحّت، و هم چنين عدم علم و اطمينان در عدم حكم به صحّت يا عدم صحّت واقعيّه‌؟ محل تأمّل است؛ طريقيّت علم براى حكم به صحّت و عدم، خالى از وجه نيست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وطأتك حتى أدخل هذه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است به اينكه بيش از چهار ماه ترك دخول مى نمايد از روى اختيار، احتمال حكم به صحّت راجح است، و مخالفت به دخول اختيارى كشف از عدم صحّت واقعيّه مى نمايد، مثل اختلاف علم و معلوم در امور غير اختياريه</w:t>
      </w:r>
      <w:r>
        <w:rPr>
          <w:rFonts w:eastAsia="IRNazanin" w:cs="IRNazanin"/>
          <w:color w:val="111111"/>
          <w:sz w:val="28"/>
          <w:szCs w:val="28"/>
          <w:rtl w:val="true"/>
          <w:lang w:bidi="fa-IR"/>
        </w:rPr>
        <w:t xml:space="preserve">. </w:t>
      </w:r>
      <w:bookmarkStart w:id="1662" w:name="pg10265_90038"/>
    </w:p>
    <w:p>
      <w:pPr>
        <w:pStyle w:val="Heading4"/>
        <w:numPr>
          <w:ilvl w:val="3"/>
          <w:numId w:val="1"/>
        </w:numPr>
        <w:rPr/>
      </w:pPr>
      <w:bookmarkStart w:id="1663" w:name="__RefHeading___Toc3808395_1067777946"/>
      <w:bookmarkStart w:id="1664" w:name="_Toc710"/>
      <w:bookmarkEnd w:id="1662"/>
      <w:bookmarkEnd w:id="1663"/>
      <w:r>
        <w:rPr>
          <w:rtl w:val="true"/>
        </w:rPr>
        <w:t>مدت انتظار در ايلاء</w:t>
      </w:r>
      <w:bookmarkEnd w:id="166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تربّص و انتظار از حين ايلاء يا مرافعه، چهار ماه است در حرّه و اَمه و در حرّ و مملوك و در مسلم و ذمّى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حق با زوج است، و زوجه حق مطالبه فئه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ايلاء منحلّ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اگر در اثناى اين مدت وطى و تكفير واقع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چهار ماه كه در آن ترك وطى نموده است اگر زن راضى نشد و مرافعه به حاكم شرع نمود، مخير مى نمايد او را بين مسيس و طلاق پس از طهر غير مواقعه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مدت تربّص، زن حق مطالبه فئه را ندارد، بلكه وطى، حق زوج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فعل يا ترك نمايد؛ حتى اگر قبل از ايلاء چهار ماه يا كمتر ترك وطى كرده بود، عاصى بوده يا نه، در مدت تربّص، عاصى نيست بنا بر اظهر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مجرد انقضاى مدت تربّص، طلاق زوجه نمى شود، و حاكم هم نمى تواند طلاق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بعد از مرافعه به حاكم و انقضاى مدت تربّص، مخير مى نمايد حاكم، زوج را بين فئه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رجوع به وطى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طلاق، و تعيين نمى نمايد يكى از اين دو را؛ و با هر كدام، زوج از حق زوجه خارج مى شود؛ و طلاق هم رجعى است اگر سببى براى بينونت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امتناع كرد از هر دو بعد از مدت تربّص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چهار ماه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حبس مى نمايد زوج را و تضييق مى نمايد بر او در اكل و شرب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مقاربت نمايد يا طلاق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ايلاءِ متعلّق به مدتِ معينۀ اكثر از چهار ماه بود و بعد از مرافعه، مدافعه نمود زوج و هيچ كدام از دو امر را عملى نكرد تا مدت معينه در ايلاء گذشت، پس از آن مدت اگر وطى نمود، كفاره لازم نمى شود، به جهت گذشتن زمان يمين مخصوص؛ و با گذشتن آن زمان، حنث واقع نمى شود تا آنكه كفاره لازم بشود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سقوط حق مطالبه به اسقاط زن، تأمّل است اگر چه اظهر اين است كه از حقوق قابلۀ سقوط به صلح يا اسقاط است</w:t>
      </w:r>
      <w:r>
        <w:rPr>
          <w:rFonts w:eastAsia="IRNazanin" w:cs="IRNazanin"/>
          <w:color w:val="111111"/>
          <w:sz w:val="28"/>
          <w:szCs w:val="28"/>
          <w:rtl w:val="true"/>
          <w:lang w:bidi="fa-IR"/>
        </w:rPr>
        <w:t xml:space="preserve">. </w:t>
      </w:r>
      <w:bookmarkStart w:id="1665" w:name="pg10265_90039"/>
    </w:p>
    <w:p>
      <w:pPr>
        <w:pStyle w:val="Heading4"/>
        <w:numPr>
          <w:ilvl w:val="3"/>
          <w:numId w:val="1"/>
        </w:numPr>
        <w:rPr/>
      </w:pPr>
      <w:bookmarkStart w:id="1666" w:name="__RefHeading___Toc3808397_1067777946"/>
      <w:bookmarkStart w:id="1667" w:name="_Toc711"/>
      <w:bookmarkEnd w:id="1665"/>
      <w:bookmarkEnd w:id="1666"/>
      <w:r>
        <w:rPr>
          <w:rtl w:val="true"/>
        </w:rPr>
        <w:t>حكم اختلاف در انقضاى مدت و زمان وقوع ايلاء</w:t>
      </w:r>
      <w:bookmarkEnd w:id="1667"/>
    </w:p>
    <w:p>
      <w:pPr>
        <w:pStyle w:val="BookText"/>
        <w:rPr/>
      </w:pPr>
      <w:r>
        <w:rPr>
          <w:rFonts w:ascii="Amiri" w:hAnsi="Amiri" w:eastAsia="Amiri" w:cs="Amiri"/>
          <w:color w:val="111111"/>
          <w:sz w:val="28"/>
          <w:sz w:val="28"/>
          <w:szCs w:val="28"/>
          <w:rtl w:val="true"/>
          <w:lang w:bidi="ar-SA"/>
        </w:rPr>
        <w:t>در اختلاف در انقضاى مدت به قول زن كه مدّعى انقضاى مدت است براى الزام زوج به فئه يا طلاق، يا بقاى آن به قول زوج، مدّعىِ بقا، قول او مقدّم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چنين در اختلاف در زمان وقوع ايلاء، مدّعى تأخّر ايلاء، مقدّم است قول او</w:t>
      </w:r>
      <w:r>
        <w:rPr>
          <w:rFonts w:eastAsia="IRNazanin" w:cs="IRNazanin"/>
          <w:color w:val="111111"/>
          <w:sz w:val="28"/>
          <w:szCs w:val="28"/>
          <w:rtl w:val="true"/>
          <w:lang w:bidi="fa-IR"/>
        </w:rPr>
        <w:t>.</w:t>
      </w:r>
    </w:p>
    <w:p>
      <w:pPr>
        <w:pStyle w:val="Heading4"/>
        <w:numPr>
          <w:ilvl w:val="3"/>
          <w:numId w:val="1"/>
        </w:numPr>
        <w:rPr/>
      </w:pPr>
      <w:bookmarkStart w:id="1668" w:name="__RefHeading___Toc3808399_1067777946"/>
      <w:bookmarkStart w:id="1669" w:name="_Toc712"/>
      <w:bookmarkEnd w:id="1668"/>
      <w:r>
        <w:rPr>
          <w:rtl w:val="true"/>
        </w:rPr>
        <w:t>حكم وجود مانع از وطى بعد از انقضاى مدت انتظار</w:t>
      </w:r>
      <w:bookmarkEnd w:id="1669"/>
    </w:p>
    <w:p>
      <w:pPr>
        <w:pStyle w:val="BookText"/>
        <w:rPr/>
      </w:pPr>
      <w:r>
        <w:rPr>
          <w:rFonts w:ascii="IRNazanin" w:hAnsi="IRNazanin" w:eastAsia="IRNazanin"/>
          <w:color w:val="111111"/>
          <w:sz w:val="28"/>
          <w:sz w:val="28"/>
          <w:szCs w:val="28"/>
          <w:rtl w:val="true"/>
          <w:lang w:bidi="fa-IR"/>
        </w:rPr>
        <w:t>اگر مدت تربّص، منقضى شد در حالى كه زن مانعى از وطى داشت مثل حيض يا مرض يا زمان غسل حيض بنا بر قولى، پس اگر فئه عاجز ثابت باشد، اظهر اين است كه مى تواند مطالبۀ آن يا طلاق نمايد؛ وگرنه بايد صبر نمايد تا زمان زوال عذر شرعى كه اول زمان فعليّت حق مى شود، بنا 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اعذار در مدت تربّص متجدّد شد، آيا محسوب نمى شود زمان آنها از مدت تربّص، بلكه بعد از زوال عذر، بنا بر آنچه گذشته است قبل از عذر، مى گذارد؛ يا آنكه محسوب مى شود، چون در آن زمان، فئه عاجز ممكن است، چنانچه زمان حيض متجدّد باشد محسوب مى شود؟ به همين جهت، مبنىِّ بر ثبوت فئه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اعذار رجل در مدت تربّص، تأثيرى در انقطاع مدت تربّص ندارد، چه در ابتدا باشند يا در اثنا؛ و اما بعد از مدت، پس مبنىّ بر فئه عاجز است فعليّت حق و تأخّر آن تا زمان زوال عذر غير دائم</w:t>
      </w:r>
      <w:r>
        <w:rPr>
          <w:rFonts w:eastAsia="IRNazanin" w:cs="IRNazanin"/>
          <w:color w:val="111111"/>
          <w:sz w:val="28"/>
          <w:szCs w:val="28"/>
          <w:rtl w:val="true"/>
          <w:lang w:bidi="fa-IR"/>
        </w:rPr>
        <w:t>.</w:t>
      </w:r>
    </w:p>
    <w:p>
      <w:pPr>
        <w:pStyle w:val="Heading4"/>
        <w:numPr>
          <w:ilvl w:val="3"/>
          <w:numId w:val="1"/>
        </w:numPr>
        <w:rPr/>
      </w:pPr>
      <w:bookmarkStart w:id="1670" w:name="__RefHeading___Toc3808401_1067777946"/>
      <w:bookmarkStart w:id="1671" w:name="_Toc713"/>
      <w:bookmarkEnd w:id="1670"/>
      <w:r>
        <w:rPr>
          <w:rtl w:val="true"/>
        </w:rPr>
        <w:t>حدوث جنون بعد از گذشت مدت</w:t>
      </w:r>
      <w:bookmarkEnd w:id="167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بعد از ضربِ مدت، مجنون شد، مدت تربّص باقى است؛ پس از آن مدت اگر جنون باقى بود، انتظار افاقه مى نمايند، و اگر محل تكليف باشد و فئه عاجز ثابت باشد، امر مى شود به فئه عاجز</w:t>
      </w:r>
      <w:r>
        <w:rPr>
          <w:rFonts w:eastAsia="IRNazanin" w:cs="IRNazanin"/>
          <w:color w:val="111111"/>
          <w:sz w:val="28"/>
          <w:szCs w:val="28"/>
          <w:rtl w:val="true"/>
          <w:lang w:bidi="fa-IR"/>
        </w:rPr>
        <w:t xml:space="preserve">. </w:t>
      </w:r>
      <w:bookmarkStart w:id="1672" w:name="pg10265_90040"/>
    </w:p>
    <w:p>
      <w:pPr>
        <w:pStyle w:val="Heading4"/>
        <w:numPr>
          <w:ilvl w:val="3"/>
          <w:numId w:val="1"/>
        </w:numPr>
        <w:rPr/>
      </w:pPr>
      <w:bookmarkStart w:id="1673" w:name="__RefHeading___Toc3808403_1067777946"/>
      <w:bookmarkStart w:id="1674" w:name="_Toc714"/>
      <w:bookmarkEnd w:id="1672"/>
      <w:bookmarkEnd w:id="1673"/>
      <w:r>
        <w:rPr>
          <w:rtl w:val="true"/>
        </w:rPr>
        <w:t>حكم انقضاى مدت در حال احرام</w:t>
      </w:r>
      <w:bookmarkEnd w:id="1674"/>
    </w:p>
    <w:p>
      <w:pPr>
        <w:pStyle w:val="BookText"/>
        <w:rPr/>
      </w:pPr>
      <w:r>
        <w:rPr>
          <w:rFonts w:ascii="IRNazanin" w:hAnsi="IRNazanin" w:eastAsia="IRNazanin"/>
          <w:color w:val="111111"/>
          <w:sz w:val="28"/>
          <w:sz w:val="28"/>
          <w:szCs w:val="28"/>
          <w:rtl w:val="true"/>
          <w:lang w:bidi="fa-IR"/>
        </w:rPr>
        <w:t>در حال احرام اگر مدت تربّص منقضى شد، به فئه معذور الزام مى شود بنا بر ثبوت آن؛ وگرنه تأخير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در صوم اگر جائز نباشد در آن افطار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وصف حرمت اگر دخول كرد و فعل حرام را مرتكب شد، فئه حاصل مى شود، با اكراه زن يا مطاوعه او بر حرام بر غير و بر نفس اگر چه از جهت اعانت بر اثم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وطى در حال حيض فئه است اگر چه عصيان است</w:t>
      </w:r>
      <w:r>
        <w:rPr>
          <w:rFonts w:eastAsia="IRNazanin" w:cs="IRNazanin"/>
          <w:color w:val="111111"/>
          <w:sz w:val="28"/>
          <w:szCs w:val="28"/>
          <w:rtl w:val="true"/>
          <w:lang w:bidi="fa-IR"/>
        </w:rPr>
        <w:t>.</w:t>
      </w:r>
    </w:p>
    <w:p>
      <w:pPr>
        <w:pStyle w:val="Heading4"/>
        <w:numPr>
          <w:ilvl w:val="3"/>
          <w:numId w:val="1"/>
        </w:numPr>
        <w:rPr/>
      </w:pPr>
      <w:bookmarkStart w:id="1675" w:name="__RefHeading___Toc3808405_1067777946"/>
      <w:bookmarkStart w:id="1676" w:name="_Toc715"/>
      <w:bookmarkEnd w:id="1675"/>
      <w:r>
        <w:rPr>
          <w:rtl w:val="true"/>
        </w:rPr>
        <w:t>حكم ايلاء بعد از ظهار</w:t>
      </w:r>
      <w:bookmarkEnd w:id="1676"/>
    </w:p>
    <w:p>
      <w:pPr>
        <w:pStyle w:val="BookText"/>
        <w:rPr/>
      </w:pPr>
      <w:r>
        <w:rPr>
          <w:rFonts w:ascii="IRNazanin" w:hAnsi="IRNazanin" w:eastAsia="IRNazanin"/>
          <w:color w:val="111111"/>
          <w:sz w:val="28"/>
          <w:sz w:val="28"/>
          <w:szCs w:val="28"/>
          <w:rtl w:val="true"/>
          <w:lang w:bidi="fa-IR"/>
        </w:rPr>
        <w:t>اگر ظهار كرد با زوجۀ خود، پس از آن ايلاء نمود با او، هر دو صحيح و مؤثّر واقع مى شوند، و حرمت از دو سبب، محقّق و كفاره از دو سبب، لازم مى شود؛ و تفاوت بين سه ماه ظهار در مدت تربّص و چهار ماه ايلاء رعايت مى شود؛ پس اگر مدت ظهار گذشت، الزام به حكم خصوص ظهار مى شود، پس مرافعه مى نمايد زوج را و ايقاف مى شود بعد از مدت ظهار؛ پس اگر طلاق داد، وفاى به حق زن كرده و خارج از حكم ظهار و ايلاء شده است، و اگر امتناع از طلاق نمود الزام مى شود به تكفير و عود به وطى زن، به واسطۀ اينكه به ظهار اسقاط نموده آنچه را كه ايلاء مستلزم آن است از تربّص تا چهار ماه، و بر او است بعد از وطى كفارۀ ايلاء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متوقف باشد كفارۀ ظهار بر مدتى زائد از مدت ايلاء، يا آنكه ظهار، متأخّر از ايلاء باشد به نحوى كه مدت ايلاء قبل از فراغ از ظهار منقضى باشد، هر دو در اثر خود تأثير مى نمايد؛ پس براى ايلاء در صورت اباى از طلاق، الزام به فئه عاجز مى شود، چون وطى حرام است به سبب ظهار غير منقضى بنا بر ثبوت فئۀ عاجز؛ پس دو كفاره بر او لازم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براى فئه ايلاء، و يكى براى عزم بر وطى در ظهار با تعقّب به وطى</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اين حال، اراده وطى نمايد، براى ايلاء حرمت ندارد لكن به سبب ظهار، حرمت دارد قبل از تكفير؛ و بر زن حرمت اعانت بر اثم ثابت است؛ و با </w:t>
      </w:r>
      <w:bookmarkStart w:id="1677" w:name="pg10265_90041"/>
    </w:p>
    <w:p>
      <w:pPr>
        <w:pStyle w:val="BookText"/>
        <w:rPr/>
      </w:pPr>
      <w:bookmarkEnd w:id="1677"/>
      <w:r>
        <w:rPr>
          <w:rFonts w:ascii="Amiri" w:hAnsi="Amiri" w:eastAsia="Amiri" w:cs="Amiri"/>
          <w:color w:val="111111"/>
          <w:sz w:val="28"/>
          <w:sz w:val="28"/>
          <w:szCs w:val="28"/>
          <w:rtl w:val="true"/>
          <w:lang w:bidi="ar-SA"/>
        </w:rPr>
        <w:t>تحقّق وطى محرّم، فئه ظهار و ايلاء حاصل مى شود؛ و بر او است كفارۀ ظهار و ايلاء يعنى دو كفارۀ ظهار و يك كفارۀ ايلاء</w:t>
      </w:r>
      <w:r>
        <w:rPr>
          <w:rFonts w:eastAsia="Amiri" w:cs="Amiri" w:ascii="Amiri" w:hAnsi="Amiri"/>
          <w:color w:val="111111"/>
          <w:sz w:val="28"/>
          <w:szCs w:val="28"/>
          <w:rtl w:val="true"/>
          <w:lang w:bidi="ar-SA"/>
        </w:rPr>
        <w:t>.</w:t>
      </w:r>
    </w:p>
    <w:p>
      <w:pPr>
        <w:pStyle w:val="Heading4"/>
        <w:numPr>
          <w:ilvl w:val="3"/>
          <w:numId w:val="1"/>
        </w:numPr>
        <w:rPr/>
      </w:pPr>
      <w:bookmarkStart w:id="1678" w:name="__RefHeading___Toc3808407_1067777946"/>
      <w:bookmarkStart w:id="1679" w:name="_Toc716"/>
      <w:bookmarkEnd w:id="1678"/>
      <w:r>
        <w:rPr>
          <w:rtl w:val="true"/>
        </w:rPr>
        <w:t>حكم ارتداد بعد از ايلاء</w:t>
      </w:r>
      <w:bookmarkEnd w:id="1679"/>
    </w:p>
    <w:p>
      <w:pPr>
        <w:pStyle w:val="BookText"/>
        <w:rPr/>
      </w:pPr>
      <w:r>
        <w:rPr>
          <w:rFonts w:ascii="IRNazanin" w:hAnsi="IRNazanin" w:eastAsia="IRNazanin"/>
          <w:color w:val="111111"/>
          <w:sz w:val="28"/>
          <w:sz w:val="28"/>
          <w:szCs w:val="28"/>
          <w:rtl w:val="true"/>
          <w:lang w:bidi="fa-IR"/>
        </w:rPr>
        <w:t xml:space="preserve">اگر ايلاء كرد، پس از آن به ارتداد ملى مبتلا كرد خود را، پس در احتساب زمان ارتداد اگر متعقب به رجوع در عده باشد از مدت تربّص، به واسطۀ اينكه منعِ وطى به سبب ايلاء نيست، بلكه، به سبب ارتداد است كه مزيل زوجيّت است نه سبب ايلاء زوجه، يا عدم احتساب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زمان عده طلاق اگر متعقب به رجوع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است، و اوّلى قول منسوب به اكثر و دومى منسوب به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680" w:name="__RefHeading___Toc3808409_1067777946"/>
      <w:bookmarkStart w:id="1681" w:name="_Toc717"/>
      <w:bookmarkEnd w:id="1680"/>
      <w:r>
        <w:rPr>
          <w:rtl w:val="true"/>
        </w:rPr>
        <w:t>حكم وطى بعد از ايلاء و در اثناى مدت انتظار</w:t>
      </w:r>
      <w:bookmarkEnd w:id="168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وطى كرد بعد از ايلاء در اثناى مدت تربّص، بر او كفارۀ ايلاء است؛ و اگر وطى كرد بعد از مدت تربّص، اظهر وجوب كفاره است</w:t>
      </w:r>
      <w:r>
        <w:rPr>
          <w:rFonts w:eastAsia="IRNazanin" w:cs="IRNazanin"/>
          <w:color w:val="111111"/>
          <w:sz w:val="28"/>
          <w:szCs w:val="28"/>
          <w:rtl w:val="true"/>
          <w:lang w:bidi="fa-IR"/>
        </w:rPr>
        <w:t>.</w:t>
      </w:r>
    </w:p>
    <w:p>
      <w:pPr>
        <w:pStyle w:val="Heading4"/>
        <w:numPr>
          <w:ilvl w:val="3"/>
          <w:numId w:val="1"/>
        </w:numPr>
        <w:rPr/>
      </w:pPr>
      <w:bookmarkStart w:id="1682" w:name="__RefHeading___Toc3808411_1067777946"/>
      <w:bookmarkStart w:id="1683" w:name="_Toc718"/>
      <w:bookmarkEnd w:id="1682"/>
      <w:r>
        <w:rPr>
          <w:rtl w:val="true"/>
        </w:rPr>
        <w:t>وطى بدون التفات</w:t>
      </w:r>
      <w:bookmarkEnd w:id="168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بدون التفات يا در حال جنون يا در اشتباه به حليلۀ ديگر، وطى نمود، كفاره ندارد؛ و اظهر عدم انحلال ايلاء است، پس بعد از مدت تربّص، حق دارد مطالبۀ فئه يا طلاق را نمايد</w:t>
      </w:r>
      <w:r>
        <w:rPr>
          <w:rFonts w:eastAsia="IRNazanin" w:cs="IRNazanin"/>
          <w:color w:val="111111"/>
          <w:sz w:val="28"/>
          <w:szCs w:val="28"/>
          <w:rtl w:val="true"/>
          <w:lang w:bidi="fa-IR"/>
        </w:rPr>
        <w:t>.</w:t>
      </w:r>
    </w:p>
    <w:p>
      <w:pPr>
        <w:pStyle w:val="Heading4"/>
        <w:numPr>
          <w:ilvl w:val="3"/>
          <w:numId w:val="1"/>
        </w:numPr>
        <w:rPr/>
      </w:pPr>
      <w:bookmarkStart w:id="1684" w:name="__RefHeading___Toc3808413_1067777946"/>
      <w:bookmarkStart w:id="1685" w:name="_Toc719"/>
      <w:bookmarkEnd w:id="1684"/>
      <w:r>
        <w:rPr>
          <w:rtl w:val="true"/>
        </w:rPr>
        <w:t>حكم اختلاف در اصابت</w:t>
      </w:r>
      <w:bookmarkEnd w:id="168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ادعاى اصابت كرد و زوجه منكر بود، قول زوج مقدّم است با يمين او؛ و اظهر جواز رجوع بعد از طلاق با اين حلف بر اصابت است، اگر چه زن به واسطۀ علم به عدم، بر او جائز نباشد تمكين، مثل سائر موارد اختلاف احكام كه ثابت به طريق علم يا ظنّ مى شوند</w:t>
      </w:r>
      <w:r>
        <w:rPr>
          <w:rFonts w:eastAsia="IRNazanin" w:cs="IRNazanin"/>
          <w:color w:val="111111"/>
          <w:sz w:val="28"/>
          <w:szCs w:val="28"/>
          <w:rtl w:val="true"/>
          <w:lang w:bidi="fa-IR"/>
        </w:rPr>
        <w:t>.</w:t>
      </w:r>
    </w:p>
    <w:p>
      <w:pPr>
        <w:pStyle w:val="Heading4"/>
        <w:numPr>
          <w:ilvl w:val="3"/>
          <w:numId w:val="1"/>
        </w:numPr>
        <w:rPr/>
      </w:pPr>
      <w:bookmarkStart w:id="1686" w:name="__RefHeading___Toc3808415_1067777946"/>
      <w:bookmarkStart w:id="1687" w:name="_Toc720"/>
      <w:bookmarkEnd w:id="1686"/>
      <w:r>
        <w:rPr>
          <w:rtl w:val="true"/>
        </w:rPr>
        <w:t>زمان شروع مدت</w:t>
      </w:r>
      <w:bookmarkEnd w:id="168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چهار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حاكم ضرب اجل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حين مرافعه است نه از حين</w:t>
      </w:r>
      <w:bookmarkStart w:id="1688" w:name="pg10265_90042"/>
    </w:p>
    <w:p>
      <w:pPr>
        <w:pStyle w:val="BookText"/>
        <w:rPr/>
      </w:pPr>
      <w:bookmarkEnd w:id="1688"/>
      <w:r>
        <w:rPr>
          <w:rFonts w:ascii="IRNazanin" w:hAnsi="IRNazanin" w:eastAsia="IRNazanin"/>
          <w:color w:val="111111"/>
          <w:sz w:val="28"/>
          <w:sz w:val="28"/>
          <w:szCs w:val="28"/>
          <w:rtl w:val="true"/>
          <w:lang w:bidi="fa-IR"/>
        </w:rPr>
        <w:t xml:space="preserve">ايلاء، بنا بر احوط براى زوجه و اقرب به آنچه استفاده از روايات مى شود و مشهور بين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689" w:name="__RefHeading___Toc3808417_1067777946"/>
      <w:bookmarkStart w:id="1690" w:name="_Toc721"/>
      <w:bookmarkEnd w:id="1689"/>
      <w:r>
        <w:rPr>
          <w:rtl w:val="true"/>
        </w:rPr>
        <w:t>اگر زوجين ذمّى بودند</w:t>
      </w:r>
      <w:bookmarkEnd w:id="1690"/>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زوج و زوجه اگر ذمّى بودند و ترافع كرد نزد حكّام اسلام، مخيّر است بين حكم بين آنها به مقتضاى دين حق و بين اعراض و رد ايشان به سوى اهل دين آنها</w:t>
      </w:r>
      <w:r>
        <w:rPr>
          <w:rFonts w:eastAsia="IRNazanin" w:cs="IRNazanin"/>
          <w:color w:val="111111"/>
          <w:sz w:val="28"/>
          <w:szCs w:val="28"/>
          <w:rtl w:val="true"/>
          <w:lang w:bidi="fa-IR"/>
        </w:rPr>
        <w:t>.</w:t>
      </w:r>
    </w:p>
    <w:p>
      <w:pPr>
        <w:pStyle w:val="Heading4"/>
        <w:numPr>
          <w:ilvl w:val="3"/>
          <w:numId w:val="1"/>
        </w:numPr>
        <w:rPr/>
      </w:pPr>
      <w:bookmarkStart w:id="1691" w:name="__RefHeading___Toc3808419_1067777946"/>
      <w:bookmarkStart w:id="1692" w:name="_Toc722"/>
      <w:bookmarkEnd w:id="1691"/>
      <w:r>
        <w:rPr>
          <w:rtl w:val="true"/>
        </w:rPr>
        <w:t>فئۀ قادر و فئۀ عاجز</w:t>
      </w:r>
      <w:bookmarkEnd w:id="1692"/>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مى شود فئه قادر، به غيبوبت حشفه در قُبل، و فئۀ عاجز در مورد ثبوت آن، به اظهار عزم بر وطى بر تقدير قدرت، اگر چه به قول يا كتابت يا اشارۀ مفهمه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امهال به نحو متعارف و معتاد براى زوج ثابت است</w:t>
      </w:r>
      <w:r>
        <w:rPr>
          <w:rFonts w:eastAsia="IRNazanin" w:cs="IRNazanin"/>
          <w:color w:val="111111"/>
          <w:sz w:val="28"/>
          <w:szCs w:val="28"/>
          <w:rtl w:val="true"/>
          <w:lang w:bidi="fa-IR"/>
        </w:rPr>
        <w:t>.</w:t>
      </w:r>
    </w:p>
    <w:p>
      <w:pPr>
        <w:pStyle w:val="Heading4"/>
        <w:numPr>
          <w:ilvl w:val="3"/>
          <w:numId w:val="1"/>
        </w:numPr>
        <w:rPr/>
      </w:pPr>
      <w:bookmarkStart w:id="1693" w:name="__RefHeading___Toc3808421_1067777946"/>
      <w:bookmarkStart w:id="1694" w:name="_Toc723"/>
      <w:bookmarkEnd w:id="1693"/>
      <w:r>
        <w:rPr>
          <w:rtl w:val="true"/>
        </w:rPr>
        <w:t>حكم ايلاء حرّ با زوجۀ امه</w:t>
      </w:r>
      <w:bookmarkEnd w:id="1694"/>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حرّ با زوجۀ اَمه ايلاء نمود، پس از آن خريد و عتق كرد او را و ازدواج نمود با او، ايلاء منتفى عود نمى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عبد با حرّه ايلاء نمود پس از آن خريد عبد را و عتق كرد و ازدواج نمود با او، عود نمى نمايد ايلاء منتفى شده به سبب زوال زوجيّت</w:t>
      </w:r>
      <w:r>
        <w:rPr>
          <w:rFonts w:eastAsia="IRNazanin" w:cs="IRNazanin"/>
          <w:color w:val="111111"/>
          <w:sz w:val="28"/>
          <w:szCs w:val="28"/>
          <w:rtl w:val="true"/>
          <w:lang w:bidi="fa-IR"/>
        </w:rPr>
        <w:t>.</w:t>
      </w:r>
    </w:p>
    <w:p>
      <w:pPr>
        <w:pStyle w:val="Heading4"/>
        <w:numPr>
          <w:ilvl w:val="3"/>
          <w:numId w:val="1"/>
        </w:numPr>
        <w:rPr/>
      </w:pPr>
      <w:bookmarkStart w:id="1695" w:name="__RefHeading___Toc3808423_1067777946"/>
      <w:bookmarkStart w:id="1696" w:name="_Toc724"/>
      <w:bookmarkEnd w:id="1695"/>
      <w:r>
        <w:rPr>
          <w:rtl w:val="true"/>
        </w:rPr>
        <w:t xml:space="preserve">حكم گفتن </w:t>
      </w:r>
      <w:r>
        <w:rPr>
          <w:rtl w:val="true"/>
        </w:rPr>
        <w:t>«</w:t>
      </w:r>
      <w:r>
        <w:rPr>
          <w:rtl w:val="true"/>
        </w:rPr>
        <w:t>و اللّٰه لأوطأتكنّ‌</w:t>
      </w:r>
      <w:r>
        <w:rPr>
          <w:rtl w:val="true"/>
        </w:rPr>
        <w:t xml:space="preserve">» </w:t>
      </w:r>
      <w:r>
        <w:rPr>
          <w:rtl w:val="true"/>
        </w:rPr>
        <w:t>و صور مختلف قصد گويند و حكم هر يك</w:t>
      </w:r>
      <w:bookmarkEnd w:id="1696"/>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لأوطأتكنّ‌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اراده مجموع داشته با قرينه، نه جميع، پس مرجع آن به حلف بر ترك رابعه بعد از وطى ثلاث است، پس مشتمل بر تعليق محلوفٌ عليه و عدم تعيين آن در وقت حلف است و اكتفاى به تعيّن واقعى آن است؛ و بر تقدير عدم اشكال از اين دو جهت، فعليّت يمين بعد از تحقّق شرط است، بنابر اظهر</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مقصود حلف بر ترك مجموع باشد، يعنى آن كه اضافۀ حلف به وطى او </w:t>
      </w:r>
    </w:p>
    <w:p>
      <w:pPr>
        <w:pStyle w:val="BookText"/>
        <w:rPr/>
      </w:pPr>
      <w:r>
        <w:rPr>
          <w:rFonts w:ascii="IRNazanin" w:hAnsi="IRNazanin" w:eastAsia="IRNazanin"/>
          <w:color w:val="111111"/>
          <w:sz w:val="28"/>
          <w:sz w:val="28"/>
          <w:szCs w:val="28"/>
          <w:rtl w:val="true"/>
          <w:lang w:bidi="fa-IR"/>
        </w:rPr>
        <w:t xml:space="preserve">تارةً و ترك وطى او احياناً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ممكن است اشكال در صحّت ايلاء مطلقاً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واحده نيست بلكه موجود واحد حقيقى نيست، و ايلاء در او خارج از متيقّن از ادله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اول، وطى سه نفر جائز است به خلاف چهارم؛ و در اين تقدير، چهارمى مرافعه و طلب ايقاف و ضرب اجل و تخيير بعد از اجل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در تقرير اين ايلاء ذكر شد، معلوم مى شود كه اگر يكى از چهار، وفات نمايد، منحلّ مى شود يمين، به جهت امتناع تحقّق شرط كه وطى سه 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يكى را طلاق بائن داد، متعذر مى شود شرط در حال بينونت، و به تعذر آن، مشروط هم متعذر مى شود در آن زمان؛ و بنا بر اعتبار استمرار امكان حنث در زمان حلف، منحلّ مى شود يمين از اين جهت،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لاٰوطأت واحدة منكنّ‌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عموم بدلى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جئنى بواحدة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ايلاء به همه متعلّق مى شود، و ضرب مدت براى همه مى شود، و اگر يكى را وطى نمود، حنث واقع مى شود، و يمين در بقيه منحلّ مى شود؛</w:t>
      </w:r>
    </w:p>
    <w:p>
      <w:pPr>
        <w:pStyle w:val="BookText"/>
        <w:rPr/>
      </w:pPr>
      <w:r>
        <w:rPr>
          <w:rFonts w:ascii="IRNazanin" w:hAnsi="IRNazanin" w:eastAsia="IRNazanin"/>
          <w:color w:val="111111"/>
          <w:sz w:val="28"/>
          <w:sz w:val="28"/>
          <w:szCs w:val="28"/>
          <w:rtl w:val="true"/>
          <w:lang w:bidi="fa-IR"/>
        </w:rPr>
        <w:t xml:space="preserve">چنين فرموده اند، لكن قابل مناقشه است، زيرا شرطِ انفراد با تحقّق ايلاء نسبت به همه، جمع نمى شود و قابليّت انطباق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در حال انفراد، غير از قابليّت انطباق است اگر چه در حال اجتماع باشد، و غير از قابليّت فعليّه است بر همه با هم، وگرنه رجوع به عموم سلب مى نمايد و بر اين تقدير منحلّ نمى شود يمين در بقيه؛ و جمع بين حكم ايلاء متعدّد به ضرب اجل براى همه و امر به طلاق همه، و حكم ايلاء واحد به سبب انحلال به حنث در يكى،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مقتضاى مناقشه مذكوره، عدم صحّت ايلاء است؛ و بر تقدير صحّت، اگر طلاق داد همه را غير از يكى، متعين در همان باقيمانده مى شود و منحلّ نمى شود يمين به طلاق مطلّقات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معين را در همين صورت قاصد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قول او مقدّم است با </w:t>
      </w:r>
    </w:p>
    <w:p>
      <w:pPr>
        <w:pStyle w:val="BookText"/>
        <w:rPr/>
      </w:pPr>
      <w:r>
        <w:rPr>
          <w:rFonts w:ascii="Amiri" w:hAnsi="Amiri" w:eastAsia="Amiri" w:cs="Amiri"/>
          <w:color w:val="111111"/>
          <w:sz w:val="28"/>
          <w:sz w:val="28"/>
          <w:szCs w:val="28"/>
          <w:rtl w:val="true"/>
          <w:lang w:bidi="ar-SA"/>
        </w:rPr>
        <w:t>يمين او بر مخالف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نكول كرد از يمين، زنى كه ادعاى قصد او دارد، قسم ياد مى نمايد و حكم ايلاء در باره او ثابت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اقرار نمود در جواب همين مدّعيه، به حكم اقرار او عمل مى شود، و به لوازم اقرار كه رجوع از اوّلى باشد، عمل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وطى كرد هر دو را در صورت اقرار براى دومى يا نكول از يمين با يمين ديگرى، اظهر عدم وجوب دو كفاره است، بلكه يك كفاره به قصد ما فى الذمه اگر باقى بر تعيين نيست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اقرار دومى در حكم فئه باشد كه حكم تعيين اولى زائل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جواب ادعاى تعيين از سه زن، انكار كرد، متعين مى شود چهارمى براى ايلاء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واحدۀ غير معيّنه را قصد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جهت عموم بدلى، اظهر محكوميّت آن به حكم طلاق مبهم است كه به تعيين متأخّر متعين مى شود؛ و محتمل است رجوع آن به ايلاء آنكه بعد تعيين مى شود كه خودش به اين عنوان تعيّن دارد؛ و بر تقدير اين رجوع، صحيح نمى شود ايلاء اگر تا آخر تعيين نشود و محلّ تعيين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ايلاء قبل از تعيين، در واحدۀ لا بعينها، يعنى غير معلومه، صحيح مى شود بنا بر احوط؛ و بعد از تعيين، ديگرى حق ادعايى ندارد؛ و بنابراين كه ايلاء، وقت ابتداى مدت تربّص است، در اينجا اعتبار به وقت يمين يا تعيين است‌؟ موكول به مختار مبيّن در طلاق مبهم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تعيين نكرد و چهار ماه گذشت، پس اگر ايلاء از وقت يمين ابتدا مى شود، پس از اين مدت اگر وكيل همه مطالبه دارد، الزام مى شود به تعيين و بعد از آن به فئه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و اگر قبل از تعيين فئه نسبت به سه زن نمود، از حكم ايلاء خارج نمى شود به جهت احتمال تعلّق آن به چهارمى، مگر آنكه تعيين كند باقيه را، </w:t>
      </w:r>
    </w:p>
    <w:p>
      <w:pPr>
        <w:pStyle w:val="BookText"/>
        <w:rPr/>
      </w:pPr>
      <w:r>
        <w:rPr>
          <w:rFonts w:ascii="Amiri" w:hAnsi="Amiri" w:eastAsia="Amiri" w:cs="Amiri"/>
          <w:color w:val="111111"/>
          <w:sz w:val="28"/>
          <w:sz w:val="28"/>
          <w:szCs w:val="28"/>
          <w:rtl w:val="true"/>
          <w:lang w:bidi="ar-SA"/>
        </w:rPr>
        <w:t>يا تعيين او در متقدّمه مؤثّر باشد و تأثير در لزوم كفاره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دادم آن را كه ايلاء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حكم ايلاء خارج مى شود، و بايد تعيين مطلّقه نمايد در احكام 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صحّت ايلاء در صورت عدم تعيين، حنث حاصل مى شود به وطى همه، و كفاره لازم مى شود در وطى يكى؛ و محتمل، صحّت ايلاءِ مبهم با عدم تعقّب آن به تعيين است؛ پس رعايت احتياط در فئه بعد از مدت يا طلاق نسبت به همه است به نحوى كه على اىّ تقدير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چه ايلاء در هر زنى صحيح باشد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تكليف به عمل نيامده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فرض ايلاءِ مبهم، يكى را طلاق بائن داد يا آنكه يكى وفات نمود، فرموده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منحلّ مى شود ايلاء به جهت عدم علم به بقاى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محل تأمّل است، به جهت احتمال موضوعيّت و عدم كاشفيّت تعيين كه محل آن فرضاً باقى است، و از اين جهت احتمال اعتبار به وقت تعيين،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مدت تربّص، ترك وطىِ همه كرد، يكى از آنها حق مطالبه دارد؛ و ممكن است اگر تعيين ننمايد او را، با قرعه تعيين شود، لكن احتياط در اين صورت ترك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بعضى را در مدت وطى نمود و ترك وطى بعض ديگر كرد، ممكن است اين عمل، تعيين متروكه باشد براى ايلاء؛ پس اگر يكى است، متعين مى شود؛ و اگر زائد است، به تعيين او متعيّن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آنكه با قرعه تعيين و استخراج مى شود اگر تعيين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قرعه به اسم موطوئه خارج شد، ايلاء منحلّ مى شود بنا بر قول سابق كه مورد تأمّل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مطلق شد و معلوم نشد كدام قسم عموم مراد است، پس حمل بر ايلاء مبهم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تقدير صحّت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است زيرا ايلاء ازيد از يك، غير معلوم و غير مستظهر است</w:t>
      </w:r>
      <w:r>
        <w:rPr>
          <w:rFonts w:eastAsia="IRNazanin" w:cs="IRNazanin"/>
          <w:color w:val="111111"/>
          <w:sz w:val="28"/>
          <w:szCs w:val="28"/>
          <w:rtl w:val="true"/>
          <w:lang w:bidi="fa-IR"/>
        </w:rPr>
        <w:t xml:space="preserve">. </w:t>
      </w:r>
      <w:bookmarkStart w:id="1697" w:name="pg10265_90046"/>
    </w:p>
    <w:p>
      <w:pPr>
        <w:pStyle w:val="BookText"/>
        <w:rPr/>
      </w:pPr>
      <w:bookmarkEnd w:id="1697"/>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لٰأوطأت كل واحدة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عموم شمولى، محمول بر ايلاء متعدّد مستقل مى شود و حكم ايلاء براى هر كدام ثابت است از وطى در مدت و فئه بعد از مدت و طلاق قبل از مدت و بعد از مدت؛ و طلاق موجب انحلال در بعضى، موجب انحلال آن در بقيه نمى شود؛ و هيچ كدام مربوط به آنچه مربوط به بقيه است،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حكم در يمين استغراقى در غير ايلاء ثابت است</w:t>
      </w:r>
      <w:r>
        <w:rPr>
          <w:rFonts w:eastAsia="IRNazanin" w:cs="IRNazanin"/>
          <w:color w:val="111111"/>
          <w:sz w:val="28"/>
          <w:szCs w:val="28"/>
          <w:rtl w:val="true"/>
          <w:lang w:bidi="fa-IR"/>
        </w:rPr>
        <w:t>.</w:t>
      </w:r>
    </w:p>
    <w:p>
      <w:pPr>
        <w:pStyle w:val="Heading4"/>
        <w:numPr>
          <w:ilvl w:val="3"/>
          <w:numId w:val="1"/>
        </w:numPr>
        <w:rPr/>
      </w:pPr>
      <w:bookmarkStart w:id="1698" w:name="__RefHeading___Toc3808425_1067777946"/>
      <w:bookmarkStart w:id="1699" w:name="_Toc725"/>
      <w:bookmarkEnd w:id="1698"/>
      <w:r>
        <w:rPr>
          <w:rtl w:val="true"/>
        </w:rPr>
        <w:t>صحّت ايلاء مطلّقۀ رجعيّه</w:t>
      </w:r>
      <w:bookmarkEnd w:id="1699"/>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ايلاء مطلَّقۀ رجعيّه صحيح است، و زمان عدّه از مدت تربّص حساب مى شود بنا بر اعتبار در ابتدا به وقت ايلاء؛ و اما بنابر اعتبار به وقت مرافعه پس محسوب نمى شود، به جهت عدم استحقاق استمتاع اگر ايلاء نبود؛ و اگر رجوع كرد پس مرافعه نمود، ضرب مدت از آن وقت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بعد از ايلاء، طلاق رجعى داد و رجوع كرد در عده، در احتساب عده از مدت تربّص، مثل زمان رده از ملّى با توبۀ در عدّه، كه در هر دو تمكّن از وطى محفوظ است به سبب تمكّن از رجوع و توبه، پس مانعى از داخل شدن زمان عده در مدت تربّص نيست؛ و بعد از رجوع و انقضاى مدت تربّص، مطالبۀ فئه يا طلاق مى نمايد</w:t>
      </w:r>
      <w:r>
        <w:rPr>
          <w:rFonts w:eastAsia="IRNazanin" w:cs="IRNazanin"/>
          <w:color w:val="111111"/>
          <w:sz w:val="28"/>
          <w:szCs w:val="28"/>
          <w:rtl w:val="true"/>
          <w:lang w:bidi="fa-IR"/>
        </w:rPr>
        <w:t>.</w:t>
      </w:r>
    </w:p>
    <w:p>
      <w:pPr>
        <w:pStyle w:val="Heading4"/>
        <w:numPr>
          <w:ilvl w:val="3"/>
          <w:numId w:val="1"/>
        </w:numPr>
        <w:rPr/>
      </w:pPr>
      <w:bookmarkStart w:id="1700" w:name="__RefHeading___Toc3808427_1067777946"/>
      <w:bookmarkStart w:id="1701" w:name="_Toc726"/>
      <w:bookmarkEnd w:id="1700"/>
      <w:r>
        <w:rPr>
          <w:rtl w:val="true"/>
        </w:rPr>
        <w:t>عدم سببيّت تكرار يمين براى تكرار كفّاره</w:t>
      </w:r>
      <w:bookmarkEnd w:id="1701"/>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مجرد تكرار يمين، موجب تكرار كفاره نمى شود با وحدت محلوفٌ عليه در ايلاء و در يمين غير ايلاء</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لٰأوطأتك خمسة اشهر فإذا انقضت فو اللّٰه لٰأوطأتك ستة اشهر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ايلاء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لٰأوطأتك خمسة اشهر و اللّٰه لٰا وطأتك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ايلاء است؛ و دومى مختص به نصف اخير سال است و مشترك است با اوّلى در نصف اول سال؛ و اولى مختص به نصف اول سال است؛ پس اگر </w:t>
      </w:r>
      <w:bookmarkStart w:id="1702" w:name="pg10265_90047"/>
    </w:p>
    <w:p>
      <w:pPr>
        <w:pStyle w:val="BookText"/>
        <w:rPr/>
      </w:pPr>
      <w:bookmarkEnd w:id="1702"/>
      <w:r>
        <w:rPr>
          <w:rFonts w:ascii="IRNazanin" w:hAnsi="IRNazanin" w:eastAsia="IRNazanin"/>
          <w:color w:val="111111"/>
          <w:sz w:val="28"/>
          <w:sz w:val="28"/>
          <w:szCs w:val="28"/>
          <w:rtl w:val="true"/>
          <w:lang w:bidi="fa-IR"/>
        </w:rPr>
        <w:t xml:space="preserve">بعد از تربّص چهار ماه، از اوّلى فئه يا طلاق حاصل شد، هر دو ايلاء منحلّ مى شود بنا بر وجهى، و يك كفاره بر او ثابت است؛ و اگر مدافعه از فئه و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گذشت هر دو منحلّ مى شود؛ و اگر مدت اولى گذشت با مدافعه، حكم مدت دومى باقى است در صورتى كه دومى بيش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آن باقى مانده باشد و قابل تأثير در تقدير عدم تأثير اولى باشد، و تعدّد ايلاء به لحاظ همين قابليّت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طلاق بائن بدون فئه بعد از مدت اوّلى، موجب انحلال هر دو ايلاء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طلاق رجعى موجب انحلال اوّلى است نه دومى اگر متعقب به رجوع باشد و بيش از چهار ماه از مدت دومى باقى مانده باشد و مدت اعتداد از مدت تربّص محسوب بشود بنا بر اظهر، و در فئه هم بعد از چهار ماه اوّلى وجه ديگر اين است كه يمين دوّم منحلّ نمى شود در مدّت آن اگر باقى است؛ و اگر مدت بيش از چهار ماه نباشد براى ايلاء دومى، آن هم مثل اول منحلّ مى شود به عنوان ايلاء و حكم آن، اما يمين دوم باقى است</w:t>
      </w:r>
      <w:r>
        <w:rPr>
          <w:rFonts w:eastAsia="IRNazanin" w:cs="IRNazanin"/>
          <w:color w:val="111111"/>
          <w:sz w:val="28"/>
          <w:szCs w:val="28"/>
          <w:rtl w:val="true"/>
          <w:lang w:bidi="fa-IR"/>
        </w:rPr>
        <w:t>.</w:t>
      </w:r>
    </w:p>
    <w:p>
      <w:pPr>
        <w:pStyle w:val="Heading4"/>
        <w:numPr>
          <w:ilvl w:val="3"/>
          <w:numId w:val="1"/>
        </w:numPr>
        <w:rPr/>
      </w:pPr>
      <w:bookmarkStart w:id="1703" w:name="__RefHeading___Toc3808429_1067777946"/>
      <w:bookmarkStart w:id="1704" w:name="_Toc727"/>
      <w:bookmarkEnd w:id="1703"/>
      <w:r>
        <w:rPr>
          <w:rtl w:val="true"/>
        </w:rPr>
        <w:t xml:space="preserve">حكم گفتن </w:t>
      </w:r>
      <w:r>
        <w:rPr>
          <w:rtl w:val="true"/>
        </w:rPr>
        <w:t>«</w:t>
      </w:r>
      <w:r>
        <w:rPr>
          <w:rtl w:val="true"/>
        </w:rPr>
        <w:t>و اللّٰه لأوطأتك فى السنة الّا مرّة</w:t>
      </w:r>
      <w:r>
        <w:rPr>
          <w:rtl w:val="true"/>
        </w:rPr>
        <w:t>»</w:t>
      </w:r>
      <w:bookmarkEnd w:id="1704"/>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لأوطأتك في السنة الّا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فعلاً ايلاء محقّق نمى شود؛ بلكه اگر وطى كرد به قدر مستثنى، و باقيمانده بيش از چهار ماه باشد، ايلاء محقّق مى شود و حكم ايلاء فعلى مى شود؛ و اگر بيش نباشد حكم يمين مطلق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هيچ وطى نكرد در سال، كفارۀ يمين را دارد، مگر آنكه استظهار شود حلف بر عدم، نه بر عدم و وجود مستثنى، چنانچه ظاهر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نزع بين دو ايلاج تعدّدآور است لذا كفاره براى دومى ثابت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أصبتك في هذه السنة فو اللّٰه لٰا أصبتك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ايلاء محقّق نيست، بلكه بعد از اصابت محقّق مى شود ايلاء، و مبنىّ بر صحّت ايلاء معلّق است در انشا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بلغ المقام بحمده تعالى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بيد العبد محمّد تقى بن محمود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البهجة الجيلاني عفى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علىٰ محمّد و آله الطاهرين</w:t>
      </w:r>
      <w:r>
        <w:rPr>
          <w:rFonts w:eastAsia="Amiri" w:cs="Amiri" w:ascii="Amiri" w:hAnsi="Amiri"/>
          <w:color w:val="111111"/>
          <w:sz w:val="28"/>
          <w:szCs w:val="28"/>
          <w:rtl w:val="true"/>
          <w:lang w:bidi="ar-SA"/>
        </w:rPr>
        <w:t xml:space="preserve">. </w:t>
      </w:r>
      <w:bookmarkStart w:id="1705" w:name="pg10265_90048"/>
    </w:p>
    <w:p>
      <w:pPr>
        <w:pStyle w:val="Heading2"/>
        <w:numPr>
          <w:ilvl w:val="1"/>
          <w:numId w:val="1"/>
        </w:numPr>
        <w:rPr/>
      </w:pPr>
      <w:bookmarkStart w:id="1706" w:name="__RefHeading___Toc3808431_1067777946"/>
      <w:bookmarkStart w:id="1707" w:name="_Toc728"/>
      <w:bookmarkEnd w:id="1705"/>
      <w:bookmarkEnd w:id="1706"/>
      <w:r>
        <w:rPr>
          <w:rtl w:val="true"/>
        </w:rPr>
        <w:t>كتاب لعان</w:t>
      </w:r>
      <w:bookmarkEnd w:id="1707"/>
    </w:p>
    <w:p>
      <w:pPr>
        <w:pStyle w:val="Heading3"/>
        <w:numPr>
          <w:ilvl w:val="2"/>
          <w:numId w:val="1"/>
        </w:numPr>
        <w:rPr/>
      </w:pPr>
      <w:bookmarkStart w:id="1708" w:name="__RefHeading___Toc3808433_1067777946"/>
      <w:bookmarkStart w:id="1709" w:name="_Toc729"/>
      <w:bookmarkEnd w:id="1708"/>
      <w:r>
        <w:rPr>
          <w:rtl w:val="true"/>
        </w:rPr>
        <w:t>اشاره</w:t>
      </w:r>
      <w:bookmarkEnd w:id="1709"/>
    </w:p>
    <w:p>
      <w:pPr>
        <w:pStyle w:val="BookText"/>
        <w:rPr/>
      </w:pPr>
      <w:r>
        <w:rPr>
          <w:rFonts w:ascii="IRNazanin" w:hAnsi="IRNazanin" w:eastAsia="IRNazanin"/>
          <w:color w:val="111111"/>
          <w:sz w:val="28"/>
          <w:sz w:val="28"/>
          <w:szCs w:val="28"/>
          <w:rtl w:val="true"/>
          <w:lang w:bidi="fa-IR"/>
        </w:rPr>
        <w:t>اسباب لعان</w:t>
      </w:r>
    </w:p>
    <w:p>
      <w:pPr>
        <w:pStyle w:val="BookText"/>
        <w:rPr/>
      </w:pPr>
      <w:r>
        <w:rPr>
          <w:rFonts w:ascii="IRNazanin" w:hAnsi="IRNazanin" w:eastAsia="IRNazanin"/>
          <w:color w:val="111111"/>
          <w:sz w:val="28"/>
          <w:sz w:val="28"/>
          <w:szCs w:val="28"/>
          <w:rtl w:val="true"/>
          <w:lang w:bidi="fa-IR"/>
        </w:rPr>
        <w:t>اوصاف ملاعن و ملاعنه</w:t>
      </w:r>
    </w:p>
    <w:p>
      <w:pPr>
        <w:pStyle w:val="BookText"/>
        <w:rPr/>
      </w:pPr>
      <w:r>
        <w:rPr>
          <w:rFonts w:ascii="Amiri" w:hAnsi="Amiri" w:eastAsia="Amiri" w:cs="Amiri"/>
          <w:color w:val="111111"/>
          <w:sz w:val="28"/>
          <w:sz w:val="28"/>
          <w:szCs w:val="28"/>
          <w:rtl w:val="true"/>
          <w:lang w:bidi="ar-SA"/>
        </w:rPr>
        <w:t>كيفيّت لعان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لعان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0" w:name="pg10265_90050"/>
      <w:bookmarkStart w:id="1711" w:name="pg10265_90050"/>
      <w:bookmarkEnd w:id="1711"/>
    </w:p>
    <w:p>
      <w:pPr>
        <w:pStyle w:val="Heading3"/>
        <w:numPr>
          <w:ilvl w:val="2"/>
          <w:numId w:val="1"/>
        </w:numPr>
        <w:rPr/>
      </w:pPr>
      <w:bookmarkStart w:id="1712" w:name="pg10265_90050"/>
      <w:bookmarkStart w:id="1713" w:name="__RefHeading___Toc3808435_1067777946"/>
      <w:bookmarkStart w:id="1714" w:name="_Toc730"/>
      <w:bookmarkEnd w:id="1712"/>
      <w:bookmarkEnd w:id="1713"/>
      <w:r>
        <w:rPr>
          <w:rtl w:val="true"/>
        </w:rPr>
        <w:t>فصل اوّل اسباب لعان</w:t>
      </w:r>
      <w:bookmarkEnd w:id="1714"/>
    </w:p>
    <w:p>
      <w:pPr>
        <w:pStyle w:val="Heading4"/>
        <w:numPr>
          <w:ilvl w:val="3"/>
          <w:numId w:val="1"/>
        </w:numPr>
        <w:rPr/>
      </w:pPr>
      <w:bookmarkStart w:id="1715" w:name="__RefHeading___Toc3808437_1067777946"/>
      <w:bookmarkStart w:id="1716" w:name="_Toc731"/>
      <w:bookmarkEnd w:id="1715"/>
      <w:r>
        <w:rPr>
          <w:rtl w:val="true"/>
        </w:rPr>
        <w:t>اشاره</w:t>
      </w:r>
      <w:bookmarkEnd w:id="1716"/>
    </w:p>
    <w:p>
      <w:pPr>
        <w:pStyle w:val="BookText"/>
        <w:rPr/>
      </w:pPr>
      <w:r>
        <w:rPr>
          <w:rFonts w:ascii="IRNazanin" w:hAnsi="IRNazanin" w:eastAsia="IRNazanin"/>
          <w:color w:val="111111"/>
          <w:sz w:val="28"/>
          <w:sz w:val="28"/>
          <w:szCs w:val="28"/>
          <w:rtl w:val="true"/>
          <w:lang w:bidi="fa-IR"/>
        </w:rPr>
        <w:t>اسباب لعان زوجين دو چيز است</w:t>
      </w:r>
      <w:r>
        <w:rPr>
          <w:rFonts w:eastAsia="IRNazanin" w:cs="IRNazanin"/>
          <w:color w:val="111111"/>
          <w:sz w:val="28"/>
          <w:szCs w:val="28"/>
          <w:rtl w:val="true"/>
          <w:lang w:bidi="fa-IR"/>
        </w:rPr>
        <w:t>:</w:t>
      </w:r>
    </w:p>
    <w:p>
      <w:pPr>
        <w:pStyle w:val="Heading4"/>
        <w:numPr>
          <w:ilvl w:val="3"/>
          <w:numId w:val="1"/>
        </w:numPr>
        <w:rPr/>
      </w:pPr>
      <w:bookmarkStart w:id="1717" w:name="__RefHeading___Toc3808439_1067777946"/>
      <w:bookmarkStart w:id="1718" w:name="_Toc732"/>
      <w:bookmarkEnd w:id="1717"/>
      <w:r>
        <w:rPr/>
        <w:t>1</w:t>
      </w:r>
      <w:r>
        <w:rPr>
          <w:rtl w:val="true"/>
        </w:rPr>
        <w:t xml:space="preserve">. </w:t>
      </w:r>
      <w:r>
        <w:rPr>
          <w:rtl w:val="true"/>
        </w:rPr>
        <w:t>قذف است</w:t>
      </w:r>
      <w:bookmarkEnd w:id="1718"/>
    </w:p>
    <w:p>
      <w:pPr>
        <w:pStyle w:val="Heading5"/>
        <w:numPr>
          <w:ilvl w:val="4"/>
          <w:numId w:val="1"/>
        </w:numPr>
        <w:rPr/>
      </w:pPr>
      <w:bookmarkStart w:id="1719" w:name="__RefHeading___Toc3808441_1067777946"/>
      <w:bookmarkStart w:id="1720" w:name="_Toc733"/>
      <w:bookmarkEnd w:id="1719"/>
      <w:r>
        <w:rPr>
          <w:rtl w:val="true"/>
        </w:rPr>
        <w:t>شرايط تحقق لعان به قذف</w:t>
      </w:r>
      <w:bookmarkEnd w:id="1720"/>
    </w:p>
    <w:p>
      <w:pPr>
        <w:pStyle w:val="BookText"/>
        <w:rPr/>
      </w:pPr>
      <w:r>
        <w:rPr>
          <w:rFonts w:ascii="IRNazanin" w:hAnsi="IRNazanin" w:eastAsia="IRNazanin"/>
          <w:color w:val="111111"/>
          <w:sz w:val="28"/>
          <w:sz w:val="28"/>
          <w:szCs w:val="28"/>
          <w:rtl w:val="true"/>
          <w:lang w:bidi="fa-IR"/>
        </w:rPr>
        <w:t>و مترتّب نمى شود لعان به قذف مگر با قذف زوجه محصنۀ غير مشهورۀ به زنا كه دخول به آن شده باشد، به زنا، در قبل يا دبر؛ پس مترتّب نمى شود لعان به قذف اجنبيّه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مترتّب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لعان به 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ادعاى مشاهدۀ زنا؛ و اكتفاى به علم در لعان و حكم آن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رمى اعمى به زنا، منحصر است سببيّت آن براى لعان، در نفى ولد</w:t>
      </w:r>
      <w:r>
        <w:rPr>
          <w:rFonts w:eastAsia="IRNazanin" w:cs="IRNazanin"/>
          <w:color w:val="111111"/>
          <w:sz w:val="28"/>
          <w:szCs w:val="28"/>
          <w:rtl w:val="true"/>
          <w:lang w:bidi="fa-IR"/>
        </w:rPr>
        <w:t>.</w:t>
      </w:r>
    </w:p>
    <w:p>
      <w:pPr>
        <w:pStyle w:val="Heading5"/>
        <w:numPr>
          <w:ilvl w:val="4"/>
          <w:numId w:val="1"/>
        </w:numPr>
        <w:rPr/>
      </w:pPr>
      <w:bookmarkStart w:id="1721" w:name="__RefHeading___Toc3808443_1067777946"/>
      <w:bookmarkStart w:id="1722" w:name="_Toc734"/>
      <w:bookmarkEnd w:id="1721"/>
      <w:r>
        <w:rPr>
          <w:rtl w:val="true"/>
        </w:rPr>
        <w:t>برخى موارد تحقق و يا عدم تحقق قذف</w:t>
      </w:r>
      <w:bookmarkEnd w:id="1722"/>
    </w:p>
    <w:p>
      <w:pPr>
        <w:pStyle w:val="BookText"/>
        <w:rPr/>
      </w:pPr>
      <w:r>
        <w:rPr>
          <w:rFonts w:ascii="IRNazanin" w:hAnsi="IRNazanin" w:eastAsia="IRNazanin"/>
          <w:color w:val="111111"/>
          <w:sz w:val="28"/>
          <w:sz w:val="28"/>
          <w:szCs w:val="28"/>
          <w:rtl w:val="true"/>
          <w:lang w:bidi="fa-IR"/>
        </w:rPr>
        <w:t>و اگر بيّنه داشت قذف كننده و اقامه كرد، لعان منتفى مى شود، مثل آنكه حدّ قذف منتفى است؛ پس معتبر است كه بيّنه بر زناى مقذوفٌ به اقامه ننمايد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قذف مشهوره به زنا كه احصان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عفت از حرام از 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منتفى است، لعان نيست، مثل آنكه حد قذف نيست</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قاذف زوجه شهود داشت و عدول به لعان نمود، اظهر عدم تأثير قذف است در لعان، مگر براى صورت عدم تمكّن از اقامۀ بيّنۀ بر زنا كه قذف به آن شده است</w:t>
      </w:r>
      <w:r>
        <w:rPr>
          <w:rFonts w:eastAsia="IRNazanin" w:cs="IRNazanin"/>
          <w:color w:val="111111"/>
          <w:sz w:val="28"/>
          <w:szCs w:val="28"/>
          <w:rtl w:val="true"/>
          <w:lang w:bidi="fa-IR"/>
        </w:rPr>
        <w:t xml:space="preserve">. </w:t>
      </w:r>
      <w:bookmarkStart w:id="1723" w:name="pg10265_90051"/>
    </w:p>
    <w:p>
      <w:pPr>
        <w:pStyle w:val="BookText"/>
        <w:rPr/>
      </w:pPr>
      <w:bookmarkEnd w:id="1723"/>
      <w:r>
        <w:rPr>
          <w:rFonts w:ascii="IRNazanin" w:hAnsi="IRNazanin" w:eastAsia="IRNazanin"/>
          <w:color w:val="111111"/>
          <w:sz w:val="28"/>
          <w:sz w:val="28"/>
          <w:szCs w:val="28"/>
          <w:rtl w:val="true"/>
          <w:lang w:bidi="fa-IR"/>
        </w:rPr>
        <w:t>اگر قذف كرد زوجه را به زناى سابق بر زوجيّت، حد قذف ثابت مى شود، و در اسقاط آن با لعان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زوج و غير زوج، جائز نيست قذف مزوّجه به غير علم؛ و حد ثابت است براى اجنبى به قذف بدون علم، مگر با بيّنه يا اقرار كه ساقط مى شود حد قذف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اسقاط حد، طريق سومى براى زوج است كه لعان است و آن در صورتى است كه ادعاى مشاهده نمايد، بلكه جواز تكليفى در غير اين صورت براى زوج مشكل است در غير صورت وجود ولد</w:t>
      </w:r>
      <w:r>
        <w:rPr>
          <w:rFonts w:eastAsia="IRNazanin" w:cs="IRNazanin"/>
          <w:color w:val="111111"/>
          <w:sz w:val="28"/>
          <w:szCs w:val="28"/>
          <w:rtl w:val="true"/>
          <w:lang w:bidi="fa-IR"/>
        </w:rPr>
        <w:t>.</w:t>
      </w:r>
    </w:p>
    <w:p>
      <w:pPr>
        <w:pStyle w:val="Heading5"/>
        <w:numPr>
          <w:ilvl w:val="4"/>
          <w:numId w:val="1"/>
        </w:numPr>
        <w:rPr/>
      </w:pPr>
      <w:bookmarkStart w:id="1724" w:name="__RefHeading___Toc3808445_1067777946"/>
      <w:bookmarkStart w:id="1725" w:name="_Toc735"/>
      <w:bookmarkEnd w:id="1724"/>
      <w:r>
        <w:rPr>
          <w:rtl w:val="true"/>
        </w:rPr>
        <w:t>تحقّق لعان در عدّۀ رجعيّه به سبب قذف</w:t>
      </w:r>
      <w:bookmarkEnd w:id="1725"/>
    </w:p>
    <w:p>
      <w:pPr>
        <w:pStyle w:val="BookText"/>
        <w:rPr/>
      </w:pPr>
      <w:r>
        <w:rPr>
          <w:rFonts w:ascii="IRNazanin" w:hAnsi="IRNazanin" w:eastAsia="IRNazanin"/>
          <w:color w:val="111111"/>
          <w:sz w:val="28"/>
          <w:sz w:val="28"/>
          <w:szCs w:val="28"/>
          <w:rtl w:val="true"/>
          <w:lang w:bidi="fa-IR"/>
        </w:rPr>
        <w:t>قذف در عدّۀ رجعيّه، مؤثّر در لعان است، چه اضافه زنا به زمان زوجيّت بدهد يا به زمان عدّه؛ به خلاف عده بائن، يا رجعيّه بعد از انقضاى عده، اگر چه اضافه به زمان زوجيّت بدهد زنا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قذف كرد، پس از آن طلاق بائن داد، لعان صحيح است</w:t>
      </w:r>
      <w:r>
        <w:rPr>
          <w:rFonts w:eastAsia="IRNazanin" w:cs="IRNazanin"/>
          <w:color w:val="111111"/>
          <w:sz w:val="28"/>
          <w:szCs w:val="28"/>
          <w:rtl w:val="true"/>
          <w:lang w:bidi="fa-IR"/>
        </w:rPr>
        <w:t>.</w:t>
      </w:r>
    </w:p>
    <w:p>
      <w:pPr>
        <w:pStyle w:val="Heading5"/>
        <w:numPr>
          <w:ilvl w:val="4"/>
          <w:numId w:val="1"/>
        </w:numPr>
        <w:rPr/>
      </w:pPr>
      <w:bookmarkStart w:id="1726" w:name="__RefHeading___Toc3808447_1067777946"/>
      <w:bookmarkStart w:id="1727" w:name="_Toc736"/>
      <w:bookmarkEnd w:id="1726"/>
      <w:r>
        <w:rPr>
          <w:rtl w:val="true"/>
        </w:rPr>
        <w:t>اختلاف در تقدّم و تأخّر قذف و زوجيّت</w:t>
      </w:r>
      <w:bookmarkEnd w:id="1727"/>
    </w:p>
    <w:p>
      <w:pPr>
        <w:pStyle w:val="BookText"/>
        <w:rPr/>
      </w:pPr>
      <w:r>
        <w:rPr>
          <w:rFonts w:ascii="IRNazanin" w:hAnsi="IRNazanin" w:eastAsia="IRNazanin"/>
          <w:color w:val="111111"/>
          <w:sz w:val="28"/>
          <w:sz w:val="28"/>
          <w:szCs w:val="28"/>
          <w:rtl w:val="true"/>
          <w:lang w:bidi="fa-IR"/>
        </w:rPr>
        <w:t>و اگر بين زوجين اختلاف شد در تقدم قذف بر زوجيّت يا تأخّر آن، يا در وقوع قذف قبل از بينونت يا بعد از آن، در اينكه حد قذف ثابت يا آنكه لعان صحيح است، قول زوج در فعل خودش و وقت آن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اختلاف در ايقاعِ قذف به زوجه يا اجنبيّه شد كه حد ثابت است يا لعان و زن انكار زوجيّت كرد، قول منكر آن مقدّم است</w:t>
      </w:r>
      <w:r>
        <w:rPr>
          <w:rFonts w:eastAsia="IRNazanin" w:cs="IRNazanin"/>
          <w:color w:val="111111"/>
          <w:sz w:val="28"/>
          <w:szCs w:val="28"/>
          <w:rtl w:val="true"/>
          <w:lang w:bidi="fa-IR"/>
        </w:rPr>
        <w:t>.</w:t>
      </w:r>
    </w:p>
    <w:p>
      <w:pPr>
        <w:pStyle w:val="Heading5"/>
        <w:numPr>
          <w:ilvl w:val="4"/>
          <w:numId w:val="1"/>
        </w:numPr>
        <w:rPr/>
      </w:pPr>
      <w:bookmarkStart w:id="1728" w:name="__RefHeading___Toc3808449_1067777946"/>
      <w:bookmarkStart w:id="1729" w:name="_Toc737"/>
      <w:bookmarkEnd w:id="1728"/>
      <w:r>
        <w:rPr>
          <w:rtl w:val="true"/>
        </w:rPr>
        <w:t>عدم ثبوت لعان در صورت قذف به مستحق</w:t>
      </w:r>
      <w:bookmarkEnd w:id="172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قذف زوجه به سَحق نمود، لعان ثابت نيست اگر چه ادعاى مشاهده نمايد، بلكه حد ثابت است بنا بر عموم حكم قذف به غير زنا و لواط</w:t>
      </w:r>
      <w:r>
        <w:rPr>
          <w:rFonts w:eastAsia="IRNazanin" w:cs="IRNazanin"/>
          <w:color w:val="111111"/>
          <w:sz w:val="28"/>
          <w:szCs w:val="28"/>
          <w:rtl w:val="true"/>
          <w:lang w:bidi="fa-IR"/>
        </w:rPr>
        <w:t xml:space="preserve">. </w:t>
      </w:r>
      <w:bookmarkStart w:id="1730" w:name="pg10265_90052"/>
    </w:p>
    <w:p>
      <w:pPr>
        <w:pStyle w:val="Heading5"/>
        <w:numPr>
          <w:ilvl w:val="4"/>
          <w:numId w:val="1"/>
        </w:numPr>
        <w:rPr/>
      </w:pPr>
      <w:bookmarkStart w:id="1731" w:name="__RefHeading___Toc3808451_1067777946"/>
      <w:bookmarkStart w:id="1732" w:name="_Toc738"/>
      <w:bookmarkEnd w:id="1730"/>
      <w:bookmarkEnd w:id="1731"/>
      <w:r>
        <w:rPr>
          <w:rtl w:val="true"/>
        </w:rPr>
        <w:t>قذف مجنونه</w:t>
      </w:r>
      <w:bookmarkEnd w:id="1732"/>
    </w:p>
    <w:p>
      <w:pPr>
        <w:pStyle w:val="BookText"/>
        <w:rPr/>
      </w:pPr>
      <w:r>
        <w:rPr>
          <w:rFonts w:ascii="IRNazanin" w:hAnsi="IRNazanin" w:eastAsia="IRNazanin"/>
          <w:color w:val="111111"/>
          <w:sz w:val="28"/>
          <w:sz w:val="28"/>
          <w:szCs w:val="28"/>
          <w:rtl w:val="true"/>
          <w:lang w:bidi="fa-IR"/>
        </w:rPr>
        <w:t>اگر قذف كرد زوجۀ مجنونه را در حال افاقۀ او، حد بر او ثابت مى شود؛ و اگر مطالبه كرد در حال افاقۀ خودش، مى تواند زوج با لعان، اسقاط حد قذف نمايد؛ و اگر ولىّ او مطالبۀ حدّ كرد، با لعان زوج اسقاط مى شود حد قذف، بنا بر عدم مدخليّت لعان زن در غير دفع عذاب از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قذف اضافه كرد زنا را به حال جنون زن، حد قذف ثابت نيست تا آنكه به لعان ساقط شود، چون مقذوفٌ به زناى محرّم نيست، چه آنكه قذف در حال جنون باشد يا در حال افاقه، با آنكه محتمل باشد كه اضافه به حال جنون سابق، مطابق واقع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اضافه زنا به حال جنون داد و معلوم بود استقامت زن در سابق، اظهر انتفاى حد زنا است اگر چه تعزير بر ايذا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قذف كرد به زنا در حال شرك يا آنكه رتقاء بود و معلوم بود انتفاى آنها بلكه اگر مختلفٌ فيه و مجهول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قذف به نسبت شرك سابق يا عيب، تعزير بر ايذا است نه حد 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زنا در حال شرك، قذف به آن، موجب حد بودنش معلوم نيست، و در حال رتقاء بودن، غير ممكن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مولىٰ مطالبۀ زوج امۀ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تعزير بشود به واسطۀ قذف زوجۀ كه مملوكه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مادام كه صاحب حق، در حيات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وفات كرد مملوكه، احتمال ثبوت حق مطالبه تعزير براى مالك او هست</w:t>
      </w:r>
      <w:r>
        <w:rPr>
          <w:rFonts w:eastAsia="IRNazanin" w:cs="IRNazanin"/>
          <w:color w:val="111111"/>
          <w:sz w:val="28"/>
          <w:szCs w:val="28"/>
          <w:rtl w:val="true"/>
          <w:lang w:bidi="fa-IR"/>
        </w:rPr>
        <w:t>.</w:t>
      </w:r>
    </w:p>
    <w:p>
      <w:pPr>
        <w:pStyle w:val="Heading5"/>
        <w:numPr>
          <w:ilvl w:val="4"/>
          <w:numId w:val="1"/>
        </w:numPr>
        <w:rPr/>
      </w:pPr>
      <w:bookmarkStart w:id="1733" w:name="__RefHeading___Toc3808453_1067777946"/>
      <w:bookmarkStart w:id="1734" w:name="_Toc739"/>
      <w:bookmarkEnd w:id="1733"/>
      <w:r>
        <w:rPr>
          <w:rtl w:val="true"/>
        </w:rPr>
        <w:t>نسبت زنا به غير اختيار</w:t>
      </w:r>
      <w:bookmarkEnd w:id="173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نسبت داد زن را به زناى در حال اكراه يا نوم يا شبهه، قذف نيست و تأثير در حد ندارد، و تعزير به جهت ايذا و عار ثابت است، و لعان مسبب از قذف نيست؛ و اگر نفى ولد باشد، لعان ثابت مى شود</w:t>
      </w:r>
      <w:r>
        <w:rPr>
          <w:rFonts w:eastAsia="IRNazanin" w:cs="IRNazanin"/>
          <w:color w:val="111111"/>
          <w:sz w:val="28"/>
          <w:szCs w:val="28"/>
          <w:rtl w:val="true"/>
          <w:lang w:bidi="fa-IR"/>
        </w:rPr>
        <w:t xml:space="preserve">. </w:t>
      </w:r>
      <w:bookmarkStart w:id="1735" w:name="pg10265_90053"/>
    </w:p>
    <w:p>
      <w:pPr>
        <w:pStyle w:val="Heading5"/>
        <w:numPr>
          <w:ilvl w:val="4"/>
          <w:numId w:val="1"/>
        </w:numPr>
        <w:rPr/>
      </w:pPr>
      <w:bookmarkStart w:id="1736" w:name="__RefHeading___Toc3808455_1067777946"/>
      <w:bookmarkStart w:id="1737" w:name="_Toc740"/>
      <w:bookmarkEnd w:id="1735"/>
      <w:bookmarkEnd w:id="1736"/>
      <w:r>
        <w:rPr>
          <w:rtl w:val="true"/>
        </w:rPr>
        <w:t>قذف چند نفر با يك لفظ</w:t>
      </w:r>
      <w:bookmarkEnd w:id="1737"/>
    </w:p>
    <w:p>
      <w:pPr>
        <w:pStyle w:val="BookText"/>
        <w:rPr/>
      </w:pPr>
      <w:r>
        <w:rPr>
          <w:rFonts w:ascii="IRNazanin" w:hAnsi="IRNazanin" w:eastAsia="IRNazanin"/>
          <w:color w:val="111111"/>
          <w:sz w:val="28"/>
          <w:sz w:val="28"/>
          <w:szCs w:val="28"/>
          <w:rtl w:val="true"/>
          <w:lang w:bidi="fa-IR"/>
        </w:rPr>
        <w:t>اگر جماعتى از زن ها را قذف كرد با يك لفظ عام، لعان آنها متعدّد مى شود و تداخل نمى نمايند در صورت رضاى ايشان؛ و اگر در مقدّم از آنها براى لعان توافق شد و اگر نه با قرعه يا اختيار حاكم، تقديم يكى از ايشان مى شود</w:t>
      </w:r>
      <w:r>
        <w:rPr>
          <w:rFonts w:eastAsia="IRNazanin" w:cs="IRNazanin"/>
          <w:color w:val="111111"/>
          <w:sz w:val="28"/>
          <w:szCs w:val="28"/>
          <w:rtl w:val="true"/>
          <w:lang w:bidi="fa-IR"/>
        </w:rPr>
        <w:t>.</w:t>
      </w:r>
    </w:p>
    <w:p>
      <w:pPr>
        <w:pStyle w:val="Heading4"/>
        <w:numPr>
          <w:ilvl w:val="3"/>
          <w:numId w:val="1"/>
        </w:numPr>
        <w:rPr/>
      </w:pPr>
      <w:bookmarkStart w:id="1738" w:name="__RefHeading___Toc3808457_1067777946"/>
      <w:bookmarkStart w:id="1739" w:name="_Toc741"/>
      <w:bookmarkEnd w:id="1738"/>
      <w:r>
        <w:rPr/>
        <w:t>2</w:t>
      </w:r>
      <w:r>
        <w:rPr>
          <w:rtl w:val="true"/>
        </w:rPr>
        <w:t xml:space="preserve">. </w:t>
      </w:r>
      <w:r>
        <w:rPr>
          <w:rtl w:val="true"/>
        </w:rPr>
        <w:t>انكار ولد</w:t>
      </w:r>
      <w:bookmarkEnd w:id="1739"/>
    </w:p>
    <w:p>
      <w:pPr>
        <w:pStyle w:val="Heading5"/>
        <w:numPr>
          <w:ilvl w:val="4"/>
          <w:numId w:val="1"/>
        </w:numPr>
        <w:rPr/>
      </w:pPr>
      <w:bookmarkStart w:id="1740" w:name="__RefHeading___Toc3808459_1067777946"/>
      <w:bookmarkStart w:id="1741" w:name="_Toc742"/>
      <w:bookmarkEnd w:id="1740"/>
      <w:r>
        <w:rPr>
          <w:rtl w:val="true"/>
        </w:rPr>
        <w:t>شرايط تحقّق لعان به انكار ولد</w:t>
      </w:r>
      <w:bookmarkEnd w:id="1741"/>
    </w:p>
    <w:p>
      <w:pPr>
        <w:pStyle w:val="BookText"/>
        <w:rPr/>
      </w:pPr>
      <w:r>
        <w:rPr>
          <w:rFonts w:ascii="Amiri" w:hAnsi="Amiri" w:eastAsia="Amiri" w:cs="Amiri"/>
          <w:color w:val="111111"/>
          <w:sz w:val="28"/>
          <w:sz w:val="28"/>
          <w:szCs w:val="28"/>
          <w:rtl w:val="true"/>
          <w:lang w:bidi="ar-SA"/>
        </w:rPr>
        <w:t>سبب دوم براى 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انكار ولد است در زمان امكان لحوق و حكم شرع به حسب ظاهر به لحوق در فرض عدم 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بايد وضع حمل تامّ باشد نه ناقص، و زن موطوئه به عقد دائم باشد</w:t>
      </w:r>
      <w:r>
        <w:rPr>
          <w:rFonts w:eastAsia="Amiri" w:cs="Amiri" w:ascii="Amiri" w:hAnsi="Amiri"/>
          <w:color w:val="111111"/>
          <w:sz w:val="28"/>
          <w:szCs w:val="28"/>
          <w:rtl w:val="true"/>
          <w:lang w:bidi="ar-SA"/>
        </w:rPr>
        <w:t>.</w:t>
      </w:r>
    </w:p>
    <w:p>
      <w:pPr>
        <w:pStyle w:val="Heading5"/>
        <w:numPr>
          <w:ilvl w:val="4"/>
          <w:numId w:val="1"/>
        </w:numPr>
        <w:rPr/>
      </w:pPr>
      <w:bookmarkStart w:id="1742" w:name="__RefHeading___Toc3808461_1067777946"/>
      <w:bookmarkStart w:id="1743" w:name="_Toc743"/>
      <w:bookmarkEnd w:id="1742"/>
      <w:r>
        <w:rPr>
          <w:rtl w:val="true"/>
        </w:rPr>
        <w:t>اعتبار تماميّت حمل و دوام عقد</w:t>
      </w:r>
      <w:bookmarkEnd w:id="1743"/>
    </w:p>
    <w:p>
      <w:pPr>
        <w:pStyle w:val="BookText"/>
        <w:rPr/>
      </w:pPr>
      <w:r>
        <w:rPr>
          <w:rFonts w:ascii="IRNazanin" w:hAnsi="IRNazanin" w:eastAsia="IRNazanin"/>
          <w:color w:val="111111"/>
          <w:sz w:val="28"/>
          <w:sz w:val="28"/>
          <w:szCs w:val="28"/>
          <w:rtl w:val="true"/>
          <w:lang w:bidi="fa-IR"/>
        </w:rPr>
        <w:t>و اگر بدانند كه در كمتر از شش ماه از وطى، تامّ بوده و متولد شده، ملحق به زوج نمى شود و منتفى از او است بدون 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ناقص بود در زمان ولادت، معتبر است امكان لحوق مثل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زوج كه مفروض شده وطى او در كمتر از شش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بيش از منتهاى زمان حمل، وضع نمود، از زمان وطى، ملحق به زوج نمى شود و منتفى است از او بدون 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ناقص را وضع كرد در زمان امكان لحوق بر حسب عادت در مثل او از زمان وطى، پس با وضع آن، عده منقضى مى شود اگر طلاق داده بوده پس در عده وضع كرد و لعان هم در عده واقع نشد، كه نسب ثابت مى شود و با مجرّد وضع، عدّه منقضى مى شود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محلّ زوجين مختلف باشد و مسافت قابل سير در زمان حمل نبود به حسب وسائل عاديۀ زمان و ولادت در شش ماه حمل بود، ملحق نمى شود و </w:t>
      </w:r>
      <w:bookmarkStart w:id="1744" w:name="pg10265_90054"/>
    </w:p>
    <w:p>
      <w:pPr>
        <w:pStyle w:val="BookText"/>
        <w:rPr/>
      </w:pPr>
      <w:bookmarkEnd w:id="1744"/>
      <w:r>
        <w:rPr>
          <w:rFonts w:ascii="IRNazanin" w:hAnsi="IRNazanin" w:eastAsia="IRNazanin"/>
          <w:color w:val="111111"/>
          <w:sz w:val="28"/>
          <w:sz w:val="28"/>
          <w:szCs w:val="28"/>
          <w:rtl w:val="true"/>
          <w:lang w:bidi="fa-IR"/>
        </w:rPr>
        <w:t>منتفى است بدون 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بايد به حسب ظاهر امكان لحوق داشته باشد به طورى كه اگر لعان نبوده شرع حكم به لحوق مى كرد، اگر چه بداند زوج، انتفاى ولد را از او بر خلاف مقتضاى ظاهر</w:t>
      </w:r>
      <w:r>
        <w:rPr>
          <w:rFonts w:eastAsia="IRNazanin" w:cs="IRNazanin"/>
          <w:color w:val="111111"/>
          <w:sz w:val="28"/>
          <w:szCs w:val="28"/>
          <w:rtl w:val="true"/>
          <w:lang w:bidi="fa-IR"/>
        </w:rPr>
        <w:t>.</w:t>
      </w:r>
    </w:p>
    <w:p>
      <w:pPr>
        <w:pStyle w:val="Heading5"/>
        <w:numPr>
          <w:ilvl w:val="4"/>
          <w:numId w:val="1"/>
        </w:numPr>
        <w:rPr/>
      </w:pPr>
      <w:bookmarkStart w:id="1745" w:name="__RefHeading___Toc3808463_1067777946"/>
      <w:bookmarkStart w:id="1746" w:name="_Toc744"/>
      <w:bookmarkEnd w:id="1745"/>
      <w:r>
        <w:rPr>
          <w:rtl w:val="true"/>
        </w:rPr>
        <w:t>اعتبار امكان و احتمال لحوق</w:t>
      </w:r>
      <w:bookmarkEnd w:id="1746"/>
    </w:p>
    <w:p>
      <w:pPr>
        <w:pStyle w:val="BookText"/>
        <w:rPr/>
      </w:pPr>
      <w:r>
        <w:rPr>
          <w:rFonts w:ascii="IRNazanin" w:hAnsi="IRNazanin" w:eastAsia="IRNazanin"/>
          <w:color w:val="111111"/>
          <w:sz w:val="28"/>
          <w:sz w:val="28"/>
          <w:szCs w:val="28"/>
          <w:rtl w:val="true"/>
          <w:lang w:bidi="fa-IR"/>
        </w:rPr>
        <w:t>و اگر در نظر زوج ممكن باشد لحوق اگر چه بعيد باشد، جائز نيست براى او نفى ولد، چون با امكان، محكوم به مقتضاى فراش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عالم به عدم تكوّن از او باشد، لازم است بر او نفى ولد اگر چه با لعان باشد در صورتى كه چنانچه فرض شد اگر بر حسب ظاهر محكوم بشود شرعاً به لحوق بر تقدير عدم 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اختلاف بين زوجين در زمان حمل بود بعد از دخول، در اينكه به حسب زمان، قابل لحوق نبوده يا بوده، لعان ثابت است و مؤثّر است در حكم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مورد لعان، امكان لحوق و احتمال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ولد ملحق نمى شود در ظاهر مگر با امكان وطى به نحوى كه موجب تولد باشد؛ پس با وطى غير بالغ عادى مثل طفل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ولد ملحق نمى شود اگر چه از قدرت خالق تعالى خارج نيست، و مانند ولادت تامّ در كمتر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 به خلاف وطى طفل ده ساله مثلاً كه ممكن است تولد از آن به بلوغ طفل اگر چه نادر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امكان وطى خاص كه مذكور شد، لحوق نيست تا آنكه براى نفى آن لعان ايقاع بشود</w:t>
      </w:r>
      <w:r>
        <w:rPr>
          <w:rFonts w:eastAsia="IRNazanin" w:cs="IRNazanin"/>
          <w:color w:val="111111"/>
          <w:sz w:val="28"/>
          <w:szCs w:val="28"/>
          <w:rtl w:val="true"/>
          <w:lang w:bidi="fa-IR"/>
        </w:rPr>
        <w:t>.</w:t>
      </w:r>
    </w:p>
    <w:p>
      <w:pPr>
        <w:pStyle w:val="Heading5"/>
        <w:numPr>
          <w:ilvl w:val="4"/>
          <w:numId w:val="1"/>
        </w:numPr>
        <w:rPr/>
      </w:pPr>
      <w:bookmarkStart w:id="1747" w:name="__RefHeading___Toc3808465_1067777946"/>
      <w:bookmarkStart w:id="1748" w:name="_Toc745"/>
      <w:bookmarkEnd w:id="1747"/>
      <w:r>
        <w:rPr>
          <w:rtl w:val="true"/>
        </w:rPr>
        <w:t>رابطۀ بلوغ با لحوق و لعان</w:t>
      </w:r>
      <w:bookmarkEnd w:id="1748"/>
    </w:p>
    <w:p>
      <w:pPr>
        <w:pStyle w:val="BookText"/>
        <w:rPr/>
      </w:pPr>
      <w:r>
        <w:rPr>
          <w:rFonts w:ascii="IRNazanin" w:hAnsi="IRNazanin" w:eastAsia="IRNazanin"/>
          <w:color w:val="111111"/>
          <w:sz w:val="28"/>
          <w:sz w:val="28"/>
          <w:szCs w:val="28"/>
          <w:rtl w:val="true"/>
          <w:lang w:bidi="fa-IR"/>
        </w:rPr>
        <w:t>بلكه امكان بلوغ، كافى است در لحوق ظاهرى، نه در لعان كه ثابت است براى بالغ، پس هرجا لعان ثابت است، امكان بلوغ هست؛ و ممكن است امكان بلوغ باشد و لعان نباشد، چون بلوغ ثابت نشده، و احكام آن مرتب نمى شود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آنكه ادعاى بلوغ به احتلام نمايد و تصديق بشود در اين دعوىٰ و بر حسب </w:t>
      </w:r>
      <w:bookmarkStart w:id="1749" w:name="pg10265_90055"/>
    </w:p>
    <w:p>
      <w:pPr>
        <w:pStyle w:val="BookText"/>
        <w:rPr/>
      </w:pPr>
      <w:bookmarkEnd w:id="1749"/>
      <w:r>
        <w:rPr>
          <w:rFonts w:ascii="Amiri" w:hAnsi="Amiri" w:eastAsia="Amiri" w:cs="Amiri"/>
          <w:color w:val="111111"/>
          <w:sz w:val="28"/>
          <w:sz w:val="28"/>
          <w:szCs w:val="28"/>
          <w:rtl w:val="true"/>
          <w:lang w:bidi="ar-SA"/>
        </w:rPr>
        <w:t>زمان، امكان بلوغ باشد كه مى تواند با لعان، نفى ولد نمايد؛ و با عدم ثبوت بلوغ، تأخير مى شود لعان تا بعد از بلوغ و رشد طفل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بلوغ يا آنكه بعد از 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 و انكار ولد نكرد، پس به مقتضاى لحوق شرعى، زوجه و ولد وارث او هستند و انكار قبل از بلوغ تأثيرى در رفع حكم ظاهرى مبنى بر امكان لحوق موقوف بر امكان بلوغ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بلوغ انكار كرد، منتفى نمى شود ولد مگر با لعان چون محكوم به لحوق است در تقدير عدم 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وطى در دُبُر زن بود و حامل شد، ولد ملحق به زوج واطى مى شود با امكان از سائر جهات، چون كه ممكن است سبقت منى و نزول آن در فرج بدون التفات زوج، چه آنكه عزل بنمايد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زوج عالم شد به عدم تكوّن از منى او، پس مى تواند شرعاً نفى نمايد و لعان نمايد با شروط آن</w:t>
      </w:r>
      <w:r>
        <w:rPr>
          <w:rFonts w:eastAsia="IRNazanin" w:cs="IRNazanin"/>
          <w:color w:val="111111"/>
          <w:sz w:val="28"/>
          <w:szCs w:val="28"/>
          <w:rtl w:val="true"/>
          <w:lang w:bidi="fa-IR"/>
        </w:rPr>
        <w:t>.</w:t>
      </w:r>
    </w:p>
    <w:p>
      <w:pPr>
        <w:pStyle w:val="Heading5"/>
        <w:numPr>
          <w:ilvl w:val="4"/>
          <w:numId w:val="1"/>
        </w:numPr>
        <w:rPr/>
      </w:pPr>
      <w:bookmarkStart w:id="1750" w:name="__RefHeading___Toc3808467_1067777946"/>
      <w:bookmarkStart w:id="1751" w:name="_Toc746"/>
      <w:bookmarkEnd w:id="1750"/>
      <w:r>
        <w:rPr>
          <w:rtl w:val="true"/>
        </w:rPr>
        <w:t>معيوب بودن زوج</w:t>
      </w:r>
      <w:bookmarkEnd w:id="1751"/>
    </w:p>
    <w:p>
      <w:pPr>
        <w:pStyle w:val="BookText"/>
        <w:rPr/>
      </w:pPr>
      <w:r>
        <w:rPr>
          <w:rFonts w:ascii="IRNazanin" w:hAnsi="IRNazanin" w:eastAsia="IRNazanin"/>
          <w:color w:val="111111"/>
          <w:sz w:val="28"/>
          <w:sz w:val="28"/>
          <w:szCs w:val="28"/>
          <w:rtl w:val="true"/>
          <w:lang w:bidi="fa-IR"/>
        </w:rPr>
        <w:t xml:space="preserve">و اگر زوج، خَصىّ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انتفاى اُنثَيَين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مجبوب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انتفاى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يا واجد هر دو صفت بود كه مجبوب بود و ادخال نمى كرد و خصىّ بود و انزال نمى كرد، پس با احتمال تكوّن ولد از ماء زوج، ملحق مى شود ولد به او در مثل تكوّن با توسيط مساحقه به حسب تشبيه موضوع؛ و اگر نفى كرد، منتفى نمى شود مگر با لعان در موطوئه با شروط سابقه</w:t>
      </w:r>
      <w:r>
        <w:rPr>
          <w:rFonts w:eastAsia="IRNazanin" w:cs="IRNazanin"/>
          <w:color w:val="111111"/>
          <w:sz w:val="28"/>
          <w:szCs w:val="28"/>
          <w:rtl w:val="true"/>
          <w:lang w:bidi="fa-IR"/>
        </w:rPr>
        <w:t>.</w:t>
      </w:r>
    </w:p>
    <w:p>
      <w:pPr>
        <w:pStyle w:val="Heading5"/>
        <w:numPr>
          <w:ilvl w:val="4"/>
          <w:numId w:val="1"/>
        </w:numPr>
        <w:rPr/>
      </w:pPr>
      <w:bookmarkStart w:id="1752" w:name="__RefHeading___Toc3808469_1067777946"/>
      <w:bookmarkStart w:id="1753" w:name="_Toc747"/>
      <w:bookmarkEnd w:id="1752"/>
      <w:r>
        <w:rPr>
          <w:rtl w:val="true"/>
        </w:rPr>
        <w:t>اقرار و عدم اقرار زوج حاضر در وقت ولادت</w:t>
      </w:r>
      <w:bookmarkEnd w:id="175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زوج در وقت ولادت حاضر بود، پس اگر اقرار كرد به اينكه ولد از او است، ملحق مى شود به او و انكار بعد از اقرار، مسموع نيست و مؤثّر در لعان نيست؛ و اگر اعتراف نكرد و تأخير انداخت انكار را، اظهر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انكار نمايد و حق او با مجرد تأخير، ساقط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عالم متمكّن از نفى، با عدم عذر در </w:t>
      </w:r>
      <w:bookmarkStart w:id="1754" w:name="pg10265_90056"/>
    </w:p>
    <w:p>
      <w:pPr>
        <w:pStyle w:val="BookText"/>
        <w:rPr/>
      </w:pPr>
      <w:bookmarkEnd w:id="1754"/>
      <w:r>
        <w:rPr>
          <w:rFonts w:ascii="IRNazanin" w:hAnsi="IRNazanin" w:eastAsia="IRNazanin"/>
          <w:color w:val="111111"/>
          <w:sz w:val="28"/>
          <w:sz w:val="28"/>
          <w:szCs w:val="28"/>
          <w:rtl w:val="true"/>
          <w:lang w:bidi="fa-IR"/>
        </w:rPr>
        <w:t>تأخير، احوط اين است كه فوراً نفى نمايد، اگر چه ادعاى عذرِ ممكن در تأخير از زمان حمل يا ولادت، مسموع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دلالت معتبره اقرار به ولد كرد، انكار بعد از آن مسموع و مؤثّر نيست، مثل آنكه در جواب مبشّر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بارك اللّٰه فى مولودك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آنكه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بارك اللّٰه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اللّٰه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آن حق نفى، ساقط نمى شود</w:t>
      </w:r>
      <w:r>
        <w:rPr>
          <w:rFonts w:eastAsia="IRNazanin" w:cs="IRNazanin"/>
          <w:color w:val="111111"/>
          <w:sz w:val="28"/>
          <w:szCs w:val="28"/>
          <w:rtl w:val="true"/>
          <w:lang w:bidi="fa-IR"/>
        </w:rPr>
        <w:t>.</w:t>
      </w:r>
    </w:p>
    <w:p>
      <w:pPr>
        <w:pStyle w:val="Heading5"/>
        <w:numPr>
          <w:ilvl w:val="4"/>
          <w:numId w:val="1"/>
        </w:numPr>
        <w:rPr/>
      </w:pPr>
      <w:bookmarkStart w:id="1755" w:name="__RefHeading___Toc3808471_1067777946"/>
      <w:bookmarkStart w:id="1756" w:name="_Toc748"/>
      <w:bookmarkEnd w:id="1755"/>
      <w:r>
        <w:rPr>
          <w:rtl w:val="true"/>
        </w:rPr>
        <w:t>انكار و ادّعاى بعد از طلاق</w:t>
      </w:r>
      <w:bookmarkEnd w:id="1756"/>
    </w:p>
    <w:p>
      <w:pPr>
        <w:pStyle w:val="BookText"/>
        <w:rPr/>
      </w:pPr>
      <w:r>
        <w:rPr>
          <w:rFonts w:ascii="IRNazanin" w:hAnsi="IRNazanin" w:eastAsia="IRNazanin"/>
          <w:color w:val="111111"/>
          <w:sz w:val="28"/>
          <w:sz w:val="28"/>
          <w:szCs w:val="28"/>
          <w:rtl w:val="true"/>
          <w:lang w:bidi="fa-IR"/>
        </w:rPr>
        <w:t>و اگر طلاق داد و انكار دخول كرد، و زن ادعاى دخول كرد و اينكه حمل از او است، پس بنابراين كه ارخاى ستر و خلوت، اثبات تمام مهر نمى نمايد، كافى در لعان هم نيست مگر بيّنه يا اقرار به دخول؛ و حدّ هم بر زوج نيست، زيرا انكار ولد اعم از قذف به زنا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لحوق ولد به مجرّد زوجيّت حين حمل با امكان دخول قبل از آن و احتمال آن اگر چه ثابت نشده، تأمّل است، و كذلك در ادعاى بلوغ با امكان؛ و على اىّ حال لعان، موقوف به احراز دخول يا ثبوت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قذف كرد زوجه را و نفى ولد هم كرد و بينه اقامه كرد بر زنا، حد قذف ساقط مى شود، و ولد منتفى نمى شود مگر با لعان، بلكه به حكم فراش، ملحق است به زوج تا آنكه با لعان منتفى بشود</w:t>
      </w:r>
      <w:r>
        <w:rPr>
          <w:rFonts w:eastAsia="IRNazanin" w:cs="IRNazanin"/>
          <w:color w:val="111111"/>
          <w:sz w:val="28"/>
          <w:szCs w:val="28"/>
          <w:rtl w:val="true"/>
          <w:lang w:bidi="fa-IR"/>
        </w:rPr>
        <w:t>.</w:t>
      </w:r>
    </w:p>
    <w:p>
      <w:pPr>
        <w:pStyle w:val="Heading5"/>
        <w:numPr>
          <w:ilvl w:val="4"/>
          <w:numId w:val="1"/>
        </w:numPr>
        <w:rPr/>
      </w:pPr>
      <w:bookmarkStart w:id="1757" w:name="__RefHeading___Toc3808473_1067777946"/>
      <w:bookmarkStart w:id="1758" w:name="_Toc749"/>
      <w:bookmarkEnd w:id="1757"/>
      <w:r>
        <w:rPr>
          <w:rtl w:val="true"/>
        </w:rPr>
        <w:t>ولادت بعد از طلاق</w:t>
      </w:r>
      <w:bookmarkEnd w:id="175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طلاق داد به طلاق بائن پس ولادت كرد ولدى را كه در ظاهر شرع شروط لحوق به زوج مطلِّق را دارد، ملحق مى شود و منتفى نمى شود مگر با 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مطلَّقه تزويج كرد و ولدى تامّ از او متولد شد كه از دخول زوج دوم شش ماه نشده بود، از دومى منتفى است و ملحق به اول است اگر از زمان فراق از او نُه ماه يا كمتر گذشته باشد، و منتفى از او نمى شود مگر با لعان</w:t>
      </w:r>
      <w:r>
        <w:rPr>
          <w:rFonts w:eastAsia="IRNazanin" w:cs="IRNazanin"/>
          <w:color w:val="111111"/>
          <w:sz w:val="28"/>
          <w:szCs w:val="28"/>
          <w:rtl w:val="true"/>
          <w:lang w:bidi="fa-IR"/>
        </w:rPr>
        <w:t xml:space="preserve">. </w:t>
      </w:r>
      <w:bookmarkStart w:id="1759" w:name="pg10265_90057"/>
    </w:p>
    <w:p>
      <w:pPr>
        <w:pStyle w:val="Heading3"/>
        <w:numPr>
          <w:ilvl w:val="2"/>
          <w:numId w:val="1"/>
        </w:numPr>
        <w:rPr/>
      </w:pPr>
      <w:bookmarkStart w:id="1760" w:name="__RefHeading___Toc3808475_1067777946"/>
      <w:bookmarkStart w:id="1761" w:name="_Toc750"/>
      <w:bookmarkEnd w:id="1759"/>
      <w:bookmarkEnd w:id="1760"/>
      <w:r>
        <w:rPr>
          <w:rtl w:val="true"/>
        </w:rPr>
        <w:t>فصل دوّم اوصاف ملاعن و ملاعنه</w:t>
      </w:r>
      <w:bookmarkEnd w:id="1761"/>
    </w:p>
    <w:p>
      <w:pPr>
        <w:pStyle w:val="Heading4"/>
        <w:numPr>
          <w:ilvl w:val="3"/>
          <w:numId w:val="1"/>
        </w:numPr>
        <w:rPr/>
      </w:pPr>
      <w:bookmarkStart w:id="1762" w:name="__RefHeading___Toc3808477_1067777946"/>
      <w:bookmarkStart w:id="1763" w:name="_Toc751"/>
      <w:bookmarkEnd w:id="1762"/>
      <w:r>
        <w:rPr/>
        <w:t>1</w:t>
      </w:r>
      <w:r>
        <w:rPr>
          <w:rtl w:val="true"/>
        </w:rPr>
        <w:t xml:space="preserve">. </w:t>
      </w:r>
      <w:r>
        <w:rPr>
          <w:rtl w:val="true"/>
        </w:rPr>
        <w:t>اوصاف مُلاعِن</w:t>
      </w:r>
      <w:bookmarkEnd w:id="1763"/>
    </w:p>
    <w:p>
      <w:pPr>
        <w:pStyle w:val="Heading5"/>
        <w:numPr>
          <w:ilvl w:val="4"/>
          <w:numId w:val="1"/>
        </w:numPr>
        <w:rPr/>
      </w:pPr>
      <w:bookmarkStart w:id="1764" w:name="__RefHeading___Toc3808479_1067777946"/>
      <w:bookmarkStart w:id="1765" w:name="_Toc752"/>
      <w:bookmarkEnd w:id="1764"/>
      <w:r>
        <w:rPr>
          <w:rtl w:val="true"/>
        </w:rPr>
        <w:t>بلوغ و عقل</w:t>
      </w:r>
      <w:bookmarkEnd w:id="1765"/>
    </w:p>
    <w:p>
      <w:pPr>
        <w:pStyle w:val="BookText"/>
        <w:rPr/>
      </w:pPr>
      <w:r>
        <w:rPr>
          <w:rFonts w:ascii="IRNazanin" w:hAnsi="IRNazanin" w:eastAsia="IRNazanin"/>
          <w:color w:val="111111"/>
          <w:sz w:val="28"/>
          <w:sz w:val="28"/>
          <w:szCs w:val="28"/>
          <w:rtl w:val="true"/>
          <w:lang w:bidi="fa-IR"/>
        </w:rPr>
        <w:t>معتبر است در ملاعِن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تأثيرى ندارد لعان از غير بالغ و غير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قذف غير بالغ، مثبت حدّى كه ساقط با لعان مى شود،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ولد منتفى است از غير بالغ</w:t>
      </w:r>
      <w:r>
        <w:rPr>
          <w:rFonts w:eastAsia="IRNazanin" w:cs="IRNazanin"/>
          <w:color w:val="111111"/>
          <w:sz w:val="28"/>
          <w:szCs w:val="28"/>
          <w:rtl w:val="true"/>
          <w:lang w:bidi="fa-IR"/>
        </w:rPr>
        <w:t>.</w:t>
      </w:r>
    </w:p>
    <w:p>
      <w:pPr>
        <w:pStyle w:val="Heading5"/>
        <w:numPr>
          <w:ilvl w:val="4"/>
          <w:numId w:val="1"/>
        </w:numPr>
        <w:rPr/>
      </w:pPr>
      <w:bookmarkStart w:id="1766" w:name="__RefHeading___Toc3808481_1067777946"/>
      <w:bookmarkStart w:id="1767" w:name="_Toc753"/>
      <w:bookmarkEnd w:id="1766"/>
      <w:r>
        <w:rPr>
          <w:rtl w:val="true"/>
        </w:rPr>
        <w:t>لعان بين ذمّيّين</w:t>
      </w:r>
      <w:bookmarkEnd w:id="1767"/>
    </w:p>
    <w:p>
      <w:pPr>
        <w:pStyle w:val="BookText"/>
        <w:rPr/>
      </w:pPr>
      <w:r>
        <w:rPr>
          <w:rFonts w:ascii="Amiri" w:hAnsi="Amiri" w:eastAsia="Amiri" w:cs="Amiri"/>
          <w:color w:val="111111"/>
          <w:sz w:val="28"/>
          <w:sz w:val="28"/>
          <w:szCs w:val="28"/>
          <w:rtl w:val="true"/>
          <w:lang w:bidi="ar-SA"/>
        </w:rPr>
        <w:t>آيا لعان بين ذمّيّين از زن و شوهر ثابت است در وقت مرافعه به حكّام اسلام يا نه‌؟ ثبوت آن خالى از وجه نيست؛ و ايضاً فرض مى شود در صورتى كه زن اسلام اختيار بكند و متولد شود از او ولدى، و انكار نمايد زوج ذمّى آن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چنين صحّت لعان مملوك و مملوكه حتى در قذف، خالى از وجه نيست با تحقّق سائر شروط</w:t>
      </w:r>
      <w:r>
        <w:rPr>
          <w:rFonts w:eastAsia="IRNazanin" w:cs="IRNazanin"/>
          <w:color w:val="111111"/>
          <w:sz w:val="28"/>
          <w:szCs w:val="28"/>
          <w:rtl w:val="true"/>
          <w:lang w:bidi="fa-IR"/>
        </w:rPr>
        <w:t>.</w:t>
      </w:r>
    </w:p>
    <w:p>
      <w:pPr>
        <w:pStyle w:val="Heading5"/>
        <w:numPr>
          <w:ilvl w:val="4"/>
          <w:numId w:val="1"/>
        </w:numPr>
        <w:rPr/>
      </w:pPr>
      <w:bookmarkStart w:id="1768" w:name="__RefHeading___Toc3808483_1067777946"/>
      <w:bookmarkStart w:id="1769" w:name="_Toc754"/>
      <w:bookmarkEnd w:id="1768"/>
      <w:r>
        <w:rPr>
          <w:rtl w:val="true"/>
        </w:rPr>
        <w:t>لعان اخرس</w:t>
      </w:r>
      <w:bookmarkEnd w:id="176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لعان اخرس صحيح است اگر اشارۀ مُفهمه داشته باشد و معانى شهادات را بفهمد و بفهماند اگر چه متمكّن از نطق نباشد، مثل صحّت طلاق و اقرار و عقود و عبادات </w:t>
      </w:r>
      <w:bookmarkStart w:id="1770" w:name="pg10265_90058"/>
    </w:p>
    <w:p>
      <w:pPr>
        <w:pStyle w:val="BookText"/>
        <w:rPr/>
      </w:pPr>
      <w:bookmarkEnd w:id="1770"/>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نيست بين اينكه قذف و نفى ولد هم با اشاره باشد يا آنكه در آن زمان با زبان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است اگر بتواند انشاى شهادات لعان و سابق بر آن را با كتابت نمايد بنا بر اظهر، اگر چه قذف و نفى ولد با اشاره يا كتابت يا نطق باشد؛ و مى شود ملفق از كتابت و اشاره باشد، مثل اينكه كتابت نمايد شهادات را و چهار مرتبه به آن مكتوب اشاره نمايد با فهم انشا با 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ناطق بود و لكن متمكّن از تلفظ به عربى با فهم معنى نبود، كه به لغت خودش مى تواند انجام لعان بدهد؛ همان طور قذف و نفى ولد، اختصاص به عربيّت لفظ ندارد</w:t>
      </w:r>
      <w:r>
        <w:rPr>
          <w:rFonts w:eastAsia="IRNazanin" w:cs="IRNazanin"/>
          <w:color w:val="111111"/>
          <w:sz w:val="28"/>
          <w:szCs w:val="28"/>
          <w:rtl w:val="true"/>
          <w:lang w:bidi="fa-IR"/>
        </w:rPr>
        <w:t>.</w:t>
      </w:r>
    </w:p>
    <w:p>
      <w:pPr>
        <w:pStyle w:val="Heading5"/>
        <w:numPr>
          <w:ilvl w:val="4"/>
          <w:numId w:val="1"/>
        </w:numPr>
        <w:rPr/>
      </w:pPr>
      <w:bookmarkStart w:id="1771" w:name="__RefHeading___Toc3808485_1067777946"/>
      <w:bookmarkStart w:id="1772" w:name="_Toc755"/>
      <w:bookmarkEnd w:id="1771"/>
      <w:r>
        <w:rPr>
          <w:rtl w:val="true"/>
        </w:rPr>
        <w:t>زوال مرض بعد از لعانِ با اشاره</w:t>
      </w:r>
      <w:bookmarkEnd w:id="1772"/>
    </w:p>
    <w:p>
      <w:pPr>
        <w:pStyle w:val="BookText"/>
        <w:rPr/>
      </w:pPr>
      <w:r>
        <w:rPr>
          <w:rFonts w:ascii="IRNazanin" w:hAnsi="IRNazanin" w:eastAsia="IRNazanin"/>
          <w:color w:val="111111"/>
          <w:sz w:val="28"/>
          <w:sz w:val="28"/>
          <w:szCs w:val="28"/>
          <w:rtl w:val="true"/>
          <w:lang w:bidi="fa-IR"/>
        </w:rPr>
        <w:t>اگر قذف و نفى ولد و لعان را با اشاره مفهمه انجام داد، بعد مرض زائل شده و به نطق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لعان با اشاره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بر او است، قول او در آن، مسموع است، مثل لحوق نسب و ثبوت حد، به خلاف حرمت مؤبّده كه براى او است؛ و مى تواند فى الحال لعان نطقى نمايد براى اسقاط حد و نفى ولد، در صورتى كه حكم نفى نگذشته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اشاره قصد قذف نداشته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مسموع نيست در حق غير كه ثابت شده است</w:t>
      </w:r>
      <w:r>
        <w:rPr>
          <w:rFonts w:eastAsia="IRNazanin" w:cs="IRNazanin"/>
          <w:color w:val="111111"/>
          <w:sz w:val="28"/>
          <w:szCs w:val="28"/>
          <w:rtl w:val="true"/>
          <w:lang w:bidi="fa-IR"/>
        </w:rPr>
        <w:t>.</w:t>
      </w:r>
    </w:p>
    <w:p>
      <w:pPr>
        <w:pStyle w:val="Heading5"/>
        <w:numPr>
          <w:ilvl w:val="4"/>
          <w:numId w:val="1"/>
        </w:numPr>
        <w:rPr/>
      </w:pPr>
      <w:bookmarkStart w:id="1773" w:name="__RefHeading___Toc3808487_1067777946"/>
      <w:bookmarkStart w:id="1774" w:name="_Toc756"/>
      <w:bookmarkEnd w:id="1773"/>
      <w:r>
        <w:rPr>
          <w:rtl w:val="true"/>
        </w:rPr>
        <w:t>نفى ولد مجنونه</w:t>
      </w:r>
      <w:bookmarkEnd w:id="1774"/>
    </w:p>
    <w:p>
      <w:pPr>
        <w:pStyle w:val="BookText"/>
        <w:rPr/>
      </w:pPr>
      <w:r>
        <w:rPr>
          <w:rFonts w:ascii="IRNazanin" w:hAnsi="IRNazanin" w:eastAsia="IRNazanin"/>
          <w:color w:val="111111"/>
          <w:sz w:val="28"/>
          <w:sz w:val="28"/>
          <w:szCs w:val="28"/>
          <w:rtl w:val="true"/>
          <w:lang w:bidi="fa-IR"/>
        </w:rPr>
        <w:t>اگر نفى كرد ولد مجنونه را، بدون لعان منتفى نمى شود، پس اگر افاقه حاصل شد و لعان كرد، منتفى مى شود، وگرنه ملحق است شرعاً و زوجيّت باقى است</w:t>
      </w:r>
      <w:r>
        <w:rPr>
          <w:rFonts w:eastAsia="IRNazanin" w:cs="IRNazanin"/>
          <w:color w:val="111111"/>
          <w:sz w:val="28"/>
          <w:szCs w:val="28"/>
          <w:rtl w:val="true"/>
          <w:lang w:bidi="fa-IR"/>
        </w:rPr>
        <w:t>.</w:t>
      </w:r>
    </w:p>
    <w:p>
      <w:pPr>
        <w:pStyle w:val="Heading5"/>
        <w:numPr>
          <w:ilvl w:val="4"/>
          <w:numId w:val="1"/>
        </w:numPr>
        <w:rPr/>
      </w:pPr>
      <w:bookmarkStart w:id="1775" w:name="__RefHeading___Toc3808489_1067777946"/>
      <w:bookmarkStart w:id="1776" w:name="_Toc757"/>
      <w:bookmarkEnd w:id="1775"/>
      <w:r>
        <w:rPr>
          <w:rtl w:val="true"/>
        </w:rPr>
        <w:t>تحقق نفى در ولد شبهه</w:t>
      </w:r>
      <w:bookmarkEnd w:id="177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انكار واطى، ولد موطوئه به شبهه را، از او منتفى مى شود بدون لعان، بلكه ملحق به او نمى شود مگر با اقرار او، يا اعتراف به اينكه در زمانى كه ممكن است الحاق ولد به او بشود غير او وطى ننموده است به نحوى كه معلوم او باشد، كه در قوۀ اقرار به ولد از او است در صورتى كه زوج حاضر با زن نباشد</w:t>
      </w:r>
      <w:r>
        <w:rPr>
          <w:rFonts w:eastAsia="IRNazanin" w:cs="IRNazanin"/>
          <w:color w:val="111111"/>
          <w:sz w:val="28"/>
          <w:szCs w:val="28"/>
          <w:rtl w:val="true"/>
          <w:lang w:bidi="fa-IR"/>
        </w:rPr>
        <w:t xml:space="preserve">. </w:t>
      </w:r>
      <w:bookmarkStart w:id="1777" w:name="pg10265_90059"/>
    </w:p>
    <w:p>
      <w:pPr>
        <w:pStyle w:val="Heading5"/>
        <w:numPr>
          <w:ilvl w:val="4"/>
          <w:numId w:val="1"/>
        </w:numPr>
        <w:rPr/>
      </w:pPr>
      <w:bookmarkStart w:id="1778" w:name="__RefHeading___Toc3808491_1067777946"/>
      <w:bookmarkStart w:id="1779" w:name="_Toc758"/>
      <w:bookmarkEnd w:id="1777"/>
      <w:bookmarkEnd w:id="1778"/>
      <w:r>
        <w:rPr>
          <w:rtl w:val="true"/>
        </w:rPr>
        <w:t>وجوب نفى ولد بر زوج با اختلال شروط</w:t>
      </w:r>
      <w:bookmarkEnd w:id="1779"/>
    </w:p>
    <w:p>
      <w:pPr>
        <w:pStyle w:val="BookText"/>
        <w:rPr/>
      </w:pPr>
      <w:r>
        <w:rPr>
          <w:rFonts w:ascii="IRNazanin" w:hAnsi="IRNazanin" w:eastAsia="IRNazanin"/>
          <w:color w:val="111111"/>
          <w:sz w:val="28"/>
          <w:sz w:val="28"/>
          <w:szCs w:val="28"/>
          <w:rtl w:val="true"/>
          <w:lang w:bidi="fa-IR"/>
        </w:rPr>
        <w:t xml:space="preserve">اگر زوج بداند اختلال شروط الحاق به خودش را، واجب است بر او نفى ولد در حال اختيار و عدم 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چنين كذب در الحاق جائز نيست در غير 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در امر نسب و احكام آن از ارث و تناكح، در خلاف واقع نشوند، چه عالم به زناى زوجه باشد يا نه؛ و در صورت ثانيه قذف جائز نيست و لازم است كه بعد از نفى، لعان نمايد تا حكم شرعى به عدم لحوق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شروط الحاق موجود باشد، جائز نيست نفى ولد</w:t>
      </w:r>
      <w:r>
        <w:rPr>
          <w:rFonts w:eastAsia="IRNazanin" w:cs="IRNazanin"/>
          <w:color w:val="111111"/>
          <w:sz w:val="28"/>
          <w:szCs w:val="28"/>
          <w:rtl w:val="true"/>
          <w:lang w:bidi="fa-IR"/>
        </w:rPr>
        <w:t>.</w:t>
      </w:r>
    </w:p>
    <w:p>
      <w:pPr>
        <w:pStyle w:val="Heading5"/>
        <w:numPr>
          <w:ilvl w:val="4"/>
          <w:numId w:val="1"/>
        </w:numPr>
        <w:rPr/>
      </w:pPr>
      <w:bookmarkStart w:id="1780" w:name="__RefHeading___Toc3808493_1067777946"/>
      <w:bookmarkStart w:id="1781" w:name="_Toc759"/>
      <w:bookmarkEnd w:id="1780"/>
      <w:r>
        <w:rPr>
          <w:rtl w:val="true"/>
        </w:rPr>
        <w:t>حرمت انكار ولد با علم يا تحقّق شروط</w:t>
      </w:r>
      <w:bookmarkEnd w:id="1781"/>
    </w:p>
    <w:p>
      <w:pPr>
        <w:pStyle w:val="BookText"/>
        <w:rPr/>
      </w:pPr>
      <w:r>
        <w:rPr>
          <w:rFonts w:ascii="IRNazanin" w:hAnsi="IRNazanin" w:eastAsia="IRNazanin"/>
          <w:color w:val="111111"/>
          <w:sz w:val="28"/>
          <w:sz w:val="28"/>
          <w:szCs w:val="28"/>
          <w:rtl w:val="true"/>
          <w:lang w:bidi="fa-IR"/>
        </w:rPr>
        <w:t xml:space="preserve">و اگر شروط لحوق از حين وطى تا ولادت موجود باشد و اعتراف به وجود آنها داشته باشد يا علم به آنها داشته باشد، جائز نيست انكار ولد، و ولد ملحق مى شود در ظاهر به واطى كه زوج است، و لعان او بى اثر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جائز نيست انكار ولد با اعتراف به اجتماع شروط يا علم به آن، مگر براى عالم به عدم اجتماع 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هر عالم به اجتماع شروط لحوق يا عالم به اقرار زوج</w:t>
      </w:r>
      <w:r>
        <w:rPr>
          <w:rFonts w:eastAsia="IRNazanin" w:cs="IRNazanin"/>
          <w:color w:val="111111"/>
          <w:sz w:val="28"/>
          <w:szCs w:val="28"/>
          <w:rtl w:val="true"/>
          <w:lang w:bidi="fa-IR"/>
        </w:rPr>
        <w:t>.</w:t>
      </w:r>
    </w:p>
    <w:p>
      <w:pPr>
        <w:pStyle w:val="Heading5"/>
        <w:numPr>
          <w:ilvl w:val="4"/>
          <w:numId w:val="1"/>
        </w:numPr>
        <w:rPr/>
      </w:pPr>
      <w:bookmarkStart w:id="1782" w:name="__RefHeading___Toc3808495_1067777946"/>
      <w:bookmarkStart w:id="1783" w:name="_Toc760"/>
      <w:bookmarkEnd w:id="1782"/>
      <w:r>
        <w:rPr>
          <w:rtl w:val="true"/>
        </w:rPr>
        <w:t>عدم جواز انكار به مجرّد شبهه يا ظن</w:t>
      </w:r>
      <w:bookmarkEnd w:id="1783"/>
    </w:p>
    <w:p>
      <w:pPr>
        <w:pStyle w:val="BookText"/>
        <w:rPr/>
      </w:pPr>
      <w:r>
        <w:rPr>
          <w:rFonts w:ascii="IRNazanin" w:hAnsi="IRNazanin" w:eastAsia="IRNazanin"/>
          <w:color w:val="111111"/>
          <w:sz w:val="28"/>
          <w:sz w:val="28"/>
          <w:szCs w:val="28"/>
          <w:rtl w:val="true"/>
          <w:lang w:bidi="fa-IR"/>
        </w:rPr>
        <w:t>پس جائز نيست انكار به مجرد شبهه يا ظنّ يا مخالفت صفات ولد با واطى، حتى در صورتى كه بداند زنا واقع شده و موافق است صفات ولد با زانى، در فرض وجود شروط لحوق به وطى محترم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اگر زوج و غير ذلك بدانند انتفاى شروط لحوق را، منتفى است بدون انكار و لعان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زوج بالخصوص بداند كه در اين شش ماه از زوجيّت تا ولادت، وطى او واقع نشده، بايد انكار و لعان نمايد اگر چه ارخاى ستر شده بوده، وگرنه به قاعده فراش ملحق به زوج است</w:t>
      </w:r>
      <w:r>
        <w:rPr>
          <w:rFonts w:eastAsia="IRNazanin" w:cs="IRNazanin"/>
          <w:color w:val="111111"/>
          <w:sz w:val="28"/>
          <w:szCs w:val="28"/>
          <w:rtl w:val="true"/>
          <w:lang w:bidi="fa-IR"/>
        </w:rPr>
        <w:t xml:space="preserve">. </w:t>
      </w:r>
      <w:bookmarkStart w:id="1784" w:name="pg10265_90060"/>
    </w:p>
    <w:p>
      <w:pPr>
        <w:pStyle w:val="Heading4"/>
        <w:numPr>
          <w:ilvl w:val="3"/>
          <w:numId w:val="1"/>
        </w:numPr>
        <w:rPr/>
      </w:pPr>
      <w:bookmarkStart w:id="1785" w:name="__RefHeading___Toc3808497_1067777946"/>
      <w:bookmarkStart w:id="1786" w:name="_Toc761"/>
      <w:bookmarkEnd w:id="1784"/>
      <w:bookmarkEnd w:id="1785"/>
      <w:r>
        <w:rPr/>
        <w:t>2</w:t>
      </w:r>
      <w:r>
        <w:rPr>
          <w:rtl w:val="true"/>
        </w:rPr>
        <w:t xml:space="preserve">. </w:t>
      </w:r>
      <w:r>
        <w:rPr>
          <w:rtl w:val="true"/>
        </w:rPr>
        <w:t>اوصاف مُلاعِنه</w:t>
      </w:r>
      <w:bookmarkEnd w:id="1786"/>
    </w:p>
    <w:p>
      <w:pPr>
        <w:pStyle w:val="Heading5"/>
        <w:numPr>
          <w:ilvl w:val="4"/>
          <w:numId w:val="1"/>
        </w:numPr>
        <w:rPr/>
      </w:pPr>
      <w:bookmarkStart w:id="1787" w:name="__RefHeading___Toc3808499_1067777946"/>
      <w:bookmarkStart w:id="1788" w:name="_Toc762"/>
      <w:bookmarkEnd w:id="1787"/>
      <w:r>
        <w:rPr>
          <w:rtl w:val="true"/>
        </w:rPr>
        <w:t>اشاره</w:t>
      </w:r>
      <w:bookmarkEnd w:id="1788"/>
    </w:p>
    <w:p>
      <w:pPr>
        <w:pStyle w:val="BookText"/>
        <w:rPr/>
      </w:pPr>
      <w:r>
        <w:rPr>
          <w:rFonts w:ascii="Amiri" w:hAnsi="Amiri" w:eastAsia="Amiri" w:cs="Amiri"/>
          <w:color w:val="111111"/>
          <w:sz w:val="28"/>
          <w:sz w:val="28"/>
          <w:szCs w:val="28"/>
          <w:rtl w:val="true"/>
          <w:lang w:bidi="ar-SA"/>
        </w:rPr>
        <w:t>معتبر است در ملاعنه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سلامت از صمم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 ناشنوايى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 بى زبانى</w:t>
      </w:r>
      <w:r>
        <w:rPr>
          <w:rFonts w:eastAsia="Amiri" w:cs="Amiri" w:ascii="Amiri" w:hAnsi="Amiri"/>
          <w:color w:val="111111"/>
          <w:sz w:val="28"/>
          <w:szCs w:val="28"/>
          <w:rtl w:val="true"/>
          <w:lang w:bidi="ar-SA"/>
        </w:rPr>
        <w:t>).</w:t>
      </w:r>
    </w:p>
    <w:p>
      <w:pPr>
        <w:pStyle w:val="Heading5"/>
        <w:numPr>
          <w:ilvl w:val="4"/>
          <w:numId w:val="1"/>
        </w:numPr>
        <w:rPr/>
      </w:pPr>
      <w:bookmarkStart w:id="1789" w:name="__RefHeading___Toc3808501_1067777946"/>
      <w:bookmarkStart w:id="1790" w:name="_Toc763"/>
      <w:bookmarkEnd w:id="1789"/>
      <w:r>
        <w:rPr>
          <w:rtl w:val="true"/>
        </w:rPr>
        <w:t>قذف شخص لال يا ناشنوا</w:t>
      </w:r>
      <w:bookmarkEnd w:id="1790"/>
    </w:p>
    <w:p>
      <w:pPr>
        <w:pStyle w:val="BookText"/>
        <w:rPr/>
      </w:pPr>
      <w:r>
        <w:rPr>
          <w:rFonts w:ascii="IRNazanin" w:hAnsi="IRNazanin" w:eastAsia="IRNazanin"/>
          <w:color w:val="111111"/>
          <w:sz w:val="28"/>
          <w:sz w:val="28"/>
          <w:szCs w:val="28"/>
          <w:rtl w:val="true"/>
          <w:lang w:bidi="fa-IR"/>
        </w:rPr>
        <w:t xml:space="preserve">پس اگر قذف كرد صمّاء يا خرساء را، اظهر حرمت ابديّه است و لعان زن صحيح نمى شود؛ حتى اگر فرضاً بينۀ زن شهادت بر قذف بدهد و مرد محدود بشود، حرمت ابديه بر مجرد قذف زوجۀ خرساء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صماء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بينه زوج بر مقذوفٌ به باشد، حد قذف بر زوج ساقط است و حد بر زن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حرمت ابديه ثابت نمى شود با بينه بر زنا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تأثير نفى ولد از صمّاء يا خرساء، در حكم لعان، بدون لعان به واسطۀ عدم صحّت لعان از او، تأمّل است، و احتياط مناسب مربوط به انتفاى ولد و حرمت ابديه و عدم آنها ترك نشود</w:t>
      </w:r>
      <w:r>
        <w:rPr>
          <w:rFonts w:eastAsia="Amiri" w:cs="Amiri" w:ascii="Amiri" w:hAnsi="Amiri"/>
          <w:color w:val="111111"/>
          <w:sz w:val="28"/>
          <w:szCs w:val="28"/>
          <w:rtl w:val="true"/>
          <w:lang w:bidi="ar-SA"/>
        </w:rPr>
        <w:t>.</w:t>
      </w:r>
    </w:p>
    <w:p>
      <w:pPr>
        <w:pStyle w:val="Heading5"/>
        <w:numPr>
          <w:ilvl w:val="4"/>
          <w:numId w:val="1"/>
        </w:numPr>
        <w:rPr/>
      </w:pPr>
      <w:bookmarkStart w:id="1791" w:name="__RefHeading___Toc3808503_1067777946"/>
      <w:bookmarkStart w:id="1792" w:name="_Toc764"/>
      <w:bookmarkEnd w:id="1791"/>
      <w:r>
        <w:rPr>
          <w:rtl w:val="true"/>
        </w:rPr>
        <w:t>اعتبار دوام عقد و حكم ولد متعه</w:t>
      </w:r>
      <w:bookmarkEnd w:id="1792"/>
    </w:p>
    <w:p>
      <w:pPr>
        <w:pStyle w:val="BookText"/>
        <w:rPr/>
      </w:pPr>
      <w:r>
        <w:rPr>
          <w:rFonts w:ascii="Amiri" w:hAnsi="Amiri" w:eastAsia="Amiri" w:cs="Amiri"/>
          <w:color w:val="111111"/>
          <w:sz w:val="28"/>
          <w:sz w:val="28"/>
          <w:szCs w:val="28"/>
          <w:rtl w:val="true"/>
          <w:lang w:bidi="ar-SA"/>
        </w:rPr>
        <w:t>و بايد ملاعنه منكوحه به عقد دائم باشد؛ و متمتعٌ بها ولد او منتفى مى شود به مجرد نفى زوج بدون لعان، بلكه لعان به سبب قذف هم در بارۀ او منتفى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جائز نيست بنا بر اظهر براى زوج، نفى ولد متعه بدون علم به انتفا؛ و با علامات مفيده ظن به انتفا، محكوم به لحوق است به واسطۀ فراش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نفى كرد در موضع عدم لعان، پس غير احكام اقرار اگر چه معلوم نيست الاّ اينكه به مناسبت نقل اتفاق در خصوص مقام، انتفاى ولد هم كه اثر لعان است محقّق مى شود بنا بر اظهر</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لازم است بنا بر اظهر در صحّت لعان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دخول به زوجه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قذف غير مدخولٌ بها، حرمت ابديه بر او مترتّب نمى شود و تأثير آن در حد قذف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bookmarkStart w:id="1793" w:name="pg10265_90061"/>
    </w:p>
    <w:p>
      <w:pPr>
        <w:pStyle w:val="BookText"/>
        <w:rPr/>
      </w:pPr>
      <w:bookmarkEnd w:id="1793"/>
      <w:r>
        <w:rPr>
          <w:rFonts w:ascii="IRNazanin" w:hAnsi="IRNazanin" w:eastAsia="IRNazanin"/>
          <w:color w:val="111111"/>
          <w:sz w:val="28"/>
          <w:sz w:val="28"/>
          <w:szCs w:val="28"/>
          <w:rtl w:val="true"/>
          <w:lang w:bidi="fa-IR"/>
        </w:rPr>
        <w:t>چنين در نفى ولد لعان نيست چه آنكه موجب لحوق نباشد يا باشد، مثل احتمال دخول بلكه احتمال تكوّن از ماء او به نحو غير محرّم، چنانچه اعتبار دخول منسوب به فتواى اكثر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انتفاى به نفى بدون لعان يا بقاى لحوق ظاهرى تأمّل است، و احتياط ترك نشود</w:t>
      </w:r>
      <w:r>
        <w:rPr>
          <w:rFonts w:eastAsia="IRNazanin" w:cs="IRNazanin"/>
          <w:color w:val="111111"/>
          <w:sz w:val="28"/>
          <w:szCs w:val="28"/>
          <w:rtl w:val="true"/>
          <w:lang w:bidi="fa-IR"/>
        </w:rPr>
        <w:t>.</w:t>
      </w:r>
    </w:p>
    <w:p>
      <w:pPr>
        <w:pStyle w:val="Heading5"/>
        <w:numPr>
          <w:ilvl w:val="4"/>
          <w:numId w:val="1"/>
        </w:numPr>
        <w:rPr/>
      </w:pPr>
      <w:bookmarkStart w:id="1794" w:name="__RefHeading___Toc3808505_1067777946"/>
      <w:bookmarkStart w:id="1795" w:name="_Toc765"/>
      <w:bookmarkEnd w:id="1794"/>
      <w:r>
        <w:rPr>
          <w:rtl w:val="true"/>
        </w:rPr>
        <w:t>عدم اعتبار حرّيت</w:t>
      </w:r>
      <w:bookmarkEnd w:id="1795"/>
    </w:p>
    <w:p>
      <w:pPr>
        <w:pStyle w:val="BookText"/>
        <w:rPr/>
      </w:pPr>
      <w:r>
        <w:rPr>
          <w:rFonts w:ascii="IRNazanin" w:hAnsi="IRNazanin" w:eastAsia="IRNazanin"/>
          <w:color w:val="111111"/>
          <w:sz w:val="28"/>
          <w:sz w:val="28"/>
          <w:szCs w:val="28"/>
          <w:rtl w:val="true"/>
          <w:lang w:bidi="fa-IR"/>
        </w:rPr>
        <w:t>و معتبر نيست در لعان، حرّيت، چنانچه اشهر است؛ پس لعان بين دو حرّ و دو مملوك و مختلف در اين جهت، واقع مى شود و مؤثّر است در حكم، چه آنكه به سبب قذف باشد يا نفى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اسلام زن ملاعنه معتبر نيست بنا بر اظهر و اشهر</w:t>
      </w:r>
      <w:r>
        <w:rPr>
          <w:rFonts w:eastAsia="IRNazanin" w:cs="IRNazanin"/>
          <w:color w:val="111111"/>
          <w:sz w:val="28"/>
          <w:szCs w:val="28"/>
          <w:rtl w:val="true"/>
          <w:lang w:bidi="fa-IR"/>
        </w:rPr>
        <w:t>.</w:t>
      </w:r>
    </w:p>
    <w:p>
      <w:pPr>
        <w:pStyle w:val="Heading5"/>
        <w:numPr>
          <w:ilvl w:val="4"/>
          <w:numId w:val="1"/>
        </w:numPr>
        <w:rPr/>
      </w:pPr>
      <w:bookmarkStart w:id="1796" w:name="__RefHeading___Toc3808507_1067777946"/>
      <w:bookmarkStart w:id="1797" w:name="_Toc766"/>
      <w:bookmarkEnd w:id="1796"/>
      <w:r>
        <w:rPr>
          <w:rtl w:val="true"/>
        </w:rPr>
        <w:t>صحّت لعان حامل</w:t>
      </w:r>
      <w:bookmarkEnd w:id="1797"/>
    </w:p>
    <w:p>
      <w:pPr>
        <w:pStyle w:val="BookText"/>
        <w:rPr/>
      </w:pPr>
      <w:r>
        <w:rPr>
          <w:rFonts w:ascii="IRNazanin" w:hAnsi="IRNazanin" w:eastAsia="IRNazanin"/>
          <w:color w:val="111111"/>
          <w:sz w:val="28"/>
          <w:sz w:val="28"/>
          <w:szCs w:val="28"/>
          <w:rtl w:val="true"/>
          <w:lang w:bidi="fa-IR"/>
        </w:rPr>
        <w:t>لعان حامل، صحيح است بنا بر مشهور 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او حد ثابت شد، قبل از وضع حمل، اقامۀ حد بر او نمى شود</w:t>
      </w:r>
      <w:r>
        <w:rPr>
          <w:rFonts w:eastAsia="IRNazanin" w:cs="IRNazanin"/>
          <w:color w:val="111111"/>
          <w:sz w:val="28"/>
          <w:szCs w:val="28"/>
          <w:rtl w:val="true"/>
          <w:lang w:bidi="fa-IR"/>
        </w:rPr>
        <w:t>.</w:t>
      </w:r>
    </w:p>
    <w:p>
      <w:pPr>
        <w:pStyle w:val="Heading5"/>
        <w:numPr>
          <w:ilvl w:val="4"/>
          <w:numId w:val="1"/>
        </w:numPr>
        <w:rPr/>
      </w:pPr>
      <w:bookmarkStart w:id="1798" w:name="__RefHeading___Toc3808509_1067777946"/>
      <w:bookmarkStart w:id="1799" w:name="_Toc767"/>
      <w:bookmarkEnd w:id="1798"/>
      <w:r>
        <w:rPr>
          <w:rtl w:val="true"/>
        </w:rPr>
        <w:t>عدم كفايت مجرّد ملك براى تحقّق فراش</w:t>
      </w:r>
      <w:bookmarkEnd w:id="179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اَمه به مجرد ملك، فراش نمى شود به طورى كه مثل زوجه ملحق بشود ولد او با احتمال تولد از زوج به احتمال وطى در زمان امكان تولد از آن؛ بلكه محتاج است در فراش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لحوق به امكان، به وطى، به نحوى كه ممكن باشد تولد از آن، پس با عدم احراز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عدم احراز وطى باشد يا عدم احراز امكان مذكور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نمى شود مگر با اقرار مالك، و با نفى او منتفى مى شود؛ و با احراز وطى به نحوى كه ممكن باشد تولد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اقل و اكثر حمل و عدم علم به وطى غير و عدم ظن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مى شود و نفى، مفيد نيست اگر اقرار به مذكور دارد، و جائز هم نيست</w:t>
      </w:r>
      <w:r>
        <w:rPr>
          <w:rFonts w:eastAsia="IRNazanin" w:cs="IRNazanin"/>
          <w:color w:val="111111"/>
          <w:sz w:val="28"/>
          <w:szCs w:val="28"/>
          <w:rtl w:val="true"/>
          <w:lang w:bidi="fa-IR"/>
        </w:rPr>
        <w:t xml:space="preserve">. </w:t>
      </w:r>
      <w:bookmarkStart w:id="1800" w:name="pg10265_90062"/>
    </w:p>
    <w:p>
      <w:pPr>
        <w:pStyle w:val="Heading5"/>
        <w:numPr>
          <w:ilvl w:val="4"/>
          <w:numId w:val="1"/>
        </w:numPr>
        <w:rPr/>
      </w:pPr>
      <w:bookmarkStart w:id="1801" w:name="__RefHeading___Toc3808511_1067777946"/>
      <w:bookmarkStart w:id="1802" w:name="_Toc768"/>
      <w:bookmarkEnd w:id="1800"/>
      <w:bookmarkEnd w:id="1801"/>
      <w:r>
        <w:rPr>
          <w:rtl w:val="true"/>
        </w:rPr>
        <w:t>اناطۀ جواز نفى ولد به علم به مخالفت قاعدۀ فراش</w:t>
      </w:r>
      <w:bookmarkEnd w:id="1802"/>
    </w:p>
    <w:p>
      <w:pPr>
        <w:pStyle w:val="BookText"/>
        <w:rPr/>
      </w:pPr>
      <w:r>
        <w:rPr>
          <w:rFonts w:ascii="IRNazanin" w:hAnsi="IRNazanin" w:eastAsia="IRNazanin"/>
          <w:color w:val="111111"/>
          <w:sz w:val="28"/>
          <w:sz w:val="28"/>
          <w:szCs w:val="28"/>
          <w:rtl w:val="true"/>
          <w:lang w:bidi="fa-IR"/>
        </w:rPr>
        <w:t>و در زوجه، نفى ولد جائز نيست مگر با علم به مخالفت قاعده فراش با واقع و به عدم وطى قابل براى تولّد از آن، حتى اگر ظن به عدم وطى مذكور و به وطى غير دارد، نفى جائز نيست و با نفى منتفى نمى شود بلكه با لعان مدخولٌ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انتفاى فراشيّت امۀ موطوئه در صورت ظن به خلاف، ثمره اش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عدم علم به وطى خاصّ موجب لحوق در اَمه نيست مگر از طريق اقرار مالك براى غير او، و نفى راجع به آن جائز و موجب انتفا است، به خلاف زوجه كه نفى در آن به حسب تكليف و وضع، مخالف اَمه است و با علم به دخول منتهى به لعان مى شود</w:t>
      </w:r>
      <w:r>
        <w:rPr>
          <w:rFonts w:eastAsia="IRNazanin" w:cs="IRNazanin"/>
          <w:color w:val="111111"/>
          <w:sz w:val="28"/>
          <w:szCs w:val="28"/>
          <w:rtl w:val="true"/>
          <w:lang w:bidi="fa-IR"/>
        </w:rPr>
        <w:t>.</w:t>
      </w:r>
    </w:p>
    <w:p>
      <w:pPr>
        <w:pStyle w:val="Heading5"/>
        <w:numPr>
          <w:ilvl w:val="4"/>
          <w:numId w:val="1"/>
        </w:numPr>
        <w:rPr/>
      </w:pPr>
      <w:bookmarkStart w:id="1803" w:name="__RefHeading___Toc3808513_1067777946"/>
      <w:bookmarkStart w:id="1804" w:name="_Toc769"/>
      <w:bookmarkEnd w:id="1803"/>
      <w:r>
        <w:rPr>
          <w:rtl w:val="true"/>
        </w:rPr>
        <w:t>الحاق متمتّع بها به امه</w:t>
      </w:r>
      <w:bookmarkEnd w:id="180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حكم در متمتعٌ بها، حكم اَمه است بنا بر توافق آن دو در خصوصيّات معتبره در لحوق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نفى در غير مورد و به نحو حرام بود، منتفى مى شود در ظاهر نزد غير عالم به تحقّق شروط لحوق</w:t>
      </w:r>
      <w:r>
        <w:rPr>
          <w:rFonts w:eastAsia="IRNazanin" w:cs="IRNazanin"/>
          <w:color w:val="111111"/>
          <w:sz w:val="28"/>
          <w:szCs w:val="28"/>
          <w:rtl w:val="true"/>
          <w:lang w:bidi="fa-IR"/>
        </w:rPr>
        <w:t xml:space="preserve">. </w:t>
      </w:r>
      <w:bookmarkStart w:id="1805" w:name="pg10265_90063"/>
    </w:p>
    <w:p>
      <w:pPr>
        <w:pStyle w:val="Heading3"/>
        <w:numPr>
          <w:ilvl w:val="2"/>
          <w:numId w:val="1"/>
        </w:numPr>
        <w:rPr/>
      </w:pPr>
      <w:bookmarkStart w:id="1806" w:name="__RefHeading___Toc3808515_1067777946"/>
      <w:bookmarkStart w:id="1807" w:name="_Toc770"/>
      <w:bookmarkEnd w:id="1805"/>
      <w:bookmarkEnd w:id="1806"/>
      <w:r>
        <w:rPr>
          <w:rtl w:val="true"/>
        </w:rPr>
        <w:t>فصل سوّم كيفيّت لعان</w:t>
      </w:r>
      <w:bookmarkEnd w:id="1807"/>
    </w:p>
    <w:p>
      <w:pPr>
        <w:pStyle w:val="Heading4"/>
        <w:numPr>
          <w:ilvl w:val="3"/>
          <w:numId w:val="1"/>
        </w:numPr>
        <w:rPr/>
      </w:pPr>
      <w:bookmarkStart w:id="1808" w:name="__RefHeading___Toc3808517_1067777946"/>
      <w:bookmarkStart w:id="1809" w:name="_Toc771"/>
      <w:bookmarkEnd w:id="1808"/>
      <w:r>
        <w:rPr>
          <w:rtl w:val="true"/>
        </w:rPr>
        <w:t>صحّت لعان نزد نائب عام</w:t>
      </w:r>
      <w:bookmarkEnd w:id="1809"/>
    </w:p>
    <w:p>
      <w:pPr>
        <w:pStyle w:val="BookText"/>
        <w:rPr/>
      </w:pPr>
      <w:r>
        <w:rPr>
          <w:rFonts w:ascii="Amiri" w:hAnsi="Amiri" w:eastAsia="Amiri" w:cs="Amiri"/>
          <w:color w:val="111111"/>
          <w:sz w:val="28"/>
          <w:sz w:val="28"/>
          <w:szCs w:val="28"/>
          <w:rtl w:val="true"/>
          <w:lang w:bidi="ar-SA"/>
        </w:rPr>
        <w:t xml:space="preserve">صحيح است لعان نزد نائب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فقيه جامع شرائط حكم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عصر غيبت امام 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الشريف </w:t>
      </w:r>
      <w:r>
        <w:rPr>
          <w:rFonts w:eastAsia="Amiri" w:cs="Amiri" w:ascii="Amiri" w:hAnsi="Amiri"/>
          <w:color w:val="111111"/>
          <w:sz w:val="28"/>
          <w:szCs w:val="28"/>
          <w:rtl w:val="true"/>
          <w:lang w:bidi="ar-SA"/>
        </w:rPr>
        <w:t>-.</w:t>
      </w:r>
    </w:p>
    <w:p>
      <w:pPr>
        <w:pStyle w:val="Heading4"/>
        <w:numPr>
          <w:ilvl w:val="3"/>
          <w:numId w:val="1"/>
        </w:numPr>
        <w:rPr/>
      </w:pPr>
      <w:bookmarkStart w:id="1810" w:name="__RefHeading___Toc3808519_1067777946"/>
      <w:bookmarkStart w:id="1811" w:name="_Toc772"/>
      <w:bookmarkEnd w:id="1810"/>
      <w:r>
        <w:rPr>
          <w:rtl w:val="true"/>
        </w:rPr>
        <w:t>كيفيّت لعان</w:t>
      </w:r>
      <w:bookmarkEnd w:id="1811"/>
    </w:p>
    <w:p>
      <w:pPr>
        <w:pStyle w:val="BookText"/>
        <w:rPr/>
      </w:pPr>
      <w:r>
        <w:rPr>
          <w:rFonts w:ascii="IRNazanin" w:hAnsi="IRNazanin" w:eastAsia="IRNazanin"/>
          <w:color w:val="111111"/>
          <w:sz w:val="28"/>
          <w:sz w:val="28"/>
          <w:szCs w:val="28"/>
          <w:rtl w:val="true"/>
          <w:lang w:bidi="fa-IR"/>
        </w:rPr>
        <w:t>كيفيّت لعان اين است كه در ابتدا، مرد شهادت بدهد به خدا، چهار مرتبه كه راستگو است در آنچه قذف نموده زن را و در نفى ولد، به اين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باللّٰه إنى لمن الصادقين فيما رميتها به من الزنا، او ان هذا الولد ليس من مائى، أو ان هذا الولد من زنا و ليس 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فقط نفى ولد كرده، كافى است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باللّٰه إنى لمن الصادقين فى نفى الولد المعيّن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چهار مرتبه شهادت،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لعنة اللّٰه عليه ان كان من الكاذبين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تبدّل ضمير غائب به ياى متكلم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زن بعد از فراغ مرد از شهادات و لعن، چهار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باللّٰه انه لمن الكاذبين فيما رماها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زائد بر اين عبارت از شهادت زن، در هيچ يك از قذف زوج و نفى او ولد را، لازم نيست اگر چه جائز است تعرض زن نفى ولد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چهار شهادت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غضب اللّٰه عليها ان كان من الصادقين</w:t>
      </w:r>
      <w:r>
        <w:rPr>
          <w:rFonts w:eastAsia="IRNazanin" w:cs="IRNazanin"/>
          <w:color w:val="111111"/>
          <w:sz w:val="28"/>
          <w:szCs w:val="28"/>
          <w:rtl w:val="true"/>
          <w:lang w:bidi="fa-IR"/>
        </w:rPr>
        <w:t xml:space="preserve">». </w:t>
      </w:r>
      <w:bookmarkStart w:id="1812" w:name="pg10265_90064"/>
    </w:p>
    <w:p>
      <w:pPr>
        <w:pStyle w:val="Heading4"/>
        <w:numPr>
          <w:ilvl w:val="3"/>
          <w:numId w:val="1"/>
        </w:numPr>
        <w:rPr/>
      </w:pPr>
      <w:bookmarkStart w:id="1813" w:name="__RefHeading___Toc3808521_1067777946"/>
      <w:bookmarkStart w:id="1814" w:name="_Toc773"/>
      <w:bookmarkEnd w:id="1812"/>
      <w:bookmarkEnd w:id="1813"/>
      <w:r>
        <w:rPr>
          <w:rtl w:val="true"/>
        </w:rPr>
        <w:t>شرايط شهادت و الفاظ لعان</w:t>
      </w:r>
      <w:bookmarkEnd w:id="1814"/>
    </w:p>
    <w:p>
      <w:pPr>
        <w:pStyle w:val="BookText"/>
        <w:rPr/>
      </w:pPr>
      <w:r>
        <w:rPr>
          <w:rFonts w:ascii="Amiri" w:hAnsi="Amiri" w:eastAsia="Amiri" w:cs="Amiri"/>
          <w:color w:val="111111"/>
          <w:sz w:val="28"/>
          <w:sz w:val="28"/>
          <w:szCs w:val="28"/>
          <w:rtl w:val="true"/>
          <w:lang w:bidi="ar-SA"/>
        </w:rPr>
        <w:t>و بايد نطق به شهادت به نحو مذكور بشود، و مواظبت بر هر يك از لعن و غضب در محل خود بشود، يعنى متأخّر از شهادت باشند؛ و تبديل به مرادف در عربيّت نشود؛ و حذف لام تأكيد ننمايد؛ و حرف جر را تبديل ننمايد؛ و مرد تقديم نمايد شهادت و لعن خود را؛ و زن تأخير نمايد شهادت خود را؛ و هر كدام از آنها تعيين طرف با اشاره يا توصيف نمايد؛ و با تمكّن، به لفظ عربى غير ملحون ادا نمايد؛ و با عجز، به هر لغتى كه مقدور ايشان است يعنى مفهم هر دو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تقديم عربى غير ملحون اگر لغت متلاعنين باشد محتمل و هر چه مخالفت فهم به لغت حاكم نمايد دو مترجم عدل شهادت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موالات بين كلمات لازم است؛ و هر دو از اول تا آخر قائم باشند، و اداى شهادات از هر دو بعد از القاى حاكم باشد، و اگر مبادرت كرد اعاده نمايد بعدِ إحلاف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مبناى بعضى از تخصيصات متقدّمه، موافقت با احتياط و اصل است</w:t>
      </w:r>
      <w:r>
        <w:rPr>
          <w:rFonts w:eastAsia="IRNazanin" w:cs="IRNazanin"/>
          <w:color w:val="111111"/>
          <w:sz w:val="28"/>
          <w:szCs w:val="28"/>
          <w:rtl w:val="true"/>
          <w:lang w:bidi="fa-IR"/>
        </w:rPr>
        <w:t>.</w:t>
      </w:r>
    </w:p>
    <w:p>
      <w:pPr>
        <w:pStyle w:val="Heading4"/>
        <w:numPr>
          <w:ilvl w:val="3"/>
          <w:numId w:val="1"/>
        </w:numPr>
        <w:rPr/>
      </w:pPr>
      <w:bookmarkStart w:id="1815" w:name="__RefHeading___Toc3808523_1067777946"/>
      <w:bookmarkStart w:id="1816" w:name="_Toc774"/>
      <w:bookmarkEnd w:id="1815"/>
      <w:r>
        <w:rPr>
          <w:rtl w:val="true"/>
        </w:rPr>
        <w:t>مستحبّات لعان</w:t>
      </w:r>
      <w:bookmarkEnd w:id="1816"/>
    </w:p>
    <w:p>
      <w:pPr>
        <w:pStyle w:val="BookText"/>
        <w:rPr/>
      </w:pPr>
      <w:r>
        <w:rPr>
          <w:rFonts w:ascii="IRNazanin" w:hAnsi="IRNazanin" w:eastAsia="IRNazanin"/>
          <w:color w:val="111111"/>
          <w:sz w:val="28"/>
          <w:sz w:val="28"/>
          <w:szCs w:val="28"/>
          <w:rtl w:val="true"/>
          <w:lang w:bidi="fa-IR"/>
        </w:rPr>
        <w:t>مستحب است كه حاكم مستدبر قبله بنشيند، و مرد در طرف راست حاكم، و زن در طرف چپ حاكم و مرد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حضور جماعتى براى استماع لعان تا بدانند ترتّب احكام را در موارد خاصّه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مستحب است براى حاكم، وعظ متلاعنين بعد از شهادات و قبل از لعن و غضب، و تذكير ايشان به اشدّيت عذاب آخرت از عذاب دنيا، و قرائت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يَشْتَرُونَ بِعَهْدِ اَللّٰهِ وَ أَيْمٰانِهِمْ ثَمَناً قَلِيلاً</w:t>
      </w:r>
      <w:r>
        <w:rPr>
          <w:rFonts w:eastAsia="Amiri" w:cs="Amiri" w:ascii="Amiri" w:hAnsi="Amiri"/>
          <w:color w:val="111111"/>
          <w:sz w:val="28"/>
          <w:szCs w:val="28"/>
          <w:rtl w:val="true"/>
          <w:lang w:bidi="ar-SA"/>
        </w:rPr>
        <w:t>» .</w:t>
      </w:r>
    </w:p>
    <w:p>
      <w:pPr>
        <w:pStyle w:val="Heading4"/>
        <w:numPr>
          <w:ilvl w:val="3"/>
          <w:numId w:val="1"/>
        </w:numPr>
        <w:rPr/>
      </w:pPr>
      <w:bookmarkStart w:id="1817" w:name="__RefHeading___Toc3808525_1067777946"/>
      <w:bookmarkStart w:id="1818" w:name="_Toc775"/>
      <w:bookmarkEnd w:id="1817"/>
      <w:r>
        <w:rPr>
          <w:rtl w:val="true"/>
        </w:rPr>
        <w:t>استحباب تغليظ در ايقاع لعان</w:t>
      </w:r>
      <w:bookmarkEnd w:id="1818"/>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دور نيست استحباب تغليظ در ايقاع لعان، به اختيار امكنه مقدسه معروفه در </w:t>
      </w:r>
      <w:bookmarkStart w:id="1819" w:name="pg10265_90065"/>
    </w:p>
    <w:p>
      <w:pPr>
        <w:pStyle w:val="BookText"/>
        <w:rPr/>
      </w:pPr>
      <w:bookmarkEnd w:id="1819"/>
      <w:r>
        <w:rPr>
          <w:rFonts w:ascii="IRNazanin" w:hAnsi="IRNazanin" w:eastAsia="IRNazanin"/>
          <w:color w:val="111111"/>
          <w:sz w:val="28"/>
          <w:sz w:val="28"/>
          <w:szCs w:val="28"/>
          <w:rtl w:val="true"/>
          <w:lang w:bidi="fa-IR"/>
        </w:rPr>
        <w:t>اسلام و ايمان، و ازمنه شريفه مثل روز جمعه و بعد از عصر آن، بنا بر استحباب تغليظ در ايقاع هر 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الحاق تغليظ به تحرّى معظّمات مكانيّه و زمانيّه نزد اهل كتاب اگر متلاعنين از ايشان باشد، خالى از وجه نيست</w:t>
      </w:r>
      <w:r>
        <w:rPr>
          <w:rFonts w:eastAsia="IRNazanin" w:cs="IRNazanin"/>
          <w:color w:val="111111"/>
          <w:sz w:val="28"/>
          <w:szCs w:val="28"/>
          <w:rtl w:val="true"/>
          <w:lang w:bidi="fa-IR"/>
        </w:rPr>
        <w:t>.</w:t>
      </w:r>
    </w:p>
    <w:p>
      <w:pPr>
        <w:pStyle w:val="Heading4"/>
        <w:numPr>
          <w:ilvl w:val="3"/>
          <w:numId w:val="1"/>
        </w:numPr>
        <w:rPr/>
      </w:pPr>
      <w:bookmarkStart w:id="1820" w:name="__RefHeading___Toc3808527_1067777946"/>
      <w:bookmarkStart w:id="1821" w:name="_Toc776"/>
      <w:bookmarkEnd w:id="1820"/>
      <w:r>
        <w:rPr>
          <w:rtl w:val="true"/>
        </w:rPr>
        <w:t>ايقاع لعان در مساجد</w:t>
      </w:r>
      <w:bookmarkEnd w:id="1821"/>
    </w:p>
    <w:p>
      <w:pPr>
        <w:pStyle w:val="BookText"/>
        <w:rPr/>
      </w:pPr>
      <w:r>
        <w:rPr>
          <w:rFonts w:ascii="IRNazanin" w:hAnsi="IRNazanin" w:eastAsia="IRNazanin"/>
          <w:color w:val="111111"/>
          <w:sz w:val="28"/>
          <w:sz w:val="28"/>
          <w:szCs w:val="28"/>
          <w:rtl w:val="true"/>
          <w:lang w:bidi="fa-IR"/>
        </w:rPr>
        <w:t>و ايقاع در مساجد براى كسانى است كه مانع ندارند مثل جنابت و حيض، وگرنه در منازل ايشان يا نزد درب مساجد ايقاع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زن هاى شريفه كه معتاد به خروج از منازل نيستند، ارسال مى نمايد حاكم، احلاف كننده ايشان را در منازل</w:t>
      </w:r>
      <w:r>
        <w:rPr>
          <w:rFonts w:eastAsia="IRNazanin" w:cs="IRNazanin"/>
          <w:color w:val="111111"/>
          <w:sz w:val="28"/>
          <w:szCs w:val="28"/>
          <w:rtl w:val="true"/>
          <w:lang w:bidi="fa-IR"/>
        </w:rPr>
        <w:t>.</w:t>
      </w:r>
    </w:p>
    <w:p>
      <w:pPr>
        <w:pStyle w:val="Heading4"/>
        <w:numPr>
          <w:ilvl w:val="3"/>
          <w:numId w:val="1"/>
        </w:numPr>
        <w:rPr/>
      </w:pPr>
      <w:bookmarkStart w:id="1822" w:name="__RefHeading___Toc3808529_1067777946"/>
      <w:bookmarkStart w:id="1823" w:name="_Toc777"/>
      <w:bookmarkEnd w:id="1822"/>
      <w:r>
        <w:rPr>
          <w:rtl w:val="true"/>
        </w:rPr>
        <w:t>عدم ترتب ثمره بر اينكه لعان يمين است يا شهادت</w:t>
      </w:r>
      <w:bookmarkEnd w:id="182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وضوح احكام لعان و قذفهاى ديگر، ثمره بر اختلاف در اين كه لعان يمين است يا شهادت، مترتّب نيست</w:t>
      </w:r>
      <w:r>
        <w:rPr>
          <w:rFonts w:eastAsia="IRNazanin" w:cs="IRNazanin"/>
          <w:color w:val="111111"/>
          <w:sz w:val="28"/>
          <w:szCs w:val="28"/>
          <w:rtl w:val="true"/>
          <w:lang w:bidi="fa-IR"/>
        </w:rPr>
        <w:t xml:space="preserve">. </w:t>
      </w:r>
      <w:bookmarkStart w:id="1824" w:name="pg10265_90066"/>
    </w:p>
    <w:p>
      <w:pPr>
        <w:pStyle w:val="Heading3"/>
        <w:numPr>
          <w:ilvl w:val="2"/>
          <w:numId w:val="1"/>
        </w:numPr>
        <w:rPr/>
      </w:pPr>
      <w:bookmarkStart w:id="1825" w:name="__RefHeading___Toc3808531_1067777946"/>
      <w:bookmarkStart w:id="1826" w:name="_Toc778"/>
      <w:bookmarkEnd w:id="1824"/>
      <w:bookmarkEnd w:id="1825"/>
      <w:r>
        <w:rPr>
          <w:rtl w:val="true"/>
        </w:rPr>
        <w:t>فصل چهارم احكام لعان</w:t>
      </w:r>
      <w:bookmarkEnd w:id="1826"/>
    </w:p>
    <w:p>
      <w:pPr>
        <w:pStyle w:val="Heading4"/>
        <w:numPr>
          <w:ilvl w:val="3"/>
          <w:numId w:val="1"/>
        </w:numPr>
        <w:rPr/>
      </w:pPr>
      <w:bookmarkStart w:id="1827" w:name="__RefHeading___Toc3808533_1067777946"/>
      <w:bookmarkStart w:id="1828" w:name="_Toc779"/>
      <w:bookmarkEnd w:id="1827"/>
      <w:r>
        <w:rPr>
          <w:rtl w:val="true"/>
        </w:rPr>
        <w:t>ثبوت حد بر مرد به وسيلۀ قذف و سقوط با لعان</w:t>
      </w:r>
      <w:bookmarkEnd w:id="18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ثابت مى شود به سبب قذف مرد زوجه اش را، وجوب حد قذف بر او، مثل اجنبى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ساقط مى شود اين حدّ به سبب لعان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حدّ در حق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سقوط و وجوب، فارق بين زوج و اجنبى است چه آنكه زن اعتراف به زنا نمايد يا آنكه نكول از لعان نمايد</w:t>
      </w:r>
      <w:r>
        <w:rPr>
          <w:rFonts w:eastAsia="IRNazanin" w:cs="IRNazanin"/>
          <w:color w:val="111111"/>
          <w:sz w:val="28"/>
          <w:szCs w:val="28"/>
          <w:rtl w:val="true"/>
          <w:lang w:bidi="fa-IR"/>
        </w:rPr>
        <w:t>.</w:t>
      </w:r>
    </w:p>
    <w:p>
      <w:pPr>
        <w:pStyle w:val="Heading4"/>
        <w:numPr>
          <w:ilvl w:val="3"/>
          <w:numId w:val="1"/>
        </w:numPr>
        <w:rPr/>
      </w:pPr>
      <w:bookmarkStart w:id="1829" w:name="__RefHeading___Toc3808535_1067777946"/>
      <w:bookmarkStart w:id="1830" w:name="_Toc780"/>
      <w:bookmarkEnd w:id="1829"/>
      <w:r>
        <w:rPr>
          <w:rtl w:val="true"/>
        </w:rPr>
        <w:t>نكول زوج از لعان يا اعتراف به كذب</w:t>
      </w:r>
      <w:bookmarkEnd w:id="1830"/>
    </w:p>
    <w:p>
      <w:pPr>
        <w:pStyle w:val="BookText"/>
        <w:rPr/>
      </w:pPr>
      <w:r>
        <w:rPr>
          <w:rFonts w:ascii="IRNazanin" w:hAnsi="IRNazanin" w:eastAsia="IRNazanin"/>
          <w:color w:val="111111"/>
          <w:sz w:val="28"/>
          <w:sz w:val="28"/>
          <w:szCs w:val="28"/>
          <w:rtl w:val="true"/>
          <w:lang w:bidi="fa-IR"/>
        </w:rPr>
        <w:t>و اگر زوج نكول كرد از لعان يا اعتراف به كذب خودش نمود، حد قذف ثابت است و ولد هم از او منتفى نمى شود؛ بلكه با لعان او سقوط حد و انتفاى ولد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نكول از تكميل لعان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يك كلمۀ لازمۀ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نكول از لعان است و حد با آن ثابت و ولد هم منتفى نمى شود، و هم چنين سائر احكام</w:t>
      </w:r>
      <w:r>
        <w:rPr>
          <w:rFonts w:eastAsia="IRNazanin" w:cs="IRNazanin"/>
          <w:color w:val="111111"/>
          <w:sz w:val="28"/>
          <w:szCs w:val="28"/>
          <w:rtl w:val="true"/>
          <w:lang w:bidi="fa-IR"/>
        </w:rPr>
        <w:t>.</w:t>
      </w:r>
    </w:p>
    <w:p>
      <w:pPr>
        <w:pStyle w:val="Heading4"/>
        <w:numPr>
          <w:ilvl w:val="3"/>
          <w:numId w:val="1"/>
        </w:numPr>
        <w:rPr/>
      </w:pPr>
      <w:bookmarkStart w:id="1831" w:name="__RefHeading___Toc3808537_1067777946"/>
      <w:bookmarkStart w:id="1832" w:name="_Toc781"/>
      <w:bookmarkEnd w:id="1831"/>
      <w:r>
        <w:rPr>
          <w:rtl w:val="true"/>
        </w:rPr>
        <w:t>سقوط حد از زوجين با لعان هر دو</w:t>
      </w:r>
      <w:bookmarkEnd w:id="183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ثابت مى شود با لعان زوجين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حد از هر دو، و انتفاى ولد از مرد نه زن در صورت تلاعن براى نفى ولد، و زوال زوجيّت، و ثبوت تحريم ابدى براى زوجين در ظاهر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 بعد از لعان براى نفى ولد، منسوب به پدر نمى شود و رمى به ولد زنا هم نمى شود</w:t>
      </w:r>
      <w:r>
        <w:rPr>
          <w:rFonts w:eastAsia="IRNazanin" w:cs="IRNazanin"/>
          <w:color w:val="111111"/>
          <w:sz w:val="28"/>
          <w:szCs w:val="28"/>
          <w:rtl w:val="true"/>
          <w:lang w:bidi="fa-IR"/>
        </w:rPr>
        <w:t xml:space="preserve">. </w:t>
      </w:r>
      <w:bookmarkStart w:id="1833" w:name="pg10265_90067"/>
    </w:p>
    <w:p>
      <w:pPr>
        <w:pStyle w:val="BookText"/>
        <w:rPr/>
      </w:pPr>
      <w:bookmarkEnd w:id="1833"/>
      <w:r>
        <w:rPr>
          <w:rFonts w:ascii="IRNazanin" w:hAnsi="IRNazanin" w:eastAsia="IRNazanin"/>
          <w:color w:val="111111"/>
          <w:sz w:val="28"/>
          <w:sz w:val="28"/>
          <w:szCs w:val="28"/>
          <w:rtl w:val="true"/>
          <w:lang w:bidi="fa-IR"/>
        </w:rPr>
        <w:t>و اگر زوج عبد بود و شرط كرد مولاى او رقّيّت ولد او را از زوجۀ حره، پس بنا بر صحّت شرط، در حرّيت ولد به سبب لعان پدر،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رقّيّت ولد در عكس، محل تأمّل است، يعنى اگر زوج حرّ و زوجه اَمه بوده بدون شرط، و سبب بشود لعان پدر از براى زوال حرّيت ظاهريه</w:t>
      </w:r>
      <w:r>
        <w:rPr>
          <w:rFonts w:eastAsia="IRNazanin" w:cs="IRNazanin"/>
          <w:color w:val="111111"/>
          <w:sz w:val="28"/>
          <w:szCs w:val="28"/>
          <w:rtl w:val="true"/>
          <w:lang w:bidi="fa-IR"/>
        </w:rPr>
        <w:t>.</w:t>
      </w:r>
    </w:p>
    <w:p>
      <w:pPr>
        <w:pStyle w:val="Heading4"/>
        <w:numPr>
          <w:ilvl w:val="3"/>
          <w:numId w:val="1"/>
        </w:numPr>
        <w:rPr/>
      </w:pPr>
      <w:bookmarkStart w:id="1834" w:name="__RefHeading___Toc3808539_1067777946"/>
      <w:bookmarkStart w:id="1835" w:name="_Toc782"/>
      <w:bookmarkEnd w:id="1834"/>
      <w:r>
        <w:rPr>
          <w:rtl w:val="true"/>
        </w:rPr>
        <w:t>اقرار يا نكول زن</w:t>
      </w:r>
      <w:bookmarkEnd w:id="1835"/>
    </w:p>
    <w:p>
      <w:pPr>
        <w:pStyle w:val="BookText"/>
        <w:rPr/>
      </w:pPr>
      <w:r>
        <w:rPr>
          <w:rFonts w:ascii="IRNazanin" w:hAnsi="IRNazanin" w:eastAsia="IRNazanin"/>
          <w:color w:val="111111"/>
          <w:sz w:val="28"/>
          <w:sz w:val="28"/>
          <w:szCs w:val="28"/>
          <w:rtl w:val="true"/>
          <w:lang w:bidi="fa-IR"/>
        </w:rPr>
        <w:t>زن اگر اقرار به زنا يا نكول از لعان نمود، در صورت قذف به زنا، رجم مى شود؛ و اگر لعان براى خصوص نفى ولد بوده، موجب حد بر زن، منحصر به اعتراف او به زنا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قذف، اگر بعد از لعان زوج، زن اقرار يا نكول از لعان يا تكميل آن نمود، حد قذف از زوج ساقط مى شود و حد به رجم بر زن ثابت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اقرار كرد زن در اثناى لعان زوج، بايد چهار مرتبه باشد تا رجم ثابت بشود</w:t>
      </w:r>
      <w:r>
        <w:rPr>
          <w:rFonts w:eastAsia="IRNazanin" w:cs="IRNazanin"/>
          <w:color w:val="111111"/>
          <w:sz w:val="28"/>
          <w:szCs w:val="28"/>
          <w:rtl w:val="true"/>
          <w:lang w:bidi="fa-IR"/>
        </w:rPr>
        <w:t>.</w:t>
      </w:r>
    </w:p>
    <w:p>
      <w:pPr>
        <w:pStyle w:val="Heading4"/>
        <w:numPr>
          <w:ilvl w:val="3"/>
          <w:numId w:val="1"/>
        </w:numPr>
        <w:rPr/>
      </w:pPr>
      <w:bookmarkStart w:id="1836" w:name="__RefHeading___Toc3808541_1067777946"/>
      <w:bookmarkStart w:id="1837" w:name="_Toc783"/>
      <w:bookmarkEnd w:id="1836"/>
      <w:r>
        <w:rPr>
          <w:rtl w:val="true"/>
        </w:rPr>
        <w:t>اعتراف زوج به كذب بعد از لعان</w:t>
      </w:r>
      <w:bookmarkEnd w:id="1837"/>
    </w:p>
    <w:p>
      <w:pPr>
        <w:pStyle w:val="BookText"/>
        <w:rPr/>
      </w:pPr>
      <w:r>
        <w:rPr>
          <w:rFonts w:ascii="IRNazanin" w:hAnsi="IRNazanin" w:eastAsia="IRNazanin"/>
          <w:color w:val="111111"/>
          <w:sz w:val="28"/>
          <w:sz w:val="28"/>
          <w:szCs w:val="28"/>
          <w:rtl w:val="true"/>
          <w:lang w:bidi="fa-IR"/>
        </w:rPr>
        <w:t>اگر زوج بعد از لعان، اعتراف به كذب خودش نمود، ولد ملحق مى شود به او در آنچه از آثار بر او است نه در آنچه براى او است، پس ولد ارث مى برد از او، و پدر و متقرب به او از او ارث نمى برند، و مادر و متقرب به مادر هم از او ارث مى برند، و زوجيّت زائله به ملاعنه، عود نمى كند و تحريم مؤبد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سقوط حد قذف است بعد از اعتراف به كذب متأخّر از لعان محقّق</w:t>
      </w:r>
      <w:r>
        <w:rPr>
          <w:rFonts w:eastAsia="IRNazanin" w:cs="IRNazanin"/>
          <w:color w:val="111111"/>
          <w:sz w:val="28"/>
          <w:szCs w:val="28"/>
          <w:rtl w:val="true"/>
          <w:lang w:bidi="fa-IR"/>
        </w:rPr>
        <w:t>.</w:t>
      </w:r>
    </w:p>
    <w:p>
      <w:pPr>
        <w:pStyle w:val="Heading4"/>
        <w:numPr>
          <w:ilvl w:val="3"/>
          <w:numId w:val="1"/>
        </w:numPr>
        <w:rPr/>
      </w:pPr>
      <w:bookmarkStart w:id="1838" w:name="__RefHeading___Toc3808543_1067777946"/>
      <w:bookmarkStart w:id="1839" w:name="_Toc784"/>
      <w:bookmarkEnd w:id="1838"/>
      <w:r>
        <w:rPr>
          <w:rtl w:val="true"/>
        </w:rPr>
        <w:t>اعتراف زوجه به كذب بعد از لعان خودش</w:t>
      </w:r>
      <w:bookmarkEnd w:id="1839"/>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 بعد از لعان خودش، اكذاب نمود خود را و اعتراف كرد به كذب خود در لعان، تأثيرى در احكام محققه به سبب لعان ندارد، و حد هم بر او جارى نمى شود به اقرار او كمتر از چهار مرتبه؛ و در اقرار چهار مرتبه، ثبوت حد زنا بر او خالى از وجه نيست</w:t>
      </w:r>
      <w:r>
        <w:rPr>
          <w:rFonts w:eastAsia="IRNazanin" w:cs="IRNazanin"/>
          <w:color w:val="111111"/>
          <w:sz w:val="28"/>
          <w:szCs w:val="28"/>
          <w:rtl w:val="true"/>
          <w:lang w:bidi="fa-IR"/>
        </w:rPr>
        <w:t xml:space="preserve">. </w:t>
      </w:r>
      <w:bookmarkStart w:id="1840" w:name="pg10265_90068"/>
    </w:p>
    <w:p>
      <w:pPr>
        <w:pStyle w:val="BookText"/>
        <w:rPr/>
      </w:pPr>
      <w:bookmarkEnd w:id="1840"/>
      <w:r>
        <w:rPr>
          <w:rFonts w:ascii="IRNazanin" w:hAnsi="IRNazanin" w:eastAsia="IRNazanin"/>
          <w:color w:val="111111"/>
          <w:sz w:val="28"/>
          <w:sz w:val="28"/>
          <w:szCs w:val="28"/>
          <w:rtl w:val="true"/>
          <w:lang w:bidi="fa-IR"/>
        </w:rPr>
        <w:t>و اگر مرد رجوع كرد بعد از لعانِ مسقط حد، گذشت عدم ثبوت حد بر او به سبب اكذاب خود، و عدم تغير احكام ثابتۀ به سبب لعان مگر در لحوق ولد بر حسب اقتضاى 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دعواى بينه اگر نمود بر خلاف اكذاب خود و بر وفق لعان، مسقط حد نخواهد بود بنا بر ثبوت حد به اعتراف به كذب، و دعواى بينه مسموع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اعتراف به ولد بعد از موت ولد، ارث نمى برد از ولد، مثل صورت اعتراف در حيات ولد؛ ولد و ولد او، وارث جدّ كه ملاعن بوده مى شوند چنانچه گذشت با شروط ديگر ارث</w:t>
      </w:r>
      <w:r>
        <w:rPr>
          <w:rFonts w:eastAsia="IRNazanin" w:cs="IRNazanin"/>
          <w:color w:val="111111"/>
          <w:sz w:val="28"/>
          <w:szCs w:val="28"/>
          <w:rtl w:val="true"/>
          <w:lang w:bidi="fa-IR"/>
        </w:rPr>
        <w:t>.</w:t>
      </w:r>
    </w:p>
    <w:p>
      <w:pPr>
        <w:pStyle w:val="Heading4"/>
        <w:numPr>
          <w:ilvl w:val="3"/>
          <w:numId w:val="1"/>
        </w:numPr>
        <w:rPr/>
      </w:pPr>
      <w:bookmarkStart w:id="1841" w:name="__RefHeading___Toc3808545_1067777946"/>
      <w:bookmarkStart w:id="1842" w:name="_Toc785"/>
      <w:bookmarkEnd w:id="1841"/>
      <w:r>
        <w:rPr>
          <w:rtl w:val="true"/>
        </w:rPr>
        <w:t>اقامۀ بيّنه و تكذيب آن</w:t>
      </w:r>
      <w:bookmarkEnd w:id="1842"/>
    </w:p>
    <w:p>
      <w:pPr>
        <w:pStyle w:val="BookText"/>
        <w:rPr/>
      </w:pPr>
      <w:r>
        <w:rPr>
          <w:rFonts w:ascii="IRNazanin" w:hAnsi="IRNazanin" w:eastAsia="IRNazanin"/>
          <w:color w:val="111111"/>
          <w:sz w:val="28"/>
          <w:sz w:val="28"/>
          <w:szCs w:val="28"/>
          <w:rtl w:val="true"/>
          <w:lang w:bidi="fa-IR"/>
        </w:rPr>
        <w:t>اگر اقامۀ بيّنه بر زناى زوجه كرد، پس از آن تكذيب نمود بينه را، اظهر ثبوت حد قذف است بر زوج؛ و هم چنين سقوط حد زانيه به سبب شبهۀ دارئه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 از قذف، نه تكذيب كرد قذف را و نه لعان اختيار نمود، حد قذف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 حد اقامه شد، پس از آن در اثنا براى لعان حاضر شد، اجابت مى شود، به سبب شبهه دارئه حد، و لعانى كه مسقط تمام حد است مسقط بعض هم هست</w:t>
      </w:r>
      <w:r>
        <w:rPr>
          <w:rFonts w:eastAsia="IRNazanin" w:cs="IRNazanin"/>
          <w:color w:val="111111"/>
          <w:sz w:val="28"/>
          <w:szCs w:val="28"/>
          <w:rtl w:val="true"/>
          <w:lang w:bidi="fa-IR"/>
        </w:rPr>
        <w:t>.</w:t>
      </w:r>
    </w:p>
    <w:p>
      <w:pPr>
        <w:pStyle w:val="Heading4"/>
        <w:numPr>
          <w:ilvl w:val="3"/>
          <w:numId w:val="1"/>
        </w:numPr>
        <w:rPr/>
      </w:pPr>
      <w:bookmarkStart w:id="1843" w:name="__RefHeading___Toc3808547_1067777946"/>
      <w:bookmarkStart w:id="1844" w:name="_Toc786"/>
      <w:bookmarkEnd w:id="1843"/>
      <w:r>
        <w:rPr>
          <w:rtl w:val="true"/>
        </w:rPr>
        <w:t>حكم عدم قدرت لسانى بر لعان بعد از قذف</w:t>
      </w:r>
      <w:bookmarkEnd w:id="184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زبان كسى بسته شد از لعان، بعد از قذف، لعان او با اشاره است اگر مأيوس از عود سلامت باشد يا احتمال آن در دير زمان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احتمال زوال عارض در زمان قريب بدهد، احوط تأخير حد قذف تا لعان نُطقى بعد از سلامت است</w:t>
      </w:r>
      <w:r>
        <w:rPr>
          <w:rFonts w:eastAsia="IRNazanin" w:cs="IRNazanin"/>
          <w:color w:val="111111"/>
          <w:sz w:val="28"/>
          <w:szCs w:val="28"/>
          <w:rtl w:val="true"/>
          <w:lang w:bidi="fa-IR"/>
        </w:rPr>
        <w:t>.</w:t>
      </w:r>
    </w:p>
    <w:p>
      <w:pPr>
        <w:pStyle w:val="Heading4"/>
        <w:numPr>
          <w:ilvl w:val="3"/>
          <w:numId w:val="1"/>
        </w:numPr>
        <w:rPr/>
      </w:pPr>
      <w:bookmarkStart w:id="1845" w:name="__RefHeading___Toc3808549_1067777946"/>
      <w:bookmarkStart w:id="1846" w:name="_Toc787"/>
      <w:bookmarkEnd w:id="1845"/>
      <w:r>
        <w:rPr>
          <w:rtl w:val="true"/>
        </w:rPr>
        <w:t>ادّعاى قذف توسط زن و سكوت زوج</w:t>
      </w:r>
      <w:bookmarkEnd w:id="184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 ادعاى قذف كرد و شوهر ساكت شد و زن اقامۀ بينه بر آن كرد، در مسموعيّت بينه بدون جواب انكار از طرف شوهر، و ايجاب آن صحّت لعان را بر مقتضاى بينه، تأمّل است، بلكه از شوهر مطالبه جوابِ به اقرار يا انكار مى شود و به</w:t>
      </w:r>
      <w:bookmarkStart w:id="1847" w:name="pg10265_90069"/>
    </w:p>
    <w:p>
      <w:pPr>
        <w:pStyle w:val="BookText"/>
        <w:rPr/>
      </w:pPr>
      <w:bookmarkEnd w:id="1847"/>
      <w:r>
        <w:rPr>
          <w:rFonts w:ascii="IRNazanin" w:hAnsi="IRNazanin" w:eastAsia="IRNazanin"/>
          <w:color w:val="111111"/>
          <w:sz w:val="28"/>
          <w:sz w:val="28"/>
          <w:szCs w:val="28"/>
          <w:rtl w:val="true"/>
          <w:lang w:bidi="fa-IR"/>
        </w:rPr>
        <w:t>لوازم آن عمل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كلامى كه محتاج به تفسير او باشد و مفيد خصوص اقرار يا انكار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انكار كرد پس اقامه بينه بر قذف شد، حد ثابت است و لعان ثابت نيست؛ چون كه تكذيب انكار و تصديق قذف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اقرب ثبوت لعان است در اعتقاد زن كه قذف شده و قصد معنى به لعان نموده و در اعتقاد شوهر با توريه نسبت به قذف فرضى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ظهور حاضر شدن به لعان در قذف، ايضاً لعان ثابت مى شود</w:t>
      </w:r>
      <w:r>
        <w:rPr>
          <w:rFonts w:eastAsia="IRNazanin" w:cs="IRNazanin"/>
          <w:color w:val="111111"/>
          <w:sz w:val="28"/>
          <w:szCs w:val="28"/>
          <w:rtl w:val="true"/>
          <w:lang w:bidi="fa-IR"/>
        </w:rPr>
        <w:t>.</w:t>
      </w:r>
    </w:p>
    <w:p>
      <w:pPr>
        <w:pStyle w:val="Heading4"/>
        <w:numPr>
          <w:ilvl w:val="3"/>
          <w:numId w:val="1"/>
        </w:numPr>
        <w:rPr/>
      </w:pPr>
      <w:bookmarkStart w:id="1848" w:name="__RefHeading___Toc3808551_1067777946"/>
      <w:bookmarkStart w:id="1849" w:name="_Toc788"/>
      <w:bookmarkEnd w:id="1848"/>
      <w:r>
        <w:rPr>
          <w:rtl w:val="true"/>
        </w:rPr>
        <w:t>صورت سقوط حدّ در فرض لعان</w:t>
      </w:r>
      <w:bookmarkEnd w:id="1849"/>
    </w:p>
    <w:p>
      <w:pPr>
        <w:pStyle w:val="BookText"/>
        <w:rPr/>
      </w:pPr>
      <w:r>
        <w:rPr>
          <w:rFonts w:ascii="IRNazanin" w:hAnsi="IRNazanin" w:eastAsia="IRNazanin"/>
          <w:color w:val="111111"/>
          <w:sz w:val="28"/>
          <w:sz w:val="28"/>
          <w:szCs w:val="28"/>
          <w:rtl w:val="true"/>
          <w:lang w:bidi="fa-IR"/>
        </w:rPr>
        <w:t>و با لعان، حد آن ساقط مى شود در صورتى كه مدتى از قذف ادعايى اول گذشته باشد و قذف جديد محتمل الصدق باشد و مشمول انكار سابق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مشكل است سقوط حد قذف اوّلى كه مورد قيام بينۀ زن بود، مگر بنا بر سقوط حد قذف هاى متعدّد اگر چه با اين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محتمل است تخلّل زناى جديد در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لعان واحد؛ به خلاف صورتى كه قذف اول و انكار و حضور براى لعان و انشاى قذف جديد و لعان بعد از آن، در زمان متّصل باشد كه با يك لعان ساقط شود دو حد</w:t>
      </w:r>
      <w:r>
        <w:rPr>
          <w:rFonts w:eastAsia="IRNazanin" w:cs="IRNazanin"/>
          <w:color w:val="111111"/>
          <w:sz w:val="28"/>
          <w:szCs w:val="28"/>
          <w:rtl w:val="true"/>
          <w:lang w:bidi="fa-IR"/>
        </w:rPr>
        <w:t>.</w:t>
      </w:r>
    </w:p>
    <w:p>
      <w:pPr>
        <w:pStyle w:val="Heading4"/>
        <w:numPr>
          <w:ilvl w:val="3"/>
          <w:numId w:val="1"/>
        </w:numPr>
        <w:rPr/>
      </w:pPr>
      <w:bookmarkStart w:id="1850" w:name="__RefHeading___Toc3808553_1067777946"/>
      <w:bookmarkStart w:id="1851" w:name="_Toc789"/>
      <w:bookmarkEnd w:id="1850"/>
      <w:r>
        <w:rPr>
          <w:rtl w:val="true"/>
        </w:rPr>
        <w:t>تعدّد حدّ قذف با فرض تعدّد متعلّق آن</w:t>
      </w:r>
      <w:bookmarkEnd w:id="185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نسبت زنا داد زوجه خود را با مردى معين، بر او است دو حدّ 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لفظ واحد هر دو را قذف نمود و هر دو با هم مطالبۀ حد كردند، تداخل مى شود و يكى كافى است بنا بر آنچه مذكور مى شود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نسبت متفرق بود يا طلب متفرق بود، براى هر كدام حدى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تواند حد زوجه را با لعان اسقاط نمايد اگر چه با هم مطالبه حد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در عدم سقوط حد مرد با لعان زوجه، بين ذكر مرد در شهادات لعان و عدم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براى او بينه بود براى هر دو قذف بر زناى خاص، هر دو حد ساقط مى شود</w:t>
      </w:r>
      <w:r>
        <w:rPr>
          <w:rFonts w:eastAsia="IRNazanin" w:cs="IRNazanin"/>
          <w:color w:val="111111"/>
          <w:sz w:val="28"/>
          <w:szCs w:val="28"/>
          <w:rtl w:val="true"/>
          <w:lang w:bidi="fa-IR"/>
        </w:rPr>
        <w:t>.</w:t>
      </w:r>
      <w:bookmarkStart w:id="1852" w:name="pg10265_90070"/>
    </w:p>
    <w:p>
      <w:pPr>
        <w:pStyle w:val="Heading4"/>
        <w:numPr>
          <w:ilvl w:val="3"/>
          <w:numId w:val="1"/>
        </w:numPr>
        <w:rPr/>
      </w:pPr>
      <w:bookmarkStart w:id="1853" w:name="__RefHeading___Toc3808555_1067777946"/>
      <w:bookmarkStart w:id="1854" w:name="_Toc790"/>
      <w:bookmarkEnd w:id="1852"/>
      <w:bookmarkEnd w:id="1853"/>
      <w:r>
        <w:rPr>
          <w:rtl w:val="true"/>
        </w:rPr>
        <w:t>قذف و اقرار بعد از آن</w:t>
      </w:r>
      <w:bookmarkEnd w:id="185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قذف كرد زوجه را، پس از آن اقرار به زنا نمود، حد بر او ثابت است اگر چهار مرتبه اقرار نمايد؛ و به مجرد اقرار زن، حد قذف از زوج ساقط است؛ و ولد منتفى نمى شود با شروط لحوق در ظاهر، مگر با 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لعان ثابت نيست مگر با تكاذب در نفى و اثبات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تصادق در زنا نفى نسب نمى نمايد و تكذيب نيست</w:t>
      </w:r>
      <w:r>
        <w:rPr>
          <w:rFonts w:eastAsia="IRNazanin" w:cs="IRNazanin"/>
          <w:color w:val="111111"/>
          <w:sz w:val="28"/>
          <w:szCs w:val="28"/>
          <w:rtl w:val="true"/>
          <w:lang w:bidi="fa-IR"/>
        </w:rPr>
        <w:t>.</w:t>
      </w:r>
    </w:p>
    <w:p>
      <w:pPr>
        <w:pStyle w:val="Heading4"/>
        <w:numPr>
          <w:ilvl w:val="3"/>
          <w:numId w:val="1"/>
        </w:numPr>
        <w:rPr/>
      </w:pPr>
      <w:bookmarkStart w:id="1855" w:name="__RefHeading___Toc3808557_1067777946"/>
      <w:bookmarkStart w:id="1856" w:name="_Toc791"/>
      <w:bookmarkEnd w:id="1855"/>
      <w:r>
        <w:rPr>
          <w:rtl w:val="true"/>
        </w:rPr>
        <w:t>قذف زوجه و ادّعاى اقرار او</w:t>
      </w:r>
      <w:bookmarkEnd w:id="185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قذف نمود زوجه را پس ادعاى اقرار نمود و زن انكار نمود پس دو شاهد اقامه كرد بر اعتراف زوجه به زنا، حد قذف ساقط است از زوج اگر چه اعترافِ مشهودٌ به يك دفعه بوده؛ و اما حد زنا بر زوجه، پس جارى مى شود با اقامه چهار شاهد بر اقرارِ چهار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كفايت شهادت دو عادل بر اقرارِ چهار مرتبه، تأمّل است</w:t>
      </w:r>
      <w:r>
        <w:rPr>
          <w:rFonts w:eastAsia="IRNazanin" w:cs="IRNazanin"/>
          <w:color w:val="111111"/>
          <w:sz w:val="28"/>
          <w:szCs w:val="28"/>
          <w:rtl w:val="true"/>
          <w:lang w:bidi="fa-IR"/>
        </w:rPr>
        <w:t>.</w:t>
      </w:r>
    </w:p>
    <w:p>
      <w:pPr>
        <w:pStyle w:val="Heading4"/>
        <w:numPr>
          <w:ilvl w:val="3"/>
          <w:numId w:val="1"/>
        </w:numPr>
        <w:rPr/>
      </w:pPr>
      <w:bookmarkStart w:id="1857" w:name="__RefHeading___Toc3808559_1067777946"/>
      <w:bookmarkStart w:id="1858" w:name="_Toc792"/>
      <w:bookmarkEnd w:id="1857"/>
      <w:r>
        <w:rPr>
          <w:rtl w:val="true"/>
        </w:rPr>
        <w:t>فوت زوجه قبل از لعان و مسألۀ ارث</w:t>
      </w:r>
      <w:bookmarkEnd w:id="185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قذف كرد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زوجه قبل از لعان وفات نمود، پس زوج ارث مى برد از زوجه، و حد قذف هم با مطالبه وارث بنا بر موروثيّت آن جارى مى شود، و مى تواند با لعان اختصاصى، دفع حد از خودش نمايد، و لكن سائر احكام لعان طرفين مترتّب نمى شود؛ و قيام ورثه مقام ميّت در لعان، ثابت نيست</w:t>
      </w:r>
      <w:r>
        <w:rPr>
          <w:rFonts w:eastAsia="IRNazanin" w:cs="IRNazanin"/>
          <w:color w:val="111111"/>
          <w:sz w:val="28"/>
          <w:szCs w:val="28"/>
          <w:rtl w:val="true"/>
          <w:lang w:bidi="fa-IR"/>
        </w:rPr>
        <w:t>.</w:t>
      </w:r>
    </w:p>
    <w:p>
      <w:pPr>
        <w:pStyle w:val="Heading4"/>
        <w:numPr>
          <w:ilvl w:val="3"/>
          <w:numId w:val="1"/>
        </w:numPr>
        <w:rPr/>
      </w:pPr>
      <w:bookmarkStart w:id="1859" w:name="__RefHeading___Toc3808561_1067777946"/>
      <w:bookmarkStart w:id="1860" w:name="_Toc793"/>
      <w:bookmarkEnd w:id="1859"/>
      <w:r>
        <w:rPr>
          <w:rtl w:val="true"/>
        </w:rPr>
        <w:t>فروض تعدّد و عدم تعدّد در حدّ قذف</w:t>
      </w:r>
      <w:bookmarkEnd w:id="1860"/>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قذف متكرّر، واحدى را به واحدى قبل از لعان و بدون تخلّل حد، موجب يك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قذف كرد و لعان ننمود و حد بر او جارى شد، پس از آن اعادۀ همان قذف كرد، اظهر ثبوت حد است، مثل صورت قذف همان شخص به غير آن امرى كه به آن قذف نموده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ثبوت حد است در صورت تحقّق لعان براى قذف اول اگر چه به همان مقذوفٌ به باشد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قذف كرد زوجه را پس اقرار نمود، پس از آن قذف نمود او را، يا آنكه </w:t>
      </w:r>
      <w:bookmarkStart w:id="1861" w:name="pg10265_90071"/>
    </w:p>
    <w:p>
      <w:pPr>
        <w:pStyle w:val="BookText"/>
        <w:rPr/>
      </w:pPr>
      <w:bookmarkEnd w:id="1861"/>
      <w:r>
        <w:rPr>
          <w:rFonts w:ascii="Amiri" w:hAnsi="Amiri" w:eastAsia="Amiri" w:cs="Amiri"/>
          <w:color w:val="111111"/>
          <w:sz w:val="28"/>
          <w:sz w:val="28"/>
          <w:szCs w:val="28"/>
          <w:rtl w:val="true"/>
          <w:lang w:bidi="ar-SA"/>
        </w:rPr>
        <w:t>اجنبى او را قذف نمود، حد قذف ثابت نيست، به جهت اعتبار احصان و عفت در قذف؛ و ثبوت تعزير در ايذاى آن، دور نيست بنا بر ثبوت آن در متظاهر به 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قذف زوجه بعد از لعان و نكول زوجه و زوال احصان به نكول، مثل بيّنه و اقرار، تأمّل است؛ و بر تقدير عدم زوال احصان، حد قذف جديد ثابت مى شود</w:t>
      </w:r>
      <w:r>
        <w:rPr>
          <w:rFonts w:eastAsia="Amiri" w:cs="Amiri" w:ascii="Amiri" w:hAnsi="Amiri"/>
          <w:color w:val="111111"/>
          <w:sz w:val="28"/>
          <w:szCs w:val="28"/>
          <w:rtl w:val="true"/>
          <w:lang w:bidi="ar-SA"/>
        </w:rPr>
        <w:t>.</w:t>
      </w:r>
    </w:p>
    <w:p>
      <w:pPr>
        <w:pStyle w:val="Heading4"/>
        <w:numPr>
          <w:ilvl w:val="3"/>
          <w:numId w:val="1"/>
        </w:numPr>
        <w:rPr/>
      </w:pPr>
      <w:bookmarkStart w:id="1862" w:name="__RefHeading___Toc3808563_1067777946"/>
      <w:bookmarkStart w:id="1863" w:name="_Toc794"/>
      <w:bookmarkEnd w:id="1862"/>
      <w:r>
        <w:rPr>
          <w:rtl w:val="true"/>
        </w:rPr>
        <w:t>ترتّب حدّ يا قبول شهادت در فرض شهادت زوج با سه شاهد</w:t>
      </w:r>
      <w:bookmarkEnd w:id="1863"/>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شهادت دادند چهار عادل كه زوج يكى از آن عدد است، خلاف است در محدوديت ثلاثه و لعان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منسوب به صدوق و جماعتى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قبول شهادت بر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منسوب به اكثر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نص و فتوى؛ و قول اول احوط القولين است</w:t>
      </w:r>
      <w:r>
        <w:rPr>
          <w:rFonts w:eastAsia="IRNazanin" w:cs="IRNazanin"/>
          <w:color w:val="111111"/>
          <w:sz w:val="28"/>
          <w:szCs w:val="28"/>
          <w:rtl w:val="true"/>
          <w:lang w:bidi="fa-IR"/>
        </w:rPr>
        <w:t>.</w:t>
      </w:r>
    </w:p>
    <w:p>
      <w:pPr>
        <w:pStyle w:val="Heading4"/>
        <w:numPr>
          <w:ilvl w:val="3"/>
          <w:numId w:val="1"/>
        </w:numPr>
        <w:rPr/>
      </w:pPr>
      <w:bookmarkStart w:id="1864" w:name="__RefHeading___Toc3808565_1067777946"/>
      <w:bookmarkStart w:id="1865" w:name="_Toc795"/>
      <w:bookmarkEnd w:id="1864"/>
      <w:r>
        <w:rPr>
          <w:rtl w:val="true"/>
        </w:rPr>
        <w:t>عدم ترتّب آثار لعان با اخلال به الفاظ</w:t>
      </w:r>
      <w:bookmarkEnd w:id="1865"/>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اخلال كردند يكى از زوجين به بعض الفاظ لعان، صحيح و مؤثّر در آثار مناسبه با لعان هر دو يا خصوص لعان زوج اگر ناقص باشد، نخواهد بود؛ و روى اين لعان غير صحيح اگر حاكم حكم كرد، نافذ نخواهد بود واقعاً و ظاهراً نزد عالم به اختلال شروط صحّت لعان</w:t>
      </w:r>
      <w:r>
        <w:rPr>
          <w:rFonts w:eastAsia="IRNazanin" w:cs="IRNazanin"/>
          <w:color w:val="111111"/>
          <w:sz w:val="28"/>
          <w:szCs w:val="28"/>
          <w:rtl w:val="true"/>
          <w:lang w:bidi="fa-IR"/>
        </w:rPr>
        <w:t>.</w:t>
      </w:r>
    </w:p>
    <w:p>
      <w:pPr>
        <w:pStyle w:val="Heading4"/>
        <w:numPr>
          <w:ilvl w:val="3"/>
          <w:numId w:val="1"/>
        </w:numPr>
        <w:rPr/>
      </w:pPr>
      <w:bookmarkStart w:id="1866" w:name="__RefHeading___Toc3808567_1067777946"/>
      <w:bookmarkStart w:id="1867" w:name="_Toc796"/>
      <w:bookmarkEnd w:id="1866"/>
      <w:r>
        <w:rPr>
          <w:rtl w:val="true"/>
        </w:rPr>
        <w:t>فسخ بودن لعان</w:t>
      </w:r>
      <w:bookmarkEnd w:id="1867"/>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لعانِ مؤثّر در بينونت و افتراق، فسخ است نه طلاق، و نظير ارتداد و رضاع است، و طلاق نيست و شروط و احكام طلاق را ندارد</w:t>
      </w:r>
      <w:r>
        <w:rPr>
          <w:rFonts w:eastAsia="Amiri" w:cs="Amiri" w:ascii="Amiri" w:hAnsi="Amiri"/>
          <w:color w:val="111111"/>
          <w:sz w:val="28"/>
          <w:szCs w:val="28"/>
          <w:rtl w:val="true"/>
          <w:lang w:bidi="ar-SA"/>
        </w:rPr>
        <w:t>.</w:t>
      </w:r>
    </w:p>
    <w:p>
      <w:pPr>
        <w:pStyle w:val="Heading4"/>
        <w:numPr>
          <w:ilvl w:val="3"/>
          <w:numId w:val="1"/>
        </w:numPr>
        <w:rPr/>
      </w:pPr>
      <w:bookmarkStart w:id="1868" w:name="__RefHeading___Toc3808569_1067777946"/>
      <w:bookmarkStart w:id="1869" w:name="_Toc797"/>
      <w:bookmarkEnd w:id="1868"/>
      <w:r>
        <w:rPr>
          <w:rtl w:val="true"/>
        </w:rPr>
        <w:t>تولّد توأم دو طفل</w:t>
      </w:r>
      <w:bookmarkEnd w:id="1869"/>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توأمين متولد شدند در فاصلۀ كمتر از شش ماه به نحوى كه ثابت شد وحدت حمل، پس الحاق و نفى هر كدام به حسب مدلول، مستلزم الحاق يا نفى ديگرى است؛ پس اگر الحاق كرد يكى را، ديگرى هم ملحق به او مى شود، و نفى بعد از اقرار به لحوق مؤثّر نيست در انتفاى بدون لعان، در آنچه بدون لعان منتفى</w:t>
      </w:r>
    </w:p>
    <w:p>
      <w:pPr>
        <w:pStyle w:val="BookText"/>
        <w:rPr/>
      </w:pPr>
      <w:r>
        <w:rPr>
          <w:rFonts w:ascii="IRNazanin" w:hAnsi="IRNazanin" w:eastAsia="IRNazanin"/>
          <w:color w:val="111111"/>
          <w:sz w:val="28"/>
          <w:sz w:val="28"/>
          <w:szCs w:val="28"/>
          <w:rtl w:val="true"/>
          <w:lang w:bidi="fa-IR"/>
        </w:rPr>
        <w:t>مى شود، و با لعان در آنچه محتاج به لعان است؛ و محتمل است قبول نفى در آنچه بر عليه نافى است، اگر چه بعد از استلحاق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اول نفى كرد پس از آن استلحاق نمود، محتمل است لحوق اول در آنچه مقتضاى اقرار به لحوق است و متعلّق به حقوق غير نيست، و ممكن نيست لعان با اقرار به لحوق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مقتضاى استلزامِ متقدّم اين است كه اگر استلحاق يكى كرد و ساكت از ديگرى شد، هر دو ملحق مى شود به مقتضاى اقرار؛ و اگر يكى را نفى كرد و مطلع از ديگرى نشد، اظهر كفايت يك لعان است براى انتفاى هر دو به جهت استلزام 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 از نفى اول، اقرار به دوم كرد، ملحق به او مى شود دومى بر حسب اقتضاى اقرار، و وارث او مى شود، و هم چنين اولى وارث او مى شود؛ و وارث شدن خودش براى هيچ كدام ثابت نمى شود به واسطۀ اقرار به انتفاى اوّلى، كه مستلزم اقرار به انتفاى دومى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بين دو مولود شش ماه باشد، هر كدام در لحوق و انتفا، حكم خودش را دارد و ملازمۀ بين آنها ثابت نيست در لحوق يا نفى؛ پس اگر يكى را با نفى و لعان منتفى كرد و ديگرى را استلحاق كرد يا ساكت از نفى او شد، ملحق مى شود، بدون استلزام لحوق اول كه منتفى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لعان، بعد از نفى، قبل از وضعِ حملِ اول بود پس بعد از شش ماه از ولادت اول، وضع حمل دوم كرد، دومى ملحق نمى شود، به جهت حصول بينونت به لعان اول و انقضاى عده به وضع حمل اول، پس بعد از وضع اول، وطى زن به نكاح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واسطۀ موت يكى از دو توأم، صحّت لعان براى نفى هر دو باقى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و الصلاة علىٰ سيّد أنبيائه محمّد و عترته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المقام و له الحمد ليلة الأربعاء من شهر محرم الحرام من سنة ألف و</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أربعمائة و واحد من الهجرة، بيد العبد محمّد تقى بن محمود عفى عنهما</w:t>
      </w:r>
      <w:r>
        <w:rPr>
          <w:rFonts w:eastAsia="Amiri" w:cs="Amiri" w:ascii="Amiri" w:hAnsi="Amiri"/>
          <w:color w:val="111111"/>
          <w:sz w:val="28"/>
          <w:szCs w:val="28"/>
          <w:rtl w:val="true"/>
          <w:lang w:bidi="ar-SA"/>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0" w:name="pg10265_90074"/>
      <w:bookmarkStart w:id="1871" w:name="pg10265_90074"/>
      <w:bookmarkEnd w:id="1871"/>
    </w:p>
    <w:p>
      <w:pPr>
        <w:pStyle w:val="Heading2"/>
        <w:numPr>
          <w:ilvl w:val="1"/>
          <w:numId w:val="1"/>
        </w:numPr>
        <w:rPr/>
      </w:pPr>
      <w:bookmarkStart w:id="1872" w:name="pg10265_90074"/>
      <w:bookmarkStart w:id="1873" w:name="__RefHeading___Toc3808571_1067777946"/>
      <w:bookmarkStart w:id="1874" w:name="_Toc798"/>
      <w:bookmarkEnd w:id="1872"/>
      <w:bookmarkEnd w:id="1873"/>
      <w:r>
        <w:rPr>
          <w:rtl w:val="true"/>
        </w:rPr>
        <w:t>كتاب عتق</w:t>
      </w:r>
      <w:bookmarkEnd w:id="1874"/>
    </w:p>
    <w:p>
      <w:pPr>
        <w:pStyle w:val="Heading3"/>
        <w:numPr>
          <w:ilvl w:val="2"/>
          <w:numId w:val="1"/>
        </w:numPr>
        <w:rPr/>
      </w:pPr>
      <w:bookmarkStart w:id="1875" w:name="__RefHeading___Toc3808573_1067777946"/>
      <w:bookmarkStart w:id="1876" w:name="_Toc799"/>
      <w:bookmarkEnd w:id="1875"/>
      <w:r>
        <w:rPr>
          <w:rtl w:val="true"/>
        </w:rPr>
        <w:t>اشاره</w:t>
      </w:r>
      <w:bookmarkEnd w:id="1876"/>
    </w:p>
    <w:p>
      <w:pPr>
        <w:pStyle w:val="BookText"/>
        <w:rPr/>
      </w:pPr>
      <w:r>
        <w:rPr>
          <w:rFonts w:ascii="Amiri" w:hAnsi="Amiri" w:eastAsia="Amiri" w:cs="Amiri"/>
          <w:color w:val="111111"/>
          <w:sz w:val="28"/>
          <w:sz w:val="28"/>
          <w:szCs w:val="28"/>
          <w:rtl w:val="true"/>
          <w:lang w:bidi="ar-SA"/>
        </w:rPr>
        <w:t>فضل عتق و بيان متعلّق آن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اسباب ازالۀ رقّيّت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7" w:name="pg10265_90076"/>
      <w:bookmarkStart w:id="1878" w:name="pg10265_90076"/>
      <w:bookmarkEnd w:id="1878"/>
    </w:p>
    <w:p>
      <w:pPr>
        <w:pStyle w:val="Heading3"/>
        <w:numPr>
          <w:ilvl w:val="2"/>
          <w:numId w:val="1"/>
        </w:numPr>
        <w:rPr/>
      </w:pPr>
      <w:bookmarkStart w:id="1879" w:name="pg10265_90076"/>
      <w:bookmarkStart w:id="1880" w:name="__RefHeading___Toc3808575_1067777946"/>
      <w:bookmarkStart w:id="1881" w:name="_Toc800"/>
      <w:bookmarkEnd w:id="1879"/>
      <w:bookmarkEnd w:id="1880"/>
      <w:r>
        <w:rPr>
          <w:rtl w:val="true"/>
        </w:rPr>
        <w:t>فصل اوّل فضل عتق و بيان متعلّق آن</w:t>
      </w:r>
      <w:bookmarkEnd w:id="1881"/>
    </w:p>
    <w:p>
      <w:pPr>
        <w:pStyle w:val="Heading4"/>
        <w:numPr>
          <w:ilvl w:val="3"/>
          <w:numId w:val="1"/>
        </w:numPr>
        <w:rPr/>
      </w:pPr>
      <w:bookmarkStart w:id="1882" w:name="__RefHeading___Toc3808577_1067777946"/>
      <w:bookmarkStart w:id="1883" w:name="_Toc801"/>
      <w:bookmarkEnd w:id="1882"/>
      <w:r>
        <w:rPr>
          <w:rtl w:val="true"/>
        </w:rPr>
        <w:t>اشاره</w:t>
      </w:r>
      <w:bookmarkEnd w:id="188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علىٰ سيّد الأنبياء محمّد و آله</w:t>
      </w:r>
    </w:p>
    <w:p>
      <w:pPr>
        <w:pStyle w:val="BookText"/>
        <w:rPr/>
      </w:pPr>
      <w:r>
        <w:rPr>
          <w:rFonts w:ascii="Amiri" w:hAnsi="Amiri" w:eastAsia="Amiri" w:cs="Amiri"/>
          <w:color w:val="111111"/>
          <w:sz w:val="28"/>
          <w:sz w:val="28"/>
          <w:szCs w:val="28"/>
          <w:rtl w:val="true"/>
          <w:lang w:bidi="ar-SA"/>
        </w:rPr>
        <w:t>الطاهرين و اللعن الدائم علىٰ أعدائهم أجمعين</w:t>
      </w:r>
    </w:p>
    <w:p>
      <w:pPr>
        <w:pStyle w:val="Heading4"/>
        <w:numPr>
          <w:ilvl w:val="3"/>
          <w:numId w:val="1"/>
        </w:numPr>
        <w:rPr/>
      </w:pPr>
      <w:bookmarkStart w:id="1884" w:name="__RefHeading___Toc3808579_1067777946"/>
      <w:bookmarkStart w:id="1885" w:name="_Toc802"/>
      <w:bookmarkEnd w:id="1884"/>
      <w:r>
        <w:rPr>
          <w:rtl w:val="true"/>
        </w:rPr>
        <w:t>فضيلت عتق</w:t>
      </w:r>
      <w:bookmarkEnd w:id="1885"/>
    </w:p>
    <w:p>
      <w:pPr>
        <w:pStyle w:val="BookText"/>
        <w:rPr/>
      </w:pPr>
      <w:r>
        <w:rPr>
          <w:rFonts w:ascii="Amiri" w:hAnsi="Amiri" w:eastAsia="Amiri" w:cs="Amiri"/>
          <w:color w:val="111111"/>
          <w:sz w:val="28"/>
          <w:sz w:val="28"/>
          <w:szCs w:val="28"/>
          <w:rtl w:val="true"/>
          <w:lang w:bidi="ar-SA"/>
        </w:rPr>
        <w:t xml:space="preserve">فضل 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ازالۀ رقّيّت از مملوك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 است، و اختلاف تعلّق عتق به مملوك و مسلم و مؤمن، در مراتب فضيلت است</w:t>
      </w:r>
      <w:r>
        <w:rPr>
          <w:rFonts w:eastAsia="Amiri" w:cs="Amiri" w:ascii="Amiri" w:hAnsi="Amiri"/>
          <w:color w:val="111111"/>
          <w:sz w:val="28"/>
          <w:szCs w:val="28"/>
          <w:rtl w:val="true"/>
          <w:lang w:bidi="ar-SA"/>
        </w:rPr>
        <w:t>.</w:t>
      </w:r>
    </w:p>
    <w:p>
      <w:pPr>
        <w:pStyle w:val="Heading4"/>
        <w:numPr>
          <w:ilvl w:val="3"/>
          <w:numId w:val="1"/>
        </w:numPr>
        <w:rPr/>
      </w:pPr>
      <w:bookmarkStart w:id="1886" w:name="__RefHeading___Toc3808581_1067777946"/>
      <w:bookmarkStart w:id="1887" w:name="_Toc803"/>
      <w:bookmarkEnd w:id="1886"/>
      <w:r>
        <w:rPr>
          <w:rtl w:val="true"/>
        </w:rPr>
        <w:t>اختصاص استرقاق به اهل حرب</w:t>
      </w:r>
      <w:bookmarkEnd w:id="1887"/>
    </w:p>
    <w:p>
      <w:pPr>
        <w:pStyle w:val="BookText"/>
        <w:rPr/>
      </w:pPr>
      <w:r>
        <w:rPr>
          <w:rFonts w:ascii="IRNazanin" w:hAnsi="IRNazanin" w:eastAsia="IRNazanin"/>
          <w:color w:val="111111"/>
          <w:sz w:val="28"/>
          <w:sz w:val="28"/>
          <w:szCs w:val="28"/>
          <w:rtl w:val="true"/>
          <w:lang w:bidi="fa-IR"/>
        </w:rPr>
        <w:t>و مختص است استرقاق به اهل حرب، در مقابل اهل كتاب و شبهه از يهود و نصارى و مجوس كه قيام به شروط ذمه بنمايند، و اگر اخلال نمايند، داخل در حكم اهل حرب از جواز استرقاق به حسب وضع خواهند شد</w:t>
      </w:r>
      <w:r>
        <w:rPr>
          <w:rFonts w:eastAsia="IRNazanin" w:cs="IRNazanin"/>
          <w:color w:val="111111"/>
          <w:sz w:val="28"/>
          <w:szCs w:val="28"/>
          <w:rtl w:val="true"/>
          <w:lang w:bidi="fa-IR"/>
        </w:rPr>
        <w:t>.</w:t>
      </w:r>
    </w:p>
    <w:p>
      <w:pPr>
        <w:pStyle w:val="Heading4"/>
        <w:numPr>
          <w:ilvl w:val="3"/>
          <w:numId w:val="1"/>
        </w:numPr>
        <w:rPr/>
      </w:pPr>
      <w:bookmarkStart w:id="1888" w:name="__RefHeading___Toc3808583_1067777946"/>
      <w:bookmarkStart w:id="1889" w:name="_Toc804"/>
      <w:bookmarkEnd w:id="1888"/>
      <w:r>
        <w:rPr>
          <w:rtl w:val="true"/>
        </w:rPr>
        <w:t>اعقاب رقّ‌</w:t>
      </w:r>
      <w:bookmarkEnd w:id="188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اعقاب رقّ محكوم به رقّيّت هستند اگر چه اسلام بياورند، مادام كه عتق نشده باشند؛ و اگر عتق شدند، اعقاب معتَق محكوم به حرّيت مى باشند مگر در صورت حرّيت احد الأبوين او كه حرّيت غالب است در تأثير در حرّيت ولد مگر با شرط رقّيّت به نحو محكوم به نفوذ</w:t>
      </w:r>
      <w:r>
        <w:rPr>
          <w:rFonts w:eastAsia="IRNazanin" w:cs="IRNazanin"/>
          <w:color w:val="111111"/>
          <w:sz w:val="28"/>
          <w:szCs w:val="28"/>
          <w:rtl w:val="true"/>
          <w:lang w:bidi="fa-IR"/>
        </w:rPr>
        <w:t xml:space="preserve">. </w:t>
      </w:r>
      <w:bookmarkStart w:id="1890" w:name="pg10265_90077"/>
    </w:p>
    <w:p>
      <w:pPr>
        <w:pStyle w:val="Heading4"/>
        <w:numPr>
          <w:ilvl w:val="3"/>
          <w:numId w:val="1"/>
        </w:numPr>
        <w:rPr/>
      </w:pPr>
      <w:bookmarkStart w:id="1891" w:name="__RefHeading___Toc3808585_1067777946"/>
      <w:bookmarkStart w:id="1892" w:name="_Toc805"/>
      <w:bookmarkEnd w:id="1890"/>
      <w:bookmarkEnd w:id="1891"/>
      <w:r>
        <w:rPr>
          <w:rtl w:val="true"/>
        </w:rPr>
        <w:t>استرقاق حربى</w:t>
      </w:r>
      <w:bookmarkEnd w:id="1892"/>
    </w:p>
    <w:p>
      <w:pPr>
        <w:pStyle w:val="BookText"/>
        <w:rPr/>
      </w:pPr>
      <w:r>
        <w:rPr>
          <w:rFonts w:ascii="IRNazanin" w:hAnsi="IRNazanin" w:eastAsia="IRNazanin"/>
          <w:color w:val="111111"/>
          <w:sz w:val="28"/>
          <w:sz w:val="28"/>
          <w:szCs w:val="28"/>
          <w:rtl w:val="true"/>
          <w:lang w:bidi="fa-IR"/>
        </w:rPr>
        <w:t>و استرقاق حربى چه از مؤمن باشد يا مخالف يا كافر، فرقى ندارد در غير غنائم دار الحرب كه در آنها شروط و خصوصيّاتى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يد كافر حربى مثل او بود، تملّك هر دو جائز است براى مذكورين به استيلاء و استنقاذ، پس شراى آنها صورى است و در حقيقت استنقاذ است</w:t>
      </w:r>
      <w:r>
        <w:rPr>
          <w:rFonts w:eastAsia="IRNazanin" w:cs="IRNazanin"/>
          <w:color w:val="111111"/>
          <w:sz w:val="28"/>
          <w:szCs w:val="28"/>
          <w:rtl w:val="true"/>
          <w:lang w:bidi="fa-IR"/>
        </w:rPr>
        <w:t>.</w:t>
      </w:r>
    </w:p>
    <w:p>
      <w:pPr>
        <w:pStyle w:val="Heading4"/>
        <w:numPr>
          <w:ilvl w:val="3"/>
          <w:numId w:val="1"/>
        </w:numPr>
        <w:rPr/>
      </w:pPr>
      <w:bookmarkStart w:id="1893" w:name="__RefHeading___Toc3808587_1067777946"/>
      <w:bookmarkStart w:id="1894" w:name="_Toc806"/>
      <w:bookmarkEnd w:id="1893"/>
      <w:r>
        <w:rPr>
          <w:rtl w:val="true"/>
        </w:rPr>
        <w:t>اقرار و انكار رقّيّت</w:t>
      </w:r>
      <w:bookmarkEnd w:id="1894"/>
    </w:p>
    <w:p>
      <w:pPr>
        <w:pStyle w:val="BookText"/>
        <w:rPr/>
      </w:pPr>
      <w:r>
        <w:rPr>
          <w:rFonts w:ascii="IRNazanin" w:hAnsi="IRNazanin" w:eastAsia="IRNazanin"/>
          <w:color w:val="111111"/>
          <w:sz w:val="28"/>
          <w:sz w:val="28"/>
          <w:szCs w:val="28"/>
          <w:rtl w:val="true"/>
          <w:lang w:bidi="fa-IR"/>
        </w:rPr>
        <w:t xml:space="preserve">كسى كه اقرار به رقيّت خودش نمايد و معلوم الحرّيه نباشد و بالغ، 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رشيد باشد، محكوم به رقيّت است؛ و اظهر اعتبار رشد است، زيرا به اعتقاد مقرّ، اقرار به مال است، پس لازم نفوذ از غير رشيد، عدم نفوذ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نفوذ اقرار با شرائطش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كرد رقيّت او را، پس اقرار در اصل رقّيّت ساقط نمى شود، و از قبيل مجهول المالك مى شود كه حاكم فحص مى كند از مالك، مثل اقرار به سائر اموال با انكار مقرٌّ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اقرار عاقل، بالغ و حرّ ظاهرى لو لا الاقرار با رشد او بر ضرر ديگرى نيست پس قياس نمى شود به اقرار غير رشيد اگر چه در واقع، مملوك و ملزم به مملوكيّت است، و مانعى از نفوذ آن در خصوصيّت و در اصل مملوكيّت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رجوع از اين اقرار مسموع نيست مثل رجوع در سائر اقارير، و مسموع است در محل مسموعيّت در سائر اقرارها، چنانچه گذشت</w:t>
      </w:r>
      <w:r>
        <w:rPr>
          <w:rFonts w:eastAsia="IRNazanin" w:cs="IRNazanin"/>
          <w:color w:val="111111"/>
          <w:sz w:val="28"/>
          <w:szCs w:val="28"/>
          <w:rtl w:val="true"/>
          <w:lang w:bidi="fa-IR"/>
        </w:rPr>
        <w:t>.</w:t>
      </w:r>
    </w:p>
    <w:p>
      <w:pPr>
        <w:pStyle w:val="Heading4"/>
        <w:numPr>
          <w:ilvl w:val="3"/>
          <w:numId w:val="1"/>
        </w:numPr>
        <w:rPr/>
      </w:pPr>
      <w:bookmarkStart w:id="1895" w:name="__RefHeading___Toc3808589_1067777946"/>
      <w:bookmarkStart w:id="1896" w:name="_Toc807"/>
      <w:bookmarkEnd w:id="1895"/>
      <w:r>
        <w:rPr>
          <w:rtl w:val="true"/>
        </w:rPr>
        <w:t>عدم قبول ادّعاى عبد به حرّيّت در سوق</w:t>
      </w:r>
      <w:bookmarkEnd w:id="1896"/>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مبيع در اسواق اگر ادعاى حرّيت اصليّه نمود قبول نمى شود، به جهت مخالفت با مقتضاى يد، مگر با بيّنۀ بر حرّيت اصليّه مخالفۀ يد، كما اينكه قبول مى شود بيّنه بر حرّيت عارضيّه به سبب عتق و نحو آن</w:t>
      </w:r>
      <w:r>
        <w:rPr>
          <w:rFonts w:eastAsia="IRNazanin" w:cs="IRNazanin"/>
          <w:color w:val="111111"/>
          <w:sz w:val="28"/>
          <w:szCs w:val="28"/>
          <w:rtl w:val="true"/>
          <w:lang w:bidi="fa-IR"/>
        </w:rPr>
        <w:t xml:space="preserve">. </w:t>
      </w:r>
      <w:bookmarkStart w:id="1897" w:name="pg10265_90078"/>
    </w:p>
    <w:p>
      <w:pPr>
        <w:pStyle w:val="Heading4"/>
        <w:numPr>
          <w:ilvl w:val="3"/>
          <w:numId w:val="1"/>
        </w:numPr>
        <w:rPr/>
      </w:pPr>
      <w:bookmarkStart w:id="1898" w:name="__RefHeading___Toc3808591_1067777946"/>
      <w:bookmarkStart w:id="1899" w:name="_Toc808"/>
      <w:bookmarkEnd w:id="1897"/>
      <w:bookmarkEnd w:id="1898"/>
      <w:r>
        <w:rPr>
          <w:rtl w:val="true"/>
        </w:rPr>
        <w:t>ملتقَط در دار الحرب</w:t>
      </w:r>
      <w:bookmarkEnd w:id="1899"/>
    </w:p>
    <w:p>
      <w:pPr>
        <w:pStyle w:val="BookText"/>
        <w:rPr/>
      </w:pPr>
      <w:r>
        <w:rPr>
          <w:rFonts w:ascii="IRNazanin" w:hAnsi="IRNazanin" w:eastAsia="IRNazanin"/>
          <w:color w:val="111111"/>
          <w:sz w:val="28"/>
          <w:sz w:val="28"/>
          <w:szCs w:val="28"/>
          <w:rtl w:val="true"/>
          <w:lang w:bidi="fa-IR"/>
        </w:rPr>
        <w:t>و ملتقَط در دار الحرب، جائز است استرقاق او براى ملتقِط در صورتى كه در آنجا مسلمى نباشد كه ممكن باشد تولّد او از آن مسلم اگر چه زن باشد، وگرنه احتمال حرّيت و اسلام طفل جارى است؛ و در مملوكيّت او به مجرّد استيلاء بدون قصد تملّك به استرقاق تأمّل است</w:t>
      </w:r>
      <w:r>
        <w:rPr>
          <w:rFonts w:eastAsia="IRNazanin" w:cs="IRNazanin"/>
          <w:color w:val="111111"/>
          <w:sz w:val="28"/>
          <w:szCs w:val="28"/>
          <w:rtl w:val="true"/>
          <w:lang w:bidi="fa-IR"/>
        </w:rPr>
        <w:t>.</w:t>
      </w:r>
    </w:p>
    <w:p>
      <w:pPr>
        <w:pStyle w:val="Heading4"/>
        <w:numPr>
          <w:ilvl w:val="3"/>
          <w:numId w:val="1"/>
        </w:numPr>
        <w:rPr/>
      </w:pPr>
      <w:bookmarkStart w:id="1900" w:name="__RefHeading___Toc3808593_1067777946"/>
      <w:bookmarkStart w:id="1901" w:name="_Toc809"/>
      <w:bookmarkEnd w:id="1900"/>
      <w:r>
        <w:rPr>
          <w:rtl w:val="true"/>
        </w:rPr>
        <w:t>ترتب احكام مالك بر ولد يا زوجه يا ارحام خريدارى شده</w:t>
      </w:r>
      <w:bookmarkEnd w:id="1901"/>
    </w:p>
    <w:p>
      <w:pPr>
        <w:pStyle w:val="BookText"/>
        <w:rPr/>
      </w:pPr>
      <w:r>
        <w:rPr>
          <w:rFonts w:ascii="IRNazanin" w:hAnsi="IRNazanin" w:eastAsia="IRNazanin"/>
          <w:color w:val="111111"/>
          <w:sz w:val="28"/>
          <w:sz w:val="28"/>
          <w:szCs w:val="28"/>
          <w:rtl w:val="true"/>
          <w:lang w:bidi="fa-IR"/>
        </w:rPr>
        <w:t xml:space="preserve">اگر انسانى از كافر حربى، ولد كافر يا زوجۀ او يا يكى از ارحام او را خريد، براى مشترى جائز است و مالك مى شود و حكم ملك او مرتّب مى شود، لكن در ترتّب احكام خاصّۀ بيع و شراء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خيارات و رد به عيب و 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است، بلكه حكمِ اعم از استنقاذ و استيلاء و تملّك به آن ثابت است</w:t>
      </w:r>
      <w:r>
        <w:rPr>
          <w:rFonts w:eastAsia="IRNazanin" w:cs="IRNazanin"/>
          <w:color w:val="111111"/>
          <w:sz w:val="28"/>
          <w:szCs w:val="28"/>
          <w:rtl w:val="true"/>
          <w:lang w:bidi="fa-IR"/>
        </w:rPr>
        <w:t>.</w:t>
      </w:r>
    </w:p>
    <w:p>
      <w:pPr>
        <w:pStyle w:val="Heading4"/>
        <w:numPr>
          <w:ilvl w:val="3"/>
          <w:numId w:val="1"/>
        </w:numPr>
        <w:rPr/>
      </w:pPr>
      <w:bookmarkStart w:id="1902" w:name="__RefHeading___Toc3808595_1067777946"/>
      <w:bookmarkStart w:id="1903" w:name="_Toc810"/>
      <w:bookmarkEnd w:id="1902"/>
      <w:r>
        <w:rPr>
          <w:rtl w:val="true"/>
        </w:rPr>
        <w:t>جواز استرقاق براى مؤمن مطلقا</w:t>
      </w:r>
      <w:bookmarkEnd w:id="1903"/>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سبى مؤمن و كافر و مخالف مبدع و غير او، مساوى در جواز استرقاق است براى مؤمن، اگر چه در بعضى شراء و تملّك به آن، و بعضى استنقاذ محض باشد و شراى صورى مقدّمۀ خارجيّۀ استنقاذ باشد در صورتى كه مالكيّت حقيقيّه در بايع نباشد</w:t>
      </w:r>
      <w:r>
        <w:rPr>
          <w:rFonts w:eastAsia="IRNazanin" w:cs="IRNazanin"/>
          <w:color w:val="111111"/>
          <w:sz w:val="28"/>
          <w:szCs w:val="28"/>
          <w:rtl w:val="true"/>
          <w:lang w:bidi="fa-IR"/>
        </w:rPr>
        <w:t xml:space="preserve">. </w:t>
      </w:r>
      <w:bookmarkStart w:id="1904" w:name="pg10265_90079"/>
    </w:p>
    <w:p>
      <w:pPr>
        <w:pStyle w:val="Heading3"/>
        <w:numPr>
          <w:ilvl w:val="2"/>
          <w:numId w:val="1"/>
        </w:numPr>
        <w:rPr/>
      </w:pPr>
      <w:bookmarkStart w:id="1905" w:name="__RefHeading___Toc3808597_1067777946"/>
      <w:bookmarkStart w:id="1906" w:name="_Toc811"/>
      <w:bookmarkEnd w:id="1904"/>
      <w:bookmarkEnd w:id="1905"/>
      <w:r>
        <w:rPr>
          <w:rtl w:val="true"/>
        </w:rPr>
        <w:t>فصل دوّم اسباب ازالۀ رقّيّت</w:t>
      </w:r>
      <w:bookmarkEnd w:id="1906"/>
    </w:p>
    <w:p>
      <w:pPr>
        <w:pStyle w:val="Heading4"/>
        <w:numPr>
          <w:ilvl w:val="3"/>
          <w:numId w:val="1"/>
        </w:numPr>
        <w:rPr/>
      </w:pPr>
      <w:bookmarkStart w:id="1907" w:name="__RefHeading___Toc3808599_1067777946"/>
      <w:bookmarkStart w:id="1908" w:name="_Toc812"/>
      <w:bookmarkEnd w:id="1907"/>
      <w:r>
        <w:rPr>
          <w:rtl w:val="true"/>
        </w:rPr>
        <w:t>اشاره</w:t>
      </w:r>
      <w:bookmarkEnd w:id="1908"/>
    </w:p>
    <w:p>
      <w:pPr>
        <w:pStyle w:val="BookText"/>
        <w:rPr/>
      </w:pPr>
      <w:r>
        <w:rPr>
          <w:rFonts w:ascii="IRNazanin" w:hAnsi="IRNazanin" w:eastAsia="IRNazanin"/>
          <w:color w:val="111111"/>
          <w:sz w:val="28"/>
          <w:sz w:val="28"/>
          <w:szCs w:val="28"/>
          <w:rtl w:val="true"/>
          <w:lang w:bidi="fa-IR"/>
        </w:rPr>
        <w:t>ازالۀ رقيّت به چهار سبب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مباشرت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مباشرت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عتق و تدبير و كتابت، محقّق مى شود</w:t>
      </w:r>
      <w:r>
        <w:rPr>
          <w:rFonts w:eastAsia="Amiri" w:cs="Amiri" w:ascii="Amiri" w:hAnsi="Amiri"/>
          <w:color w:val="111111"/>
          <w:sz w:val="28"/>
          <w:szCs w:val="28"/>
          <w:rtl w:val="true"/>
          <w:lang w:bidi="ar-SA"/>
        </w:rPr>
        <w:t>.</w:t>
      </w:r>
    </w:p>
    <w:p>
      <w:pPr>
        <w:pStyle w:val="Heading4"/>
        <w:numPr>
          <w:ilvl w:val="3"/>
          <w:numId w:val="1"/>
        </w:numPr>
        <w:rPr/>
      </w:pPr>
      <w:bookmarkStart w:id="1909" w:name="__RefHeading___Toc3808601_1067777946"/>
      <w:bookmarkStart w:id="1910" w:name="_Toc813"/>
      <w:bookmarkEnd w:id="1909"/>
      <w:r>
        <w:rPr/>
        <w:t>1</w:t>
      </w:r>
      <w:r>
        <w:rPr>
          <w:rtl w:val="true"/>
        </w:rPr>
        <w:t xml:space="preserve">. </w:t>
      </w:r>
      <w:r>
        <w:rPr>
          <w:rtl w:val="true"/>
        </w:rPr>
        <w:t>عتق به مباشرت</w:t>
      </w:r>
      <w:bookmarkEnd w:id="1910"/>
    </w:p>
    <w:p>
      <w:pPr>
        <w:pStyle w:val="Heading5"/>
        <w:numPr>
          <w:ilvl w:val="4"/>
          <w:numId w:val="1"/>
        </w:numPr>
        <w:rPr/>
      </w:pPr>
      <w:bookmarkStart w:id="1911" w:name="__RefHeading___Toc3808603_1067777946"/>
      <w:bookmarkStart w:id="1912" w:name="_Toc814"/>
      <w:bookmarkEnd w:id="1911"/>
      <w:r>
        <w:rPr>
          <w:rtl w:val="true"/>
        </w:rPr>
        <w:t>اشاره</w:t>
      </w:r>
      <w:bookmarkEnd w:id="1912"/>
    </w:p>
    <w:p>
      <w:pPr>
        <w:pStyle w:val="BookText"/>
        <w:rPr/>
      </w:pPr>
      <w:r>
        <w:rPr>
          <w:rFonts w:ascii="IRNazanin" w:hAnsi="IRNazanin" w:eastAsia="IRNazanin"/>
          <w:color w:val="111111"/>
          <w:sz w:val="28"/>
          <w:sz w:val="28"/>
          <w:szCs w:val="28"/>
          <w:rtl w:val="true"/>
          <w:lang w:bidi="fa-IR"/>
        </w:rPr>
        <w:t xml:space="preserve">عبارت صريحۀ 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اينكه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دو مورد اشكال نيست؛ و در غير اينها با ظهور معتدٌّ به و معلوميّت قصد انشاى عتق مورد احتياط است، و در تقدير عدم اجماع، اظهر كفايت است</w:t>
      </w:r>
      <w:r>
        <w:rPr>
          <w:rFonts w:eastAsia="IRNazanin" w:cs="IRNazanin"/>
          <w:color w:val="111111"/>
          <w:sz w:val="28"/>
          <w:szCs w:val="28"/>
          <w:rtl w:val="true"/>
          <w:lang w:bidi="fa-IR"/>
        </w:rPr>
        <w:t>.</w:t>
      </w:r>
    </w:p>
    <w:p>
      <w:pPr>
        <w:pStyle w:val="Heading5"/>
        <w:numPr>
          <w:ilvl w:val="4"/>
          <w:numId w:val="1"/>
        </w:numPr>
        <w:rPr/>
      </w:pPr>
      <w:bookmarkStart w:id="1913" w:name="__RefHeading___Toc3808605_1067777946"/>
      <w:bookmarkStart w:id="1914" w:name="_Toc815"/>
      <w:bookmarkEnd w:id="1913"/>
      <w:r>
        <w:rPr>
          <w:rtl w:val="true"/>
        </w:rPr>
        <w:t>فرض اتّحاد اسم امه با صيغۀ عتق</w:t>
      </w:r>
      <w:bookmarkEnd w:id="1914"/>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معلوميّت قصد اخبار يا انشا، حكم واضح است؛ و اگر معلوم نشد، رجوع به متكلم مى شود و قبول مى شود قول او؛ و اگر بر خلاف قانون محاورۀ مكان و زمان بود، پس در تفسير به خلاف قانون با معرفت آن، اشكالى است، زيرا استظهار موافق قانون، موجب حكم است نه رجوع به تفسير او، مثل اينكه بدون تنوين بگويد در غير وقف و بگويد قصد انشا كردم يا با تنوين باشد و بگويد قصد اخبار كردم با انصراف صيغه و عدم انصراف اسم؛ و در </w:t>
      </w:r>
      <w:bookmarkStart w:id="1915" w:name="pg10265_90080"/>
    </w:p>
    <w:p>
      <w:pPr>
        <w:pStyle w:val="BookText"/>
        <w:rPr/>
      </w:pPr>
      <w:bookmarkEnd w:id="1915"/>
      <w:r>
        <w:rPr>
          <w:rFonts w:ascii="Amiri" w:hAnsi="Amiri" w:eastAsia="Amiri" w:cs="Amiri"/>
          <w:color w:val="111111"/>
          <w:sz w:val="28"/>
          <w:sz w:val="28"/>
          <w:szCs w:val="28"/>
          <w:rtl w:val="true"/>
          <w:lang w:bidi="ar-SA"/>
        </w:rPr>
        <w:t>صورت جهل و عدم استظهار و عدم امكان رجوع يا تعذّر تفسير، مقتضاى اصل، بقاى رقّيّت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تلفّظ به آنچه معتبر و كافى است، تحرير محقّق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قدرت بر تلفظ و ميسوريت آن، احوط عدم اكتفاى به اشاره و كتابت است، بلكه تلفظ مى نمايد اگر چه اعلام آن غير را با اشاره يا كتابت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امكان يا متعسّر بودن تلفظ، اشاره و كتابت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عدم اعتبار عربيّت است در صيغۀ كافيه اگر چه احوط است</w:t>
      </w:r>
      <w:r>
        <w:rPr>
          <w:rFonts w:eastAsia="IRNazanin" w:cs="IRNazanin"/>
          <w:color w:val="111111"/>
          <w:sz w:val="28"/>
          <w:szCs w:val="28"/>
          <w:rtl w:val="true"/>
          <w:lang w:bidi="fa-IR"/>
        </w:rPr>
        <w:t>.</w:t>
      </w:r>
    </w:p>
    <w:p>
      <w:pPr>
        <w:pStyle w:val="Heading5"/>
        <w:numPr>
          <w:ilvl w:val="4"/>
          <w:numId w:val="1"/>
        </w:numPr>
        <w:rPr/>
      </w:pPr>
      <w:bookmarkStart w:id="1916" w:name="__RefHeading___Toc3808607_1067777946"/>
      <w:bookmarkStart w:id="1917" w:name="_Toc816"/>
      <w:bookmarkEnd w:id="1916"/>
      <w:r>
        <w:rPr>
          <w:rtl w:val="true"/>
        </w:rPr>
        <w:t>لزوم اطلاق عتق</w:t>
      </w:r>
      <w:bookmarkEnd w:id="1917"/>
    </w:p>
    <w:p>
      <w:pPr>
        <w:pStyle w:val="BookText"/>
        <w:rPr/>
      </w:pPr>
      <w:r>
        <w:rPr>
          <w:rFonts w:ascii="IRNazanin" w:hAnsi="IRNazanin" w:eastAsia="IRNazanin"/>
          <w:color w:val="111111"/>
          <w:sz w:val="28"/>
          <w:sz w:val="28"/>
          <w:szCs w:val="28"/>
          <w:rtl w:val="true"/>
          <w:lang w:bidi="fa-IR"/>
        </w:rPr>
        <w:t>و بايد اعتاق، مجرد از شرط و صفت باشد اگر چه شرط مترقّب الحصول باشد، مثل قدوم حاجّ‌، يا آنكه صفت معلوم الوقوع باشد و متأخّر باشد مثل طلوع شمس؛ و اظهر جواز تعليق بر معلوم الوقوع مقارن صيغه است، زيرا در حقيقت تعليق نيست؛ مثل اينكه تعليق بر نقيضين، مفيد تأكيد و عدم فرق بين دو تقدير است در كلام متّحد، و اما در مختلف و متعدّد، پس عتق محقّق نمى شود</w:t>
      </w:r>
      <w:r>
        <w:rPr>
          <w:rFonts w:eastAsia="IRNazanin" w:cs="IRNazanin"/>
          <w:color w:val="111111"/>
          <w:sz w:val="28"/>
          <w:szCs w:val="28"/>
          <w:rtl w:val="true"/>
          <w:lang w:bidi="fa-IR"/>
        </w:rPr>
        <w:t>.</w:t>
      </w:r>
    </w:p>
    <w:p>
      <w:pPr>
        <w:pStyle w:val="Heading5"/>
        <w:numPr>
          <w:ilvl w:val="4"/>
          <w:numId w:val="1"/>
        </w:numPr>
        <w:rPr/>
      </w:pPr>
      <w:bookmarkStart w:id="1918" w:name="__RefHeading___Toc3808609_1067777946"/>
      <w:bookmarkStart w:id="1919" w:name="_Toc817"/>
      <w:bookmarkEnd w:id="1918"/>
      <w:r>
        <w:rPr>
          <w:rtl w:val="true"/>
        </w:rPr>
        <w:t>تعليق عتق</w:t>
      </w:r>
      <w:bookmarkEnd w:id="191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صحيح نيست عتق اگر معلّق به مشيّت معتِق باشد اگر چه متّصلاً مشيّت نمايد و ذكر نمايد عتق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مقتضاى عدم صحّت عتقِ معلّق، اين است كه اگر بگويد در غير تدبير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قدم زيد فعبدى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نباشد؛ و هم چنين اگر نذر كرد كه اگر شفاى يابد مريض من پس بندۀ من حرّ است يا آنكه مال من صدقه باشد يا براى زيد باشد به صورت تعليق كه ذكر شد، و محل ابرا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با احتمال لحوق نذر نتيجه به شرط نتيجه با اتفاق بر عدم تعليق در عتق بالخصوص، پس نافع نيست التزام به آن در نذر جزمى للّٰه تعالى و صحّت آن و لزوم تصدّق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خلاف اينكه اگر بگويد با اين تعليق در غير تدبير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أن أعتق عبدي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أتصدّق بمالي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واجب </w:t>
      </w:r>
      <w:bookmarkStart w:id="1920" w:name="pg10265_90081"/>
    </w:p>
    <w:p>
      <w:pPr>
        <w:pStyle w:val="BookText"/>
        <w:rPr/>
      </w:pPr>
      <w:bookmarkEnd w:id="1920"/>
      <w:r>
        <w:rPr>
          <w:rFonts w:ascii="IRNazanin" w:hAnsi="IRNazanin" w:eastAsia="IRNazanin"/>
          <w:color w:val="111111"/>
          <w:sz w:val="28"/>
          <w:sz w:val="28"/>
          <w:szCs w:val="28"/>
          <w:rtl w:val="true"/>
          <w:lang w:bidi="fa-IR"/>
        </w:rPr>
        <w:t>است اعتاق و تصدّق با حصول شرط در نذر، و اگر نكرد و محل گذشت، حنث واقع مى شود، و ابرا هم در نذر تصدّق خاصّ بى محل است</w:t>
      </w:r>
      <w:r>
        <w:rPr>
          <w:rFonts w:eastAsia="IRNazanin" w:cs="IRNazanin"/>
          <w:color w:val="111111"/>
          <w:sz w:val="28"/>
          <w:szCs w:val="28"/>
          <w:rtl w:val="true"/>
          <w:lang w:bidi="fa-IR"/>
        </w:rPr>
        <w:t>.</w:t>
      </w:r>
    </w:p>
    <w:p>
      <w:pPr>
        <w:pStyle w:val="Heading5"/>
        <w:numPr>
          <w:ilvl w:val="4"/>
          <w:numId w:val="1"/>
        </w:numPr>
        <w:rPr/>
      </w:pPr>
      <w:bookmarkStart w:id="1921" w:name="__RefHeading___Toc3808611_1067777946"/>
      <w:bookmarkStart w:id="1922" w:name="_Toc818"/>
      <w:bookmarkEnd w:id="1921"/>
      <w:r>
        <w:rPr>
          <w:rtl w:val="true"/>
        </w:rPr>
        <w:t>استناد تحرير اعضا</w:t>
      </w:r>
      <w:bookmarkEnd w:id="1922"/>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يدك 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وجهك 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رأسك 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وجهك 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مراد ذات باشد به علاقه جزء و كل با قرينه بر اراده، صحيح است عتق نفس مملوك؛ و اگر اراده جزء معلوم شد، صحيح نيست اصل عتق؛ بلكه اگر اراده ذات، قرينه نداشت و معناى حقيقى، جزء است و عتق آن باطل است، محلى براى رجوع به متكلم در تفسير با ظهور نيست؛ بلى اگر مراد مشكل شد از مجموع جهات، دور نيست با رجوع به معتِق رفع اشكال شود، و اگر ممكن نشد اصل، عدم تحرير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بدنك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جسدك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صحّت عتق است، به جهت اتحاد مفهومى عرفى بين اينها و اينكه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يا زيد حرّ</w:t>
      </w:r>
      <w:r>
        <w:rPr>
          <w:rFonts w:eastAsia="IRNazanin" w:cs="IRNazanin"/>
          <w:color w:val="111111"/>
          <w:sz w:val="28"/>
          <w:szCs w:val="28"/>
          <w:rtl w:val="true"/>
          <w:lang w:bidi="fa-IR"/>
        </w:rPr>
        <w:t>».</w:t>
      </w:r>
    </w:p>
    <w:p>
      <w:pPr>
        <w:pStyle w:val="Heading5"/>
        <w:numPr>
          <w:ilvl w:val="4"/>
          <w:numId w:val="1"/>
        </w:numPr>
        <w:rPr/>
      </w:pPr>
      <w:bookmarkStart w:id="1923" w:name="__RefHeading___Toc3808613_1067777946"/>
      <w:bookmarkStart w:id="1924" w:name="_Toc819"/>
      <w:bookmarkEnd w:id="1923"/>
      <w:r>
        <w:rPr>
          <w:rtl w:val="true"/>
        </w:rPr>
        <w:t>عدم لزوم تعيين در عتق</w:t>
      </w:r>
      <w:bookmarkEnd w:id="1924"/>
    </w:p>
    <w:p>
      <w:pPr>
        <w:pStyle w:val="BookText"/>
        <w:rPr/>
      </w:pPr>
      <w:r>
        <w:rPr>
          <w:rFonts w:ascii="IRNazanin" w:hAnsi="IRNazanin" w:eastAsia="IRNazanin"/>
          <w:color w:val="111111"/>
          <w:sz w:val="28"/>
          <w:sz w:val="28"/>
          <w:szCs w:val="28"/>
          <w:rtl w:val="true"/>
          <w:lang w:bidi="fa-IR"/>
        </w:rPr>
        <w:t xml:space="preserve">در اعتبار تعيين 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است، و نقل اجماع بر عدم اشتراط شده است؛ و دور نيست عدم اشتراط، پس با احتمال تعيّن در حين عتق، رجوع به 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و با عدم تفسير يا عدم امكان اگر چه به فوت معتِق باشد با ظهور عدم تعيين قصدى با قرعه تعيين مى شود بنا بر عموم دليل آن به هر مشكلى اگر چه مشتبه نباشد، يعنى معيّن واقعى و مجهول الطرف نباشد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تعيين كرد بعد از رجوع، پس از آن عدول نمود، قبول نمى شود، به جهت تعلّق به حق ثابت غير، لكن تعيين، كاشف از انعتاق حين عتق به صيغه است و قرعه متمم عتق است در غير كاشف از واقع حين عتق؛ پس انعتاق حين خروج از قرعه، محقّق مى شود</w:t>
      </w:r>
      <w:r>
        <w:rPr>
          <w:rFonts w:eastAsia="IRNazanin" w:cs="IRNazanin"/>
          <w:color w:val="111111"/>
          <w:sz w:val="28"/>
          <w:szCs w:val="28"/>
          <w:rtl w:val="true"/>
          <w:lang w:bidi="fa-IR"/>
        </w:rPr>
        <w:t xml:space="preserve">. </w:t>
      </w:r>
      <w:bookmarkStart w:id="1925" w:name="pg10265_90082"/>
    </w:p>
    <w:p>
      <w:pPr>
        <w:pStyle w:val="BookText"/>
        <w:rPr/>
      </w:pPr>
      <w:bookmarkEnd w:id="1925"/>
      <w:r>
        <w:rPr>
          <w:rFonts w:ascii="IRNazanin" w:hAnsi="IRNazanin" w:eastAsia="IRNazanin"/>
          <w:color w:val="111111"/>
          <w:sz w:val="28"/>
          <w:sz w:val="28"/>
          <w:szCs w:val="28"/>
          <w:rtl w:val="true"/>
          <w:lang w:bidi="fa-IR"/>
        </w:rPr>
        <w:t xml:space="preserve">و اگر عتق معيّن نمود پس از آن مشتبه شد معتَق با غير او، تأخير مى اندازند تا ظاهر و واضح شود اگر چه با تذكر خود 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اگر چه معلوم نشد با قرعه تعيين مى شود بدون احتمال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عدول بعد از تعيين اگر چه با قرعه باشد، قبول نمى شود، مگر از منشأ معلوم باشد كه در اين صورت احتمال تغريم قيمت در احد الشخصين جارى است</w:t>
      </w:r>
      <w:r>
        <w:rPr>
          <w:rFonts w:eastAsia="IRNazanin" w:cs="IRNazanin"/>
          <w:color w:val="111111"/>
          <w:sz w:val="28"/>
          <w:szCs w:val="28"/>
          <w:rtl w:val="true"/>
          <w:lang w:bidi="fa-IR"/>
        </w:rPr>
        <w:t>.</w:t>
      </w:r>
    </w:p>
    <w:p>
      <w:pPr>
        <w:pStyle w:val="Heading5"/>
        <w:numPr>
          <w:ilvl w:val="4"/>
          <w:numId w:val="1"/>
        </w:numPr>
        <w:rPr/>
      </w:pPr>
      <w:bookmarkStart w:id="1926" w:name="__RefHeading___Toc3808615_1067777946"/>
      <w:bookmarkStart w:id="1927" w:name="_Toc820"/>
      <w:bookmarkEnd w:id="1926"/>
      <w:r>
        <w:rPr>
          <w:rtl w:val="true"/>
        </w:rPr>
        <w:t>اختلاف عبد و مولىٰ در مقصود به عتق</w:t>
      </w:r>
      <w:bookmarkEnd w:id="1927"/>
    </w:p>
    <w:p>
      <w:pPr>
        <w:pStyle w:val="BookText"/>
        <w:rPr/>
      </w:pPr>
      <w:r>
        <w:rPr>
          <w:rFonts w:ascii="IRNazanin" w:hAnsi="IRNazanin" w:eastAsia="IRNazanin"/>
          <w:color w:val="111111"/>
          <w:sz w:val="28"/>
          <w:sz w:val="28"/>
          <w:szCs w:val="28"/>
          <w:rtl w:val="true"/>
          <w:lang w:bidi="fa-IR"/>
        </w:rPr>
        <w:t>اگر يكى از مماليك ادّعا نمود كه مقصود به عتق، او است و مولىٰ انكار نمود، چه آنكه انكار او قصر دائرۀ احتمالات باشد يا تفسير باشد در صورتى كه دو احتمال بيش نبوده، قول مولىٰ مقدّم است با يمين او، و هم چنين اگر وارث، مدّعى علم به معتَق باشند؛ و اگر مولىٰ از يمين نكول كرد حكم بر او مى شود به مجرّد نكول على احد القولين، يا آنكه رد يمين به مدّعى كه مملوك است، مى شود و با حلف، عتق مى شود</w:t>
      </w:r>
      <w:r>
        <w:rPr>
          <w:rFonts w:eastAsia="IRNazanin" w:cs="IRNazanin"/>
          <w:color w:val="111111"/>
          <w:sz w:val="28"/>
          <w:szCs w:val="28"/>
          <w:rtl w:val="true"/>
          <w:lang w:bidi="fa-IR"/>
        </w:rPr>
        <w:t>.</w:t>
      </w:r>
    </w:p>
    <w:p>
      <w:pPr>
        <w:pStyle w:val="Heading5"/>
        <w:numPr>
          <w:ilvl w:val="4"/>
          <w:numId w:val="1"/>
        </w:numPr>
        <w:rPr/>
      </w:pPr>
      <w:bookmarkStart w:id="1928" w:name="__RefHeading___Toc3808617_1067777946"/>
      <w:bookmarkStart w:id="1929" w:name="_Toc821"/>
      <w:bookmarkEnd w:id="1928"/>
      <w:r>
        <w:rPr>
          <w:rtl w:val="true"/>
        </w:rPr>
        <w:t>شرايط معتِق</w:t>
      </w:r>
      <w:bookmarkEnd w:id="1929"/>
    </w:p>
    <w:p>
      <w:pPr>
        <w:pStyle w:val="BookText"/>
        <w:rPr/>
      </w:pPr>
      <w:r>
        <w:rPr>
          <w:rFonts w:ascii="Amiri" w:hAnsi="Amiri" w:eastAsia="Amiri" w:cs="Amiri"/>
          <w:color w:val="111111"/>
          <w:sz w:val="28"/>
          <w:sz w:val="28"/>
          <w:szCs w:val="28"/>
          <w:rtl w:val="true"/>
          <w:lang w:bidi="ar-SA"/>
        </w:rPr>
        <w:t>معتبر است در معتِق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مقابل جنون و سكر،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مقابل اكراه،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قربت به 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محجوريت از تصرّف مالى به سبب سفاهت و افلاس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بالغ به ده سالگى كلامى است كه مذكور مى شود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مكرَه و مولَه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كسى كه عقلش زائل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سكران و غير واجد قصد قربت، منصوص است</w:t>
      </w:r>
      <w:r>
        <w:rPr>
          <w:rFonts w:eastAsia="IRNazanin" w:cs="IRNazanin"/>
          <w:color w:val="111111"/>
          <w:sz w:val="28"/>
          <w:szCs w:val="28"/>
          <w:rtl w:val="true"/>
          <w:lang w:bidi="fa-IR"/>
        </w:rPr>
        <w:t>.</w:t>
      </w:r>
    </w:p>
    <w:p>
      <w:pPr>
        <w:pStyle w:val="Heading5"/>
        <w:numPr>
          <w:ilvl w:val="4"/>
          <w:numId w:val="1"/>
        </w:numPr>
        <w:rPr/>
      </w:pPr>
      <w:bookmarkStart w:id="1930" w:name="__RefHeading___Toc3808619_1067777946"/>
      <w:bookmarkStart w:id="1931" w:name="_Toc822"/>
      <w:bookmarkEnd w:id="1930"/>
      <w:r>
        <w:rPr>
          <w:rtl w:val="true"/>
        </w:rPr>
        <w:t>حكم بالغ به ده سالگى</w:t>
      </w:r>
      <w:bookmarkEnd w:id="1931"/>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بلوغ و اعتبار آن در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بالغ به ده سالگى،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جماعتى، جواز و صحّت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تمييز و رشد و عقلايى </w:t>
      </w:r>
      <w:bookmarkStart w:id="1932" w:name="pg10265_90083"/>
    </w:p>
    <w:p>
      <w:pPr>
        <w:pStyle w:val="BookText"/>
        <w:rPr/>
      </w:pPr>
      <w:bookmarkEnd w:id="1932"/>
      <w:r>
        <w:rPr>
          <w:rFonts w:ascii="IRNazanin" w:hAnsi="IRNazanin" w:eastAsia="IRNazanin"/>
          <w:color w:val="111111"/>
          <w:sz w:val="28"/>
          <w:sz w:val="28"/>
          <w:szCs w:val="28"/>
          <w:rtl w:val="true"/>
          <w:lang w:bidi="fa-IR"/>
        </w:rPr>
        <w:t>بودن وصيّت و در معروف و حق بودن آن و بالجمله واجد شروط وصيتِ كبير باشد، ملحق بودن آن به وصيّت بالغ به ده سالگى چنانچه مشهور است، خالى از وجه موافق با نقل موصوف به حُسن در كلام محقّق نيست</w:t>
      </w:r>
      <w:r>
        <w:rPr>
          <w:rFonts w:eastAsia="IRNazanin" w:cs="IRNazanin"/>
          <w:color w:val="111111"/>
          <w:sz w:val="28"/>
          <w:szCs w:val="28"/>
          <w:rtl w:val="true"/>
          <w:lang w:bidi="fa-IR"/>
        </w:rPr>
        <w:t>.</w:t>
      </w:r>
    </w:p>
    <w:p>
      <w:pPr>
        <w:pStyle w:val="Heading5"/>
        <w:numPr>
          <w:ilvl w:val="4"/>
          <w:numId w:val="1"/>
        </w:numPr>
        <w:rPr/>
      </w:pPr>
      <w:bookmarkStart w:id="1933" w:name="__RefHeading___Toc3808621_1067777946"/>
      <w:bookmarkStart w:id="1934" w:name="_Toc823"/>
      <w:bookmarkEnd w:id="1933"/>
      <w:r>
        <w:rPr>
          <w:rtl w:val="true"/>
        </w:rPr>
        <w:t>عتق مسلم توسط كافر</w:t>
      </w:r>
      <w:bookmarkEnd w:id="1934"/>
    </w:p>
    <w:p>
      <w:pPr>
        <w:pStyle w:val="BookText"/>
        <w:rPr/>
      </w:pPr>
      <w:r>
        <w:rPr>
          <w:rFonts w:ascii="IRNazanin" w:hAnsi="IRNazanin" w:eastAsia="IRNazanin"/>
          <w:color w:val="111111"/>
          <w:sz w:val="28"/>
          <w:sz w:val="28"/>
          <w:szCs w:val="28"/>
          <w:rtl w:val="true"/>
          <w:lang w:bidi="fa-IR"/>
        </w:rPr>
        <w:t xml:space="preserve">آيا عتق كافر، مسلم را صحيح است يا نه‌؟ 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آن است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معتبر است در آن، نيّت قربت غير متصوّرۀ در جاحد و منكر صانع جليل، پس از او باطل است؛ و اما از كسانى كه متمشّى مى شود قصد تقرّب، اگر چه تقرب حاصل نمى شود و لذا باطل است عبادات محضۀ غير ماليّه كه صحّت آن و ترتّب اثر بر آنها متمحض در ترتّب ثواب است و آن بدون اسلام ممكن نيست، بلكه بدون ايمان به معنى أخصّ ايضاً در غير معلوم به سيرۀ قطعيّه از قبيل بناى مساجد و وقف آنها، و اعتبار اسلام در عبادت ماليّه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اجماعى نيست به ملاحظۀ مخالفت مشهور متأخّرين، با موافقت صحّت عتق با كليۀ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اهل الزام و التزام، و به اينكه ثبوت ولاء در خصوص ارث، سبيل بر مسلم نيست چون ارث او بعد از وفات بدون وارث خاص است با آنكه توارث بين اهل دو ملت نيست پس كليّت ولاء معتِق قابل تخصيص است به كليات ثابته؛ پس صحّت عتق كافر با موافقت آن با تغليب حرّيت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تصديق به آن در شبهات حكميّه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وجه نيست در آنهايى كه قصد قربت از آنها متمشّى بشود</w:t>
      </w:r>
      <w:r>
        <w:rPr>
          <w:rFonts w:eastAsia="IRNazanin" w:cs="IRNazanin"/>
          <w:color w:val="111111"/>
          <w:sz w:val="28"/>
          <w:szCs w:val="28"/>
          <w:rtl w:val="true"/>
          <w:lang w:bidi="fa-IR"/>
        </w:rPr>
        <w:t>.</w:t>
      </w:r>
    </w:p>
    <w:p>
      <w:pPr>
        <w:pStyle w:val="Heading5"/>
        <w:numPr>
          <w:ilvl w:val="4"/>
          <w:numId w:val="1"/>
        </w:numPr>
        <w:rPr/>
      </w:pPr>
      <w:bookmarkStart w:id="1935" w:name="__RefHeading___Toc3808623_1067777946"/>
      <w:bookmarkStart w:id="1936" w:name="_Toc824"/>
      <w:bookmarkEnd w:id="1935"/>
      <w:r>
        <w:rPr>
          <w:rtl w:val="true"/>
        </w:rPr>
        <w:t>عدم اعتبار اسلام در معتَق</w:t>
      </w:r>
      <w:bookmarkEnd w:id="1936"/>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اعتبار اسلام در معتَق، محل خلاف است، و صحّت آن محكىّ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با وجود مصالح مرجّحه به نحوى كه عتق صالح براى تقرب و قصد آن باشد، صحّت، خالى از وجه موافق با عموم آيۀ شريفه نيست</w:t>
      </w:r>
      <w:r>
        <w:rPr>
          <w:rFonts w:eastAsia="Amiri" w:cs="Amiri" w:ascii="Amiri" w:hAnsi="Amiri"/>
          <w:color w:val="111111"/>
          <w:sz w:val="28"/>
          <w:szCs w:val="28"/>
          <w:rtl w:val="true"/>
          <w:lang w:bidi="ar-SA"/>
        </w:rPr>
        <w:t xml:space="preserve">. </w:t>
      </w:r>
      <w:bookmarkStart w:id="1937" w:name="pg10265_90084"/>
    </w:p>
    <w:p>
      <w:pPr>
        <w:pStyle w:val="BookText"/>
        <w:rPr/>
      </w:pPr>
      <w:bookmarkEnd w:id="1937"/>
      <w:r>
        <w:rPr>
          <w:rFonts w:ascii="IRNazanin" w:hAnsi="IRNazanin" w:eastAsia="IRNazanin"/>
          <w:color w:val="111111"/>
          <w:sz w:val="28"/>
          <w:sz w:val="28"/>
          <w:szCs w:val="28"/>
          <w:rtl w:val="true"/>
          <w:lang w:bidi="fa-IR"/>
        </w:rPr>
        <w:t>و عتق ولد زنا صحيح است چنانچه مشهور است، اگر چه صغير باشد، از دو مسلم يا از دو كافر باشد يا آنكه مختلف باشند، يا كبير غير واصف اسلام باشد زيرا كفر مانع از عتق نيست چنانچه گذشت</w:t>
      </w:r>
      <w:r>
        <w:rPr>
          <w:rFonts w:eastAsia="IRNazanin" w:cs="IRNazanin"/>
          <w:color w:val="111111"/>
          <w:sz w:val="28"/>
          <w:szCs w:val="28"/>
          <w:rtl w:val="true"/>
          <w:lang w:bidi="fa-IR"/>
        </w:rPr>
        <w:t>.</w:t>
      </w:r>
    </w:p>
    <w:p>
      <w:pPr>
        <w:pStyle w:val="Heading5"/>
        <w:numPr>
          <w:ilvl w:val="4"/>
          <w:numId w:val="1"/>
        </w:numPr>
        <w:rPr/>
      </w:pPr>
      <w:bookmarkStart w:id="1938" w:name="__RefHeading___Toc3808625_1067777946"/>
      <w:bookmarkStart w:id="1939" w:name="_Toc825"/>
      <w:bookmarkEnd w:id="1938"/>
      <w:r>
        <w:rPr>
          <w:rtl w:val="true"/>
        </w:rPr>
        <w:t>صحّت عتق فضولى</w:t>
      </w:r>
      <w:bookmarkEnd w:id="1939"/>
    </w:p>
    <w:p>
      <w:pPr>
        <w:pStyle w:val="BookText"/>
        <w:rPr/>
      </w:pPr>
      <w:r>
        <w:rPr>
          <w:rFonts w:ascii="IRNazanin" w:hAnsi="IRNazanin" w:eastAsia="IRNazanin"/>
          <w:color w:val="111111"/>
          <w:sz w:val="28"/>
          <w:sz w:val="28"/>
          <w:szCs w:val="28"/>
          <w:rtl w:val="true"/>
          <w:lang w:bidi="fa-IR"/>
        </w:rPr>
        <w:t>و اظهر صحّت عتق فضولى است اگر متعقب به اجازه مالك باشد؛ و با احتمال تعقّب به اجازه، قابل تقرّب است به آن، به خلاف قاطع به عدم تعقّب كه بطلان، از جهت فقد نيّت است، نه عدم مباشرت مالك يا ولىّ و وكيل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مالك بشوم تو را، آزاد خواهى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با رجوع به نذر يا عهد يا 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علىّ إن ملكتك فأنت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لأعتقنّك إن فعلت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شروط آنها كه در محل آن ذكر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ايقاع صيغۀ عتق بعد از مالكيّت، نافذ است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يمين را حلف به طلاق زن يا عتق مماليك قرار داد منعقد نمى شود</w:t>
      </w:r>
      <w:r>
        <w:rPr>
          <w:rFonts w:eastAsia="IRNazanin" w:cs="IRNazanin"/>
          <w:color w:val="111111"/>
          <w:sz w:val="28"/>
          <w:szCs w:val="28"/>
          <w:rtl w:val="true"/>
          <w:lang w:bidi="fa-IR"/>
        </w:rPr>
        <w:t>.</w:t>
      </w:r>
    </w:p>
    <w:p>
      <w:pPr>
        <w:pStyle w:val="Heading5"/>
        <w:numPr>
          <w:ilvl w:val="4"/>
          <w:numId w:val="1"/>
        </w:numPr>
        <w:rPr/>
      </w:pPr>
      <w:bookmarkStart w:id="1940" w:name="__RefHeading___Toc3808627_1067777946"/>
      <w:bookmarkStart w:id="1941" w:name="_Toc826"/>
      <w:bookmarkEnd w:id="1940"/>
      <w:r>
        <w:rPr>
          <w:rtl w:val="true"/>
        </w:rPr>
        <w:t>عتق ولد صغير</w:t>
      </w:r>
      <w:bookmarkEnd w:id="1941"/>
    </w:p>
    <w:p>
      <w:pPr>
        <w:pStyle w:val="BookText"/>
        <w:rPr/>
      </w:pPr>
      <w:r>
        <w:rPr>
          <w:rFonts w:ascii="IRNazanin" w:hAnsi="IRNazanin" w:eastAsia="IRNazanin"/>
          <w:color w:val="111111"/>
          <w:sz w:val="28"/>
          <w:sz w:val="28"/>
          <w:szCs w:val="28"/>
          <w:rtl w:val="true"/>
          <w:lang w:bidi="fa-IR"/>
        </w:rPr>
        <w:t xml:space="preserve">و اگر عتق كرد مملوك ولد صغير را با مصلحت او و ادخال در ملك والد با تقديم، نافذ است و عوض، در ملك صغير خواهد بود؛ و با عدم تقديم مذكور يا عدم مصلحت ولد يا بالغ و رشيد بودن ولد، نافذ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احتياط در صورت تنازع بعد از بلوغ و رشد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با والد يا سائر ورثه او ترك نشود به ملاحظۀ روايت حسين بن علوان كه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صورت اخير اگر اجازه بدهد عتق والد را</w:t>
      </w:r>
      <w:r>
        <w:rPr>
          <w:rFonts w:eastAsia="IRNazanin" w:cs="IRNazanin"/>
          <w:color w:val="111111"/>
          <w:sz w:val="28"/>
          <w:szCs w:val="28"/>
          <w:rtl w:val="true"/>
          <w:lang w:bidi="fa-IR"/>
        </w:rPr>
        <w:t>.</w:t>
      </w:r>
    </w:p>
    <w:p>
      <w:pPr>
        <w:pStyle w:val="Heading5"/>
        <w:numPr>
          <w:ilvl w:val="4"/>
          <w:numId w:val="1"/>
        </w:numPr>
        <w:rPr/>
      </w:pPr>
      <w:bookmarkStart w:id="1942" w:name="__RefHeading___Toc3808629_1067777946"/>
      <w:bookmarkStart w:id="1943" w:name="_Toc827"/>
      <w:bookmarkEnd w:id="1942"/>
      <w:r>
        <w:rPr>
          <w:rtl w:val="true"/>
        </w:rPr>
        <w:t>شرط ضمن عتق</w:t>
      </w:r>
      <w:bookmarkEnd w:id="1943"/>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شرط كرد در ضمن عتق، بر 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خدمت 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مالى بر معتِق مطلقاً حاصل فعلى يا فيما بعد از تحصيل يا مقيد به </w:t>
      </w:r>
      <w:bookmarkStart w:id="1944" w:name="pg10265_90085"/>
    </w:p>
    <w:p>
      <w:pPr>
        <w:pStyle w:val="BookText"/>
        <w:rPr/>
      </w:pPr>
      <w:bookmarkEnd w:id="1944"/>
      <w:r>
        <w:rPr>
          <w:rFonts w:ascii="IRNazanin" w:hAnsi="IRNazanin" w:eastAsia="IRNazanin"/>
          <w:color w:val="111111"/>
          <w:sz w:val="28"/>
          <w:sz w:val="28"/>
          <w:szCs w:val="28"/>
          <w:rtl w:val="true"/>
          <w:lang w:bidi="fa-IR"/>
        </w:rPr>
        <w:t>مخالفت شرطى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بر 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وفاى به آن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شرط كرد در ضمن عتق با تزويج بنت، رد در رقّيّت او را در صورتى كه ازدواج با غير يا تسرّى بر بنت نمايد، اظهر صحّت عتق و نفوذ شرط است، در صورت عدم رجوع به شرط عدم تسرّى در تزويج بنت كه بطلان چنين شرطى ثابت است؛ وگرنه شرط رد در عتق بر تقدير تسرّى جائز حتى بعد از اشتراط، خالى از تأمّل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شرط رد در عتق بر تقدير تسرى مثل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تقدير تسرّى در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شرط عدم تسرّى نيست و احكام آن را ندارد؛ و عدم قابليّت تغيير با شرط و نحو آن محتاج به دليل است نه اندراج در تحت عموم دليل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أىٍّ استفاده مى شود از 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شرط رد در رقّ در ضمن عتق در تقدير عملى اگر چه جائز الطرفين باشد حتى بعد از اشتراط، نافذ است و مشروطٌ عليه كه معتَق بوده، مردود به رقّيّت مى شود</w:t>
      </w:r>
      <w:r>
        <w:rPr>
          <w:rFonts w:eastAsia="IRNazanin" w:cs="IRNazanin"/>
          <w:color w:val="111111"/>
          <w:sz w:val="28"/>
          <w:szCs w:val="28"/>
          <w:rtl w:val="true"/>
          <w:lang w:bidi="fa-IR"/>
        </w:rPr>
        <w:t>.</w:t>
      </w:r>
    </w:p>
    <w:p>
      <w:pPr>
        <w:pStyle w:val="Heading5"/>
        <w:numPr>
          <w:ilvl w:val="4"/>
          <w:numId w:val="1"/>
        </w:numPr>
        <w:rPr/>
      </w:pPr>
      <w:bookmarkStart w:id="1945" w:name="__RefHeading___Toc3808631_1067777946"/>
      <w:bookmarkStart w:id="1946" w:name="_Toc828"/>
      <w:bookmarkEnd w:id="1945"/>
      <w:r>
        <w:rPr>
          <w:rtl w:val="true"/>
        </w:rPr>
        <w:t>احوطيّت اعتبار رضاى معتَق به شرط</w:t>
      </w:r>
      <w:bookmarkEnd w:id="1946"/>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اعتبار رضاى 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احوط است مطلقاً، خصوصاً در امورى كه مرجع شرط در آنها به استثنا نباشد مثل شرط خدمت يا مال مملوك كه حاصل است، كه اعتبار موافق مستفاد از دليل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اربعه، با اختلاف در واسطه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و در مروى عنه كه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پس ممكن است استدلال به آن بر اعتبار رضا، تمام نباشد، زيرا كه در ذيل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ذلك احبّ 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آن موهن استدلال براى لزوم است، اگر چه متيقن اشاره به مذكور در اول جواب كه بدء به مال است مى باشد؛ و در اخير موافق عموم دليل شرط است در مورد حاجت كه غير صورت استثنا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روايات خاصه اگر چه قوى است لكن ممكن است منزّل بر غالب باشد كه رضاى معتَق به </w:t>
      </w:r>
      <w:bookmarkStart w:id="1947" w:name="pg10265_90086"/>
    </w:p>
    <w:p>
      <w:pPr>
        <w:pStyle w:val="BookText"/>
        <w:rPr/>
      </w:pPr>
      <w:bookmarkEnd w:id="1947"/>
      <w:r>
        <w:rPr>
          <w:rFonts w:ascii="Amiri" w:hAnsi="Amiri" w:eastAsia="Amiri" w:cs="Amiri"/>
          <w:color w:val="111111"/>
          <w:sz w:val="28"/>
          <w:sz w:val="28"/>
          <w:szCs w:val="28"/>
          <w:rtl w:val="true"/>
          <w:lang w:bidi="ar-SA"/>
        </w:rPr>
        <w:t xml:space="preserve">عتق مشروط با شروط آن است؛ لكن احتياط در اعتبار رضاى معتَق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5"/>
        <w:numPr>
          <w:ilvl w:val="4"/>
          <w:numId w:val="1"/>
        </w:numPr>
        <w:rPr/>
      </w:pPr>
      <w:bookmarkStart w:id="1948" w:name="__RefHeading___Toc3808633_1067777946"/>
      <w:bookmarkStart w:id="1949" w:name="_Toc829"/>
      <w:bookmarkEnd w:id="1948"/>
      <w:r>
        <w:rPr>
          <w:rtl w:val="true"/>
        </w:rPr>
        <w:t>شرط خدمت</w:t>
      </w:r>
      <w:bookmarkEnd w:id="1949"/>
    </w:p>
    <w:p>
      <w:pPr>
        <w:pStyle w:val="BookText"/>
        <w:rPr/>
      </w:pPr>
      <w:r>
        <w:rPr>
          <w:rFonts w:ascii="IRNazanin" w:hAnsi="IRNazanin" w:eastAsia="IRNazanin"/>
          <w:color w:val="111111"/>
          <w:sz w:val="28"/>
          <w:sz w:val="28"/>
          <w:szCs w:val="28"/>
          <w:rtl w:val="true"/>
          <w:lang w:bidi="fa-IR"/>
        </w:rPr>
        <w:t xml:space="preserve">اگر شرط كرد در ضمن عتق، خدمت 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 معين، صحيح است و لازم الوفاء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اگر شرط نمايد خدمت در زمان حيات 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اقرب صحّت شرط و لزوم وفا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نفقه مشروط الخدمه بر مخدوم است يا بر خود است كه مالك مشروط است پس استحقاق استثناى زمان تكسّب براى نفقه خودش دارد يا از بيت المال است‌؟ احتمالاتى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مدت خدمت را در إباق به سر برد به رقّيّت اعاده نمى شود، و خود مولىٰ يا ورثۀ او مى توانند مطالبۀ اجرت المثل عمل فائت را از 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 به جهت موافقت مستفاد از ادلۀ تغريم با طريقه عرف عقلاء در تضمين، و موافقت تفويت منفعت يا عمل با اتلاف يا تلف عين در طريقۀ عرفيّه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واجب شده باشد عتق رقبه اى در كفاره يا غير آن، كفايت نمى كند تدبير از آن بلكه بايد عتق منجّز نمايد در حيات خودش؛ و بعد از وفات او بايد از مال او تأديه دين او نمايند؛ و آنكه عتيق به موت است، از متروكات او نيست</w:t>
      </w:r>
      <w:r>
        <w:rPr>
          <w:rFonts w:eastAsia="Amiri" w:cs="Amiri" w:ascii="Amiri" w:hAnsi="Amiri"/>
          <w:color w:val="111111"/>
          <w:sz w:val="28"/>
          <w:szCs w:val="28"/>
          <w:rtl w:val="true"/>
          <w:lang w:bidi="ar-SA"/>
        </w:rPr>
        <w:t>.</w:t>
      </w:r>
    </w:p>
    <w:p>
      <w:pPr>
        <w:pStyle w:val="Heading5"/>
        <w:numPr>
          <w:ilvl w:val="4"/>
          <w:numId w:val="1"/>
        </w:numPr>
        <w:rPr/>
      </w:pPr>
      <w:bookmarkStart w:id="1950" w:name="__RefHeading___Toc3808635_1067777946"/>
      <w:bookmarkStart w:id="1951" w:name="_Toc830"/>
      <w:bookmarkEnd w:id="1950"/>
      <w:r>
        <w:rPr>
          <w:rtl w:val="true"/>
        </w:rPr>
        <w:t>استحباب و كراهت در مقام</w:t>
      </w:r>
      <w:bookmarkEnd w:id="1951"/>
    </w:p>
    <w:p>
      <w:pPr>
        <w:pStyle w:val="BookText"/>
        <w:rPr/>
      </w:pPr>
      <w:r>
        <w:rPr>
          <w:rFonts w:ascii="Amiri" w:hAnsi="Amiri" w:eastAsia="Amiri" w:cs="Amiri"/>
          <w:color w:val="111111"/>
          <w:sz w:val="28"/>
          <w:sz w:val="28"/>
          <w:szCs w:val="28"/>
          <w:rtl w:val="true"/>
          <w:lang w:bidi="ar-SA"/>
        </w:rPr>
        <w:t>متأكّد است استحباب عتق رقبۀ مؤمنه بعد از هفت سال در خدمت 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مكروه است، به كراهت عبادت، عتق مخالف در مذهب در صورتى كه فرقى نباشد در مذهب و سلوك آن بين رقّيّت و حرّيت؛ و كراهت عتق مستضعف اخفّ است از كراهت عتق مخالف غير مستضعف</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غير قادر بر اكتساب و تحصيل مؤونۀ خودش را يا عتق ننمايد يا آنكه او را باقى در عيلولت خودش نمايد، وگرنه خلاف مستحب يا مكروه است به نحو كراهت عبادت</w:t>
      </w:r>
      <w:r>
        <w:rPr>
          <w:rFonts w:eastAsia="IRNazanin" w:cs="IRNazanin"/>
          <w:color w:val="111111"/>
          <w:sz w:val="28"/>
          <w:szCs w:val="28"/>
          <w:rtl w:val="true"/>
          <w:lang w:bidi="fa-IR"/>
        </w:rPr>
        <w:t xml:space="preserve">. </w:t>
      </w:r>
      <w:bookmarkStart w:id="1952" w:name="pg10265_90087"/>
    </w:p>
    <w:p>
      <w:pPr>
        <w:pStyle w:val="Heading5"/>
        <w:numPr>
          <w:ilvl w:val="4"/>
          <w:numId w:val="1"/>
        </w:numPr>
        <w:rPr/>
      </w:pPr>
      <w:bookmarkStart w:id="1953" w:name="__RefHeading___Toc3808637_1067777946"/>
      <w:bookmarkStart w:id="1954" w:name="_Toc831"/>
      <w:bookmarkEnd w:id="1952"/>
      <w:bookmarkEnd w:id="1953"/>
      <w:r>
        <w:rPr>
          <w:rtl w:val="true"/>
        </w:rPr>
        <w:t>مسائل عتق به مباشرت</w:t>
      </w:r>
      <w:bookmarkEnd w:id="1954"/>
    </w:p>
    <w:p>
      <w:pPr>
        <w:pStyle w:val="Heading6"/>
        <w:numPr>
          <w:ilvl w:val="5"/>
          <w:numId w:val="1"/>
        </w:numPr>
        <w:rPr/>
      </w:pPr>
      <w:bookmarkStart w:id="1955" w:name="__RefHeading___Toc3808639_1067777946"/>
      <w:bookmarkStart w:id="1956" w:name="_Toc832"/>
      <w:bookmarkEnd w:id="1955"/>
      <w:r>
        <w:rPr>
          <w:rtl w:val="true"/>
        </w:rPr>
        <w:t>نذر عتق اوّلين مملوك</w:t>
      </w:r>
      <w:bookmarkEnd w:id="19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نذر كرد عتقِ اول مملوك را پس مالكِ اَزيَد از يكى شد در يك دفعه، افضل و احوط عتق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نخواست جز عتق يكى را، احوط تعيين آن در مورد اصابت قرعه است، و تخيير محتمل است</w:t>
      </w:r>
      <w:r>
        <w:rPr>
          <w:rFonts w:eastAsia="IRNazanin" w:cs="IRNazanin"/>
          <w:color w:val="111111"/>
          <w:sz w:val="28"/>
          <w:szCs w:val="28"/>
          <w:rtl w:val="true"/>
          <w:lang w:bidi="fa-IR"/>
        </w:rPr>
        <w:t>.</w:t>
      </w:r>
    </w:p>
    <w:p>
      <w:pPr>
        <w:pStyle w:val="Heading6"/>
        <w:numPr>
          <w:ilvl w:val="5"/>
          <w:numId w:val="1"/>
        </w:numPr>
        <w:rPr/>
      </w:pPr>
      <w:bookmarkStart w:id="1957" w:name="__RefHeading___Toc3808641_1067777946"/>
      <w:bookmarkStart w:id="1958" w:name="_Toc833"/>
      <w:bookmarkEnd w:id="1957"/>
      <w:r>
        <w:rPr>
          <w:rtl w:val="true"/>
        </w:rPr>
        <w:t>نذر عتق اوّلين مولود</w:t>
      </w:r>
      <w:bookmarkEnd w:id="195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نذر كرد عتق اول مولود زنى را پس ولادت كرد توأمين را، هر دو مورد عتق منذور مى شوند بنا بر اصحّ‌؛ و اگر هر كدام ميّت، مولود شد، ديگرى متعيّن براى عتق منذور است؛ و هم چنين اگر يكى از آنها مستحِق عتق، مولود شد مثل مُقعِد، ديگرى متعين است براى عتق منذور</w:t>
      </w:r>
      <w:r>
        <w:rPr>
          <w:rFonts w:eastAsia="IRNazanin" w:cs="IRNazanin"/>
          <w:color w:val="111111"/>
          <w:sz w:val="28"/>
          <w:szCs w:val="28"/>
          <w:rtl w:val="true"/>
          <w:lang w:bidi="fa-IR"/>
        </w:rPr>
        <w:t>.</w:t>
      </w:r>
    </w:p>
    <w:p>
      <w:pPr>
        <w:pStyle w:val="Heading6"/>
        <w:numPr>
          <w:ilvl w:val="5"/>
          <w:numId w:val="1"/>
        </w:numPr>
        <w:rPr/>
      </w:pPr>
      <w:bookmarkStart w:id="1959" w:name="__RefHeading___Toc3808643_1067777946"/>
      <w:bookmarkStart w:id="1960" w:name="_Toc834"/>
      <w:bookmarkEnd w:id="1959"/>
      <w:r>
        <w:rPr>
          <w:rtl w:val="true"/>
        </w:rPr>
        <w:t>عتق جماعت</w:t>
      </w:r>
      <w:bookmarkEnd w:id="196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مماليكى داشت و جمعى از آنها را به مباشرت، عتق نمود پس از آن از او سؤال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مماليك خود را عتق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بيش از جماعتى كه مباشرت عتق آنها را نموده بود، مورد تصديق عتق در جواب نخواهد بود، زيرا ظاهر، اخبار است نه انشاء، و مخبرٌ عنه امرى است كه صادق است على الحقيقه با آن كه مماليك خودم را عتق نموده ام، در صورتى كه كثرتى در معتَق از آنها باشد كه على الحقيقه صدق مماليك بر آنها بنمايد، و شرط است اين كثرت در موارد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غير آن صورتى است كه عتقى سابقاً محقّق نشده و در مقام انشاى عتق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أعتقتُ مماليكى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محمول بر عموم است مگر با قرينۀ خلاف يا تضمير خلاف</w:t>
      </w:r>
      <w:r>
        <w:rPr>
          <w:rFonts w:eastAsia="IRNazanin" w:cs="IRNazanin"/>
          <w:color w:val="111111"/>
          <w:sz w:val="28"/>
          <w:szCs w:val="28"/>
          <w:rtl w:val="true"/>
          <w:lang w:bidi="fa-IR"/>
        </w:rPr>
        <w:t>.</w:t>
      </w:r>
    </w:p>
    <w:p>
      <w:pPr>
        <w:pStyle w:val="Heading6"/>
        <w:numPr>
          <w:ilvl w:val="5"/>
          <w:numId w:val="1"/>
        </w:numPr>
        <w:rPr/>
      </w:pPr>
      <w:bookmarkStart w:id="1961" w:name="__RefHeading___Toc3808645_1067777946"/>
      <w:bookmarkStart w:id="1962" w:name="_Toc835"/>
      <w:bookmarkEnd w:id="1961"/>
      <w:r>
        <w:rPr>
          <w:rtl w:val="true"/>
        </w:rPr>
        <w:t>نذر عتق امه</w:t>
      </w:r>
      <w:bookmarkEnd w:id="196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نذر نمود عتق امۀ خود را اگر وطى نمايد او را، صحيح است؛ و با تحقّق</w:t>
      </w:r>
      <w:bookmarkStart w:id="1963" w:name="pg10265_90088"/>
    </w:p>
    <w:p>
      <w:pPr>
        <w:pStyle w:val="BookText"/>
        <w:rPr/>
      </w:pPr>
      <w:bookmarkEnd w:id="1963"/>
      <w:r>
        <w:rPr>
          <w:rFonts w:ascii="IRNazanin" w:hAnsi="IRNazanin" w:eastAsia="IRNazanin"/>
          <w:color w:val="111111"/>
          <w:sz w:val="28"/>
          <w:sz w:val="28"/>
          <w:szCs w:val="28"/>
          <w:rtl w:val="true"/>
          <w:lang w:bidi="fa-IR"/>
        </w:rPr>
        <w:t xml:space="preserve">وطى، عتق، تحصيل يا حاصل مى شود؛ پس اگر آن را قبل از وطى، اخراج از ملك خودش كرد، نذر منحل مى شود؛ و اگر اعاده به ملك خودش كرد به سبب مستأنف، التزام نذرى عود نمى نمايد؛ مگر آنكه مقصودش در حال نذر، شخص خاص باشد كه به هر سببى او را وطى نمايد و قابل عتق يا انعتاق باشد، پس با اين قصد، عدم انحلال نذر، خالى از وجه نيست؛ كما اينكه با قصد وطى به ملك موجود حين نذر، انحلال متعين است؛ و با عدم التفات به اين خصوصيّات پس متيقن، ارادۀ وطى به ملك موجود حين نذر است، و يمين بعد از خروج از ملك كالعدم است به حكم اصل، و با عود در ملك، عود حكم نذر محقّق نمى شود؛ و ظاهرِ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نفوذ تصرّف مفوّت موضوع نذر است كه مفروض توقف تحرير بر وطى متوقف بر بقاى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نيست ابقاى موضوع تكليف يا وضع مگر با دليل</w:t>
      </w:r>
      <w:r>
        <w:rPr>
          <w:rFonts w:eastAsia="IRNazanin" w:cs="IRNazanin"/>
          <w:color w:val="111111"/>
          <w:sz w:val="28"/>
          <w:szCs w:val="28"/>
          <w:rtl w:val="true"/>
          <w:lang w:bidi="fa-IR"/>
        </w:rPr>
        <w:t>.</w:t>
      </w:r>
    </w:p>
    <w:p>
      <w:pPr>
        <w:pStyle w:val="Heading6"/>
        <w:numPr>
          <w:ilvl w:val="5"/>
          <w:numId w:val="1"/>
        </w:numPr>
        <w:rPr/>
      </w:pPr>
      <w:bookmarkStart w:id="1964" w:name="__RefHeading___Toc3808647_1067777946"/>
      <w:bookmarkStart w:id="1965" w:name="_Toc836"/>
      <w:bookmarkEnd w:id="1964"/>
      <w:r>
        <w:rPr>
          <w:rtl w:val="true"/>
        </w:rPr>
        <w:t>نذر عتق مملوك قديم</w:t>
      </w:r>
      <w:bookmarkEnd w:id="196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نذر كرد يا وصيّت نمود عتق هر مملوك قديم را، پس محمول مى شود بر مملوكى كه در ملكيّت او شش ماه فما زاد بوده است اگر قصد خلاف ننمايد يا آنكه عرف خاصّ به ناذر، خلاف آن بوده و قصد مسمّاى عرفى را داشت، چنانچه واضح است دلالت روايت علويّه و رضويّه كه شاهد صدق در آن است به حسب استدلال به آيۀ شريفه كه اطلاق در آن محمول بر موافقت عرف صحيح است، و محلّى براى تعبّد در آيه شريفه نيست، و طريق تعدّى از مورد روايتين واضح است در جميع مواضع موضوعيّت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حكم مناسب</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همه از شش ماه كمتر بودند، معتَق مى شود اقرب به شش ماه؛ چنانچه اگر همه از شش ماه بيش بودند و فهميده شود وحدت از عبارت نذر يا وصيّت، منعتق مى نمايند آن را كه زمان مملوكيّت در او ازيد و اطول است، و اگر وحدت فهميده نشود همه منعتق مى شوند، مثل صورتى كه همه در شش ماه مملوكيّت واقع شده </w:t>
      </w:r>
      <w:bookmarkStart w:id="1966" w:name="pg10265_90089"/>
    </w:p>
    <w:p>
      <w:pPr>
        <w:pStyle w:val="BookText"/>
        <w:rPr/>
      </w:pPr>
      <w:bookmarkEnd w:id="1966"/>
      <w:r>
        <w:rPr>
          <w:rFonts w:ascii="IRNazanin" w:hAnsi="IRNazanin" w:eastAsia="IRNazanin"/>
          <w:color w:val="111111"/>
          <w:sz w:val="28"/>
          <w:sz w:val="28"/>
          <w:szCs w:val="28"/>
          <w:rtl w:val="true"/>
          <w:lang w:bidi="fa-IR"/>
        </w:rPr>
        <w:t>باشند؛ پس اگر وحدت فهميده شود محلّ تخيير يا قرعه است، وگرنه همه منعتق مى شوند</w:t>
      </w:r>
      <w:r>
        <w:rPr>
          <w:rFonts w:eastAsia="IRNazanin" w:cs="IRNazanin"/>
          <w:color w:val="111111"/>
          <w:sz w:val="28"/>
          <w:szCs w:val="28"/>
          <w:rtl w:val="true"/>
          <w:lang w:bidi="fa-IR"/>
        </w:rPr>
        <w:t>.</w:t>
      </w:r>
    </w:p>
    <w:p>
      <w:pPr>
        <w:pStyle w:val="Heading6"/>
        <w:numPr>
          <w:ilvl w:val="5"/>
          <w:numId w:val="1"/>
        </w:numPr>
        <w:rPr/>
      </w:pPr>
      <w:bookmarkStart w:id="1967" w:name="__RefHeading___Toc3808649_1067777946"/>
      <w:bookmarkStart w:id="1968" w:name="_Toc837"/>
      <w:bookmarkEnd w:id="1967"/>
      <w:r>
        <w:rPr>
          <w:rtl w:val="true"/>
        </w:rPr>
        <w:t>عتق مملوك ذو المال</w:t>
      </w:r>
      <w:bookmarkEnd w:id="196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عتق نمايد مملوك خود را در حالى كه صاحب مال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نداند 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بودن 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را، آن مال ملك 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بداند و استثنا ننمايد ملك 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خلاف صورت استثنا كه باقى در ملك مولى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استظهارى است از تصرّف مالك به عتق يا بيع تبعيّت مال منسوب به مملوك را كه معلوم النسبه است در سلب ملكيّت از 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در ملكيّت مالك به تصرّف كه نفس 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مشترى است، و اين تفصيل مختارِ منسوب به اكثر است در محكىّ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المرام</w:t>
      </w:r>
      <w:r>
        <w:rPr>
          <w:rFonts w:eastAsia="IRNazanin" w:cs="IRNazanin"/>
          <w:color w:val="111111"/>
          <w:sz w:val="28"/>
          <w:szCs w:val="28"/>
          <w:rtl w:val="true"/>
          <w:lang w:bidi="fa-IR"/>
        </w:rPr>
        <w:t>».</w:t>
      </w:r>
    </w:p>
    <w:p>
      <w:pPr>
        <w:pStyle w:val="Heading6"/>
        <w:numPr>
          <w:ilvl w:val="5"/>
          <w:numId w:val="1"/>
        </w:numPr>
        <w:rPr/>
      </w:pPr>
      <w:bookmarkStart w:id="1969" w:name="__RefHeading___Toc3808651_1067777946"/>
      <w:bookmarkStart w:id="1970" w:name="_Toc838"/>
      <w:bookmarkEnd w:id="1969"/>
      <w:r>
        <w:rPr>
          <w:rtl w:val="true"/>
        </w:rPr>
        <w:t>عتق ثلث مماليك و تعيين با قرعه</w:t>
      </w:r>
      <w:bookmarkEnd w:id="1970"/>
    </w:p>
    <w:p>
      <w:pPr>
        <w:pStyle w:val="Heading6"/>
        <w:numPr>
          <w:ilvl w:val="5"/>
          <w:numId w:val="1"/>
        </w:numPr>
        <w:rPr/>
      </w:pPr>
      <w:bookmarkStart w:id="1971" w:name="__RefHeading___Toc3808653_1067777946"/>
      <w:bookmarkStart w:id="1972" w:name="_Toc839"/>
      <w:bookmarkEnd w:id="1971"/>
      <w:r>
        <w:rPr>
          <w:rtl w:val="true"/>
        </w:rPr>
        <w:t>اشاره</w:t>
      </w:r>
      <w:bookmarkEnd w:id="1972"/>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عتق نمود ثلث مماليك خودش را، احوط براى متولّى امر ميراث، استخراج ثلث است با قرعه؛ و اظهر جواز تعيين متولّى امر ميراث است به نحو غير مستلزم اضرار؛ و اظهر عدم اختصاص استخراج قرعه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مندوب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حضور يا نائب او در غيبت، اگر چه اولويّت در آنها معلوم است</w:t>
      </w:r>
      <w:r>
        <w:rPr>
          <w:rFonts w:eastAsia="IRNazanin" w:cs="IRNazanin"/>
          <w:color w:val="111111"/>
          <w:sz w:val="28"/>
          <w:szCs w:val="28"/>
          <w:rtl w:val="true"/>
          <w:lang w:bidi="fa-IR"/>
        </w:rPr>
        <w:t>.</w:t>
      </w:r>
    </w:p>
    <w:p>
      <w:pPr>
        <w:pStyle w:val="Heading6"/>
        <w:numPr>
          <w:ilvl w:val="5"/>
          <w:numId w:val="1"/>
        </w:numPr>
        <w:rPr/>
      </w:pPr>
      <w:bookmarkStart w:id="1973" w:name="__RefHeading___Toc3808655_1067777946"/>
      <w:bookmarkStart w:id="1974" w:name="_Toc840"/>
      <w:bookmarkEnd w:id="1973"/>
      <w:r>
        <w:rPr>
          <w:rtl w:val="true"/>
        </w:rPr>
        <w:t>گونۀ اوّل</w:t>
      </w:r>
      <w:bookmarkEnd w:id="1974"/>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ممكن است اختيار اين كيفيّت در استعمال قرعه، به اينكه بنويسند در سه رقعه اسم هر دو نفر از شش نفر را، پس بعد از پنهان كردن، اخراج نمايند به حرّيت يا رقّيّت، پس اگر اخراج اوّلى، به حرّيت شد، عتق مى شوند يا منعتق مى شوند و حاجتى به اخراج در بقيه نيست و محكوم به بقاى رقّيّت آنها مى شود، و اگر به رقّيّت اخراج شد، محتاج است دومى به اخراج؛ پس اگر به حرّيت اخراج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975" w:name="pg10265_90090"/>
    </w:p>
    <w:p>
      <w:pPr>
        <w:pStyle w:val="BookText"/>
        <w:rPr/>
      </w:pPr>
      <w:bookmarkEnd w:id="1975"/>
      <w:r>
        <w:rPr>
          <w:rFonts w:ascii="IRNazanin" w:hAnsi="IRNazanin" w:eastAsia="IRNazanin"/>
          <w:color w:val="111111"/>
          <w:sz w:val="28"/>
          <w:sz w:val="28"/>
          <w:szCs w:val="28"/>
          <w:rtl w:val="true"/>
          <w:lang w:bidi="fa-IR"/>
        </w:rPr>
        <w:t>معتَق يا منعتق مى شود و بقيه محكوم به بقاى رقّيّت مى شود؛ و اگر به رقّيّت اخراج شد، بقيه محكوم به حرّيت مى شوند بدون حاجتى به اخراج</w:t>
      </w:r>
      <w:r>
        <w:rPr>
          <w:rFonts w:eastAsia="IRNazanin" w:cs="IRNazanin"/>
          <w:color w:val="111111"/>
          <w:sz w:val="28"/>
          <w:szCs w:val="28"/>
          <w:rtl w:val="true"/>
          <w:lang w:bidi="fa-IR"/>
        </w:rPr>
        <w:t>.</w:t>
      </w:r>
    </w:p>
    <w:p>
      <w:pPr>
        <w:pStyle w:val="Heading6"/>
        <w:numPr>
          <w:ilvl w:val="5"/>
          <w:numId w:val="1"/>
        </w:numPr>
        <w:rPr/>
      </w:pPr>
      <w:bookmarkStart w:id="1976" w:name="__RefHeading___Toc3808657_1067777946"/>
      <w:bookmarkStart w:id="1977" w:name="_Toc841"/>
      <w:bookmarkEnd w:id="1976"/>
      <w:r>
        <w:rPr>
          <w:rtl w:val="true"/>
        </w:rPr>
        <w:t>گونۀ دوم</w:t>
      </w:r>
      <w:bookmarkEnd w:id="1977"/>
    </w:p>
    <w:p>
      <w:pPr>
        <w:pStyle w:val="BookText"/>
        <w:rPr/>
      </w:pPr>
      <w:r>
        <w:rPr>
          <w:rFonts w:ascii="IRNazanin" w:hAnsi="IRNazanin" w:eastAsia="IRNazanin"/>
          <w:color w:val="111111"/>
          <w:sz w:val="28"/>
          <w:sz w:val="28"/>
          <w:szCs w:val="28"/>
          <w:rtl w:val="true"/>
          <w:lang w:bidi="fa-IR"/>
        </w:rPr>
        <w:t xml:space="preserve">و ممكن است در سه رقعه، تعيين حرّيت و رقّيّت بشود بدون ذكر اسم، پس بعد از پنهان كردن، اخراج نمايند، اگر به اسم دو نفر حرّيت خارج شد، حاجتى به اخراج بقيه نيست، زيرا دو نفر اول، تحرير مى شوند و بقيه باقى به رقّيّت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به اسم دو نفر خاصّ رقّيّت خارج شد و محتاج به اخراج دومى است، اگر رقّيّت است سوم با اسم آنها تحرير مى شوند، و اگر حرّيت خارج است، بقيه در رقّيّت باقى هستند</w:t>
      </w:r>
      <w:r>
        <w:rPr>
          <w:rFonts w:eastAsia="IRNazanin" w:cs="IRNazanin"/>
          <w:color w:val="111111"/>
          <w:sz w:val="28"/>
          <w:szCs w:val="28"/>
          <w:rtl w:val="true"/>
          <w:lang w:bidi="fa-IR"/>
        </w:rPr>
        <w:t>.</w:t>
      </w:r>
    </w:p>
    <w:p>
      <w:pPr>
        <w:pStyle w:val="Heading6"/>
        <w:numPr>
          <w:ilvl w:val="5"/>
          <w:numId w:val="1"/>
        </w:numPr>
        <w:rPr/>
      </w:pPr>
      <w:bookmarkStart w:id="1978" w:name="__RefHeading___Toc3808659_1067777946"/>
      <w:bookmarkStart w:id="1979" w:name="_Toc842"/>
      <w:bookmarkEnd w:id="1978"/>
      <w:r>
        <w:rPr>
          <w:rtl w:val="true"/>
        </w:rPr>
        <w:t>گونۀ سوم</w:t>
      </w:r>
      <w:bookmarkEnd w:id="1979"/>
    </w:p>
    <w:p>
      <w:pPr>
        <w:pStyle w:val="BookText"/>
        <w:rPr/>
      </w:pPr>
      <w:r>
        <w:rPr>
          <w:rFonts w:ascii="IRNazanin" w:hAnsi="IRNazanin" w:eastAsia="IRNazanin"/>
          <w:color w:val="111111"/>
          <w:sz w:val="28"/>
          <w:sz w:val="28"/>
          <w:szCs w:val="28"/>
          <w:rtl w:val="true"/>
          <w:lang w:bidi="fa-IR"/>
        </w:rPr>
        <w:t xml:space="preserve">و ممكن است در شش رقعه بنويسند در هر كدام اسم را و اخراج به حرّيت يا رقّيّت نمايند تا به مطلوب كه حرّيت مسمىٰ به دو اسم باشد، برسند؛ يا آنكه حرّيت را در دو رقعه بنويسند و رقّيّت را در چهار رقعه، پس از آن با اسم اخراج نمايند تا به دو محرَّر برسند و بقيه محكوم به بقاى رقيّت مى شوند، و در اين طريق، افتراق هر دو نفر در حرّيت يا رقيّت محفوظ است، و از اين جهت اولويت دارند از طريق اول كه مروى و مشهور است، لكن روايت مشهور در عمل، كشف مى نمايد از رخصت در ترك اين مداقّه، و ظاهر روايت مثل فتاوىٰ تجزئه به سه جزء و تعيين معتَق با اقراع است پس محلى براى حمل بر تعيين به ولايت ثابته نبويه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ترتيبات مذكورۀ در اقراع، در صورت مساوات مماليك در عدد و قيمت و در صورت اختلاف قيمت با امكان تعديل اثلاث به حسب قيمت و عدد، واضح است</w:t>
      </w:r>
      <w:r>
        <w:rPr>
          <w:rFonts w:eastAsia="Amiri" w:cs="Amiri" w:ascii="Amiri" w:hAnsi="Amiri"/>
          <w:color w:val="111111"/>
          <w:sz w:val="28"/>
          <w:szCs w:val="28"/>
          <w:rtl w:val="true"/>
          <w:lang w:bidi="ar-SA"/>
        </w:rPr>
        <w:t xml:space="preserve">. </w:t>
      </w:r>
      <w:bookmarkStart w:id="1980" w:name="pg10265_90091"/>
    </w:p>
    <w:p>
      <w:pPr>
        <w:pStyle w:val="Heading6"/>
        <w:numPr>
          <w:ilvl w:val="5"/>
          <w:numId w:val="1"/>
        </w:numPr>
        <w:rPr/>
      </w:pPr>
      <w:bookmarkStart w:id="1981" w:name="__RefHeading___Toc3808661_1067777946"/>
      <w:bookmarkStart w:id="1982" w:name="_Toc843"/>
      <w:bookmarkEnd w:id="1980"/>
      <w:bookmarkEnd w:id="1981"/>
      <w:r>
        <w:rPr>
          <w:rtl w:val="true"/>
        </w:rPr>
        <w:t>تعيين با قرعه در فرض اختلاف عدد و قيمت</w:t>
      </w:r>
      <w:bookmarkEnd w:id="1982"/>
    </w:p>
    <w:p>
      <w:pPr>
        <w:pStyle w:val="BookText"/>
        <w:rPr/>
      </w:pPr>
      <w:r>
        <w:rPr>
          <w:rFonts w:ascii="IRNazanin" w:hAnsi="IRNazanin" w:eastAsia="IRNazanin"/>
          <w:color w:val="111111"/>
          <w:sz w:val="28"/>
          <w:sz w:val="28"/>
          <w:szCs w:val="28"/>
          <w:rtl w:val="true"/>
          <w:lang w:bidi="fa-IR"/>
        </w:rPr>
        <w:t>و اما صورت اختلاف قيمت و عدم امكان تعديل اثلاث به حسب قيمت و عدد، مثل اينكه قيمت يكى از شش نفر دويست باشد و قيمت دو نفر دويست باشد و قيمت سه نفر دويست باشد، پس منسوب به اكثر، اعتبار در تعديل بر قيمت است، و سه رقعه به اسم يك و دو و سه نفر تكميل مى شود و هر كدام به رقّيّت خارج شد، تحرير مى شود؛ و لكن محتمل است براى تحفّظ بر عبارت وصيّت يا نذر، تحرير شود آنكه ثلث است عدداً و قيمتاً بدون قرعه، به جهت تعيّن ثلث از جهتين، پس در مثال مذكور تحرير شود دو نفر كه مجموع آنها به دويست متقوّم مى شوند</w:t>
      </w:r>
      <w:r>
        <w:rPr>
          <w:rFonts w:eastAsia="IRNazanin" w:cs="IRNazanin"/>
          <w:color w:val="111111"/>
          <w:sz w:val="28"/>
          <w:szCs w:val="28"/>
          <w:rtl w:val="true"/>
          <w:lang w:bidi="fa-IR"/>
        </w:rPr>
        <w:t>.</w:t>
      </w:r>
    </w:p>
    <w:p>
      <w:pPr>
        <w:pStyle w:val="Heading6"/>
        <w:numPr>
          <w:ilvl w:val="5"/>
          <w:numId w:val="1"/>
        </w:numPr>
        <w:rPr/>
      </w:pPr>
      <w:bookmarkStart w:id="1983" w:name="__RefHeading___Toc3808663_1067777946"/>
      <w:bookmarkStart w:id="1984" w:name="_Toc844"/>
      <w:bookmarkEnd w:id="1983"/>
      <w:r>
        <w:rPr>
          <w:rtl w:val="true"/>
        </w:rPr>
        <w:t>فرض امكان تعديل</w:t>
      </w:r>
      <w:bookmarkEnd w:id="1984"/>
    </w:p>
    <w:p>
      <w:pPr>
        <w:pStyle w:val="BookText"/>
        <w:rPr/>
      </w:pPr>
      <w:r>
        <w:rPr>
          <w:rFonts w:ascii="IRNazanin" w:hAnsi="IRNazanin" w:eastAsia="IRNazanin"/>
          <w:color w:val="111111"/>
          <w:sz w:val="28"/>
          <w:sz w:val="28"/>
          <w:szCs w:val="28"/>
          <w:rtl w:val="true"/>
          <w:lang w:bidi="fa-IR"/>
        </w:rPr>
        <w:t>و اگر تعديل، ممكن بود به حسب عدد نه به حسب قيمت، مثل آنكه شش مملوك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قيمت آنها صد بود و دو نفر قيمت آنها صد و پنجاه بود و دو نفر قيمت آنها سيصد بود، پس به سه عدد منقسم مى شوند، پس اگر به حرّيت، اخراجِ قرعه شد و خارج شد يكى از دو قسمت كه ناقص بودند، تحرير مى شوند و تكميل مى شود نقص آن با يكى از دو قسمت ديگر با قرعه؛ و اگر خارج شد زائد از ثلث، اعاده قرعه به دو قسمت ديگر مى شود و تكميل مى شود ثلث خارج از قرعه با يكى از دو قسمت ديگر با قرعه</w:t>
      </w:r>
      <w:r>
        <w:rPr>
          <w:rFonts w:eastAsia="IRNazanin" w:cs="IRNazanin"/>
          <w:color w:val="111111"/>
          <w:sz w:val="28"/>
          <w:szCs w:val="28"/>
          <w:rtl w:val="true"/>
          <w:lang w:bidi="fa-IR"/>
        </w:rPr>
        <w:t>.</w:t>
      </w:r>
    </w:p>
    <w:p>
      <w:pPr>
        <w:pStyle w:val="Heading6"/>
        <w:numPr>
          <w:ilvl w:val="5"/>
          <w:numId w:val="1"/>
        </w:numPr>
        <w:rPr/>
      </w:pPr>
      <w:bookmarkStart w:id="1985" w:name="__RefHeading___Toc3808665_1067777946"/>
      <w:bookmarkStart w:id="1986" w:name="_Toc845"/>
      <w:bookmarkEnd w:id="1985"/>
      <w:r>
        <w:rPr>
          <w:rtl w:val="true"/>
        </w:rPr>
        <w:t>فرض صحّت تبعيض در عتق</w:t>
      </w:r>
      <w:bookmarkEnd w:id="1986"/>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اگر تبعيض در عتق اشكال ندارد، چنانچه از تكميل معلوم شد، پس در صورت خروج زائد از قيمت ثلث، ممكن است به مقدار ثلث و خارج از قرعه تحرير شود و بقيه غير محرر باشند؛ و عدم محفوظيّت عدد بين اين صورت و صورت تكميل، مشترك است</w:t>
      </w:r>
      <w:r>
        <w:rPr>
          <w:rFonts w:eastAsia="IRNazanin" w:cs="IRNazanin"/>
          <w:color w:val="111111"/>
          <w:sz w:val="28"/>
          <w:szCs w:val="28"/>
          <w:rtl w:val="true"/>
          <w:lang w:bidi="fa-IR"/>
        </w:rPr>
        <w:t xml:space="preserve">. </w:t>
      </w:r>
      <w:bookmarkStart w:id="1987" w:name="pg10265_90092"/>
    </w:p>
    <w:p>
      <w:pPr>
        <w:pStyle w:val="BookText"/>
        <w:rPr/>
      </w:pPr>
      <w:bookmarkEnd w:id="1987"/>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مذكور با قرعه هاى متعدّد يكى يكى اخراج مى شود تا به قيمت ثلث برسند، و اگر محتاج به تكميل شد با قرعه در بقيه تكميل شود، و اگر به زائد منتهى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سابق انجام شود؛ و در نتيجه فرقى نيست بين دو ترتيب مذكور</w:t>
      </w:r>
      <w:r>
        <w:rPr>
          <w:rFonts w:eastAsia="IRNazanin" w:cs="IRNazanin"/>
          <w:color w:val="111111"/>
          <w:sz w:val="28"/>
          <w:szCs w:val="28"/>
          <w:rtl w:val="true"/>
          <w:lang w:bidi="fa-IR"/>
        </w:rPr>
        <w:t>.</w:t>
      </w:r>
    </w:p>
    <w:p>
      <w:pPr>
        <w:pStyle w:val="Heading6"/>
        <w:numPr>
          <w:ilvl w:val="5"/>
          <w:numId w:val="1"/>
        </w:numPr>
        <w:rPr/>
      </w:pPr>
      <w:bookmarkStart w:id="1988" w:name="__RefHeading___Toc3808667_1067777946"/>
      <w:bookmarkStart w:id="1989" w:name="_Toc846"/>
      <w:bookmarkEnd w:id="1988"/>
      <w:r>
        <w:rPr>
          <w:rtl w:val="true"/>
        </w:rPr>
        <w:t>فرض عدم امكان تعديل در عدد و قيمت</w:t>
      </w:r>
      <w:bookmarkEnd w:id="1989"/>
    </w:p>
    <w:p>
      <w:pPr>
        <w:pStyle w:val="BookText"/>
        <w:rPr/>
      </w:pPr>
      <w:r>
        <w:rPr>
          <w:rFonts w:ascii="IRNazanin" w:hAnsi="IRNazanin" w:eastAsia="IRNazanin"/>
          <w:color w:val="111111"/>
          <w:sz w:val="28"/>
          <w:sz w:val="28"/>
          <w:szCs w:val="28"/>
          <w:rtl w:val="true"/>
          <w:lang w:bidi="fa-IR"/>
        </w:rPr>
        <w:t xml:space="preserve">و اگر هيچ كدام از عدد و قيمت، قابل تعديل نباشد، اخراج قرعه به حرّيت مى شود تا به قيمت ثلث برسد، يعنى ناقص تكميل به بعض خارج فيما بعد از قرعه يا به تمام آن مى شود، مثل پنج نفر كه قيمت يكى صد و قيمت دو نفر صد و قيمت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اختلاف بود بين عدد و قيمت در تعديل، پس قول ناذر و موصىٖ در تفسير، مسموع است؛ و اگر ممكن نبود، تقديم عدد اظهر است؛ و در زائد بر ثلث قيمت متروكات در وصيّت احتمالهاى تبعيض جارى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منقول از غير واحد، استسعاء مملوك در زائد بر قيمت ثلث از يك مملوك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مستظهر از نص و فتوى در اين مقام و در وصيّت، لزوم تعيين حرّ است با قرعه و عدم جواز ابقاى اشاعه كه تضرّر وارث را موجب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آنچه ذكر شد معلوم مى شود عدم اختصاص اقراع به ستّه و ثلث، بلكه جارى در تسعه و ثلث و عشره و ربع و امثال آنها؛ و لزوم تكميل ناقص و اعاده قرعه در صورت زيادتى، مشترك بين موارد مذكوره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در كيفيّت تجزئه و مقدار آن و عدد اقراع، بايد طورى باشد كه به مطلوب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نحو كه در ستّه و ثلث آن و سه رقعه نوشتن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لوازم آن ملتزم باشد؛ و هم چنين خصوصيّت در رقاع و كتابت اسما يا حرّيت، ملغىٰ است و هرچه از امثال آنها مؤدّىٖ به مطلوب كه تعيين حرّ است، باشد، كافى است</w:t>
      </w:r>
      <w:r>
        <w:rPr>
          <w:rFonts w:eastAsia="IRNazanin" w:cs="IRNazanin"/>
          <w:color w:val="111111"/>
          <w:sz w:val="28"/>
          <w:szCs w:val="28"/>
          <w:rtl w:val="true"/>
          <w:lang w:bidi="fa-IR"/>
        </w:rPr>
        <w:t xml:space="preserve">. </w:t>
      </w:r>
      <w:bookmarkStart w:id="1990" w:name="pg10265_90093"/>
    </w:p>
    <w:p>
      <w:pPr>
        <w:pStyle w:val="Heading6"/>
        <w:numPr>
          <w:ilvl w:val="5"/>
          <w:numId w:val="1"/>
        </w:numPr>
        <w:rPr/>
      </w:pPr>
      <w:bookmarkStart w:id="1991" w:name="__RefHeading___Toc3808669_1067777946"/>
      <w:bookmarkStart w:id="1992" w:name="_Toc847"/>
      <w:bookmarkEnd w:id="1990"/>
      <w:bookmarkEnd w:id="1991"/>
      <w:r>
        <w:rPr>
          <w:rtl w:val="true"/>
        </w:rPr>
        <w:t>اشتراى كنيز به صورت نسيه</w:t>
      </w:r>
      <w:bookmarkEnd w:id="1992"/>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كنيزى به نسيه خريد و ثمن آن را تأديه نكرد پس او را عتق كرد و با او ازدواج نمود و عتقش را مهر او قرار داد پس زوج وفات كرد و چيزى براى تأديۀ ثمن نگذاشت، مروىّ در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عتق و نكاح است و مردوديّت اَمه به بايع است؛ و در صورت حمل و ولادت، ولد هم رقّ است به حسب منقول از جماعتى كه عمل به روايت هاى مذكوره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جمعى منقول است عدم بطلان عتق و عدم رقيّت ولد، و ممكن است دعواى اقتضاى استقرا اشباه و نظائر، انسبيّت اين قول را به مذهب</w:t>
      </w:r>
      <w:r>
        <w:rPr>
          <w:rFonts w:eastAsia="IRNazanin" w:cs="IRNazanin"/>
          <w:color w:val="111111"/>
          <w:sz w:val="28"/>
          <w:szCs w:val="28"/>
          <w:rtl w:val="true"/>
          <w:lang w:bidi="fa-IR"/>
        </w:rPr>
        <w:t>.</w:t>
      </w:r>
    </w:p>
    <w:p>
      <w:pPr>
        <w:pStyle w:val="Heading6"/>
        <w:numPr>
          <w:ilvl w:val="5"/>
          <w:numId w:val="1"/>
        </w:numPr>
        <w:rPr/>
      </w:pPr>
      <w:bookmarkStart w:id="1993" w:name="__RefHeading___Toc3808671_1067777946"/>
      <w:bookmarkStart w:id="1994" w:name="_Toc848"/>
      <w:bookmarkEnd w:id="1993"/>
      <w:r>
        <w:rPr>
          <w:rtl w:val="true"/>
        </w:rPr>
        <w:t>وصيّت به عتق مملوك معيّن</w:t>
      </w:r>
      <w:bookmarkEnd w:id="1994"/>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وصيّت كرد به عتق مملوكى معيّن و موافق با ثلث بود، بر وارث لازم است عتق او؛ و در صورت امتناع، حاكم شرع متصدّى عتق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 نيست كه چنين وصيّت دلالت كند كه وارث، وصىّ اجمالى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وقتى كه وصىّ خصوصى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نوبت به ولايت حاكم با وجود وارث و عدم امتناع او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منافع مملوك از زمان وفات موصىٖ تا زمان اعتاق، مال وارث است بنا بر بقاى مال موصىٰ له در ملك وارث تا زمان انفاذ وصيّت، پس منافع تابع عين است؛ و از جمله منافع، كسب مملوك است و آنچه از آن استفاده مى شود، چنانچه مورد استحسان محقّق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اصل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1995" w:name="__RefHeading___Toc3808673_1067777946"/>
      <w:bookmarkStart w:id="1996" w:name="_Toc849"/>
      <w:bookmarkEnd w:id="1995"/>
      <w:r>
        <w:rPr>
          <w:rtl w:val="true"/>
        </w:rPr>
        <w:t>عتق مملوك از طرف غير با إذن</w:t>
      </w:r>
      <w:bookmarkEnd w:id="1996"/>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مملوك خود را از غير، عتق نمود با اذن غير، عتق از آذن واقع مى شود، چه آنكه بگوييم مالك مى شود اذن دهنده در حال تماميّت عتق به آخر جزء آن، يا به اول جزء آن در صورت تعقّب به سائر اجزا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اول مالك مى شود و در مرتبه ثانيه</w:t>
      </w:r>
      <w:bookmarkStart w:id="1997" w:name="pg10265_90094"/>
    </w:p>
    <w:p>
      <w:pPr>
        <w:pStyle w:val="BookText"/>
        <w:rPr/>
      </w:pPr>
      <w:bookmarkEnd w:id="1997"/>
      <w:r>
        <w:rPr>
          <w:rFonts w:ascii="Amiri" w:hAnsi="Amiri" w:eastAsia="Amiri" w:cs="Amiri"/>
          <w:color w:val="111111"/>
          <w:sz w:val="28"/>
          <w:sz w:val="28"/>
          <w:szCs w:val="28"/>
          <w:rtl w:val="true"/>
          <w:lang w:bidi="ar-SA"/>
        </w:rPr>
        <w:t>فكّ ملك مى نمايد به مباشرت مالك اصلى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آنكه كافى است ملك عتق با رضاى مالك</w:t>
      </w:r>
      <w:r>
        <w:rPr>
          <w:rFonts w:eastAsia="Amiri" w:cs="Amiri" w:ascii="Amiri" w:hAnsi="Amiri"/>
          <w:color w:val="111111"/>
          <w:sz w:val="28"/>
          <w:szCs w:val="28"/>
          <w:rtl w:val="true"/>
          <w:lang w:bidi="ar-SA"/>
        </w:rPr>
        <w:t>.</w:t>
      </w:r>
    </w:p>
    <w:p>
      <w:pPr>
        <w:pStyle w:val="Heading6"/>
        <w:numPr>
          <w:ilvl w:val="5"/>
          <w:numId w:val="1"/>
        </w:numPr>
        <w:rPr/>
      </w:pPr>
      <w:bookmarkStart w:id="1998" w:name="__RefHeading___Toc3808675_1067777946"/>
      <w:bookmarkStart w:id="1999" w:name="_Toc850"/>
      <w:bookmarkEnd w:id="1998"/>
      <w:r>
        <w:rPr>
          <w:rtl w:val="true"/>
        </w:rPr>
        <w:t>عتق در مرض موت</w:t>
      </w:r>
      <w:bookmarkEnd w:id="1999"/>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عتق در مرض موت، از ثلث است بنا بر آنكه منجّزات مريض از ثلث است، يا آنكه خصوص عتق، مستثنى از منجّزات محسوبه از اصل است‌؟ و كلام در مبنا و مختار در آن،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وصيّت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است</w:t>
      </w:r>
      <w:r>
        <w:rPr>
          <w:rFonts w:eastAsia="Amiri" w:cs="Amiri" w:ascii="Amiri" w:hAnsi="Amiri"/>
          <w:color w:val="111111"/>
          <w:sz w:val="28"/>
          <w:szCs w:val="28"/>
          <w:rtl w:val="true"/>
          <w:lang w:bidi="ar-SA"/>
        </w:rPr>
        <w:t>.</w:t>
      </w:r>
    </w:p>
    <w:p>
      <w:pPr>
        <w:pStyle w:val="Heading5"/>
        <w:numPr>
          <w:ilvl w:val="4"/>
          <w:numId w:val="1"/>
        </w:numPr>
        <w:rPr/>
      </w:pPr>
      <w:bookmarkStart w:id="2000" w:name="__RefHeading___Toc3808677_1067777946"/>
      <w:bookmarkStart w:id="2001" w:name="_Toc851"/>
      <w:bookmarkEnd w:id="2000"/>
      <w:r>
        <w:rPr>
          <w:rtl w:val="true"/>
        </w:rPr>
        <w:t>چند فرع</w:t>
      </w:r>
      <w:bookmarkEnd w:id="2001"/>
    </w:p>
    <w:p>
      <w:pPr>
        <w:pStyle w:val="Heading6"/>
        <w:numPr>
          <w:ilvl w:val="5"/>
          <w:numId w:val="1"/>
        </w:numPr>
        <w:rPr/>
      </w:pPr>
      <w:bookmarkStart w:id="2002" w:name="__RefHeading___Toc3808679_1067777946"/>
      <w:bookmarkStart w:id="2003" w:name="_Toc852"/>
      <w:bookmarkEnd w:id="2002"/>
      <w:r>
        <w:rPr>
          <w:rtl w:val="true"/>
        </w:rPr>
        <w:t>اگر سه مملوك خود را در مرض موت، عتق كرد و غير آن مالى نداشت</w:t>
      </w:r>
      <w:bookmarkEnd w:id="2003"/>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 مملوك را در حال مرضِ موت، عتق كرد و غير آنها مالى نداشت، پس بنابراين كه منجّز از ثلث است يا خصوص عتق از آن، استخراج مى شود ثلث 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قرعه، و نقص تكميل مى شود، و در زيادتى عمل مى شود به آنچه در سابق مذكور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مملوكِ خارج از قرعه، كنيز بود و حملى داشت متجدّد بعد از عتق، مثل مادرش محكوم به حرّيت است؛ و اگر سابق بود بر عتق، محكوم به رقيّت است مثل مادرش در زمان حمل قبل از عتق، مگر با شرط رقيّت در صورت رقيّت پدر و نفوذ شرط رقيّت</w:t>
      </w:r>
      <w:r>
        <w:rPr>
          <w:rFonts w:eastAsia="IRNazanin" w:cs="IRNazanin"/>
          <w:color w:val="111111"/>
          <w:sz w:val="28"/>
          <w:szCs w:val="28"/>
          <w:rtl w:val="true"/>
          <w:lang w:bidi="fa-IR"/>
        </w:rPr>
        <w:t>.</w:t>
      </w:r>
    </w:p>
    <w:p>
      <w:pPr>
        <w:pStyle w:val="Heading6"/>
        <w:numPr>
          <w:ilvl w:val="5"/>
          <w:numId w:val="1"/>
        </w:numPr>
        <w:rPr/>
      </w:pPr>
      <w:bookmarkStart w:id="2004" w:name="__RefHeading___Toc3808681_1067777946"/>
      <w:bookmarkStart w:id="2005" w:name="_Toc853"/>
      <w:bookmarkEnd w:id="2004"/>
      <w:r>
        <w:rPr>
          <w:rtl w:val="true"/>
        </w:rPr>
        <w:t>عتق سه مملوك در مرض موت و وفات يكى</w:t>
      </w:r>
      <w:bookmarkEnd w:id="2005"/>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عتق كرد سه مملوك خود را در مرض موت و چيزى غير آنها را نداشت پس يكى از آن سه وفات كرد، قبل از موت مالك يا بعد از او قبل از وصول تركه به وارث، استعمال قرعه مى نمايد بين ميّت و دو 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حرّيت به اسم ميت خارج شد، حكم به لوازم حرّيت براى او مى شود و مؤونۀ تجهيز بر مالك نيست؛ و </w:t>
      </w:r>
      <w:bookmarkStart w:id="2006" w:name="pg10265_90095"/>
    </w:p>
    <w:p>
      <w:pPr>
        <w:pStyle w:val="BookText"/>
        <w:rPr/>
      </w:pPr>
      <w:bookmarkEnd w:id="2006"/>
      <w:r>
        <w:rPr>
          <w:rFonts w:ascii="IRNazanin" w:hAnsi="IRNazanin" w:eastAsia="IRNazanin"/>
          <w:color w:val="111111"/>
          <w:sz w:val="28"/>
          <w:sz w:val="28"/>
          <w:szCs w:val="28"/>
          <w:rtl w:val="true"/>
          <w:lang w:bidi="fa-IR"/>
        </w:rPr>
        <w:t xml:space="preserve">اگر حرّيت به اسم دو نفر زنده خارج شد، موت مملوك در رقيّت مى شود و مؤونۀ تجهيز بر مالك او است، لكن در تحديد ثلث متروكات، واقع نمى شود، چون متروك، واصل به وارث نبوده، پس از آن اخراج قرعه به نام يكى از دو حىّ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كدام حرّيت خارج شد، به قدر ثلث از تركه باقيه واصله، حكم به حرّيت او مى شود؛ پس در صورت تساوى آن دو در قيمت ثلثين خارج به حريّت، حكم به حريت او مى شود؛ و در فرض اختلاف، با فرض خروج اقلّ به حسب قيمت، تكميل مى شود مقدار ثلث از دومى؛ و با فرض خروج اكثر در قيمت، موافق ثلث از آن تحرير و بقيه در رقيّت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اينها در تقدير حكم به خروج منجّز از عتق از ثلث است نه از اصل</w:t>
      </w:r>
      <w:r>
        <w:rPr>
          <w:rFonts w:eastAsia="IRNazanin" w:cs="IRNazanin"/>
          <w:color w:val="111111"/>
          <w:sz w:val="28"/>
          <w:szCs w:val="28"/>
          <w:rtl w:val="true"/>
          <w:lang w:bidi="fa-IR"/>
        </w:rPr>
        <w:t>.</w:t>
      </w:r>
    </w:p>
    <w:p>
      <w:pPr>
        <w:pStyle w:val="Heading5"/>
        <w:numPr>
          <w:ilvl w:val="4"/>
          <w:numId w:val="1"/>
        </w:numPr>
        <w:rPr/>
      </w:pPr>
      <w:bookmarkStart w:id="2007" w:name="__RefHeading___Toc3808683_1067777946"/>
      <w:bookmarkStart w:id="2008" w:name="_Toc854"/>
      <w:bookmarkEnd w:id="2007"/>
      <w:r>
        <w:rPr>
          <w:rtl w:val="true"/>
        </w:rPr>
        <w:t>فرض وفات دو مملوك</w:t>
      </w:r>
      <w:bookmarkEnd w:id="2008"/>
    </w:p>
    <w:p>
      <w:pPr>
        <w:pStyle w:val="BookText"/>
        <w:rPr/>
      </w:pPr>
      <w:r>
        <w:rPr>
          <w:rFonts w:ascii="IRNazanin" w:hAnsi="IRNazanin" w:eastAsia="IRNazanin"/>
          <w:color w:val="111111"/>
          <w:sz w:val="28"/>
          <w:sz w:val="28"/>
          <w:szCs w:val="28"/>
          <w:rtl w:val="true"/>
          <w:lang w:bidi="fa-IR"/>
        </w:rPr>
        <w:t>اگر در فرض متقدّم، دو مملوك وفات كردند، بين آن سه قرعه اخراج مى شود، پس اگر سهم حرّيت بر يكى از دو ميّت خارج شد، نصف او تحرير مى شود كه همان قدر وفاى ثلث به آن است، و دو ثلث ديگر كه تمام مملوك حىّ است مال ورثه است، و مملوك ديگر كه ميّت محسوب از ثلث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خارج شد سهم رقيّت به ميّت، اخراج قرعه به نام ميّت ديگر مى شود با حىّ‌، اگر حرّيت به نام ميّت ديگر خارج شد، نصف او تحرير مى شود و تمام حىّ مال ورثه است؛ و اگر سهم رقيّت به نام ميّت ديگر خارج شد، چيزى از دو ميّت محسوب در ثلث نمى شود و ثلث مملوك حىّ‌، اعتاق مى شود</w:t>
      </w:r>
      <w:r>
        <w:rPr>
          <w:rFonts w:eastAsia="IRNazanin" w:cs="IRNazanin"/>
          <w:color w:val="111111"/>
          <w:sz w:val="28"/>
          <w:szCs w:val="28"/>
          <w:rtl w:val="true"/>
          <w:lang w:bidi="fa-IR"/>
        </w:rPr>
        <w:t>.</w:t>
      </w:r>
    </w:p>
    <w:p>
      <w:pPr>
        <w:pStyle w:val="Heading5"/>
        <w:numPr>
          <w:ilvl w:val="4"/>
          <w:numId w:val="1"/>
        </w:numPr>
        <w:rPr/>
      </w:pPr>
      <w:bookmarkStart w:id="2009" w:name="__RefHeading___Toc3808685_1067777946"/>
      <w:bookmarkStart w:id="2010" w:name="_Toc855"/>
      <w:bookmarkEnd w:id="2009"/>
      <w:r>
        <w:rPr>
          <w:rtl w:val="true"/>
        </w:rPr>
        <w:t>موت به قتلِ موجب ديه</w:t>
      </w:r>
      <w:bookmarkEnd w:id="2010"/>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فرض متقدّم كه موت يك مملوك بود، موت او به قتل موجب ديه بود، قتيل، داخل در قرعه مى شود و ديه قائم مقام مقتول است براى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سهم عتق به يكى از دو زنده خارج شد، تماماً عتق مى شود و براى ورثۀ مُعتِق، </w:t>
      </w:r>
      <w:bookmarkStart w:id="2011" w:name="pg10265_90096"/>
    </w:p>
    <w:p>
      <w:pPr>
        <w:pStyle w:val="BookText"/>
        <w:rPr/>
      </w:pPr>
      <w:bookmarkEnd w:id="2011"/>
      <w:r>
        <w:rPr>
          <w:rFonts w:ascii="IRNazanin" w:hAnsi="IRNazanin" w:eastAsia="IRNazanin"/>
          <w:color w:val="111111"/>
          <w:sz w:val="28"/>
          <w:sz w:val="28"/>
          <w:szCs w:val="28"/>
          <w:rtl w:val="true"/>
          <w:lang w:bidi="fa-IR"/>
        </w:rPr>
        <w:t>مملوك زنده و قيمت قتيل است؛ و اگر سهم قتيل به حرّيت خارج شد، براى ورثۀ او ديۀ قتيل حرّ ثابت مى شود بنا بر كاشفيّت قرعه، چنانچه در مشتبه است نه تمييز مشاع و تعيين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فراغ از فروع عتق به مباشرت، كلام واقع مى شود در عتق به سرايت</w:t>
      </w:r>
      <w:r>
        <w:rPr>
          <w:rFonts w:eastAsia="Amiri" w:cs="Amiri" w:ascii="Amiri" w:hAnsi="Amiri"/>
          <w:color w:val="111111"/>
          <w:sz w:val="28"/>
          <w:szCs w:val="28"/>
          <w:rtl w:val="true"/>
          <w:lang w:bidi="ar-SA"/>
        </w:rPr>
        <w:t>.</w:t>
      </w:r>
    </w:p>
    <w:p>
      <w:pPr>
        <w:pStyle w:val="Heading4"/>
        <w:numPr>
          <w:ilvl w:val="3"/>
          <w:numId w:val="1"/>
        </w:numPr>
        <w:rPr/>
      </w:pPr>
      <w:bookmarkStart w:id="2012" w:name="__RefHeading___Toc3808687_1067777946"/>
      <w:bookmarkStart w:id="2013" w:name="_Toc856"/>
      <w:bookmarkEnd w:id="2012"/>
      <w:r>
        <w:rPr/>
        <w:t>2</w:t>
      </w:r>
      <w:r>
        <w:rPr>
          <w:rtl w:val="true"/>
        </w:rPr>
        <w:t xml:space="preserve">. </w:t>
      </w:r>
      <w:r>
        <w:rPr>
          <w:rtl w:val="true"/>
        </w:rPr>
        <w:t>عتق به سرايت</w:t>
      </w:r>
      <w:bookmarkEnd w:id="2013"/>
    </w:p>
    <w:p>
      <w:pPr>
        <w:pStyle w:val="Heading5"/>
        <w:numPr>
          <w:ilvl w:val="4"/>
          <w:numId w:val="1"/>
        </w:numPr>
        <w:rPr/>
      </w:pPr>
      <w:bookmarkStart w:id="2014" w:name="__RefHeading___Toc3808689_1067777946"/>
      <w:bookmarkStart w:id="2015" w:name="_Toc857"/>
      <w:bookmarkEnd w:id="2014"/>
      <w:r>
        <w:rPr>
          <w:rtl w:val="true"/>
        </w:rPr>
        <w:t>اشاره</w:t>
      </w:r>
      <w:bookmarkEnd w:id="2015"/>
    </w:p>
    <w:p>
      <w:pPr>
        <w:pStyle w:val="BookText"/>
        <w:rPr/>
      </w:pPr>
      <w:r>
        <w:rPr>
          <w:rFonts w:ascii="IRNazanin" w:hAnsi="IRNazanin" w:eastAsia="IRNazanin"/>
          <w:color w:val="111111"/>
          <w:sz w:val="28"/>
          <w:sz w:val="28"/>
          <w:szCs w:val="28"/>
          <w:rtl w:val="true"/>
          <w:lang w:bidi="fa-IR"/>
        </w:rPr>
        <w:t>كسى كه عتق نمايد جزئى از مملوك خود را كه تماماً مملوك او بوده، پس بنا بر مشهور سرايت مى نمايد عتق در تمام او اگر چه آن جزء قليل بوده و اگر چه مالكِ غير او نبوده در صورت وجود شروط عتق در همه مملوك؛ و اين فتواى مشهور موافق روايت غياث بن ابراهيم</w:t>
      </w:r>
      <w:r>
        <w:rPr>
          <w:rStyle w:val="FootnoteAnchor"/>
          <w:rtl w:val="true"/>
        </w:rPr>
        <w:footnoteReference w:id="8"/>
      </w:r>
      <w:r>
        <w:rPr>
          <w:rFonts w:ascii="Amiri" w:hAnsi="Amiri" w:eastAsia="Amiri" w:cs="Amiri"/>
          <w:color w:val="111111"/>
          <w:sz w:val="28"/>
          <w:sz w:val="28"/>
          <w:szCs w:val="28"/>
          <w:rtl w:val="true"/>
          <w:lang w:bidi="ar-SA"/>
        </w:rPr>
        <w:t>و روايت طلحة بن زيد</w:t>
      </w:r>
      <w:r>
        <w:rPr>
          <w:rStyle w:val="FootnoteAnchor"/>
          <w:rtl w:val="true"/>
        </w:rPr>
        <w:footnoteReference w:id="9"/>
      </w:r>
      <w:r>
        <w:rPr>
          <w:rFonts w:ascii="Amiri" w:hAnsi="Amiri" w:eastAsia="Amiri" w:cs="Amiri"/>
          <w:color w:val="111111"/>
          <w:sz w:val="28"/>
          <w:sz w:val="28"/>
          <w:szCs w:val="28"/>
          <w:rtl w:val="true"/>
          <w:lang w:bidi="ar-SA"/>
        </w:rPr>
        <w:t>و روايت قرب الاسناد</w:t>
      </w:r>
      <w:r>
        <w:rPr>
          <w:rStyle w:val="FootnoteAnchor"/>
          <w:rtl w:val="true"/>
        </w:rPr>
        <w:footnoteReference w:id="10"/>
      </w:r>
      <w:r>
        <w:rPr>
          <w:rFonts w:ascii="Amiri" w:hAnsi="Amiri" w:eastAsia="Amiri" w:cs="Amiri"/>
          <w:color w:val="111111"/>
          <w:sz w:val="28"/>
          <w:sz w:val="28"/>
          <w:szCs w:val="28"/>
          <w:rtl w:val="true"/>
          <w:lang w:bidi="ar-SA"/>
        </w:rPr>
        <w:t>و روايت سكونى</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در اين دو روايت دلالت مفهوم از امر به استسعاء است؛ و مورد اتفاق اصحاب است در غير صورت وقوع عتق منجّز در مرض موت كه محل خلاف است صحّت آن در غير ثلث با عدم اجازۀ ورثه</w:t>
      </w:r>
      <w:r>
        <w:rPr>
          <w:rFonts w:eastAsia="Amiri" w:cs="Amiri" w:ascii="Amiri" w:hAnsi="Amiri"/>
          <w:color w:val="111111"/>
          <w:sz w:val="28"/>
          <w:szCs w:val="28"/>
          <w:rtl w:val="true"/>
          <w:lang w:bidi="ar-SA"/>
        </w:rPr>
        <w:t>.</w:t>
      </w:r>
    </w:p>
    <w:p>
      <w:pPr>
        <w:pStyle w:val="Heading5"/>
        <w:numPr>
          <w:ilvl w:val="4"/>
          <w:numId w:val="1"/>
        </w:numPr>
        <w:rPr/>
      </w:pPr>
      <w:bookmarkStart w:id="2016" w:name="__RefHeading___Toc3808691_1067777946"/>
      <w:bookmarkStart w:id="2017" w:name="_Toc858"/>
      <w:bookmarkEnd w:id="2016"/>
      <w:r>
        <w:rPr>
          <w:rtl w:val="true"/>
        </w:rPr>
        <w:t>بحثى در ترجيح روايات سرايت بر روايات عدم سرايت</w:t>
      </w:r>
      <w:bookmarkEnd w:id="201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گفته شود در ابتداى نظر كه شهرت روايتيّه معارض با شهرت فتوائيّه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قدمائيّه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روايات عدم سرايت، اكثر و اشهر و مشتمل بر صحيح است، به خلاف روايت سرايت كه مجبور يا موثق است؛ و هم چنين روايتين در نقل اهل خلاف ثابت است و مشهور بين اهل فتاوى از ايشان موافق با مشهور بين ارباب فتاوى از خاصه است، پس از اين روايت عدم سرايت بالإضافه </w:t>
      </w:r>
      <w:bookmarkStart w:id="2018" w:name="pg10265_90097"/>
    </w:p>
    <w:p>
      <w:pPr>
        <w:pStyle w:val="BookText"/>
        <w:rPr/>
      </w:pPr>
      <w:bookmarkEnd w:id="2018"/>
      <w:r>
        <w:rPr>
          <w:rFonts w:ascii="IRNazanin" w:hAnsi="IRNazanin" w:eastAsia="IRNazanin"/>
          <w:color w:val="111111"/>
          <w:sz w:val="28"/>
          <w:sz w:val="28"/>
          <w:szCs w:val="28"/>
          <w:rtl w:val="true"/>
          <w:lang w:bidi="fa-IR"/>
        </w:rPr>
        <w:t xml:space="preserve">ابعد از تقيّه است، و اصل، موافق با عدم سرايت است، بلى به حسب فتاواى قدما فتوىٰ به عدم سرايت از قدما يا غير محقّق يا شاذّ است و در نزد عامه چنين نيست، و هم چنين صحيح از روايت عدم سرايت قابل حمل بر وصيّت موضوعاً يا حكماً كه منجّز در مرض موت است، مى باشد به خلاف سائر روايات موافقه با آنها، و روايت سرايت از اين جهت اطلاق دارد به اطلاق قوى به سبب تعليل، چنانچه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مذكور است صحّت معتِق و امر به استسعاء براى نصف غير معتق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بعد از ادراج روايت استسعاء در مشترك در روايات سرايت كه اشاره به آنها شد، شهرت روايتيّه در روايات سرايت است؛ و به اشهريت به حسب روايت و به شهرت فتوائيّه ترجيح داده مى شود بر روايت عدم سرايت كه فقط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موصوف به صحّت و تمام الدلاله است؛ و هم چنين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مسكان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w:t>
      </w:r>
      <w:r>
        <w:rPr>
          <w:rStyle w:val="FootnoteAnchor"/>
          <w:rtl w:val="true"/>
        </w:rPr>
        <w:footnoteReference w:id="12"/>
      </w:r>
      <w:r>
        <w:rPr>
          <w:rFonts w:ascii="Amiri" w:hAnsi="Amiri" w:eastAsia="Amiri" w:cs="Amiri"/>
          <w:color w:val="111111"/>
          <w:sz w:val="28"/>
          <w:sz w:val="28"/>
          <w:szCs w:val="28"/>
          <w:rtl w:val="true"/>
          <w:lang w:bidi="ar-SA"/>
        </w:rPr>
        <w:t>كه تقريباً شارح صحيح حلبى</w:t>
      </w:r>
      <w:r>
        <w:rPr>
          <w:rStyle w:val="FootnoteAnchor"/>
          <w:rtl w:val="true"/>
        </w:rPr>
        <w:footnoteReference w:id="1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019" w:name="__RefHeading___Toc3808693_1067777946"/>
      <w:bookmarkStart w:id="2020" w:name="_Toc859"/>
      <w:bookmarkEnd w:id="2019"/>
      <w:r>
        <w:rPr>
          <w:rtl w:val="true"/>
        </w:rPr>
        <w:t>ترجيح روايات سرايت بنابر تكافؤ</w:t>
      </w:r>
      <w:bookmarkEnd w:id="2020"/>
    </w:p>
    <w:p>
      <w:pPr>
        <w:pStyle w:val="BookText"/>
        <w:rPr/>
      </w:pPr>
      <w:r>
        <w:rPr>
          <w:rFonts w:ascii="IRNazanin" w:hAnsi="IRNazanin" w:eastAsia="IRNazanin"/>
          <w:color w:val="111111"/>
          <w:sz w:val="28"/>
          <w:sz w:val="28"/>
          <w:szCs w:val="28"/>
          <w:rtl w:val="true"/>
          <w:lang w:bidi="fa-IR"/>
        </w:rPr>
        <w:t>و بر تقدير تكافؤ روايتين از حيث شهرت روايتيّه پس شهرت فتوائيّه مرجّح روايات سرايت است، اثبات حجّيّت بعض روايات سرايت به شهرت فتوائيّه و ترجيح بر معارض به اشهريت در فتوىٰ با اختلاف به اصل اشتهار و مرتبه آن كه اشهريت در ترجيح كافى است، منافات ندارند</w:t>
      </w:r>
      <w:r>
        <w:rPr>
          <w:rFonts w:eastAsia="IRNazanin" w:cs="IRNazanin"/>
          <w:color w:val="111111"/>
          <w:sz w:val="28"/>
          <w:szCs w:val="28"/>
          <w:rtl w:val="true"/>
          <w:lang w:bidi="fa-IR"/>
        </w:rPr>
        <w:t>.</w:t>
      </w:r>
    </w:p>
    <w:p>
      <w:pPr>
        <w:pStyle w:val="Heading5"/>
        <w:numPr>
          <w:ilvl w:val="4"/>
          <w:numId w:val="1"/>
        </w:numPr>
        <w:rPr/>
      </w:pPr>
      <w:bookmarkStart w:id="2021" w:name="__RefHeading___Toc3808695_1067777946"/>
      <w:bookmarkStart w:id="2022" w:name="_Toc860"/>
      <w:bookmarkEnd w:id="2021"/>
      <w:r>
        <w:rPr>
          <w:rtl w:val="true"/>
        </w:rPr>
        <w:t>مقتضاى اجماع در مقام</w:t>
      </w:r>
      <w:bookmarkEnd w:id="2022"/>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ممكن است بگوييم با تحقّق اجماع جاى توقّف و ارتياب نيست، زيرا مراد از اجماع مرجّح آن است كه مستثنى است از آن رواة روايت مخالفه چه واحد باشد و </w:t>
      </w:r>
      <w:bookmarkStart w:id="2023" w:name="pg10265_90098"/>
    </w:p>
    <w:p>
      <w:pPr>
        <w:pStyle w:val="BookText"/>
        <w:rPr/>
      </w:pPr>
      <w:bookmarkEnd w:id="2023"/>
      <w:r>
        <w:rPr>
          <w:rFonts w:ascii="IRNazanin" w:hAnsi="IRNazanin" w:eastAsia="IRNazanin"/>
          <w:color w:val="111111"/>
          <w:sz w:val="28"/>
          <w:sz w:val="28"/>
          <w:szCs w:val="28"/>
          <w:rtl w:val="true"/>
          <w:lang w:bidi="fa-IR"/>
        </w:rPr>
        <w:t xml:space="preserve">چه متعدّد، بعد از توصيف معارض به مجمعٌ عليه كه بر ثبوت واقعى آن اتفاق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اين تقريب تعليل در اخبار علاجيّه مفيد مرجّحيّت شهرت است، نه آنكه در مقام تمييز حجت از لاحجّت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خلاف محكىّ از ابن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به سبق اجماع است كه اعتبار با آن به اتفاق فرضى لاحق فضلاً عن مخالف نيست</w:t>
      </w:r>
      <w:r>
        <w:rPr>
          <w:rFonts w:eastAsia="IRNazanin" w:cs="IRNazanin"/>
          <w:color w:val="111111"/>
          <w:sz w:val="28"/>
          <w:szCs w:val="28"/>
          <w:rtl w:val="true"/>
          <w:lang w:bidi="fa-IR"/>
        </w:rPr>
        <w:t>.</w:t>
      </w:r>
    </w:p>
    <w:p>
      <w:pPr>
        <w:pStyle w:val="Heading5"/>
        <w:numPr>
          <w:ilvl w:val="4"/>
          <w:numId w:val="1"/>
        </w:numPr>
        <w:rPr/>
      </w:pPr>
      <w:bookmarkStart w:id="2024" w:name="__RefHeading___Toc3808697_1067777946"/>
      <w:bookmarkStart w:id="2025" w:name="_Toc861"/>
      <w:bookmarkEnd w:id="2024"/>
      <w:r>
        <w:rPr>
          <w:rtl w:val="true"/>
        </w:rPr>
        <w:t>عتق يكى از شريكين نصيب خودش را</w:t>
      </w:r>
      <w:bookmarkEnd w:id="2025"/>
    </w:p>
    <w:p>
      <w:pPr>
        <w:pStyle w:val="BookText"/>
        <w:rPr/>
      </w:pPr>
      <w:r>
        <w:rPr>
          <w:rFonts w:ascii="IRNazanin" w:hAnsi="IRNazanin" w:eastAsia="IRNazanin"/>
          <w:color w:val="111111"/>
          <w:sz w:val="28"/>
          <w:sz w:val="28"/>
          <w:szCs w:val="28"/>
          <w:rtl w:val="true"/>
          <w:lang w:bidi="fa-IR"/>
        </w:rPr>
        <w:t xml:space="preserve">و اگر عتق نمود مالك، بعض نصيب خودش را، پس بالنسبه به نصيب خودش، عتق صحيح است علىٰ أىّ تقدير و بالنسبه به حصّۀ شريك در صورت يسار 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بايد آن را ابتياع نمايد از هركه شريك است، و در صورت اعسار معتق يا امتناع شريك از بيع، بايد سعى نمايد مملوك و تأديه نمايد از كسب خودش تا آنكه تماماً آزاد شود، و احوط تأديه در غير نصيب رقيّت است براى مملوك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راجح است، چنانچه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شريك از مطلق سعى، قبول احوط است؛ و اگر ممكن نشد و از وجوه مستحقه فكّ نشد، خدمت به حصۀ رقيّت براى شريك مى نمايد و نفقه و فطره به همين نسبت ثابت است؛ و اين حكم، مشهور است و ممكن است استفاده آن از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موصوف به صحّت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آن جمع بين روايات مختلفه است در صورت تأمّل دقيق</w:t>
      </w:r>
      <w:r>
        <w:rPr>
          <w:rFonts w:eastAsia="IRNazanin" w:cs="IRNazanin"/>
          <w:color w:val="111111"/>
          <w:sz w:val="28"/>
          <w:szCs w:val="28"/>
          <w:rtl w:val="true"/>
          <w:lang w:bidi="fa-IR"/>
        </w:rPr>
        <w:t>.</w:t>
      </w:r>
    </w:p>
    <w:p>
      <w:pPr>
        <w:pStyle w:val="Heading5"/>
        <w:numPr>
          <w:ilvl w:val="4"/>
          <w:numId w:val="1"/>
        </w:numPr>
        <w:rPr/>
      </w:pPr>
      <w:bookmarkStart w:id="2026" w:name="__RefHeading___Toc3808699_1067777946"/>
      <w:bookmarkStart w:id="2027" w:name="_Toc862"/>
      <w:bookmarkEnd w:id="2026"/>
      <w:r>
        <w:rPr>
          <w:rtl w:val="true"/>
        </w:rPr>
        <w:t>عدم وجوب سعى در مقام</w:t>
      </w:r>
      <w:bookmarkEnd w:id="2027"/>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سعى براى تحصيل قيمت باقى به حسب تقويم وقت عتق معتِق از دو شريك، واجب است بر 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آنكه حق او است و بر او واجب نيست، و بر ديگرى از 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غير او حق اعتاق ندارد، و اجبار بر سعى براى حق خودش نمى شود؟ وجوب سعى و اجبار بر آن معلوم نيست و مفهوم از روايات </w:t>
      </w:r>
      <w:bookmarkStart w:id="2028" w:name="pg10265_90099"/>
    </w:p>
    <w:p>
      <w:pPr>
        <w:pStyle w:val="BookText"/>
        <w:rPr/>
      </w:pPr>
      <w:bookmarkEnd w:id="2028"/>
      <w:r>
        <w:rPr>
          <w:rFonts w:ascii="IRNazanin" w:hAnsi="IRNazanin" w:eastAsia="IRNazanin"/>
          <w:color w:val="111111"/>
          <w:sz w:val="28"/>
          <w:sz w:val="28"/>
          <w:szCs w:val="28"/>
          <w:rtl w:val="true"/>
          <w:lang w:bidi="fa-IR"/>
        </w:rPr>
        <w:t xml:space="preserve">آمره، تكليف نيست، چنانچه در ذيل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بن أبي حمزه اشاره به آن شده است به حسب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ذيل تتمه روايت است و موافق اعتبار در اختياريت تحصيل عتق در غير مكاتبه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اختيار سعى براى فك رقبه خودش از مطلق رقيّت است با امكان آن بدون عسر و حرج؛ و با عدم امكان يا اختيار، نسبت در خدمت براى شريك رعايت مى شود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اختيار سعى براى عتق نمود، پس ممكن است كه هر مقدار سعى به آن وفا كرد و تأديه به شريك شد، به همان قدر عتق محقّق مى شود، يا آنكه لازم است بر شريك؛ پس اگر عجزى طارى شد، در زائد بر آن مقدار، رعايت نسبت در خدمت براى شريك مى شود</w:t>
      </w:r>
      <w:r>
        <w:rPr>
          <w:rFonts w:eastAsia="IRNazanin" w:cs="IRNazanin"/>
          <w:color w:val="111111"/>
          <w:sz w:val="28"/>
          <w:szCs w:val="28"/>
          <w:rtl w:val="true"/>
          <w:lang w:bidi="fa-IR"/>
        </w:rPr>
        <w:t>.</w:t>
      </w:r>
    </w:p>
    <w:p>
      <w:pPr>
        <w:pStyle w:val="Heading5"/>
        <w:numPr>
          <w:ilvl w:val="4"/>
          <w:numId w:val="1"/>
        </w:numPr>
        <w:rPr/>
      </w:pPr>
      <w:bookmarkStart w:id="2029" w:name="__RefHeading___Toc3808701_1067777946"/>
      <w:bookmarkStart w:id="2030" w:name="_Toc863"/>
      <w:bookmarkEnd w:id="2029"/>
      <w:r>
        <w:rPr>
          <w:rtl w:val="true"/>
        </w:rPr>
        <w:t>مهايات و تقسيم منفعت</w:t>
      </w:r>
      <w:bookmarkEnd w:id="2030"/>
    </w:p>
    <w:p>
      <w:pPr>
        <w:pStyle w:val="BookText"/>
        <w:rPr/>
      </w:pPr>
      <w:r>
        <w:rPr>
          <w:rFonts w:ascii="IRNazanin" w:hAnsi="IRNazanin" w:eastAsia="IRNazanin"/>
          <w:color w:val="111111"/>
          <w:sz w:val="28"/>
          <w:sz w:val="28"/>
          <w:szCs w:val="28"/>
          <w:rtl w:val="true"/>
          <w:lang w:bidi="fa-IR"/>
        </w:rPr>
        <w:t>و اگر مهايات و تقسيم منفعت و عمل كرد مالك با معتَق، مانعى ندارد در موقعى كه حكم به اشتراك در خدمت مثلاً مى شود، در صورتى كه به عنوان صلح باشد مثل اينكه مالك نصف راضى به ثلث در خدمت باشد يا اينكه مالكِ ثلث، نصف خدمت را بقبولاند كه زيادتى و نقصان معلوم بوده يا نبوده، ضرر نمى رساند، زيرا حقّ‌، تجاوز از آن دو نفر نمى نمايد، پس مى توانند با هم در زائد و ناقص صلح نمايند؛ و اگر صلح نباشد دائر مدار رضاى صاحب حق يا موافقت با نسبت واقعيّۀ استحقاق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اين است كه اين مملوك مبعّض، از مصاديق مال مشتركِ غير قابل قسمت است كه تقسيم به حسب منافع يا اعمال به حسب زمان، وجوب ندارد و اجبارى نيست، بلكه عمل در هر روز، حاصل از كسب به آن، تقسيم به نسبت مى شود، چه آنكه عمل با توافق آن دو بوده يا با عدم رضاى يكى از آن دو؛ پس آنكه غاصب است از حق مغصوب منه بايد خارج بشود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فرقى در صورت مهايات بين عمل نادر مثل صيد و التقاط در غير صورت عهد </w:t>
      </w:r>
      <w:bookmarkStart w:id="2031" w:name="pg10265_90100"/>
    </w:p>
    <w:p>
      <w:pPr>
        <w:pStyle w:val="BookText"/>
        <w:rPr/>
      </w:pPr>
      <w:bookmarkEnd w:id="2031"/>
      <w:r>
        <w:rPr>
          <w:rFonts w:ascii="IRNazanin" w:hAnsi="IRNazanin" w:eastAsia="IRNazanin"/>
          <w:color w:val="111111"/>
          <w:sz w:val="28"/>
          <w:sz w:val="28"/>
          <w:szCs w:val="28"/>
          <w:rtl w:val="true"/>
          <w:lang w:bidi="fa-IR"/>
        </w:rPr>
        <w:t>و غير نادر نيست؛ پس هر كدام در نوبت خودش مى تواند به هر عملى كه مشروع باشد مشغول شود و به آن اكتساب نمايد، و زيادتى و كمى اجرت تأثير ندارد، به خلاف صورت عدم مهايات كه بايد مطابق نسبتِ استحقاق، تقسيم اجرت بشود</w:t>
      </w:r>
      <w:r>
        <w:rPr>
          <w:rFonts w:eastAsia="IRNazanin" w:cs="IRNazanin"/>
          <w:color w:val="111111"/>
          <w:sz w:val="28"/>
          <w:szCs w:val="28"/>
          <w:rtl w:val="true"/>
          <w:lang w:bidi="fa-IR"/>
        </w:rPr>
        <w:t>.</w:t>
      </w:r>
    </w:p>
    <w:p>
      <w:pPr>
        <w:pStyle w:val="Heading5"/>
        <w:numPr>
          <w:ilvl w:val="4"/>
          <w:numId w:val="1"/>
        </w:numPr>
        <w:rPr/>
      </w:pPr>
      <w:bookmarkStart w:id="2032" w:name="__RefHeading___Toc3808703_1067777946"/>
      <w:bookmarkStart w:id="2033" w:name="_Toc864"/>
      <w:bookmarkEnd w:id="2032"/>
      <w:r>
        <w:rPr>
          <w:rtl w:val="true"/>
        </w:rPr>
        <w:t>فرض سه مالك و عتق دو نفر</w:t>
      </w:r>
      <w:bookmarkEnd w:id="2033"/>
    </w:p>
    <w:p>
      <w:pPr>
        <w:pStyle w:val="BookText"/>
        <w:rPr/>
      </w:pPr>
      <w:r>
        <w:rPr>
          <w:rFonts w:ascii="IRNazanin" w:hAnsi="IRNazanin" w:eastAsia="IRNazanin"/>
          <w:color w:val="111111"/>
          <w:sz w:val="28"/>
          <w:sz w:val="28"/>
          <w:szCs w:val="28"/>
          <w:rtl w:val="true"/>
          <w:lang w:bidi="fa-IR"/>
        </w:rPr>
        <w:t xml:space="preserve">اگر مالك سه نفر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عتق نمودند حصّه هاى خودشان از مملوك را، تقويم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يسار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حصّۀ سومى به تساوى بين دو معتِق اگر چه حصص آنها مختلف باشند، زيرا بر هر كدام در صورت انفراد، قيمت تمام حصّۀ غير معتِق بود پس در اجتماع بر او نصف اين قيمت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يكى از آن دو معتِق مُعسِر بوده، تمام حصّۀ سومى بر معتق دوم است؛ و اگر مُعسِر به بعض قيمت حصّۀ لازمه كه نصف است بود آنچه را كه مى تواند تاديه مى نمايد به سومى، و بقيه و تمام نصف ديگر از قيمت حصّۀ سومى بر موسر دوم است، و اين 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توجيه مى شود كلام ايشان به اينكه اقتضاى هر كدام در تمام قيمت حصّۀ سومى است، و مانع كه موجب تنصيف است تأثير اعتاق معتق دوم، و با عدم تأثير به جهت اعسار كالعدم است اعتاق او در منع از تأثير مقتضى تمام در استحقاق سومى تمام قيمت حصّۀ خودش را بر معتق دوم، و اين اقرب است و شايد مراد از 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حكم در صورت ترتّب دو عتق همين است كه اعتبار بخصوص موسر است، مقدّم باشد يا مؤخّر؛ و اگر با ترتّب هر دو موسر بودند؛ پس متأخّر لغو است، يا موجب تنصيف به جهت مزاحمت با علت حدوث در مرحلۀ بقا؛ و لغويت به معنى عدم مزاحمت است يا عدم تأثير به جهت تعلّق عتق به آن كه مستحق عتق است با تقويم كل مملوك بر اوّلى</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بگوييم قدر متيقّن از سرايت، صورت اداى حق شريك است پس </w:t>
      </w:r>
      <w:bookmarkStart w:id="2034" w:name="pg10265_90101"/>
    </w:p>
    <w:p>
      <w:pPr>
        <w:pStyle w:val="BookText"/>
        <w:rPr/>
      </w:pPr>
      <w:bookmarkEnd w:id="2034"/>
      <w:r>
        <w:rPr>
          <w:rFonts w:ascii="IRNazanin" w:hAnsi="IRNazanin" w:eastAsia="IRNazanin"/>
          <w:color w:val="111111"/>
          <w:sz w:val="28"/>
          <w:sz w:val="28"/>
          <w:szCs w:val="28"/>
          <w:rtl w:val="true"/>
          <w:lang w:bidi="fa-IR"/>
        </w:rPr>
        <w:t>قبل از آن فقط استحقاق عتق بر شريك است با اخذ قيمت از معتق، و هر كدام استحقاق قيمت حصّۀ خود را دارد، و معتق دوم قبل از عتق ايضاً اين استحقاق را دارد، و مملوك هم مستحق عتق آنها است او را با اخذ قيمت، پس اوّلى قيمت حصّۀ شريك را تأديه مى نمايد براى عتق حصّۀ خودش، و دوم ايضاً هم چنين است؛ و اگر عتق كرد مجاناً و للّٰه فقط بر اولى چيزى نيست؛ و اگر با قصد اخذ قيمت حصّۀ خودش بود، مستحق است نه اينكه تمام قيمت را يك شريك به اولى بدهكار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كه تقسيط شود آنچه براى سومى است بين معتِق اول و دوم، زيرا حكم به استحقاق تمام قيمت بر اولى براى عتق تمام حصّه، ظاهرى و مراعى به عدم اعتاق شريك دوم بوده است، مثل صورتى كه معتق اول و شريك سوم ندانند كه شريك دوم عتق حصّۀ خود را مقارن عتق اولى ايقاع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گفته شود ولاء در صورت عتق هر سه براى دو شريك معتِق است به قدر حصّۀ آنها از مملوك، و اخذ قيمت و مستحق بودن عتق و وجوب آن موجب عدم ولاء براى معتِق سوم است، و اللّٰه العالم</w:t>
      </w:r>
      <w:r>
        <w:rPr>
          <w:rFonts w:eastAsia="IRNazanin" w:cs="IRNazanin"/>
          <w:color w:val="111111"/>
          <w:sz w:val="28"/>
          <w:szCs w:val="28"/>
          <w:rtl w:val="true"/>
          <w:lang w:bidi="fa-IR"/>
        </w:rPr>
        <w:t>.</w:t>
      </w:r>
    </w:p>
    <w:p>
      <w:pPr>
        <w:pStyle w:val="Heading5"/>
        <w:numPr>
          <w:ilvl w:val="4"/>
          <w:numId w:val="1"/>
        </w:numPr>
        <w:rPr/>
      </w:pPr>
      <w:bookmarkStart w:id="2035" w:name="__RefHeading___Toc3808705_1067777946"/>
      <w:bookmarkStart w:id="2036" w:name="_Toc865"/>
      <w:bookmarkEnd w:id="2035"/>
      <w:r>
        <w:rPr>
          <w:rtl w:val="true"/>
        </w:rPr>
        <w:t>توكيل يكى از دو شريك ديگرى را در عتق</w:t>
      </w:r>
      <w:bookmarkEnd w:id="2036"/>
    </w:p>
    <w:p>
      <w:pPr>
        <w:pStyle w:val="BookText"/>
        <w:rPr/>
      </w:pPr>
      <w:r>
        <w:rPr>
          <w:rFonts w:ascii="IRNazanin" w:hAnsi="IRNazanin" w:eastAsia="IRNazanin"/>
          <w:color w:val="111111"/>
          <w:sz w:val="28"/>
          <w:sz w:val="28"/>
          <w:szCs w:val="28"/>
          <w:rtl w:val="true"/>
          <w:lang w:bidi="fa-IR"/>
        </w:rPr>
        <w:t>و اگر احد الشريكين توكيل كرد ديگرى را در عتق پس مبادرت كرد به عتق مملوك خودش، تقويم مى شود بر او حصۀ موكّل بنا بر تعجيل و انعتاق به مجرد عتق اول؛ و اگر انعتاق به اداى قيمت مى شود پس مى تواند عمل به وكالت مستمره نمايد و عتق نمايد از جانب موكّل حصۀ او را؛ و تقويم نيست براى هيچ كدام بر ديگرى مثل صورت تقارن دو عتق</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ابتداءً عتق حصۀ موكّل كرد؛ تقويم مى نمايد بر موكّل، حصّۀ وكيل را و عتق مى نمايد بعد از اداى قيمت؛ و اگر دو حصّه را با توكيل در يك دفعه عتق كرد، صحيح است بدون تقويم ثابت در انفراد</w:t>
      </w:r>
      <w:r>
        <w:rPr>
          <w:rFonts w:eastAsia="IRNazanin" w:cs="IRNazanin"/>
          <w:color w:val="111111"/>
          <w:sz w:val="28"/>
          <w:szCs w:val="28"/>
          <w:rtl w:val="true"/>
          <w:lang w:bidi="fa-IR"/>
        </w:rPr>
        <w:t xml:space="preserve">. </w:t>
      </w:r>
      <w:bookmarkStart w:id="2037" w:name="pg10265_90102"/>
    </w:p>
    <w:p>
      <w:pPr>
        <w:pStyle w:val="BookText"/>
        <w:rPr/>
      </w:pPr>
      <w:bookmarkEnd w:id="2037"/>
      <w:r>
        <w:rPr>
          <w:rFonts w:ascii="IRNazanin" w:hAnsi="IRNazanin" w:eastAsia="IRNazanin"/>
          <w:color w:val="111111"/>
          <w:sz w:val="28"/>
          <w:sz w:val="28"/>
          <w:szCs w:val="28"/>
          <w:rtl w:val="true"/>
          <w:lang w:bidi="fa-IR"/>
        </w:rPr>
        <w:t>و اگر نصف مشاع از دو حصّه را عتق نمود، تقويم مى نمايد بقيه حق خود را كه ربع باشد بر موكّل، و عتق مى نمايد نصف ديگر مشاع را، ربع را به وكالت و ربع را با اخذ قيمت؛ و محتمل است هر كدام استحقاق اخذ قيمت ربع را كه حصۀ او است داشته باشد بعد از رجوع از توكيل در خصوص ربع، پس در عتق نصف مشاع لاحق، تهاتر بشود در حق دو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عتق نصف مشاع نمود بدون تعيين يا تعيّن واقعى، اظهر اين است كه مثل تصريح به اشاعه در دو حصّه است كه ذكر شد در حكم مذكور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اعتبار در قيمتى كه بر معتِق است در صورت يسار يا بر ساعى است در صورت اعسار معتق، قيمت مملوك در روز اعتاق است نه وقت ادا يا وقت عتق 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تحقّق عتق حصّۀ غير معتِق به اعتاق اول يا اداى قيمت از او يا ساعى براى اشتراى حصّه از شريك و اعتاق مشترى، پس احوط انعتاق به اجراى صيغۀ احتياطى عتق است بعد از اشترا از غير ساعى و به نفس اشترا است از ساعى</w:t>
      </w:r>
      <w:r>
        <w:rPr>
          <w:rFonts w:eastAsia="IRNazanin" w:cs="IRNazanin"/>
          <w:color w:val="111111"/>
          <w:sz w:val="28"/>
          <w:szCs w:val="28"/>
          <w:rtl w:val="true"/>
          <w:lang w:bidi="fa-IR"/>
        </w:rPr>
        <w:t>.</w:t>
      </w:r>
    </w:p>
    <w:p>
      <w:pPr>
        <w:pStyle w:val="Heading5"/>
        <w:numPr>
          <w:ilvl w:val="4"/>
          <w:numId w:val="1"/>
        </w:numPr>
        <w:rPr/>
      </w:pPr>
      <w:bookmarkStart w:id="2038" w:name="__RefHeading___Toc3808707_1067777946"/>
      <w:bookmarkStart w:id="2039" w:name="_Toc866"/>
      <w:bookmarkEnd w:id="2038"/>
      <w:r>
        <w:rPr>
          <w:rtl w:val="true"/>
        </w:rPr>
        <w:t>فرض إعسار معتق يا فوت او</w:t>
      </w:r>
      <w:bookmarkEnd w:id="2039"/>
    </w:p>
    <w:p>
      <w:pPr>
        <w:pStyle w:val="BookText"/>
        <w:rPr/>
      </w:pPr>
      <w:r>
        <w:rPr>
          <w:rFonts w:ascii="IRNazanin" w:hAnsi="IRNazanin" w:eastAsia="IRNazanin"/>
          <w:color w:val="111111"/>
          <w:sz w:val="28"/>
          <w:sz w:val="28"/>
          <w:szCs w:val="28"/>
          <w:rtl w:val="true"/>
          <w:lang w:bidi="fa-IR"/>
        </w:rPr>
        <w:t>و با اعسار معتِق بعد از عتق، احوط ثبوت قيمت در ذمه او است براى شريك در صورت عتق حصۀ او؛ و با موت معتق قبل از تأديۀ قيمت، احوط معاملۀ دين است با قيمت؛ و اگر در مرض موت بوده عتق او، محتمل است دخول قيمت در ثلث مثل سائر وصايا، بنا بر آنكه منجّز در حال مرض از ثلث است</w:t>
      </w:r>
      <w:r>
        <w:rPr>
          <w:rFonts w:eastAsia="IRNazanin" w:cs="IRNazanin"/>
          <w:color w:val="111111"/>
          <w:sz w:val="28"/>
          <w:szCs w:val="28"/>
          <w:rtl w:val="true"/>
          <w:lang w:bidi="fa-IR"/>
        </w:rPr>
        <w:t>.</w:t>
      </w:r>
    </w:p>
    <w:p>
      <w:pPr>
        <w:pStyle w:val="Heading5"/>
        <w:numPr>
          <w:ilvl w:val="4"/>
          <w:numId w:val="1"/>
        </w:numPr>
        <w:rPr/>
      </w:pPr>
      <w:bookmarkStart w:id="2040" w:name="__RefHeading___Toc3808709_1067777946"/>
      <w:bookmarkStart w:id="2041" w:name="_Toc867"/>
      <w:bookmarkEnd w:id="2040"/>
      <w:r>
        <w:rPr>
          <w:rtl w:val="true"/>
        </w:rPr>
        <w:t>فرض موت مملوك قبل از تأديۀ قيمت</w:t>
      </w:r>
      <w:bookmarkEnd w:id="2041"/>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موت مملوك قبل از تأديۀ قيمت، واقع شد، پس بنا بر اختيار انعتاق به عتق، و لو با كاشفيّت اداى قيمت از آن حين عتق، موت در حال حرّيت واقع مى شود و موروث خواهد بود، و بر معتق موسر است قيمت نصيب شريك، و بر ميّت است و از تركه او محسوب مى شود و مأخوذ مى شود آن قيمت در صورت اعسار معتق، وگرنه محلى براى انعتاق باقى نيست، و اللّٰه العالم</w:t>
      </w:r>
      <w:r>
        <w:rPr>
          <w:rFonts w:eastAsia="IRNazanin" w:cs="IRNazanin"/>
          <w:color w:val="111111"/>
          <w:sz w:val="28"/>
          <w:szCs w:val="28"/>
          <w:rtl w:val="true"/>
          <w:lang w:bidi="fa-IR"/>
        </w:rPr>
        <w:t xml:space="preserve">. </w:t>
      </w:r>
      <w:bookmarkStart w:id="2042" w:name="pg10265_90103"/>
    </w:p>
    <w:p>
      <w:pPr>
        <w:pStyle w:val="Heading5"/>
        <w:numPr>
          <w:ilvl w:val="4"/>
          <w:numId w:val="1"/>
        </w:numPr>
        <w:rPr/>
      </w:pPr>
      <w:bookmarkStart w:id="2043" w:name="__RefHeading___Toc3808711_1067777946"/>
      <w:bookmarkStart w:id="2044" w:name="_Toc868"/>
      <w:bookmarkEnd w:id="2042"/>
      <w:bookmarkEnd w:id="2043"/>
      <w:r>
        <w:rPr>
          <w:rtl w:val="true"/>
        </w:rPr>
        <w:t>عتق حصۀ خود قبل از أخذ قيمت</w:t>
      </w:r>
      <w:bookmarkEnd w:id="2044"/>
    </w:p>
    <w:p>
      <w:pPr>
        <w:pStyle w:val="BookText"/>
        <w:rPr/>
      </w:pPr>
      <w:r>
        <w:rPr>
          <w:rFonts w:ascii="IRNazanin" w:hAnsi="IRNazanin" w:eastAsia="IRNazanin"/>
          <w:color w:val="111111"/>
          <w:sz w:val="28"/>
          <w:sz w:val="28"/>
          <w:szCs w:val="28"/>
          <w:rtl w:val="true"/>
          <w:lang w:bidi="fa-IR"/>
        </w:rPr>
        <w:t>اگر شريك معتِق عتق نمود حصۀ خود را قبل از اخذ قيمت يا آنچه به منزلۀ اخذ است، پس بنا بر انعتاق كلّ به مجرد عتق اول، محلى براى عتق دوم نيست؛ و بنا بر توقف بر اداى قيمت پس نافذ است على الظاهر بلكه عتق مجانى به منزلۀ اداى قيمت است به شريك پس انعتاق معاً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موقوف باشد انعتاق به اداى قيمت اگر چه كاشف باشد، پس ذكر شد كه عتق مجانى و بلاعوض به منزله اداى قيمت است به حسب نتيجه كه تكميل حرّيت است</w:t>
      </w:r>
      <w:r>
        <w:rPr>
          <w:rFonts w:eastAsia="IRNazanin" w:cs="IRNazanin"/>
          <w:color w:val="111111"/>
          <w:sz w:val="28"/>
          <w:szCs w:val="28"/>
          <w:rtl w:val="true"/>
          <w:lang w:bidi="fa-IR"/>
        </w:rPr>
        <w:t>.</w:t>
      </w:r>
    </w:p>
    <w:p>
      <w:pPr>
        <w:pStyle w:val="Heading5"/>
        <w:numPr>
          <w:ilvl w:val="4"/>
          <w:numId w:val="1"/>
        </w:numPr>
        <w:rPr/>
      </w:pPr>
      <w:bookmarkStart w:id="2045" w:name="__RefHeading___Toc3808713_1067777946"/>
      <w:bookmarkStart w:id="2046" w:name="_Toc869"/>
      <w:bookmarkEnd w:id="2045"/>
      <w:r>
        <w:rPr>
          <w:rtl w:val="true"/>
        </w:rPr>
        <w:t>تصرف در جاريه قبل از أخذ قيمت</w:t>
      </w:r>
      <w:bookmarkEnd w:id="2046"/>
    </w:p>
    <w:p>
      <w:pPr>
        <w:pStyle w:val="BookText"/>
        <w:rPr/>
      </w:pPr>
      <w:r>
        <w:rPr>
          <w:rFonts w:ascii="IRNazanin" w:hAnsi="IRNazanin" w:eastAsia="IRNazanin"/>
          <w:color w:val="111111"/>
          <w:sz w:val="28"/>
          <w:sz w:val="28"/>
          <w:szCs w:val="28"/>
          <w:rtl w:val="true"/>
          <w:lang w:bidi="fa-IR"/>
        </w:rPr>
        <w:t>اگر وطى كرد شريك، جاريه را قبل از اخذ قيمت، پس بنا بر انعتاق به مجرد اعتاق، حكم وطى حرّه را دارد؛ و ممكن است جهل به انعتاق و عدم جواز وطى مبعّض، شبهه باشد، پس در صورت اكراه يا شبهه در صورت زنا، مستحق تمام مهر 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انعتاق به ادا، نصف آن حرّ است و به آن سبب، نصف مهر المثل را مستحق است در صورت اكراه يا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مراعىٰ بودن و كاشفيّت ادا از انعتاق به عتق اول، حكم تقدير اوّل را دارد، و اللّٰه العالم</w:t>
      </w:r>
      <w:r>
        <w:rPr>
          <w:rFonts w:eastAsia="IRNazanin" w:cs="IRNazanin"/>
          <w:color w:val="111111"/>
          <w:sz w:val="28"/>
          <w:szCs w:val="28"/>
          <w:rtl w:val="true"/>
          <w:lang w:bidi="fa-IR"/>
        </w:rPr>
        <w:t>.</w:t>
      </w:r>
    </w:p>
    <w:p>
      <w:pPr>
        <w:pStyle w:val="Heading5"/>
        <w:numPr>
          <w:ilvl w:val="4"/>
          <w:numId w:val="1"/>
        </w:numPr>
        <w:rPr/>
      </w:pPr>
      <w:bookmarkStart w:id="2047" w:name="__RefHeading___Toc3808715_1067777946"/>
      <w:bookmarkStart w:id="2048" w:name="_Toc870"/>
      <w:bookmarkEnd w:id="2047"/>
      <w:r>
        <w:rPr>
          <w:rtl w:val="true"/>
        </w:rPr>
        <w:t>فرار يا إعسار معتِق</w:t>
      </w:r>
      <w:bookmarkEnd w:id="204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معتِق فرار كرد يا معسر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مرجوّ الزوال و مرجوّ العود بود صبر مى نمايد تا عود نمايد معتق در صورتى كه شريك، متضرر نباشد به نحوى كه تحمل آن ننمايد، و حكم به رقيّت باقى است تا زمان عود هارب و يسار و اداى قيمت حصۀ شريك به او بنا بر دخالت ادا در انعتاق، وگرنه انعتاق به نفس عتق اول، حاصل و قيمت، دين است بر هارب تا وقت رجوع و وصول؛ و در ارتفاع حجر و منع از نقل در تقدير دخالت ادا به واسطۀ فرار و عجز، تأمّل است و در لوازم آن بر تقدير ارتفاع و تحقّق نقل از ملك</w:t>
      </w:r>
      <w:r>
        <w:rPr>
          <w:rFonts w:eastAsia="IRNazanin" w:cs="IRNazanin"/>
          <w:color w:val="111111"/>
          <w:sz w:val="28"/>
          <w:szCs w:val="28"/>
          <w:rtl w:val="true"/>
          <w:lang w:bidi="fa-IR"/>
        </w:rPr>
        <w:t xml:space="preserve">. </w:t>
      </w:r>
      <w:bookmarkStart w:id="2049" w:name="pg10265_90104"/>
    </w:p>
    <w:p>
      <w:pPr>
        <w:pStyle w:val="BookText"/>
        <w:rPr/>
      </w:pPr>
      <w:bookmarkEnd w:id="2049"/>
      <w:r>
        <w:rPr>
          <w:rFonts w:ascii="IRNazanin" w:hAnsi="IRNazanin" w:eastAsia="IRNazanin"/>
          <w:color w:val="111111"/>
          <w:sz w:val="28"/>
          <w:sz w:val="28"/>
          <w:szCs w:val="28"/>
          <w:rtl w:val="true"/>
          <w:lang w:bidi="fa-IR"/>
        </w:rPr>
        <w:t xml:space="preserve">و در صورتى كه مرجوّ العود و الزوال نباشد و قائل به دخالت ادا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اظهر است در آن جايى كه اگر بود، استخدام به حصۀ شريك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فوت از شريك شده است، مگر آنكه من باب الاتّفاق عود و ادا و عتق بقيه حاصل بشود</w:t>
      </w:r>
      <w:r>
        <w:rPr>
          <w:rFonts w:eastAsia="IRNazanin" w:cs="IRNazanin"/>
          <w:color w:val="111111"/>
          <w:sz w:val="28"/>
          <w:szCs w:val="28"/>
          <w:rtl w:val="true"/>
          <w:lang w:bidi="fa-IR"/>
        </w:rPr>
        <w:t>.</w:t>
      </w:r>
    </w:p>
    <w:p>
      <w:pPr>
        <w:pStyle w:val="Heading5"/>
        <w:numPr>
          <w:ilvl w:val="4"/>
          <w:numId w:val="1"/>
        </w:numPr>
        <w:rPr/>
      </w:pPr>
      <w:bookmarkStart w:id="2050" w:name="__RefHeading___Toc3808717_1067777946"/>
      <w:bookmarkStart w:id="2051" w:name="_Toc871"/>
      <w:bookmarkEnd w:id="2050"/>
      <w:r>
        <w:rPr>
          <w:rtl w:val="true"/>
        </w:rPr>
        <w:t>درخواست فكّ رقّيّت</w:t>
      </w:r>
      <w:bookmarkEnd w:id="2051"/>
    </w:p>
    <w:p>
      <w:pPr>
        <w:pStyle w:val="BookText"/>
        <w:rPr/>
      </w:pPr>
      <w:r>
        <w:rPr>
          <w:rFonts w:ascii="IRNazanin" w:hAnsi="IRNazanin" w:eastAsia="IRNazanin"/>
          <w:color w:val="111111"/>
          <w:sz w:val="28"/>
          <w:sz w:val="28"/>
          <w:szCs w:val="28"/>
          <w:rtl w:val="true"/>
          <w:lang w:bidi="fa-IR"/>
        </w:rPr>
        <w:t>اگر مملوك خواست از شريك، فكّ رقيّت خود را با بيع و نحو آن، واجب نيست بر شريك، قبول اين خصوصيّت در طريق عتق، و لكن تأخير عتق براى طلب قيمت از معتِق در صورت عدم حرجيّت قبول، جائز نيست</w:t>
      </w:r>
      <w:r>
        <w:rPr>
          <w:rFonts w:eastAsia="IRNazanin" w:cs="IRNazanin"/>
          <w:color w:val="111111"/>
          <w:sz w:val="28"/>
          <w:szCs w:val="28"/>
          <w:rtl w:val="true"/>
          <w:lang w:bidi="fa-IR"/>
        </w:rPr>
        <w:t>.</w:t>
      </w:r>
    </w:p>
    <w:p>
      <w:pPr>
        <w:pStyle w:val="Heading5"/>
        <w:numPr>
          <w:ilvl w:val="4"/>
          <w:numId w:val="1"/>
        </w:numPr>
        <w:rPr/>
      </w:pPr>
      <w:bookmarkStart w:id="2052" w:name="__RefHeading___Toc3808719_1067777946"/>
      <w:bookmarkStart w:id="2053" w:name="_Toc872"/>
      <w:bookmarkEnd w:id="2052"/>
      <w:r>
        <w:rPr>
          <w:rtl w:val="true"/>
        </w:rPr>
        <w:t>موسر شدن معسر</w:t>
      </w:r>
      <w:bookmarkEnd w:id="2053"/>
    </w:p>
    <w:p>
      <w:pPr>
        <w:pStyle w:val="BookText"/>
        <w:rPr/>
      </w:pPr>
      <w:r>
        <w:rPr>
          <w:rFonts w:ascii="IRNazanin" w:hAnsi="IRNazanin" w:eastAsia="IRNazanin"/>
          <w:color w:val="111111"/>
          <w:sz w:val="28"/>
          <w:sz w:val="28"/>
          <w:szCs w:val="28"/>
          <w:rtl w:val="true"/>
          <w:lang w:bidi="fa-IR"/>
        </w:rPr>
        <w:t>اگر در حال عتق، معسر بود و بعد از سعى مملوك و قبل از تأديه موسر شد، اظهر جواز رجوع مملوك به معتق است، به خلاف صورت تأديۀ بعض در خصوص آنچه مؤدى به شريك است اگر قائل شديم به حصول عتق مقابل تأديه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معسر بود و قبل از تمام سعى موسر شد، پس بالنسبه به بعض مقدّم بر سعى، تقويم بر معتق مى شود، و رجوع بالنسبه به سابق با تأديه و انعتاق مقابل نيست، به خلاف تقدير عدم تأديه حاصل از سعى در بعض قيمت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موسر بود و قبل از تأديه تمام، متجدّد شد اعسار معتِق، منتظر مى شوند با عدم تضرر غير متحمَّل؛ وگرنه منتقل به سعى در باقى قيمت از مملوك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5"/>
        <w:numPr>
          <w:ilvl w:val="4"/>
          <w:numId w:val="1"/>
        </w:numPr>
        <w:rPr/>
      </w:pPr>
      <w:bookmarkStart w:id="2054" w:name="__RefHeading___Toc3808721_1067777946"/>
      <w:bookmarkStart w:id="2055" w:name="_Toc873"/>
      <w:bookmarkEnd w:id="2054"/>
      <w:r>
        <w:rPr>
          <w:rtl w:val="true"/>
        </w:rPr>
        <w:t>ادّعا و انكار عتق در فرض شراكت</w:t>
      </w:r>
      <w:bookmarkEnd w:id="2055"/>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ادعا كرد بر احد الشريكين كه ديگرى عتق كرده است نصيب خودش را در حال يسار پس انكار كرد، ثابت نمى شود موضوع تكليف به اداء قيمت، و براى منكر، حلف است و نصيب او رقّ است با يمين او، و نصيب مدّعى حرّ است به اقرار او مجّاناً، مگر با دخالت اداء كه باقى است در رقّيّت؛ و اگر نكول كرد، مستحق است </w:t>
      </w:r>
      <w:bookmarkStart w:id="2056" w:name="pg10265_90105"/>
    </w:p>
    <w:p>
      <w:pPr>
        <w:pStyle w:val="BookText"/>
        <w:rPr/>
      </w:pPr>
      <w:bookmarkEnd w:id="2056"/>
      <w:r>
        <w:rPr>
          <w:rFonts w:ascii="IRNazanin" w:hAnsi="IRNazanin" w:eastAsia="IRNazanin"/>
          <w:color w:val="111111"/>
          <w:sz w:val="28"/>
          <w:sz w:val="28"/>
          <w:szCs w:val="28"/>
          <w:rtl w:val="true"/>
          <w:lang w:bidi="fa-IR"/>
        </w:rPr>
        <w:t xml:space="preserve">مدّعى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يمين مردوده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نصيب خود را از منكر، و نصيب منكر در رقّيّت باقى است؛ و با يمين مردوده، چه به منزلۀ اقرار باشد يا بيّنه، استحقاق مدّعى قيمت را، ثابت مى شود، نه شهادت او در بارۀ مملوك، بلكه در حقّ مدّعى بالخصوص</w:t>
      </w:r>
      <w:r>
        <w:rPr>
          <w:rFonts w:eastAsia="IRNazanin" w:cs="IRNazanin"/>
          <w:color w:val="111111"/>
          <w:sz w:val="28"/>
          <w:szCs w:val="28"/>
          <w:rtl w:val="true"/>
          <w:lang w:bidi="fa-IR"/>
        </w:rPr>
        <w:t>.</w:t>
      </w:r>
    </w:p>
    <w:p>
      <w:pPr>
        <w:pStyle w:val="Heading5"/>
        <w:numPr>
          <w:ilvl w:val="4"/>
          <w:numId w:val="1"/>
        </w:numPr>
        <w:rPr/>
      </w:pPr>
      <w:bookmarkStart w:id="2057" w:name="__RefHeading___Toc3808723_1067777946"/>
      <w:bookmarkStart w:id="2058" w:name="_Toc874"/>
      <w:bookmarkEnd w:id="2057"/>
      <w:r>
        <w:rPr>
          <w:rtl w:val="true"/>
        </w:rPr>
        <w:t>تفرقه بين اقرار به سريان عتق و عتق موجب سريان</w:t>
      </w:r>
      <w:bookmarkEnd w:id="2058"/>
    </w:p>
    <w:p>
      <w:pPr>
        <w:pStyle w:val="BookText"/>
        <w:rPr/>
      </w:pPr>
      <w:r>
        <w:rPr>
          <w:rFonts w:ascii="IRNazanin" w:hAnsi="IRNazanin" w:eastAsia="IRNazanin"/>
          <w:color w:val="111111"/>
          <w:sz w:val="28"/>
          <w:sz w:val="28"/>
          <w:szCs w:val="28"/>
          <w:rtl w:val="true"/>
          <w:lang w:bidi="fa-IR"/>
        </w:rPr>
        <w:t>و اقرار مدّعى به سريان عتق، غير اقرار او به عتق موجب سريان است؛ و دومى دعوى است بر عليه منكر و شهادت است براى مملوك، و مثبت مدّعىٰ و مورد شهادت نيست؛ كما اينكه اقرار او مثبت اصل انعتاق حصّۀ خود مدّعى است نه سبب آن كه عتق اوّلى باشد؛ پس ثابت مى شود اصل حرّيت نصيب خودش به اقرار، و استحقاق قيمت با يمين مردوده، و ثابت نمى شود حرّيت نصيب منكر</w:t>
      </w:r>
      <w:r>
        <w:rPr>
          <w:rFonts w:eastAsia="IRNazanin" w:cs="IRNazanin"/>
          <w:color w:val="111111"/>
          <w:sz w:val="28"/>
          <w:szCs w:val="28"/>
          <w:rtl w:val="true"/>
          <w:lang w:bidi="fa-IR"/>
        </w:rPr>
        <w:t>.</w:t>
      </w:r>
    </w:p>
    <w:p>
      <w:pPr>
        <w:pStyle w:val="Heading5"/>
        <w:numPr>
          <w:ilvl w:val="4"/>
          <w:numId w:val="1"/>
        </w:numPr>
        <w:rPr/>
      </w:pPr>
      <w:bookmarkStart w:id="2059" w:name="__RefHeading___Toc3808725_1067777946"/>
      <w:bookmarkStart w:id="2060" w:name="_Toc875"/>
      <w:bookmarkEnd w:id="2059"/>
      <w:r>
        <w:rPr>
          <w:rtl w:val="true"/>
        </w:rPr>
        <w:t>اختلاف معتِق و شريك در قيمت مملوك</w:t>
      </w:r>
      <w:bookmarkEnd w:id="2060"/>
    </w:p>
    <w:p>
      <w:pPr>
        <w:pStyle w:val="BookText"/>
        <w:rPr/>
      </w:pPr>
      <w:r>
        <w:rPr>
          <w:rFonts w:ascii="IRNazanin" w:hAnsi="IRNazanin" w:eastAsia="IRNazanin"/>
          <w:color w:val="111111"/>
          <w:sz w:val="28"/>
          <w:sz w:val="28"/>
          <w:szCs w:val="28"/>
          <w:rtl w:val="true"/>
          <w:lang w:bidi="fa-IR"/>
        </w:rPr>
        <w:t>اگر اختلاف كردند معتِق و شريك در قيمت مملوك و ممكن نشد رفع اختلاف، اظهر تقديم قول معتق است كه منكر زيادتى قيمت و اشتغال ذمه او به زائد است، چه قائل به تعجيل سرايت باشيم يا توقف بر اداء قيمت لازمه</w:t>
      </w:r>
      <w:r>
        <w:rPr>
          <w:rFonts w:eastAsia="IRNazanin" w:cs="IRNazanin"/>
          <w:color w:val="111111"/>
          <w:sz w:val="28"/>
          <w:szCs w:val="28"/>
          <w:rtl w:val="true"/>
          <w:lang w:bidi="fa-IR"/>
        </w:rPr>
        <w:t>.</w:t>
      </w:r>
    </w:p>
    <w:p>
      <w:pPr>
        <w:pStyle w:val="Heading5"/>
        <w:numPr>
          <w:ilvl w:val="4"/>
          <w:numId w:val="1"/>
        </w:numPr>
        <w:rPr/>
      </w:pPr>
      <w:bookmarkStart w:id="2061" w:name="__RefHeading___Toc3808727_1067777946"/>
      <w:bookmarkStart w:id="2062" w:name="_Toc876"/>
      <w:bookmarkEnd w:id="2061"/>
      <w:r>
        <w:rPr>
          <w:rtl w:val="true"/>
        </w:rPr>
        <w:t>ادّعاى عيب در مملوك توسّط معتِق</w:t>
      </w:r>
      <w:bookmarkEnd w:id="2062"/>
    </w:p>
    <w:p>
      <w:pPr>
        <w:pStyle w:val="BookText"/>
        <w:rPr/>
      </w:pPr>
      <w:r>
        <w:rPr>
          <w:rFonts w:ascii="IRNazanin" w:hAnsi="IRNazanin" w:eastAsia="IRNazanin"/>
          <w:color w:val="111111"/>
          <w:sz w:val="28"/>
          <w:sz w:val="28"/>
          <w:szCs w:val="28"/>
          <w:rtl w:val="true"/>
          <w:lang w:bidi="fa-IR"/>
        </w:rPr>
        <w:t>اگر معتِق ادعاى عيبى در مملوك كرد و ممكن نبود استعلام آن، تصديق مى شود شريك كه منكر است با حلف او، و مستند به اصل سلامت است؛ به خلاف نزاع در زوال عيب سابق كه معتِق مصدَّق است با حلف او بر بقاى ما كان</w:t>
      </w:r>
      <w:r>
        <w:rPr>
          <w:rFonts w:eastAsia="IRNazanin" w:cs="IRNazanin"/>
          <w:color w:val="111111"/>
          <w:sz w:val="28"/>
          <w:szCs w:val="28"/>
          <w:rtl w:val="true"/>
          <w:lang w:bidi="fa-IR"/>
        </w:rPr>
        <w:t>.</w:t>
      </w:r>
    </w:p>
    <w:p>
      <w:pPr>
        <w:pStyle w:val="Heading5"/>
        <w:numPr>
          <w:ilvl w:val="4"/>
          <w:numId w:val="1"/>
        </w:numPr>
        <w:rPr/>
      </w:pPr>
      <w:bookmarkStart w:id="2063" w:name="__RefHeading___Toc3808729_1067777946"/>
      <w:bookmarkStart w:id="2064" w:name="_Toc877"/>
      <w:bookmarkEnd w:id="2063"/>
      <w:r>
        <w:rPr>
          <w:rtl w:val="true"/>
        </w:rPr>
        <w:t>ادّعاى صنعت در مملوك</w:t>
      </w:r>
      <w:bookmarkEnd w:id="2064"/>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شريك، مدّعىِ صنعتى بود در مملوك كه موجب زيادتى قيمت او بود و ممكن نبود استعلام، تصديق مى شود معتِق با حلف او بر عدم حدوث صنعت خاصه</w:t>
      </w:r>
      <w:r>
        <w:rPr>
          <w:rFonts w:eastAsia="IRNazanin" w:cs="IRNazanin"/>
          <w:color w:val="111111"/>
          <w:sz w:val="28"/>
          <w:szCs w:val="28"/>
          <w:rtl w:val="true"/>
          <w:lang w:bidi="fa-IR"/>
        </w:rPr>
        <w:t xml:space="preserve">. </w:t>
      </w:r>
      <w:bookmarkStart w:id="2065" w:name="pg10265_90106"/>
    </w:p>
    <w:p>
      <w:pPr>
        <w:pStyle w:val="BookText"/>
        <w:rPr/>
      </w:pPr>
      <w:bookmarkEnd w:id="2065"/>
      <w:r>
        <w:rPr>
          <w:rFonts w:ascii="IRNazanin" w:hAnsi="IRNazanin" w:eastAsia="IRNazanin"/>
          <w:color w:val="111111"/>
          <w:sz w:val="28"/>
          <w:sz w:val="28"/>
          <w:szCs w:val="28"/>
          <w:rtl w:val="true"/>
          <w:lang w:bidi="fa-IR"/>
        </w:rPr>
        <w:t>و اگر فعلاً داراى صنعت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 بر توقف عتق بر اداء قيمت، تقويم مى شود با صنعت؛ و بنا بر سرايت به اعتاق، حلف ايقاع مى نمايد معتِق بر عدم سبق حدوث صنعت،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 لكن مستفاد از روايت، قيمت يوم اعتاق است؛ و اگر اختلاف شد، حلف معتق بر عدم سبق حدوث صنعت، مصدّق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اداى قيمت محقّق شد پس از آن شريك، مطالبۀ زيادتى قيمت به واسطۀ صنعت بود و اختلاف كردند در تأخّر صنعت از اداء يا تقدم آن، حلف معتق بر عدم سبق بر اداء، موجب تقديم قول او است</w:t>
      </w:r>
      <w:r>
        <w:rPr>
          <w:rFonts w:eastAsia="IRNazanin" w:cs="IRNazanin"/>
          <w:color w:val="111111"/>
          <w:sz w:val="28"/>
          <w:szCs w:val="28"/>
          <w:rtl w:val="true"/>
          <w:lang w:bidi="fa-IR"/>
        </w:rPr>
        <w:t>.</w:t>
      </w:r>
    </w:p>
    <w:p>
      <w:pPr>
        <w:pStyle w:val="Heading5"/>
        <w:numPr>
          <w:ilvl w:val="4"/>
          <w:numId w:val="1"/>
        </w:numPr>
        <w:rPr/>
      </w:pPr>
      <w:bookmarkStart w:id="2066" w:name="__RefHeading___Toc3808731_1067777946"/>
      <w:bookmarkStart w:id="2067" w:name="_Toc878"/>
      <w:bookmarkEnd w:id="2066"/>
      <w:r>
        <w:rPr>
          <w:rtl w:val="true"/>
        </w:rPr>
        <w:t>تحديد يسار در مقام</w:t>
      </w:r>
      <w:bookmarkEnd w:id="2067"/>
    </w:p>
    <w:p>
      <w:pPr>
        <w:pStyle w:val="BookText"/>
        <w:rPr/>
      </w:pPr>
      <w:r>
        <w:rPr>
          <w:rFonts w:ascii="Amiri" w:hAnsi="Amiri" w:eastAsia="Amiri" w:cs="Amiri"/>
          <w:color w:val="111111"/>
          <w:sz w:val="28"/>
          <w:sz w:val="28"/>
          <w:szCs w:val="28"/>
          <w:rtl w:val="true"/>
          <w:lang w:bidi="ar-SA"/>
        </w:rPr>
        <w:t xml:space="preserve">و در تحديد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مقام، مخالفت در كلمات متأخّرين واقع است، و استثناى قوت يوم و ليله براى خود و واجب النفقۀ خودش مسلّم است؛ و در استثناى مستثنيات دَين از قبيل مسكن و خادم بلكه عموم به صورت دين مستغرق اموال موجوده، خلاف است؛ و تحديد به عدم عسر و حرج شخصى در تقويم و مرتبه آن در تمام نصيب شريك يا مقدارى از آن، خالى از وجه موافق با مفهوم سعه و يسار در مقابل مُعسِر نيست</w:t>
      </w:r>
      <w:r>
        <w:rPr>
          <w:rFonts w:eastAsia="Amiri" w:cs="Amiri" w:ascii="Amiri" w:hAnsi="Amiri"/>
          <w:color w:val="111111"/>
          <w:sz w:val="28"/>
          <w:szCs w:val="28"/>
          <w:rtl w:val="true"/>
          <w:lang w:bidi="ar-SA"/>
        </w:rPr>
        <w:t>.</w:t>
      </w:r>
    </w:p>
    <w:p>
      <w:pPr>
        <w:pStyle w:val="Heading5"/>
        <w:numPr>
          <w:ilvl w:val="4"/>
          <w:numId w:val="1"/>
        </w:numPr>
        <w:rPr/>
      </w:pPr>
      <w:bookmarkStart w:id="2068" w:name="__RefHeading___Toc3808733_1067777946"/>
      <w:bookmarkStart w:id="2069" w:name="_Toc879"/>
      <w:bookmarkEnd w:id="2068"/>
      <w:r>
        <w:rPr>
          <w:rtl w:val="true"/>
        </w:rPr>
        <w:t>وصيت به عتق در مرض موت</w:t>
      </w:r>
      <w:bookmarkEnd w:id="2069"/>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مريض به مرض موت، در زائد بر ثلث، معسر است بنا بر لحوق منجّز او به معلّق به موت به وصيّت، پس سرايت به تقويم بر مريض معتِق نمى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ميّت مطلقاً معسر است پس اگر وصيّت به اقلّ از ثلث كرده است، سرايت تا مقدار ثلث نمى نمايد به تقويم بر موصى،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وفاق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دو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اينجا معلوم مى شود حكم وصيّت به عتق نصيب خود و نصيب شريك؛ و در مواردى كه </w:t>
      </w:r>
      <w:bookmarkStart w:id="2070" w:name="pg10265_90107"/>
    </w:p>
    <w:p>
      <w:pPr>
        <w:pStyle w:val="BookText"/>
        <w:rPr/>
      </w:pPr>
      <w:bookmarkEnd w:id="2070"/>
      <w:r>
        <w:rPr>
          <w:rFonts w:ascii="IRNazanin" w:hAnsi="IRNazanin" w:eastAsia="IRNazanin"/>
          <w:color w:val="111111"/>
          <w:sz w:val="28"/>
          <w:sz w:val="28"/>
          <w:szCs w:val="28"/>
          <w:rtl w:val="true"/>
          <w:lang w:bidi="fa-IR"/>
        </w:rPr>
        <w:t xml:space="preserve">سرايت به تقويم بر معتِق نيست سعى بر مملوك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عدم مانع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w:t>
      </w:r>
    </w:p>
    <w:p>
      <w:pPr>
        <w:pStyle w:val="Heading5"/>
        <w:numPr>
          <w:ilvl w:val="4"/>
          <w:numId w:val="1"/>
        </w:numPr>
        <w:rPr/>
      </w:pPr>
      <w:bookmarkStart w:id="2071" w:name="__RefHeading___Toc3808735_1067777946"/>
      <w:bookmarkStart w:id="2072" w:name="_Toc880"/>
      <w:bookmarkEnd w:id="2071"/>
      <w:r>
        <w:rPr>
          <w:rtl w:val="true"/>
        </w:rPr>
        <w:t>انتقال حصّه اى از مملوك منعتق عليه به وراثت</w:t>
      </w:r>
      <w:bookmarkEnd w:id="2072"/>
    </w:p>
    <w:p>
      <w:pPr>
        <w:pStyle w:val="BookText"/>
        <w:rPr/>
      </w:pPr>
      <w:r>
        <w:rPr>
          <w:rFonts w:ascii="IRNazanin" w:hAnsi="IRNazanin" w:eastAsia="IRNazanin"/>
          <w:color w:val="111111"/>
          <w:sz w:val="28"/>
          <w:sz w:val="28"/>
          <w:szCs w:val="28"/>
          <w:rtl w:val="true"/>
          <w:lang w:bidi="fa-IR"/>
        </w:rPr>
        <w:t>اگر به وراثت، منتقل شد به او حصۀ از مملوكى كه منعتق بر شخص مى شود، مثل عمودَين، اظهر عدم سرايت به تقويم بر وارثِ مفروض است، نظر به عدم تحقّق اعتاق اختيارى؛ و در اختيار اشتراء يا اتّهاب آنها كه مستلزم عتق حصّه است، تأمّل است در سرايت به تقويم بر اختيار كنندۀ سبب عتق حصه از عمودَين مثلاً</w:t>
      </w:r>
      <w:r>
        <w:rPr>
          <w:rFonts w:eastAsia="IRNazanin" w:cs="IRNazanin"/>
          <w:color w:val="111111"/>
          <w:sz w:val="28"/>
          <w:szCs w:val="28"/>
          <w:rtl w:val="true"/>
          <w:lang w:bidi="fa-IR"/>
        </w:rPr>
        <w:t>.</w:t>
      </w:r>
    </w:p>
    <w:p>
      <w:pPr>
        <w:pStyle w:val="Heading5"/>
        <w:numPr>
          <w:ilvl w:val="4"/>
          <w:numId w:val="1"/>
        </w:numPr>
        <w:rPr/>
      </w:pPr>
      <w:bookmarkStart w:id="2073" w:name="__RefHeading___Toc3808737_1067777946"/>
      <w:bookmarkStart w:id="2074" w:name="_Toc881"/>
      <w:bookmarkEnd w:id="2073"/>
      <w:r>
        <w:rPr>
          <w:rtl w:val="true"/>
        </w:rPr>
        <w:t>وصيّت به ثلث و عتق</w:t>
      </w:r>
      <w:bookmarkEnd w:id="2074"/>
    </w:p>
    <w:p>
      <w:pPr>
        <w:pStyle w:val="BookText"/>
        <w:rPr/>
      </w:pPr>
      <w:r>
        <w:rPr>
          <w:rFonts w:ascii="IRNazanin" w:hAnsi="IRNazanin" w:eastAsia="IRNazanin"/>
          <w:color w:val="111111"/>
          <w:sz w:val="28"/>
          <w:sz w:val="28"/>
          <w:szCs w:val="28"/>
          <w:rtl w:val="true"/>
          <w:lang w:bidi="fa-IR"/>
        </w:rPr>
        <w:t xml:space="preserve">اگر وصيّت به ثلث مال نمايد بدون تعيين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مصرف آن به حكم شرع وجوه برّ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وصيّت كرد به مقدارى از مملوك كه عتق بشود، به منزلۀ تعيين وصيّت اُولىٰ در ثانيه است، و مثل اين است كه ابتدائاً وصيّت به بعض از مملوك كرد در سرايت به مقدار ثلث يا مطلقاً يا عدم سرايت رأساً چنانچه اختيار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وصيّت كرد به عتق نصيب و تكميل، پس اگر تكميل به مقدار ثلث بود، به منزله وصيّت به عتق ثلث است؛ و اگر تكميل به نصيب شريك است، پس مثل وصيّت به هر دو نصيب است در آنچه گذشت</w:t>
      </w:r>
      <w:r>
        <w:rPr>
          <w:rFonts w:eastAsia="IRNazanin" w:cs="IRNazanin"/>
          <w:color w:val="111111"/>
          <w:sz w:val="28"/>
          <w:szCs w:val="28"/>
          <w:rtl w:val="true"/>
          <w:lang w:bidi="fa-IR"/>
        </w:rPr>
        <w:t>.</w:t>
      </w:r>
    </w:p>
    <w:p>
      <w:pPr>
        <w:pStyle w:val="Heading5"/>
        <w:numPr>
          <w:ilvl w:val="4"/>
          <w:numId w:val="1"/>
        </w:numPr>
        <w:rPr/>
      </w:pPr>
      <w:bookmarkStart w:id="2075" w:name="__RefHeading___Toc3808739_1067777946"/>
      <w:bookmarkStart w:id="2076" w:name="_Toc882"/>
      <w:bookmarkEnd w:id="2075"/>
      <w:r>
        <w:rPr>
          <w:rtl w:val="true"/>
        </w:rPr>
        <w:t>اعتبار در قيمت غير معتق</w:t>
      </w:r>
      <w:bookmarkEnd w:id="2076"/>
    </w:p>
    <w:p>
      <w:pPr>
        <w:pStyle w:val="BookText"/>
        <w:rPr/>
      </w:pPr>
      <w:r>
        <w:rPr>
          <w:rFonts w:ascii="IRNazanin" w:hAnsi="IRNazanin" w:eastAsia="IRNazanin"/>
          <w:color w:val="111111"/>
          <w:sz w:val="28"/>
          <w:sz w:val="28"/>
          <w:szCs w:val="28"/>
          <w:rtl w:val="true"/>
          <w:lang w:bidi="fa-IR"/>
        </w:rPr>
        <w:t xml:space="preserve">و اعتبار در قيمت غير 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موصىٰ بعتقه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وفات و حصول عتق است، و زائد بر ثلث حاصل در آن وقت بر ورثه نيست و سرايت از ثلث موصىٰ به نمى كند، بلكه چون معسر است ميّت در آن زمان، بر مملوك سعى است</w:t>
      </w:r>
      <w:r>
        <w:rPr>
          <w:rFonts w:eastAsia="IRNazanin" w:cs="IRNazanin"/>
          <w:color w:val="111111"/>
          <w:sz w:val="28"/>
          <w:szCs w:val="28"/>
          <w:rtl w:val="true"/>
          <w:lang w:bidi="fa-IR"/>
        </w:rPr>
        <w:t>.</w:t>
      </w:r>
    </w:p>
    <w:p>
      <w:pPr>
        <w:pStyle w:val="Heading5"/>
        <w:numPr>
          <w:ilvl w:val="4"/>
          <w:numId w:val="1"/>
        </w:numPr>
        <w:rPr/>
      </w:pPr>
      <w:bookmarkStart w:id="2077" w:name="__RefHeading___Toc3808741_1067777946"/>
      <w:bookmarkStart w:id="2078" w:name="_Toc883"/>
      <w:bookmarkEnd w:id="2077"/>
      <w:r>
        <w:rPr>
          <w:rtl w:val="true"/>
        </w:rPr>
        <w:t>اعتبار در قيمت منجز</w:t>
      </w:r>
      <w:bookmarkEnd w:id="2078"/>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منجّز، اعتبار به قيمت وقت اعتاق است، چنانچه از روايات استفاده مى شود و </w:t>
      </w:r>
      <w:bookmarkStart w:id="2079" w:name="pg10265_90108"/>
    </w:p>
    <w:p>
      <w:pPr>
        <w:pStyle w:val="BookText"/>
        <w:rPr/>
      </w:pPr>
      <w:bookmarkEnd w:id="2079"/>
      <w:r>
        <w:rPr>
          <w:rFonts w:ascii="IRNazanin" w:hAnsi="IRNazanin" w:eastAsia="IRNazanin"/>
          <w:color w:val="111111"/>
          <w:sz w:val="28"/>
          <w:sz w:val="28"/>
          <w:szCs w:val="28"/>
          <w:rtl w:val="true"/>
          <w:lang w:bidi="fa-IR"/>
        </w:rPr>
        <w:t>از امر به استسعاء در معسر و تقويم در موسر، استظهار مى شود، و در زائد بر ثلث بر ورثه چيزى نيست؛ و اگر با ملاحظۀ بعض قيمت با تمام قيمت از ثلث در آن زمان تجاوز مى كند، خصوص مقدار ثلث از مال معتِق موسر است و بقيه مورد سعى مملوك است و بر ورثه چيزى نيست بنا بر لحوق منجّز به معلّق به 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زيادتى بين زمان عتق و وفات، داخل در عتق منجّز مى شود اگر چه از ثلث اموال در زمان عتق تجاوز نمايد و از قيمت مملوك زائد نباشد؛ پس هرچه متجدّد بشود قبل از وفات، آنچه از ثلث مجموع اموال قبل از وفات تجاوز ننمايد، چه آنكه داخل معتَق باشد يا آنكه مورد تقويم بر 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سرايت محقّق مى شود نه در زائد بر ثلث اموال قبل از وفات؛ و لازم نيست بعد از اعتبار در قيمت 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قيمت آن وقت عتق، بقاى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در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حين وفات، و عتق سابق نافذ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زيادتى اموال شد تا مقدار تمام ثلث قبل از وفات، نافذ و مؤثّر در تقويم خواهد بود، و زيادتى قيمت در جزء حرّ و در جزء رقّ‌، تابع خود جزء مزيدٌ عليه است؛ پس مقابل حرّ مثل كسب حرّ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تلف بين اين دو زمان، موجب تضرر وارث نيست و مثل تلف مملوك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امثلۀ حسابيّۀ زيادتى بين اين دو زمان يا نقصان ماليّت بين اين دو زمان، مذكور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منقول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تفصيل محاسبه به جبر و مقابله براى استخراج قدر معتَق به سرايت و غير آن بر حسب احد القولين فاضل كه اعتبار در منجّز و معلّق به زمان فوت است،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w:t>
      </w:r>
      <w:r>
        <w:rPr>
          <w:rFonts w:eastAsia="IRNazanin" w:cs="IRNazanin"/>
          <w:color w:val="111111"/>
          <w:sz w:val="28"/>
          <w:szCs w:val="28"/>
          <w:rtl w:val="true"/>
          <w:lang w:bidi="fa-IR"/>
        </w:rPr>
        <w:t>.</w:t>
      </w:r>
    </w:p>
    <w:p>
      <w:pPr>
        <w:pStyle w:val="Heading5"/>
        <w:numPr>
          <w:ilvl w:val="4"/>
          <w:numId w:val="1"/>
        </w:numPr>
        <w:rPr/>
      </w:pPr>
      <w:bookmarkStart w:id="2080" w:name="__RefHeading___Toc3808743_1067777946"/>
      <w:bookmarkStart w:id="2081" w:name="_Toc884"/>
      <w:bookmarkEnd w:id="2080"/>
      <w:r>
        <w:rPr>
          <w:rtl w:val="true"/>
        </w:rPr>
        <w:t xml:space="preserve">عبارت </w:t>
      </w:r>
      <w:r>
        <w:rPr>
          <w:rtl w:val="true"/>
        </w:rPr>
        <w:t>«</w:t>
      </w:r>
      <w:r>
        <w:rPr>
          <w:rtl w:val="true"/>
        </w:rPr>
        <w:t>مختلف</w:t>
      </w:r>
      <w:r>
        <w:rPr>
          <w:rtl w:val="true"/>
        </w:rPr>
        <w:t xml:space="preserve">» </w:t>
      </w:r>
      <w:r>
        <w:rPr>
          <w:rtl w:val="true"/>
        </w:rPr>
        <w:t>در مقام</w:t>
      </w:r>
      <w:bookmarkEnd w:id="2081"/>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 اين مسأله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العتق في المرض ثم تغيرت حالهم بزيادة او نقصان، كان التقويم يوم يقع العتق في الحكم؛ و إن كنّ مدبّرات أو بوصية، كان يوم يموت، لأنّ في ذلك وقع العتق؛ و ان كنّ حبالىٰ‌، قوّمن </w:t>
      </w:r>
      <w:bookmarkStart w:id="2082" w:name="pg10265_90109"/>
    </w:p>
    <w:p>
      <w:pPr>
        <w:pStyle w:val="BookText"/>
        <w:rPr/>
      </w:pPr>
      <w:bookmarkEnd w:id="2082"/>
      <w:r>
        <w:rPr>
          <w:rFonts w:ascii="Amiri" w:hAnsi="Amiri" w:eastAsia="Amiri" w:cs="Amiri"/>
          <w:color w:val="111111"/>
          <w:sz w:val="28"/>
          <w:sz w:val="28"/>
          <w:szCs w:val="28"/>
          <w:rtl w:val="true"/>
          <w:lang w:bidi="ar-SA"/>
        </w:rPr>
        <w:t>حبلىٰ‌؛ و ايّتهنّ عتقت، تبعها ولدها، لأنّه جزء منها وقت وقوع العتق؛ و الوجه، التسوية بين العتق المنجّز و المؤخّر كالتدبير و الوصيه في أنّ الاعتبار بالقيمه إنما هو وقت الوفاة إن نقصت قيمة المنجّز، لأنّه لو بقى عبداً لم ينحفظ على الورثة سوى قيمته الناقصة فلم يتلف عليهم أكثر منها، و أمّا ان زادت القيمة، كانت بمنزلة التكسّب للعلم بعتق شىء منه وقت الاعتاق، فإذا زادت قيمة المعتَق، لم تحسب من التركة و لا عليه؛ و أما الرقّ فيحسب زيادته منها؛ فان خلّف ضعف قيمته الاُولىٰ من غيره عتق كلّه، و إن خلّف أقلّ أو لم يخلّف شيئاً، دخلها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موافقت با ابن الجنيد حكايت شده است</w:t>
      </w:r>
      <w:r>
        <w:rPr>
          <w:rFonts w:eastAsia="Amiri" w:cs="Amiri" w:ascii="Amiri" w:hAnsi="Amiri"/>
          <w:color w:val="111111"/>
          <w:sz w:val="28"/>
          <w:szCs w:val="28"/>
          <w:rtl w:val="true"/>
          <w:lang w:bidi="ar-SA"/>
        </w:rPr>
        <w:t>.</w:t>
      </w:r>
    </w:p>
    <w:p>
      <w:pPr>
        <w:pStyle w:val="Heading5"/>
        <w:numPr>
          <w:ilvl w:val="4"/>
          <w:numId w:val="1"/>
        </w:numPr>
        <w:rPr/>
      </w:pPr>
      <w:bookmarkStart w:id="2083" w:name="__RefHeading___Toc3808745_1067777946"/>
      <w:bookmarkStart w:id="2084" w:name="_Toc885"/>
      <w:bookmarkEnd w:id="2083"/>
      <w:r>
        <w:rPr>
          <w:rtl w:val="true"/>
        </w:rPr>
        <w:t>اعتبار در قيمت تركه</w:t>
      </w:r>
      <w:bookmarkEnd w:id="2084"/>
    </w:p>
    <w:p>
      <w:pPr>
        <w:pStyle w:val="BookText"/>
        <w:rPr/>
      </w:pPr>
      <w:r>
        <w:rPr>
          <w:rFonts w:ascii="Amiri" w:hAnsi="Amiri" w:eastAsia="Amiri" w:cs="Amiri"/>
          <w:color w:val="111111"/>
          <w:sz w:val="28"/>
          <w:sz w:val="28"/>
          <w:szCs w:val="28"/>
          <w:rtl w:val="true"/>
          <w:lang w:bidi="ar-SA"/>
        </w:rPr>
        <w:t xml:space="preserve">و اعتبار در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با آن تحديد ثلث موصىٰ به و لو با ملاحظۀ تقويم موصىٰ به باشد و با آن تحديد زائد بر ثلث موصىٰ به كه مورد سعى موصى به عتق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اقلّ امرين ثابت از حين وفات موصىٖ و قبض وارث و وصىّ است، كه زائد بر آن امكان صرف در وصيّت ندارد، مثل تالف در بين اين دو زمان؛ و زيادات حاصله در بين اين دو زمان، مال ورثه است و داخل در ثلث موصىٰ به نيست، و مقابل آنها مورد سعى مملوك در عتق خودش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اعتبار در قيمت تركه به اقلّ امرين از حين وفات تا حصول قبض وارث است، كه نقصان در بين دو زمان، محسوب بر وارث نمى شود، و موصىٰ به از ثلث اقل امرين عتق مى شود و سرايت نمى كند در زائد، و بر مملوك، سعى در زائد است، و زيادتى در بين اين دو زمان، مملوك وارث است كه معتِق نيست، و مملوك موصىٖ نبوده تا در صورت وفاى ثلث، مورد سرايت باشد، يا آنكه تقويم بر او بشود</w:t>
      </w:r>
      <w:r>
        <w:rPr>
          <w:rFonts w:eastAsia="IRNazanin" w:cs="IRNazanin"/>
          <w:color w:val="111111"/>
          <w:sz w:val="28"/>
          <w:szCs w:val="28"/>
          <w:rtl w:val="true"/>
          <w:lang w:bidi="fa-IR"/>
        </w:rPr>
        <w:t>.</w:t>
      </w:r>
    </w:p>
    <w:p>
      <w:pPr>
        <w:pStyle w:val="Heading5"/>
        <w:numPr>
          <w:ilvl w:val="4"/>
          <w:numId w:val="1"/>
        </w:numPr>
        <w:rPr/>
      </w:pPr>
      <w:bookmarkStart w:id="2085" w:name="__RefHeading___Toc3808747_1067777946"/>
      <w:bookmarkStart w:id="2086" w:name="_Toc886"/>
      <w:bookmarkEnd w:id="2085"/>
      <w:r>
        <w:rPr>
          <w:rtl w:val="true"/>
        </w:rPr>
        <w:t>زيادتى قيمت قبل از موت</w:t>
      </w:r>
      <w:bookmarkEnd w:id="208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زيادتى قبل از موت، در اعتاق مريض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آنكه منجّز او از ثلث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bookmarkStart w:id="2087" w:name="pg10265_90110"/>
    </w:p>
    <w:p>
      <w:pPr>
        <w:pStyle w:val="BookText"/>
        <w:rPr/>
      </w:pPr>
      <w:bookmarkEnd w:id="2087"/>
      <w:r>
        <w:rPr>
          <w:rFonts w:ascii="IRNazanin" w:hAnsi="IRNazanin" w:eastAsia="IRNazanin"/>
          <w:color w:val="111111"/>
          <w:sz w:val="28"/>
          <w:sz w:val="28"/>
          <w:szCs w:val="28"/>
          <w:rtl w:val="true"/>
          <w:lang w:bidi="fa-IR"/>
        </w:rPr>
        <w:t xml:space="preserve">اگر قبل از تمام اداء قيمت باشد چون موسر است بالنسبه به آن زيادتى و زائد بر ثلث قبل از وفات نيست، بر معتِق تقويم مى شود به فحواى تقويم بر شريك، چون معتِق در مرض بالنسبه به زائد بر ثلث اموال در زمان عتق، مثل اجنبى است بنا بر آنكه منجّز او از اصل نيست، مگر آنكه بگوييم صيغۀ عتقِ واقع بر جميع كه مؤثّر در جزئى بود، قابل است از براى تأثير بعد از تجدّد مال و سعۀ 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براى تأثير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معتق اگر تمام زائد بر ثلث نباشد،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شيئاً ثم 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آنكه بر او واجب است مجدّداً عتق بقيه نمايد، چنانكه سرايت مى كند از عتق صحيح كه واقع بر جزئى باشد، و لكن نقصان قيمت، سبب تغيير از حرّيت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 از اداء و تحقّقِ عتقِ جميع باشد، تغيير نمى كند، و براى مملوك، رجوع به معتِق يا ورثۀ او نيست</w:t>
      </w:r>
      <w:r>
        <w:rPr>
          <w:rFonts w:eastAsia="IRNazanin" w:cs="IRNazanin"/>
          <w:color w:val="111111"/>
          <w:sz w:val="28"/>
          <w:szCs w:val="28"/>
          <w:rtl w:val="true"/>
          <w:lang w:bidi="fa-IR"/>
        </w:rPr>
        <w:t>.</w:t>
      </w:r>
    </w:p>
    <w:p>
      <w:pPr>
        <w:pStyle w:val="Heading5"/>
        <w:numPr>
          <w:ilvl w:val="4"/>
          <w:numId w:val="1"/>
        </w:numPr>
        <w:rPr/>
      </w:pPr>
      <w:bookmarkStart w:id="2088" w:name="__RefHeading___Toc3808749_1067777946"/>
      <w:bookmarkStart w:id="2089" w:name="_Toc887"/>
      <w:bookmarkEnd w:id="2088"/>
      <w:r>
        <w:rPr>
          <w:rtl w:val="true"/>
        </w:rPr>
        <w:t>تعلّق عتق منجّز يا تدبير به حامل</w:t>
      </w:r>
      <w:bookmarkEnd w:id="2089"/>
    </w:p>
    <w:p>
      <w:pPr>
        <w:pStyle w:val="BookText"/>
        <w:rPr/>
      </w:pPr>
      <w:r>
        <w:rPr>
          <w:rFonts w:ascii="IRNazanin" w:hAnsi="IRNazanin" w:eastAsia="IRNazanin"/>
          <w:color w:val="111111"/>
          <w:sz w:val="28"/>
          <w:sz w:val="28"/>
          <w:szCs w:val="28"/>
          <w:rtl w:val="true"/>
          <w:lang w:bidi="fa-IR"/>
        </w:rPr>
        <w:t xml:space="preserve">اگر عتق منجّز يا تدبير، تعلّق به حامل گرفت با سبق حمل بر يكى از اين دو يا لحوق، با علم به سبق يا عدم علم، اظهر استقلال حمل است و عدم تبعيّت در رقّيّت براى معتَقه يا مدبَّره، مگر با قرينۀ بر تبعيّت، چنانچه در صدر موثّقه مذكور است و به شهرت موافقۀ با اصول و قواعد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سرايت به حمل، منقول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جماعتى از اصحاب است، و استناد ايشان را به روايات ضعيفه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تبعيّتِ حمل را اگر چه استثنا نمايد،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جماعتى داده است و مستند را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و به سبب موافقت با عامّه و مخالفت با مشهور، اختيار مشهور از عدم تبعيّت نموده است، 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تقويت عدم سرايت نموده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بلى حاكم شرع كه ملاحظۀ مصالح شخصيّه مى نمايد، مى تواند مانع بشود از </w:t>
      </w:r>
      <w:bookmarkStart w:id="2090" w:name="pg10265_90111"/>
    </w:p>
    <w:p>
      <w:pPr>
        <w:pStyle w:val="BookText"/>
        <w:rPr/>
      </w:pPr>
      <w:bookmarkEnd w:id="2090"/>
      <w:r>
        <w:rPr>
          <w:rFonts w:ascii="IRNazanin" w:hAnsi="IRNazanin" w:eastAsia="IRNazanin"/>
          <w:color w:val="111111"/>
          <w:sz w:val="28"/>
          <w:sz w:val="28"/>
          <w:szCs w:val="28"/>
          <w:rtl w:val="true"/>
          <w:lang w:bidi="fa-IR"/>
        </w:rPr>
        <w:t>اضرار شخصىِ حاصل از مخالفت اُمّ و ولد احياناً، و از منكَر جلوگيرى نمايد</w:t>
      </w:r>
      <w:r>
        <w:rPr>
          <w:rFonts w:eastAsia="IRNazanin" w:cs="IRNazanin"/>
          <w:color w:val="111111"/>
          <w:sz w:val="28"/>
          <w:szCs w:val="28"/>
          <w:rtl w:val="true"/>
          <w:lang w:bidi="fa-IR"/>
        </w:rPr>
        <w:t>.</w:t>
      </w:r>
    </w:p>
    <w:p>
      <w:pPr>
        <w:pStyle w:val="Heading5"/>
        <w:numPr>
          <w:ilvl w:val="4"/>
          <w:numId w:val="1"/>
        </w:numPr>
        <w:rPr/>
      </w:pPr>
      <w:bookmarkStart w:id="2091" w:name="__RefHeading___Toc3808751_1067777946"/>
      <w:bookmarkStart w:id="2092" w:name="_Toc888"/>
      <w:bookmarkEnd w:id="2091"/>
      <w:r>
        <w:rPr>
          <w:rtl w:val="true"/>
        </w:rPr>
        <w:t>عتق بعض حامل</w:t>
      </w:r>
      <w:bookmarkEnd w:id="2092"/>
    </w:p>
    <w:p>
      <w:pPr>
        <w:pStyle w:val="BookText"/>
        <w:rPr/>
      </w:pPr>
      <w:r>
        <w:rPr>
          <w:rFonts w:ascii="IRNazanin" w:hAnsi="IRNazanin" w:eastAsia="IRNazanin"/>
          <w:color w:val="111111"/>
          <w:sz w:val="28"/>
          <w:sz w:val="28"/>
          <w:szCs w:val="28"/>
          <w:rtl w:val="true"/>
          <w:lang w:bidi="fa-IR"/>
        </w:rPr>
        <w:t xml:space="preserve">اگر عتق بعض حامل كرد و قائل به تبعيّت حمل شديم، يا آنكه تصريح به دخول حمل در عتق نمود، پس بنا بر دخالت اداء در عتق كه موافق احتياط است و در اين تقدير، تأخير اداء تا زمان ولادت نمود، آيا تقويم حصّۀ شريك از بعض ولد به قيمت او بعد از انفصال به ولادت است، يا در وقت حمل در ضمن تقويم حامل‌؟ پس چون اداء در زائد بر ثلث على الفرض واجب نيست نه بر معتق و نه بر ورثه، موقوف است به تراضى مؤد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شريك؛ و در مقدار ثلث اگر فرض شود اعتبار به قيمت وقت عتق اگر چه انعتاق مازاد موقوف به اداء است به فحواى دليل در صورت استقلال در ملكيّت تا برسد به مقدار ثلث، خالى از وجه نيست در مثل اينكه نصف حامل و حمل را عتق نمايد و در واقع، دو ثلث آنها اقلّ از ثلث مالهاى معتق است</w:t>
      </w:r>
      <w:r>
        <w:rPr>
          <w:rFonts w:eastAsia="IRNazanin" w:cs="IRNazanin"/>
          <w:color w:val="111111"/>
          <w:sz w:val="28"/>
          <w:szCs w:val="28"/>
          <w:rtl w:val="true"/>
          <w:lang w:bidi="fa-IR"/>
        </w:rPr>
        <w:t>.</w:t>
      </w:r>
    </w:p>
    <w:p>
      <w:pPr>
        <w:pStyle w:val="Heading5"/>
        <w:numPr>
          <w:ilvl w:val="4"/>
          <w:numId w:val="1"/>
        </w:numPr>
        <w:rPr/>
      </w:pPr>
      <w:bookmarkStart w:id="2093" w:name="__RefHeading___Toc3808753_1067777946"/>
      <w:bookmarkStart w:id="2094" w:name="_Toc889"/>
      <w:bookmarkEnd w:id="2093"/>
      <w:r>
        <w:rPr>
          <w:rtl w:val="true"/>
        </w:rPr>
        <w:t>ادّعاى عتق نصيب توسّط شريكين</w:t>
      </w:r>
      <w:bookmarkEnd w:id="2094"/>
    </w:p>
    <w:p>
      <w:pPr>
        <w:pStyle w:val="BookText"/>
        <w:rPr/>
      </w:pPr>
      <w:r>
        <w:rPr>
          <w:rFonts w:ascii="IRNazanin" w:hAnsi="IRNazanin" w:eastAsia="IRNazanin"/>
          <w:color w:val="111111"/>
          <w:sz w:val="28"/>
          <w:sz w:val="28"/>
          <w:szCs w:val="28"/>
          <w:rtl w:val="true"/>
          <w:lang w:bidi="fa-IR"/>
        </w:rPr>
        <w:t>تفريع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 نمود هر يك از دو شريك موسر بر صاحب خود عتق نصيب خود را كه مستتبع تقويم نصيب مدّعى بر شريك است، و بيّنه براى هيچ كدام نبود، هر كدام از دو منكر، ايقاع حلف براى ديگرى مى نمايد پس از آن مستقر مى شود به حسب ظاهر رقيّت هر دو نصيب براى هر دو شريك، مثل صورت علم به عدم عتق هيچ كدام بنا بر دخالت اداء در عتق نصيب شريك معتق؛ و بنا بر انعتاق به مجرّد عتق منعتق مى شود كلّا به سبب اقرار هر دو، و استسعاى مملوك نمى شود به جهت فرض ايسار هر دو</w:t>
      </w:r>
      <w:r>
        <w:rPr>
          <w:rFonts w:eastAsia="IRNazanin" w:cs="IRNazanin"/>
          <w:color w:val="111111"/>
          <w:sz w:val="28"/>
          <w:szCs w:val="28"/>
          <w:rtl w:val="true"/>
          <w:lang w:bidi="fa-IR"/>
        </w:rPr>
        <w:t>.</w:t>
      </w:r>
    </w:p>
    <w:p>
      <w:pPr>
        <w:pStyle w:val="Heading5"/>
        <w:numPr>
          <w:ilvl w:val="4"/>
          <w:numId w:val="1"/>
        </w:numPr>
        <w:rPr/>
      </w:pPr>
      <w:bookmarkStart w:id="2095" w:name="__RefHeading___Toc3808755_1067777946"/>
      <w:bookmarkStart w:id="2096" w:name="_Toc890"/>
      <w:bookmarkEnd w:id="2095"/>
      <w:r>
        <w:rPr>
          <w:rtl w:val="true"/>
        </w:rPr>
        <w:t>ادّعا توسّط يك شريك</w:t>
      </w:r>
      <w:bookmarkEnd w:id="2096"/>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يكى از آن دو، ادعاى عتق شريك نموده پس بنا بر اناطه انعتاق به اداء، با </w:t>
      </w:r>
      <w:bookmarkStart w:id="2097" w:name="pg10265_90112"/>
    </w:p>
    <w:p>
      <w:pPr>
        <w:pStyle w:val="BookText"/>
        <w:rPr/>
      </w:pPr>
      <w:bookmarkEnd w:id="2097"/>
      <w:r>
        <w:rPr>
          <w:rFonts w:ascii="Amiri" w:hAnsi="Amiri" w:eastAsia="Amiri" w:cs="Amiri"/>
          <w:color w:val="111111"/>
          <w:sz w:val="28"/>
          <w:sz w:val="28"/>
          <w:szCs w:val="28"/>
          <w:rtl w:val="true"/>
          <w:lang w:bidi="ar-SA"/>
        </w:rPr>
        <w:t>حلف شريك، نصيب شريك باقى به رقيّت است و بر او اداء نصيب غير معتِق نيست؛ و بنا بر عدم اناطه، اقرار به انعتاق نصيب خودش نموده و نصيب شريك با حلف او، باقى به رقيّت است و بر او تأديه نيست، و در ثبوت استسعاء به جهت حكم معسر در ظاهر شرع تأمّل است</w:t>
      </w:r>
      <w:r>
        <w:rPr>
          <w:rFonts w:eastAsia="Amiri" w:cs="Amiri" w:ascii="Amiri" w:hAnsi="Amiri"/>
          <w:color w:val="111111"/>
          <w:sz w:val="28"/>
          <w:szCs w:val="28"/>
          <w:rtl w:val="true"/>
          <w:lang w:bidi="ar-SA"/>
        </w:rPr>
        <w:t>.</w:t>
      </w:r>
    </w:p>
    <w:p>
      <w:pPr>
        <w:pStyle w:val="Heading5"/>
        <w:numPr>
          <w:ilvl w:val="4"/>
          <w:numId w:val="1"/>
        </w:numPr>
        <w:rPr/>
      </w:pPr>
      <w:bookmarkStart w:id="2098" w:name="__RefHeading___Toc3808757_1067777946"/>
      <w:bookmarkStart w:id="2099" w:name="_Toc891"/>
      <w:bookmarkEnd w:id="2098"/>
      <w:r>
        <w:rPr>
          <w:rtl w:val="true"/>
        </w:rPr>
        <w:t>فرض إعسار و عدالت شريكين</w:t>
      </w:r>
      <w:bookmarkEnd w:id="2099"/>
    </w:p>
    <w:p>
      <w:pPr>
        <w:pStyle w:val="BookText"/>
        <w:rPr/>
      </w:pPr>
      <w:r>
        <w:rPr>
          <w:rFonts w:ascii="IRNazanin" w:hAnsi="IRNazanin" w:eastAsia="IRNazanin"/>
          <w:color w:val="111111"/>
          <w:sz w:val="28"/>
          <w:sz w:val="28"/>
          <w:szCs w:val="28"/>
          <w:rtl w:val="true"/>
          <w:lang w:bidi="fa-IR"/>
        </w:rPr>
        <w:t xml:space="preserve">اگر هر دو شريك در فرض سابق معسر باشند و هر دو عادل بودند و قائل به تعجيل سرايت باشيم پس هر دو، شهادت آنها بر عتق مباشرى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نزاع بين طالب سعى در نصيب خود و مملوك منكر سعى به جهت عتق طالب سعى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خالى از تهمت است و مقبول است، و موجب حرّيت جميع به سرايت و مباشرت خواهد بود، با اختلاف آنها در مورد مباشرت و سرايت و اضافه آنها به نصيب مالك 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عبد با هر دو ايقاع حلف نمود، سعى براى او نيست؛ يعنى عبد كه او هم مدّعى عتق هر كدام است، با يكى از آن دو شريك، ايقاع حلف بر عتق ديگرى نمود و شاهد او يكى از آنها است، حلف او نه براى اثبات عتق با شهادت يكى و حلف عبد است، بلكه اثبات عتق به آن نمى شود بلكه به شهادت عدلين مى شود، و حلف براى رفع سعى براى طرف شاهد است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 يكى ايقاع حلف نمود، حرّيت نصف ديگر، موقوف به اداء است با سعى براى نصيب غير مورد 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آنكه در صورت اعسار هر دو و ادعاى هر دو عتق شريك، نصيب خود را پس در صورت عدالت هر دو، هر كدام شاهد غير متهم به عتق شريك است، و براى مملوك است ايقاع حلف با هر كدام نصيب او را براى عتق او نصيب خود را براى دفع سعى در نصيب آن طالب كه ثابت شده است عتق او</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اين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ايقاع حلف براى هر دو و شهادت هر كدام براى عتق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مملوك حرّ مى شود، چنانچه براى هر كدام اگر ايقاع حلف ننمود بر </w:t>
      </w:r>
      <w:bookmarkStart w:id="2100" w:name="pg10265_90113"/>
    </w:p>
    <w:p>
      <w:pPr>
        <w:pStyle w:val="BookText"/>
        <w:rPr/>
      </w:pPr>
      <w:bookmarkEnd w:id="2100"/>
      <w:r>
        <w:rPr>
          <w:rFonts w:ascii="IRNazanin" w:hAnsi="IRNazanin" w:eastAsia="IRNazanin"/>
          <w:color w:val="111111"/>
          <w:sz w:val="28"/>
          <w:sz w:val="28"/>
          <w:szCs w:val="28"/>
          <w:rtl w:val="true"/>
          <w:lang w:bidi="fa-IR"/>
        </w:rPr>
        <w:t>او سعى ثابت مى شود، چنانچه عتق نصيب خاص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مشكل است لزوم حلف بر عبد براى مالكى كه عتق او ثابت شده با دعواى شريك با بيّنه، يعنى شهادت و حلف مدّعى، پس ثابت نشده كه سعى براى نصيب معتق نيست، و هم چنين براى شريك ديگر اگر ثابت شد عتق او؛ بلى اگر اقرار به عتق به سرايت باشد، پس با لزوم سعى منافات ندارد، بلكه فقط اخراج يد از حصّه لازم اقرار است نه عدم مطالبه قيمت از مملوك مالك معسر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معلوم مى شود حكم سائر تقديرها از عدالت يكى و حلف با يكى، كه تأثير در عتق و عدم سعى در نصف خواهد داشت، و نصف ديگر به رقيّت ظاهراً باقى است؛ و در موارد لزوم سعى براى هر دو نصيب، سعى مبنىّ بر اخذ مالك از جميع كسب است، زيرا جزئى مخصوص به حرّيت نيست تا اخذ از آن بشود، بلكه هر كدام حاصل از نصيب خود را كه منكر عتق است مأخوذ مى دارد</w:t>
      </w:r>
      <w:r>
        <w:rPr>
          <w:rFonts w:eastAsia="IRNazanin" w:cs="IRNazanin"/>
          <w:color w:val="111111"/>
          <w:sz w:val="28"/>
          <w:szCs w:val="28"/>
          <w:rtl w:val="true"/>
          <w:lang w:bidi="fa-IR"/>
        </w:rPr>
        <w:t>.</w:t>
      </w:r>
    </w:p>
    <w:p>
      <w:pPr>
        <w:pStyle w:val="Heading5"/>
        <w:numPr>
          <w:ilvl w:val="4"/>
          <w:numId w:val="1"/>
        </w:numPr>
        <w:rPr/>
      </w:pPr>
      <w:bookmarkStart w:id="2101" w:name="__RefHeading___Toc3808759_1067777946"/>
      <w:bookmarkStart w:id="2102" w:name="_Toc892"/>
      <w:bookmarkEnd w:id="2101"/>
      <w:r>
        <w:rPr>
          <w:rtl w:val="true"/>
        </w:rPr>
        <w:t xml:space="preserve">عبارت </w:t>
      </w:r>
      <w:r>
        <w:rPr>
          <w:rtl w:val="true"/>
        </w:rPr>
        <w:t>«</w:t>
      </w:r>
      <w:r>
        <w:rPr>
          <w:rtl w:val="true"/>
        </w:rPr>
        <w:t>شرح قواعد</w:t>
      </w:r>
      <w:r>
        <w:rPr>
          <w:rtl w:val="true"/>
        </w:rPr>
        <w:t xml:space="preserve">» </w:t>
      </w:r>
      <w:r>
        <w:rPr>
          <w:rtl w:val="true"/>
        </w:rPr>
        <w:t xml:space="preserve">از </w:t>
      </w:r>
      <w:r>
        <w:rPr>
          <w:rtl w:val="true"/>
        </w:rPr>
        <w:t>«</w:t>
      </w:r>
      <w:r>
        <w:rPr>
          <w:rtl w:val="true"/>
        </w:rPr>
        <w:t>كشف اللثام</w:t>
      </w:r>
      <w:r>
        <w:rPr>
          <w:rtl w:val="true"/>
        </w:rPr>
        <w:t>»</w:t>
      </w:r>
      <w:bookmarkEnd w:id="2102"/>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ادّعى كلّ من الشريكين الموسرين على صاحبه عتقَ نصيبه و لا بيّنة، حلفا و استقرّ الرقّ عليه بينهما إن قلنا إنّه ينعتق بالأداء؛ و إن قلنا إنّه ينعتق بالاعتاق، عتق من غير أن يحلفا أخذاً لهما بإقرارهما؛ و لو كانا معسرين كان كلّ منهما شاهداً لعتق نصيب الآخر غير متهم فلو كانا عدلين فللعبد أن يحلف مع كل واحد منهما لعتق نصيب الآخر منه و يصير جميعه حراً، أو يحلف مع أحدهما و يصير نصفه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كانت الشركة بالتناصف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 و لو كان أحدهما خاصّة عدلاً كان له أن يحلف معه و يصير نصفه حراً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كلّه لا يخالف ما سيأتي من أنّ العتق لا يثبت بشاهد و يمين، فانّ اليمين هنا، لدفع السعى عن نفسه؛ و على ما اخترناه من الاستسعاء، خرج نصيب كل منهما عن يده بادعاء الآخر؛ فيخرج العبد كله عن أيديهما بالدعويين، أو المراد بالخروج المشارفة له و المعنى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 كل منهما عن استقرار يده عليه </w:t>
      </w:r>
      <w:bookmarkStart w:id="2103" w:name="pg10265_90114"/>
    </w:p>
    <w:p>
      <w:pPr>
        <w:pStyle w:val="BookText"/>
        <w:rPr/>
      </w:pPr>
      <w:bookmarkEnd w:id="2103"/>
      <w:r>
        <w:rPr>
          <w:rFonts w:ascii="Amiri" w:hAnsi="Amiri" w:eastAsia="Amiri" w:cs="Amiri"/>
          <w:color w:val="111111"/>
          <w:sz w:val="28"/>
          <w:sz w:val="28"/>
          <w:szCs w:val="28"/>
          <w:rtl w:val="true"/>
          <w:lang w:bidi="ar-SA"/>
        </w:rPr>
        <w:t>باعترافه، فيخرج كلّه عنه بإقرارهما و يستسعى في قيمته كلّه لاعتراف كل منهما بذلك، أى بأنّ العبد فكّ نفسه في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المختار من السعى بجميع الكسب؛ و أما إذا لم يمكنه السعى إلا بما قابل من جزئه الحرّ من كسبه، فلا يمكنه السعى هنا فان كلاً منهما يأخذ من كسبه ما قابل نصيبه لإنكاره العتق فيه، فلا يبقى منه ما يفكّ به؛ و على المختار إن كانا موسرين، ففي الاستسعاء نظر، لاعتراف كل منهما باستحقاق نصيبه من الآخر لا من العبد و من تعذّر الأخذ منه، فينزل بمنزلة الاعسار، و لعلّه أقرب</w:t>
      </w:r>
      <w:r>
        <w:rPr>
          <w:rFonts w:eastAsia="Amiri" w:cs="Amiri" w:ascii="Amiri" w:hAnsi="Amiri"/>
          <w:color w:val="111111"/>
          <w:sz w:val="28"/>
          <w:szCs w:val="28"/>
          <w:rtl w:val="true"/>
          <w:lang w:bidi="ar-SA"/>
        </w:rPr>
        <w:t>».</w:t>
      </w:r>
    </w:p>
    <w:p>
      <w:pPr>
        <w:pStyle w:val="Heading5"/>
        <w:numPr>
          <w:ilvl w:val="4"/>
          <w:numId w:val="1"/>
        </w:numPr>
        <w:rPr/>
      </w:pPr>
      <w:bookmarkStart w:id="2104" w:name="__RefHeading___Toc3808761_1067777946"/>
      <w:bookmarkStart w:id="2105" w:name="_Toc893"/>
      <w:bookmarkEnd w:id="2104"/>
      <w:r>
        <w:rPr>
          <w:rtl w:val="true"/>
        </w:rPr>
        <w:t>تفصيل مصبّ دعوى در مقام</w:t>
      </w:r>
      <w:bookmarkEnd w:id="2105"/>
    </w:p>
    <w:p>
      <w:pPr>
        <w:pStyle w:val="BookText"/>
        <w:rPr/>
      </w:pPr>
      <w:r>
        <w:rPr>
          <w:rFonts w:ascii="IRNazanin" w:hAnsi="IRNazanin" w:eastAsia="IRNazanin"/>
          <w:color w:val="111111"/>
          <w:sz w:val="28"/>
          <w:sz w:val="28"/>
          <w:szCs w:val="28"/>
          <w:rtl w:val="true"/>
          <w:lang w:bidi="fa-IR"/>
        </w:rPr>
        <w:t>و ممكن است در تفصيل مقام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اعسار هر دو و ادعاى هر دو، عتق ديگرى نصيب خود را، با عدالت هر دو، پس هر دو شاهد انعتاق تمام مملوك مى باشد بر حسب ادعاى مملوك، اگر چه مدّعاى هر كدام عتق بعض به مباشرت و تق بعض به سرايت بوده است لكن در ادعاى هر كدام كه منكر عتق خودش مى باشد نسبت به سعى از مملوك در حصّۀ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مصبّ دعوىٰ ثبوت مال بر مملوك باشد به سعى، مملوك، منكر است، و با حلف براى هر كدام تماماً منعتق مى شود، و تأديه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سبب وجوب آن، عتق شريك ديگر است كه متّفقٌ عليه مملوك و هر كدام از شريكين است به تنهايى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مملوك، لازم نيست، نه اينكه عتق منكر ثابت مى شود به شهادت شريك و حلف مملوك، بلكه مورد نفى و اثبات سعى مملوك است براى محلوفٌ له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مصبّ دعوى تحقّق عتق دو نفر يا يك نفر باشد، پس متيقّن بين مملوك و هر يك از شريكين، عتق يك نفر است كه غير طرف دعوىٰ كه مقصود فعلى است؛ و عتق مدّعى مال، مشكوك و مدفوع به اصل است؛ و مدّعى سعى، منكر اعتاق خودش است، و هم چنين در مدّعى ديگر يعنى شريك ديگر، پس حلف مملوك، محل ندارد، به خلاف صورت اول، بلكه شريك كه مدّعى عدم عتق غير شريك او </w:t>
      </w:r>
      <w:bookmarkStart w:id="2106" w:name="pg10265_90115"/>
    </w:p>
    <w:p>
      <w:pPr>
        <w:pStyle w:val="BookText"/>
        <w:rPr/>
      </w:pPr>
      <w:bookmarkEnd w:id="2106"/>
      <w:r>
        <w:rPr>
          <w:rFonts w:ascii="IRNazanin" w:hAnsi="IRNazanin" w:eastAsia="IRNazanin"/>
          <w:color w:val="111111"/>
          <w:sz w:val="28"/>
          <w:sz w:val="28"/>
          <w:szCs w:val="28"/>
          <w:rtl w:val="true"/>
          <w:lang w:bidi="fa-IR"/>
        </w:rPr>
        <w:t>است و منكر عتق خودش است بر او حلف است و براى او سعى است، و در اين صورت مملوك به شهادت عدلين يا به اعتراف شريكين، محكوم به انعتاق و خروج از ملك هر دو شريك مى شود با تأديۀ قيمت نصيب هر كدام به او به سبب سعى در صورت امكان به سبب اعتراف هر دو به رقيّت مطلقه اعم از مباشرت و سرايت، مگر با توقف انعتاق به سرايت بر اداء قيمت نصيب، مگر آنكه دفع نمايد سعى را با حلف با يك شاهد كه نفى سعى بنمايد و محلى از براى توقف انعتاق بر اداء نباشد</w:t>
      </w:r>
      <w:r>
        <w:rPr>
          <w:rFonts w:eastAsia="IRNazanin" w:cs="IRNazanin"/>
          <w:color w:val="111111"/>
          <w:sz w:val="28"/>
          <w:szCs w:val="28"/>
          <w:rtl w:val="true"/>
          <w:lang w:bidi="fa-IR"/>
        </w:rPr>
        <w:t>.</w:t>
      </w:r>
    </w:p>
    <w:p>
      <w:pPr>
        <w:pStyle w:val="Heading5"/>
        <w:numPr>
          <w:ilvl w:val="4"/>
          <w:numId w:val="1"/>
        </w:numPr>
        <w:rPr/>
      </w:pPr>
      <w:bookmarkStart w:id="2107" w:name="__RefHeading___Toc3808763_1067777946"/>
      <w:bookmarkStart w:id="2108" w:name="_Toc894"/>
      <w:bookmarkEnd w:id="2107"/>
      <w:r>
        <w:rPr>
          <w:rtl w:val="true"/>
        </w:rPr>
        <w:t>تأثير عدالت يك شريك يا هر دو در حكم</w:t>
      </w:r>
      <w:bookmarkEnd w:id="2108"/>
    </w:p>
    <w:p>
      <w:pPr>
        <w:pStyle w:val="BookText"/>
        <w:rPr/>
      </w:pPr>
      <w:r>
        <w:rPr>
          <w:rFonts w:ascii="IRNazanin" w:hAnsi="IRNazanin" w:eastAsia="IRNazanin"/>
          <w:color w:val="111111"/>
          <w:sz w:val="28"/>
          <w:sz w:val="28"/>
          <w:szCs w:val="28"/>
          <w:rtl w:val="true"/>
          <w:lang w:bidi="fa-IR"/>
        </w:rPr>
        <w:t>و اگر يكى از شريكين عدل باشد، ممكن است با حلفِ عبد، نصف او حرّ باشد به سبب شهادت عدل واحد بر عتق ديگرى كه مستلزم عدم وجوب سعى براى حصۀ او است با حلف عبد بر عدم وجوب سعى براى حصۀ مشهودٌ عليه بر او است بنا بر آنكه با حلف و شاهد، نفى مال بر عبد مى شود اگر چه اثبات عتق مباشرى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در صورتى كه هر دو عدل باشند لكن ايقاع حلف با يكى از آنها نمود، پس براى ديگرى موجب سقوط سعى براى حصۀ او نيست، زيرا به شهادت عدلين، حرّيتِ تمام، ثابت مى شود، و لازمۀ آن وجوب سعى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واسطۀ اعسار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عبد در غير نصيب آن كه ايقاع حلف بر عدم مال به سبب سعى براى نصيب او نموده باشد</w:t>
      </w:r>
      <w:r>
        <w:rPr>
          <w:rFonts w:eastAsia="IRNazanin" w:cs="IRNazanin"/>
          <w:color w:val="111111"/>
          <w:sz w:val="28"/>
          <w:szCs w:val="28"/>
          <w:rtl w:val="true"/>
          <w:lang w:bidi="fa-IR"/>
        </w:rPr>
        <w:t>.</w:t>
      </w:r>
    </w:p>
    <w:p>
      <w:pPr>
        <w:pStyle w:val="Heading5"/>
        <w:numPr>
          <w:ilvl w:val="4"/>
          <w:numId w:val="1"/>
        </w:numPr>
        <w:rPr/>
      </w:pPr>
      <w:bookmarkStart w:id="2109" w:name="__RefHeading___Toc3808765_1067777946"/>
      <w:bookmarkStart w:id="2110" w:name="_Toc895"/>
      <w:bookmarkEnd w:id="2109"/>
      <w:r>
        <w:rPr>
          <w:rtl w:val="true"/>
        </w:rPr>
        <w:t>تأثير تهمت در قبول شهادت و كلام صاحب جواهر قدس سرّه</w:t>
      </w:r>
      <w:bookmarkEnd w:id="2110"/>
    </w:p>
    <w:p>
      <w:pPr>
        <w:pStyle w:val="BookText"/>
        <w:rPr/>
      </w:pPr>
      <w:r>
        <w:rPr>
          <w:rFonts w:ascii="Amiri" w:hAnsi="Amiri" w:eastAsia="Amiri" w:cs="Amiri"/>
          <w:color w:val="111111"/>
          <w:sz w:val="28"/>
          <w:sz w:val="28"/>
          <w:szCs w:val="28"/>
          <w:rtl w:val="true"/>
          <w:lang w:bidi="ar-SA"/>
        </w:rPr>
        <w:t>و قبول شهادت در شريكين در صورت اعسار فقط، به سبب تهمت است كه در صورت ايسار ثابت است كه ارادۀ قيمت نصيب خودش كه مورد سرايت است مى باشد، به خلاف معسرين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مورد ايراد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تهمت جارى است در معسرين ايضاً، زيرا لازمۀ مشهود به كه عتق ديگرى است، اختصاص حاصل از سعى به شاهد است در </w:t>
      </w:r>
      <w:bookmarkStart w:id="2111" w:name="pg10265_90116"/>
    </w:p>
    <w:p>
      <w:pPr>
        <w:pStyle w:val="BookText"/>
        <w:rPr/>
      </w:pPr>
      <w:bookmarkEnd w:id="2111"/>
      <w:r>
        <w:rPr>
          <w:rFonts w:ascii="Amiri" w:hAnsi="Amiri" w:eastAsia="Amiri" w:cs="Amiri"/>
          <w:color w:val="111111"/>
          <w:sz w:val="28"/>
          <w:sz w:val="28"/>
          <w:szCs w:val="28"/>
          <w:rtl w:val="true"/>
          <w:lang w:bidi="ar-SA"/>
        </w:rPr>
        <w:t>مقابل شاهد و شريك تا آنكه تكميل شود قيمت نصيب شاهد از حاصل سعى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بلكه توجّه دعوى متوقف بر ارتباط مدّعىٰ به مدّعىٖ است؛ پس بايد مساس به مدّعىٖ داشته اگر چه به سبب اختصاص سعى به آن شاهد و در نصيب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قابل دفع است كه فرض شاهد بودن، مستلزم فرض مدّعى بودن عبد است، و در شهادت، انتفاع شاهد شرط نيست اگر مانع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گذشت كه عتق ثابت، اعم از مباشرت و سرايت است و مورد شهادت عدلين است، و آن موجب سعى است براى شريكين مگر با سقوط براى هر دو يا خصوص يكى كه حلف بر عدم مال به سعى براى او و در نصيب اوست، و حلف با مدّعىٖ عتق ديگرى، نفى سعى براى مدّعىٰ عليه است، و ثبوت سعى براى مدّعىٖ‌، لازمۀ ثبوت عتق نصيب است به شهادت عدلين يا اقرار خصوص مدّعىٖ‌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اينجا مربوط بود به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ايراد فرموده است</w:t>
      </w:r>
      <w:r>
        <w:rPr>
          <w:rFonts w:eastAsia="IRNazanin" w:cs="IRNazanin"/>
          <w:color w:val="111111"/>
          <w:sz w:val="28"/>
          <w:szCs w:val="28"/>
          <w:rtl w:val="true"/>
          <w:lang w:bidi="fa-IR"/>
        </w:rPr>
        <w:t>.</w:t>
      </w:r>
    </w:p>
    <w:p>
      <w:pPr>
        <w:pStyle w:val="Heading5"/>
        <w:numPr>
          <w:ilvl w:val="4"/>
          <w:numId w:val="1"/>
        </w:numPr>
        <w:rPr/>
      </w:pPr>
      <w:bookmarkStart w:id="2112" w:name="__RefHeading___Toc3808767_1067777946"/>
      <w:bookmarkStart w:id="2113" w:name="_Toc896"/>
      <w:bookmarkEnd w:id="2112"/>
      <w:r>
        <w:rPr>
          <w:rtl w:val="true"/>
        </w:rPr>
        <w:t>فرض ايسار شريكين</w:t>
      </w:r>
      <w:bookmarkEnd w:id="2113"/>
    </w:p>
    <w:p>
      <w:pPr>
        <w:pStyle w:val="BookText"/>
        <w:rPr/>
      </w:pPr>
      <w:r>
        <w:rPr>
          <w:rFonts w:ascii="IRNazanin" w:hAnsi="IRNazanin" w:eastAsia="IRNazanin"/>
          <w:color w:val="111111"/>
          <w:sz w:val="28"/>
          <w:sz w:val="28"/>
          <w:szCs w:val="28"/>
          <w:rtl w:val="true"/>
          <w:lang w:bidi="fa-IR"/>
        </w:rPr>
        <w:t>در صورت موسر بودن دو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رد يمين در دعواى عتق، به مدّعى شد، مستحق تأديۀ قيمت نصيب مدّعى مى شود؛ پس در صورت عدم ثبوت عتق با يمين مردوده، شهادت مدّعى با عدالت او و ضميمه عدل ديگر، مسموع نيست، مگر در دعواى مملوك عتق را، وگرنه مدّعى، شهادت او مقبول نيست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صورت تداعى با اعسار هر دو در صورتى كه عتق به اعم از مباشرت و سرايت ثابت نشود به شهادت عدلين، پس نصيب هر دو، اخراج از يد او مى شود به سبب اقرار او، و سعى مى نمايد عبد براى هر دو در صورتى كه نفى وجوب سعى ثابت نشود به سبب شهادت يك عدل براى عبد با حلف او بنابراين كه سعى از جميع كسب است، وگرنه هر كدام از مقابل نصيب خود اخذ مى نمايد به جهت انكار مباشرت عتق خودش، پس متمكّن از اداء و فكّ خودش با سعى خودش نخواهد بود</w:t>
      </w:r>
      <w:r>
        <w:rPr>
          <w:rFonts w:eastAsia="IRNazanin" w:cs="IRNazanin"/>
          <w:color w:val="111111"/>
          <w:sz w:val="28"/>
          <w:szCs w:val="28"/>
          <w:rtl w:val="true"/>
          <w:lang w:bidi="fa-IR"/>
        </w:rPr>
        <w:t xml:space="preserve">. </w:t>
      </w:r>
      <w:bookmarkStart w:id="2114" w:name="pg10265_90117"/>
    </w:p>
    <w:p>
      <w:pPr>
        <w:pStyle w:val="Heading5"/>
        <w:numPr>
          <w:ilvl w:val="4"/>
          <w:numId w:val="1"/>
        </w:numPr>
        <w:rPr/>
      </w:pPr>
      <w:bookmarkStart w:id="2115" w:name="__RefHeading___Toc3808769_1067777946"/>
      <w:bookmarkStart w:id="2116" w:name="_Toc897"/>
      <w:bookmarkEnd w:id="2114"/>
      <w:bookmarkEnd w:id="2115"/>
      <w:r>
        <w:rPr>
          <w:rtl w:val="true"/>
        </w:rPr>
        <w:t>خريد نصيب شريك بعد از ادّعاى عتق و عدم اثبات</w:t>
      </w:r>
      <w:bookmarkEnd w:id="2116"/>
    </w:p>
    <w:p>
      <w:pPr>
        <w:pStyle w:val="BookText"/>
        <w:rPr/>
      </w:pPr>
      <w:r>
        <w:rPr>
          <w:rFonts w:ascii="IRNazanin" w:hAnsi="IRNazanin" w:eastAsia="IRNazanin"/>
          <w:color w:val="111111"/>
          <w:sz w:val="28"/>
          <w:sz w:val="28"/>
          <w:szCs w:val="28"/>
          <w:rtl w:val="true"/>
          <w:lang w:bidi="fa-IR"/>
        </w:rPr>
        <w:t xml:space="preserve">اگر يكى از دو شريك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دعواى عتق و عدم اثبات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نصيب شريك را به عنوان فداء به اعتقاد شريك بايع، محكوم به انعتاق ظاهرى مى شود بر او بر حسب اقرار او به انعتاق به عتق مباشرى؛ و چنين انعتاق ظاهرى، سرايت به نصيب مشترى نمى نمايد، بلكه نصيب او، به حكم قبل از شراء، محكوم است؛ و هم چنين ولاء براى خريد او ثابت نيست به حسب اقرار خودش نسبت به جزء مربوط به فروشنده</w:t>
      </w:r>
      <w:r>
        <w:rPr>
          <w:rFonts w:eastAsia="IRNazanin" w:cs="IRNazanin"/>
          <w:color w:val="111111"/>
          <w:sz w:val="28"/>
          <w:szCs w:val="28"/>
          <w:rtl w:val="true"/>
          <w:lang w:bidi="fa-IR"/>
        </w:rPr>
        <w:t>.</w:t>
      </w:r>
    </w:p>
    <w:p>
      <w:pPr>
        <w:pStyle w:val="Heading5"/>
        <w:numPr>
          <w:ilvl w:val="4"/>
          <w:numId w:val="1"/>
        </w:numPr>
        <w:rPr/>
      </w:pPr>
      <w:bookmarkStart w:id="2117" w:name="__RefHeading___Toc3808771_1067777946"/>
      <w:bookmarkStart w:id="2118" w:name="_Toc898"/>
      <w:bookmarkEnd w:id="2117"/>
      <w:r>
        <w:rPr>
          <w:rtl w:val="true"/>
        </w:rPr>
        <w:t>فرض موت عبد بدون وارث</w:t>
      </w:r>
      <w:bookmarkEnd w:id="2118"/>
    </w:p>
    <w:p>
      <w:pPr>
        <w:pStyle w:val="BookText"/>
        <w:rPr/>
      </w:pPr>
      <w:r>
        <w:rPr>
          <w:rFonts w:ascii="IRNazanin" w:hAnsi="IRNazanin" w:eastAsia="IRNazanin"/>
          <w:color w:val="111111"/>
          <w:sz w:val="28"/>
          <w:sz w:val="28"/>
          <w:szCs w:val="28"/>
          <w:rtl w:val="true"/>
          <w:lang w:bidi="fa-IR"/>
        </w:rPr>
        <w:t xml:space="preserve">پس در صورت موت عبد بدون وارث، پس مال او مجهول المالك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مشترىٖ مدّعىٖ مالكيّتِ بايع به ولاء است، و بايع مدّعىِ مالكيّت مشترى به ولاء است؛ بلى آن قدرى كه بابت ثمن به بايع داده است، مى تواند مشترى همان قدر را به عنوان مقاصّه از آن مال أخذ نمايد؛ و بقيه اگر باشد، با آن معاملۀ مجهول المالك بشود، و ايراد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قابل دفع است</w:t>
      </w:r>
      <w:r>
        <w:rPr>
          <w:rFonts w:eastAsia="IRNazanin" w:cs="IRNazanin"/>
          <w:color w:val="111111"/>
          <w:sz w:val="28"/>
          <w:szCs w:val="28"/>
          <w:rtl w:val="true"/>
          <w:lang w:bidi="fa-IR"/>
        </w:rPr>
        <w:t>.</w:t>
      </w:r>
    </w:p>
    <w:p>
      <w:pPr>
        <w:pStyle w:val="Heading5"/>
        <w:numPr>
          <w:ilvl w:val="4"/>
          <w:numId w:val="1"/>
        </w:numPr>
        <w:rPr/>
      </w:pPr>
      <w:bookmarkStart w:id="2119" w:name="__RefHeading___Toc3808773_1067777946"/>
      <w:bookmarkStart w:id="2120" w:name="_Toc899"/>
      <w:bookmarkEnd w:id="2119"/>
      <w:r>
        <w:rPr>
          <w:rtl w:val="true"/>
        </w:rPr>
        <w:t>اگر عبد خود را در شهادت بر عتق تكذيب كرد</w:t>
      </w:r>
      <w:bookmarkEnd w:id="2120"/>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فرض مذكور، مشترى اكذاب نمود خود را در شهادت بر عتق شريك به جهت ارادۀ استرقاق آنچه خريده است، قبول نمى شود انكار او بعد از اقرار به عتق؛ پس كلام در ثبوت ولاء است در نصيب شريك در صورت موت مملوك براى مشترى به جهت ادعاى آن با عدم منازع، به خلاف صورتى كه هر كدام مدّعى ولاء براى ديگرى است و مقرّ به عدم ولاء براى خودش است، و هم چنين در ثبوت مال مملوك بى وارث است براى مشترى مذكور بعد از اكذاب مذكور با احتمال صدق در اكذاب؛ و عمل به احتياط مناسب با رجوع به حاكم شرع در موارد خاصه، در محل آن است</w:t>
      </w:r>
      <w:r>
        <w:rPr>
          <w:rFonts w:eastAsia="IRNazanin" w:cs="IRNazanin"/>
          <w:color w:val="111111"/>
          <w:sz w:val="28"/>
          <w:szCs w:val="28"/>
          <w:rtl w:val="true"/>
          <w:lang w:bidi="fa-IR"/>
        </w:rPr>
        <w:t xml:space="preserve">. </w:t>
      </w:r>
      <w:bookmarkStart w:id="2121" w:name="pg10265_90118"/>
    </w:p>
    <w:p>
      <w:pPr>
        <w:pStyle w:val="Heading5"/>
        <w:numPr>
          <w:ilvl w:val="4"/>
          <w:numId w:val="1"/>
        </w:numPr>
        <w:rPr/>
      </w:pPr>
      <w:bookmarkStart w:id="2122" w:name="__RefHeading___Toc3808775_1067777946"/>
      <w:bookmarkStart w:id="2123" w:name="_Toc900"/>
      <w:bookmarkEnd w:id="2121"/>
      <w:bookmarkEnd w:id="2122"/>
      <w:r>
        <w:rPr>
          <w:rtl w:val="true"/>
        </w:rPr>
        <w:t>موت مشترى قبل از مملوك</w:t>
      </w:r>
      <w:bookmarkEnd w:id="2123"/>
    </w:p>
    <w:p>
      <w:pPr>
        <w:pStyle w:val="BookText"/>
        <w:rPr/>
      </w:pPr>
      <w:r>
        <w:rPr>
          <w:rFonts w:ascii="IRNazanin" w:hAnsi="IRNazanin" w:eastAsia="IRNazanin"/>
          <w:color w:val="111111"/>
          <w:sz w:val="28"/>
          <w:sz w:val="28"/>
          <w:szCs w:val="28"/>
          <w:rtl w:val="true"/>
          <w:lang w:bidi="fa-IR"/>
        </w:rPr>
        <w:t>اگر مشترى قبل از عبد وفات نمود پس از آن مملوك وفات كرد، پس مال مملوك، مربوط به ورثۀ او است در اموال او، نه ورثۀ ولاء در صورتى كه ولاء براى مشترى ثابت نبوده است تا اينكه به ورثۀ ولاء منتقل بشود</w:t>
      </w:r>
      <w:r>
        <w:rPr>
          <w:rFonts w:eastAsia="IRNazanin" w:cs="IRNazanin"/>
          <w:color w:val="111111"/>
          <w:sz w:val="28"/>
          <w:szCs w:val="28"/>
          <w:rtl w:val="true"/>
          <w:lang w:bidi="fa-IR"/>
        </w:rPr>
        <w:t>.</w:t>
      </w:r>
    </w:p>
    <w:p>
      <w:pPr>
        <w:pStyle w:val="Heading5"/>
        <w:numPr>
          <w:ilvl w:val="4"/>
          <w:numId w:val="1"/>
        </w:numPr>
        <w:rPr/>
      </w:pPr>
      <w:bookmarkStart w:id="2124" w:name="__RefHeading___Toc3808777_1067777946"/>
      <w:bookmarkStart w:id="2125" w:name="_Toc901"/>
      <w:bookmarkEnd w:id="2124"/>
      <w:r>
        <w:rPr>
          <w:rtl w:val="true"/>
        </w:rPr>
        <w:t>تكذيب بايع خودش را</w:t>
      </w:r>
      <w:bookmarkEnd w:id="2125"/>
    </w:p>
    <w:p>
      <w:pPr>
        <w:pStyle w:val="BookText"/>
        <w:rPr/>
      </w:pPr>
      <w:r>
        <w:rPr>
          <w:rFonts w:ascii="IRNazanin" w:hAnsi="IRNazanin" w:eastAsia="IRNazanin"/>
          <w:color w:val="111111"/>
          <w:sz w:val="28"/>
          <w:sz w:val="28"/>
          <w:szCs w:val="28"/>
          <w:rtl w:val="true"/>
          <w:lang w:bidi="fa-IR"/>
        </w:rPr>
        <w:t>و در فرض مذكور اگر اكذاب نمود بائع، خود را بعد از اكذاب مشترى خود را، پس بايع اقرار به عتق نصيب خودش نمود، ممكن است گفته شود قول بايع مقدّم است، به جهت تصادق اقرار مشترى قبل از اكذاب ملغى با ادعاى بايع بعد از اقرار و بيع، و آنكه ولاء براى او نباشد به جهت اقرار اول قبل از اكذاب در حال بيع، لكن مال براى او باشد، زيرا مدّعىِ آن است و مشترى هم تصديق نمود در زمان ادعاى عتق قبل از اكذاب خود كه مسموع نمى شود؛ و محتمل است كه مال هم نباشد براى بايع بعد از اكذاب و اقرار به عتق خودش نصيب خود را به جهت اقرار مذكور در حال بيع به اينكه مال مربوط به او نيست، و اكذاب اخير او مسموع نباشد، و گذشت مناسبت احتياط در نظير فرع</w:t>
      </w:r>
      <w:r>
        <w:rPr>
          <w:rFonts w:eastAsia="IRNazanin" w:cs="IRNazanin"/>
          <w:color w:val="111111"/>
          <w:sz w:val="28"/>
          <w:szCs w:val="28"/>
          <w:rtl w:val="true"/>
          <w:lang w:bidi="fa-IR"/>
        </w:rPr>
        <w:t>.</w:t>
      </w:r>
    </w:p>
    <w:p>
      <w:pPr>
        <w:pStyle w:val="Heading5"/>
        <w:numPr>
          <w:ilvl w:val="4"/>
          <w:numId w:val="1"/>
        </w:numPr>
        <w:rPr/>
      </w:pPr>
      <w:bookmarkStart w:id="2126" w:name="__RefHeading___Toc3808779_1067777946"/>
      <w:bookmarkStart w:id="2127" w:name="_Toc902"/>
      <w:bookmarkEnd w:id="2126"/>
      <w:r>
        <w:rPr>
          <w:rtl w:val="true"/>
        </w:rPr>
        <w:t>خريد هر كدام نصيب ديگرى را بعد از تداعى عتق</w:t>
      </w:r>
      <w:bookmarkEnd w:id="2127"/>
    </w:p>
    <w:p>
      <w:pPr>
        <w:pStyle w:val="BookText"/>
        <w:rPr/>
      </w:pPr>
      <w:r>
        <w:rPr>
          <w:rFonts w:ascii="IRNazanin" w:hAnsi="IRNazanin" w:eastAsia="IRNazanin"/>
          <w:color w:val="111111"/>
          <w:sz w:val="28"/>
          <w:sz w:val="28"/>
          <w:szCs w:val="28"/>
          <w:rtl w:val="true"/>
          <w:lang w:bidi="fa-IR"/>
        </w:rPr>
        <w:t>و بعد از تداعى در عتق اگر خريد هر كدام نصيب ديگرى را، همۀ مملوك عتق مى شود به سبب اقرار هر كدام قبل از شراء، و ولاء براى هيچ كدام نيست به جهت نفى هر كدام عتق خود را حتى در حال بيع</w:t>
      </w:r>
      <w:r>
        <w:rPr>
          <w:rFonts w:eastAsia="IRNazanin" w:cs="IRNazanin"/>
          <w:color w:val="111111"/>
          <w:sz w:val="28"/>
          <w:szCs w:val="28"/>
          <w:rtl w:val="true"/>
          <w:lang w:bidi="fa-IR"/>
        </w:rPr>
        <w:t>.</w:t>
      </w:r>
    </w:p>
    <w:p>
      <w:pPr>
        <w:pStyle w:val="Heading5"/>
        <w:numPr>
          <w:ilvl w:val="4"/>
          <w:numId w:val="1"/>
        </w:numPr>
        <w:rPr/>
      </w:pPr>
      <w:bookmarkStart w:id="2128" w:name="__RefHeading___Toc3808781_1067777946"/>
      <w:bookmarkStart w:id="2129" w:name="_Toc903"/>
      <w:bookmarkEnd w:id="2128"/>
      <w:r>
        <w:rPr>
          <w:rtl w:val="true"/>
        </w:rPr>
        <w:t>ادّعاى كذب بعد از خريد و عتق</w:t>
      </w:r>
      <w:bookmarkEnd w:id="212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هر كدام آنچه را كه خريده است عتق نمود پس از آن اكذاب نمود خود را در شهادت سابقه به عتق شريك، نصيب خود را، پس مسموع نمى شود اكذاب بعد از اقرار در حين شهادت، و لذا ثبوت ولاء براى هر دو، مورد اشكال بلكه منع است</w:t>
      </w:r>
      <w:r>
        <w:rPr>
          <w:rFonts w:eastAsia="IRNazanin" w:cs="IRNazanin"/>
          <w:color w:val="111111"/>
          <w:sz w:val="28"/>
          <w:szCs w:val="28"/>
          <w:rtl w:val="true"/>
          <w:lang w:bidi="fa-IR"/>
        </w:rPr>
        <w:t xml:space="preserve">. </w:t>
      </w:r>
      <w:bookmarkStart w:id="2130" w:name="pg10265_90119"/>
    </w:p>
    <w:p>
      <w:pPr>
        <w:pStyle w:val="BookText"/>
        <w:rPr/>
      </w:pPr>
      <w:bookmarkEnd w:id="2130"/>
      <w:r>
        <w:rPr>
          <w:rFonts w:ascii="IRNazanin" w:hAnsi="IRNazanin" w:eastAsia="IRNazanin"/>
          <w:color w:val="111111"/>
          <w:sz w:val="28"/>
          <w:sz w:val="28"/>
          <w:szCs w:val="28"/>
          <w:rtl w:val="true"/>
          <w:lang w:bidi="fa-IR"/>
        </w:rPr>
        <w:t>و هم چنين است اشكال در صورت شراء يكى نصيب ديگرى را و عتق كردن او آنچه را كه خريده است، بعد از اكذاب خود در شهادت سابقه به عتق شريك يا قبل از اكذاب، و محل اشكال، ثبوت ولاء است در آن جزء كه خريده و عتق كرده است، بلى بر او است به حسب اقرار ثانى فكّ نصيب ديگر در صورت يسار او، چنانچه مذكور است در اول بحث سرايت عتق شقص مشاع</w:t>
      </w:r>
      <w:r>
        <w:rPr>
          <w:rFonts w:eastAsia="IRNazanin" w:cs="IRNazanin"/>
          <w:color w:val="111111"/>
          <w:sz w:val="28"/>
          <w:szCs w:val="28"/>
          <w:rtl w:val="true"/>
          <w:lang w:bidi="fa-IR"/>
        </w:rPr>
        <w:t>.</w:t>
      </w:r>
    </w:p>
    <w:p>
      <w:pPr>
        <w:pStyle w:val="Heading5"/>
        <w:numPr>
          <w:ilvl w:val="4"/>
          <w:numId w:val="1"/>
        </w:numPr>
        <w:rPr/>
      </w:pPr>
      <w:bookmarkStart w:id="2131" w:name="__RefHeading___Toc3808783_1067777946"/>
      <w:bookmarkStart w:id="2132" w:name="_Toc904"/>
      <w:bookmarkEnd w:id="2131"/>
      <w:r>
        <w:rPr>
          <w:rtl w:val="true"/>
        </w:rPr>
        <w:t>اقرار به عتق نصيب خود بعد از بيع</w:t>
      </w:r>
      <w:bookmarkEnd w:id="2132"/>
    </w:p>
    <w:p>
      <w:pPr>
        <w:pStyle w:val="BookText"/>
        <w:rPr/>
      </w:pPr>
      <w:r>
        <w:rPr>
          <w:rFonts w:ascii="IRNazanin" w:hAnsi="IRNazanin" w:eastAsia="IRNazanin"/>
          <w:color w:val="111111"/>
          <w:sz w:val="28"/>
          <w:sz w:val="28"/>
          <w:szCs w:val="28"/>
          <w:rtl w:val="true"/>
          <w:lang w:bidi="fa-IR"/>
        </w:rPr>
        <w:t xml:space="preserve">و اگر بعد از آنكه هر كدام نصيب خود را فروخت، اقرار نمود هر يك به عتق خود، نصيب خود را در سابق و تصديق نمود ديگرى را در دعواى عتق مباشرى شريك،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بيع محكوم به بطلان خواهند بود، به جهت ادعاى هر كدام عتق ديگرى را نصيب خود را با تصديق ديگرى بدون منازعۀ فعليّه، پس بيع سابق به حسب اقرار فعلى، بى محل بوده، و ولاء هم نسبت به جزء عتق شدۀ هر كدام، ثابت است، به جهت جمع بين ادعاى عتق و اقرار مدّعى عليه در صورتى كه اقرار ثانى كه مخالف قول سابق است مسموع باشد اگر چه در اين فرض كه انكار، سابق است بر اقرار، نه عكس</w:t>
      </w:r>
      <w:r>
        <w:rPr>
          <w:rFonts w:eastAsia="IRNazanin" w:cs="IRNazanin"/>
          <w:color w:val="111111"/>
          <w:sz w:val="28"/>
          <w:szCs w:val="28"/>
          <w:rtl w:val="true"/>
          <w:lang w:bidi="fa-IR"/>
        </w:rPr>
        <w:t>.</w:t>
      </w:r>
    </w:p>
    <w:p>
      <w:pPr>
        <w:pStyle w:val="Heading5"/>
        <w:numPr>
          <w:ilvl w:val="4"/>
          <w:numId w:val="1"/>
        </w:numPr>
        <w:rPr/>
      </w:pPr>
      <w:bookmarkStart w:id="2133" w:name="__RefHeading___Toc3808785_1067777946"/>
      <w:bookmarkStart w:id="2134" w:name="_Toc905"/>
      <w:bookmarkEnd w:id="2133"/>
      <w:r>
        <w:rPr>
          <w:rtl w:val="true"/>
        </w:rPr>
        <w:t>فرض ايسار يكى فقط در تداعى عتق</w:t>
      </w:r>
      <w:bookmarkEnd w:id="2134"/>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فرض تداعى در عتق، يكى فقط موسر بود، نصيب معسر عتق مى شود به مجرد تداعى اگر اداء شرط نباشد و سرايت به تعجيل باشد، به جهت اقرار در شهادت به عتق به سرايت از معسر و اتفاق موسر با او در عتق نصيب معسر؛ و اما شهادت معسر بر موسر در عتق او، پس قبول نمى شود به سبب تهمت در ارادۀ اخذ قيمت اگر چه معسر عدل باشد؛ بلكه موسر با حلف خود، برىء از عتق و تأديۀ قيمت مى شود، و كسى از آنها ولاء، در نصيبِ معسر ندارد، به جهت عدم ثبوت مباشرت به عتق او، چنانچه نصيب موسر ثابت العتق نيست</w:t>
      </w:r>
      <w:r>
        <w:rPr>
          <w:rFonts w:eastAsia="IRNazanin" w:cs="IRNazanin"/>
          <w:color w:val="111111"/>
          <w:sz w:val="28"/>
          <w:szCs w:val="28"/>
          <w:rtl w:val="true"/>
          <w:lang w:bidi="fa-IR"/>
        </w:rPr>
        <w:t xml:space="preserve">. </w:t>
      </w:r>
      <w:bookmarkStart w:id="2135" w:name="pg10265_90120"/>
    </w:p>
    <w:p>
      <w:pPr>
        <w:pStyle w:val="Heading5"/>
        <w:numPr>
          <w:ilvl w:val="4"/>
          <w:numId w:val="1"/>
        </w:numPr>
        <w:rPr/>
      </w:pPr>
      <w:bookmarkStart w:id="2136" w:name="__RefHeading___Toc3808787_1067777946"/>
      <w:bookmarkStart w:id="2137" w:name="_Toc906"/>
      <w:bookmarkEnd w:id="2135"/>
      <w:bookmarkEnd w:id="2136"/>
      <w:r>
        <w:rPr>
          <w:rtl w:val="true"/>
        </w:rPr>
        <w:t>اقامۀ شاهد توسط مملوك بر عتق نصيب موسر</w:t>
      </w:r>
      <w:bookmarkEnd w:id="2137"/>
    </w:p>
    <w:p>
      <w:pPr>
        <w:pStyle w:val="BookText"/>
        <w:rPr/>
      </w:pPr>
      <w:r>
        <w:rPr>
          <w:rFonts w:ascii="IRNazanin" w:hAnsi="IRNazanin" w:eastAsia="IRNazanin"/>
          <w:color w:val="111111"/>
          <w:sz w:val="28"/>
          <w:sz w:val="28"/>
          <w:szCs w:val="28"/>
          <w:rtl w:val="true"/>
          <w:lang w:bidi="fa-IR"/>
        </w:rPr>
        <w:t>و اگر مملوك اقامۀ شاهد به عتق نصيب موسر كرد و خودش هم با شاهد ايقاع حلف كرد، عتق نصيب موسر ايضاً ثابت مى شود بنا بر اكتفا در اثبات عتق به شاهد و يمين مدّعىٖ‌</w:t>
      </w:r>
      <w:r>
        <w:rPr>
          <w:rFonts w:eastAsia="IRNazanin" w:cs="IRNazanin"/>
          <w:color w:val="111111"/>
          <w:sz w:val="28"/>
          <w:szCs w:val="28"/>
          <w:rtl w:val="true"/>
          <w:lang w:bidi="fa-IR"/>
        </w:rPr>
        <w:t>.</w:t>
      </w:r>
    </w:p>
    <w:p>
      <w:pPr>
        <w:pStyle w:val="Heading5"/>
        <w:numPr>
          <w:ilvl w:val="4"/>
          <w:numId w:val="1"/>
        </w:numPr>
        <w:rPr/>
      </w:pPr>
      <w:bookmarkStart w:id="2138" w:name="__RefHeading___Toc3808789_1067777946"/>
      <w:bookmarkStart w:id="2139" w:name="_Toc907"/>
      <w:bookmarkEnd w:id="2138"/>
      <w:r>
        <w:rPr>
          <w:rtl w:val="true"/>
        </w:rPr>
        <w:t>عتق معسرِ از سه شريك</w:t>
      </w:r>
      <w:bookmarkEnd w:id="2139"/>
    </w:p>
    <w:p>
      <w:pPr>
        <w:pStyle w:val="BookText"/>
        <w:rPr/>
      </w:pPr>
      <w:r>
        <w:rPr>
          <w:rFonts w:ascii="IRNazanin" w:hAnsi="IRNazanin" w:eastAsia="IRNazanin"/>
          <w:color w:val="111111"/>
          <w:sz w:val="28"/>
          <w:sz w:val="28"/>
          <w:szCs w:val="28"/>
          <w:rtl w:val="true"/>
          <w:lang w:bidi="fa-IR"/>
        </w:rPr>
        <w:t>اگر معسرِ از سه شريك، عتق كرد نصيب خودش را، متحرر مى شود ثلث مملوك، و دو ثلث ديگر باقى به رقيّت خواهند بود اگر در فرض مذكور قائل به سعى مملوك در حصۀ دو شريك ديگر نباشيم، پس از آن اگر شريك دوم عتق نمود حصۀ خود را و موسر بود، سرايت مى نمايد عتق او در حصّۀ سومى كه عتق نشده است، و بر او است تأديۀ قيمتِ نصيب سومى، و دو ثلث ولاء براى شريك موسر كه معتق دوم است مى باشد در صورت تساوى حصص به تثليث</w:t>
      </w:r>
      <w:r>
        <w:rPr>
          <w:rFonts w:eastAsia="IRNazanin" w:cs="IRNazanin"/>
          <w:color w:val="111111"/>
          <w:sz w:val="28"/>
          <w:szCs w:val="28"/>
          <w:rtl w:val="true"/>
          <w:lang w:bidi="fa-IR"/>
        </w:rPr>
        <w:t>.</w:t>
      </w:r>
    </w:p>
    <w:p>
      <w:pPr>
        <w:pStyle w:val="Heading5"/>
        <w:numPr>
          <w:ilvl w:val="4"/>
          <w:numId w:val="1"/>
        </w:numPr>
        <w:rPr/>
      </w:pPr>
      <w:bookmarkStart w:id="2140" w:name="__RefHeading___Toc3808791_1067777946"/>
      <w:bookmarkStart w:id="2141" w:name="_Toc908"/>
      <w:bookmarkEnd w:id="2140"/>
      <w:r>
        <w:rPr>
          <w:rtl w:val="true"/>
        </w:rPr>
        <w:t>شرايط ديگر سرايت عتق</w:t>
      </w:r>
      <w:bookmarkEnd w:id="2141"/>
    </w:p>
    <w:p>
      <w:pPr>
        <w:pStyle w:val="BookText"/>
        <w:rPr/>
      </w:pPr>
      <w:r>
        <w:rPr>
          <w:rFonts w:ascii="IRNazanin" w:hAnsi="IRNazanin" w:eastAsia="IRNazanin"/>
          <w:color w:val="111111"/>
          <w:sz w:val="28"/>
          <w:sz w:val="28"/>
          <w:szCs w:val="28"/>
          <w:rtl w:val="true"/>
          <w:lang w:bidi="fa-IR"/>
        </w:rPr>
        <w:t xml:space="preserve">و ظاهر شد از آنچه گذشت كه معتبر است در سرايت عتق مضافاً به اينكه 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و جائز التصرف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كمال باشد و اينكه عتق اختيارى او باشد</w:t>
      </w:r>
      <w:r>
        <w:rPr>
          <w:rFonts w:eastAsia="IRNazanin" w:cs="IRNazanin"/>
          <w:color w:val="111111"/>
          <w:sz w:val="28"/>
          <w:szCs w:val="28"/>
          <w:rtl w:val="true"/>
          <w:lang w:bidi="fa-IR"/>
        </w:rPr>
        <w:t>.</w:t>
      </w:r>
    </w:p>
    <w:p>
      <w:pPr>
        <w:pStyle w:val="Heading5"/>
        <w:numPr>
          <w:ilvl w:val="4"/>
          <w:numId w:val="1"/>
        </w:numPr>
        <w:rPr/>
      </w:pPr>
      <w:bookmarkStart w:id="2142" w:name="__RefHeading___Toc3808793_1067777946"/>
      <w:bookmarkStart w:id="2143" w:name="_Toc909"/>
      <w:bookmarkEnd w:id="2142"/>
      <w:r>
        <w:rPr>
          <w:rtl w:val="true"/>
        </w:rPr>
        <w:t>اشتراط ايسار براى عتق مطلق</w:t>
      </w:r>
      <w:bookmarkEnd w:id="2143"/>
    </w:p>
    <w:p>
      <w:pPr>
        <w:pStyle w:val="BookText"/>
        <w:rPr/>
      </w:pPr>
      <w:r>
        <w:rPr>
          <w:rFonts w:ascii="IRNazanin" w:hAnsi="IRNazanin" w:eastAsia="IRNazanin"/>
          <w:color w:val="111111"/>
          <w:sz w:val="28"/>
          <w:sz w:val="28"/>
          <w:szCs w:val="28"/>
          <w:rtl w:val="true"/>
          <w:lang w:bidi="fa-IR"/>
        </w:rPr>
        <w:t xml:space="preserve">و اما اشتراط ايسار معتِق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شرط عتق مطلق است نه مطلق عتق، بلكه صحيح است عتق معسر و بر مملوك است استسعاء به نحو متقدّم در مورد آن</w:t>
      </w:r>
      <w:r>
        <w:rPr>
          <w:rFonts w:eastAsia="IRNazanin" w:cs="IRNazanin"/>
          <w:color w:val="111111"/>
          <w:sz w:val="28"/>
          <w:szCs w:val="28"/>
          <w:rtl w:val="true"/>
          <w:lang w:bidi="fa-IR"/>
        </w:rPr>
        <w:t>.</w:t>
      </w:r>
    </w:p>
    <w:p>
      <w:pPr>
        <w:pStyle w:val="Heading5"/>
        <w:numPr>
          <w:ilvl w:val="4"/>
          <w:numId w:val="1"/>
        </w:numPr>
        <w:rPr/>
      </w:pPr>
      <w:bookmarkStart w:id="2144" w:name="__RefHeading___Toc3808795_1067777946"/>
      <w:bookmarkStart w:id="2145" w:name="_Toc910"/>
      <w:bookmarkEnd w:id="2144"/>
      <w:r>
        <w:rPr>
          <w:rtl w:val="true"/>
        </w:rPr>
        <w:t>عدم نفوذ عتق حصّۀ ديگرى</w:t>
      </w:r>
      <w:bookmarkEnd w:id="2145"/>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عتق احد الشركاء نصيب شريك را نافذ نيست بلكه بايد عتقِ نصيب خودش را بنمايد اگر چه به اطلاق، محكوم به اين قيد كه نصيب معتق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عتق </w:t>
      </w:r>
      <w:bookmarkStart w:id="2146" w:name="pg10265_90121"/>
    </w:p>
    <w:p>
      <w:pPr>
        <w:pStyle w:val="BookText"/>
        <w:rPr/>
      </w:pPr>
      <w:bookmarkEnd w:id="2146"/>
      <w:r>
        <w:rPr>
          <w:rFonts w:ascii="Amiri" w:hAnsi="Amiri" w:eastAsia="Amiri" w:cs="Amiri"/>
          <w:color w:val="111111"/>
          <w:sz w:val="28"/>
          <w:sz w:val="28"/>
          <w:szCs w:val="28"/>
          <w:rtl w:val="true"/>
          <w:lang w:bidi="ar-SA"/>
        </w:rPr>
        <w:t>جميع عبد، يعنى عتق مباشرى نصيب و سرايتى نصيب غير، نافذ است؛ و به معناى مباشرت جميع، نافذ نيست در غير نصيب خودش</w:t>
      </w:r>
      <w:r>
        <w:rPr>
          <w:rFonts w:eastAsia="Amiri" w:cs="Amiri" w:ascii="Amiri" w:hAnsi="Amiri"/>
          <w:color w:val="111111"/>
          <w:sz w:val="28"/>
          <w:szCs w:val="28"/>
          <w:rtl w:val="true"/>
          <w:lang w:bidi="ar-SA"/>
        </w:rPr>
        <w:t>.</w:t>
      </w:r>
    </w:p>
    <w:p>
      <w:pPr>
        <w:pStyle w:val="Heading5"/>
        <w:numPr>
          <w:ilvl w:val="4"/>
          <w:numId w:val="1"/>
        </w:numPr>
        <w:rPr/>
      </w:pPr>
      <w:bookmarkStart w:id="2147" w:name="__RefHeading___Toc3808797_1067777946"/>
      <w:bookmarkStart w:id="2148" w:name="_Toc911"/>
      <w:bookmarkEnd w:id="2147"/>
      <w:r>
        <w:rPr>
          <w:rtl w:val="true"/>
        </w:rPr>
        <w:t>ارتباط عدم تعلّق حق به عتق و سرايت</w:t>
      </w:r>
      <w:bookmarkEnd w:id="2148"/>
    </w:p>
    <w:p>
      <w:pPr>
        <w:pStyle w:val="BookText"/>
        <w:rPr/>
      </w:pPr>
      <w:r>
        <w:rPr>
          <w:rFonts w:ascii="IRNazanin" w:hAnsi="IRNazanin" w:eastAsia="IRNazanin"/>
          <w:color w:val="111111"/>
          <w:sz w:val="28"/>
          <w:sz w:val="28"/>
          <w:szCs w:val="28"/>
          <w:rtl w:val="true"/>
          <w:lang w:bidi="fa-IR"/>
        </w:rPr>
        <w:t>اما عدم تعلّق حقّ لازم به محل سرايت، پس معتبر در عتق مباشرى نيست، بلكه در سرايت معتبر است عدم تعلّق حق موقوف عليهم، اگر چه راجح به حسب ارتكاز در امر عتق تغليبى سرايت با تقويم يا استسعاء است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است امكان و رجحان در رهن و كتابت مشروطه و استيلاد و تدبير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عدم تعجيل در سرايت عتق و بر توقف انعتاق به سرايت بر اداء قيمت نصيب از معتق موسر يا از مملوك با اعسار معتق، پس انعتاق به دفع قيمت به ترتّب علّى نه زمانى است تا آنكه انفكاكى از علّت با معلول نباشد؛ و اظهر عدم احتياج به غير اداء قيمت به قصد انعتاق مقابل آن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صيغۀ عتق لازم نيست اگر چه از مولى احوط است در صورت ايسار و دفع</w:t>
      </w:r>
      <w:r>
        <w:rPr>
          <w:rFonts w:eastAsia="IRNazanin" w:cs="IRNazanin"/>
          <w:color w:val="111111"/>
          <w:sz w:val="28"/>
          <w:szCs w:val="28"/>
          <w:rtl w:val="true"/>
          <w:lang w:bidi="fa-IR"/>
        </w:rPr>
        <w:t>.</w:t>
      </w:r>
    </w:p>
    <w:p>
      <w:pPr>
        <w:pStyle w:val="Heading5"/>
        <w:numPr>
          <w:ilvl w:val="4"/>
          <w:numId w:val="1"/>
        </w:numPr>
        <w:rPr/>
      </w:pPr>
      <w:bookmarkStart w:id="2149" w:name="__RefHeading___Toc3808799_1067777946"/>
      <w:bookmarkStart w:id="2150" w:name="_Toc912"/>
      <w:bookmarkEnd w:id="2149"/>
      <w:r>
        <w:rPr>
          <w:rtl w:val="true"/>
        </w:rPr>
        <w:t>تبعّض حريّت</w:t>
      </w:r>
      <w:bookmarkEnd w:id="2150"/>
    </w:p>
    <w:p>
      <w:pPr>
        <w:pStyle w:val="BookText"/>
        <w:rPr/>
      </w:pPr>
      <w:r>
        <w:rPr>
          <w:rFonts w:ascii="Amiri" w:hAnsi="Amiri" w:eastAsia="Amiri" w:cs="Amiri"/>
          <w:color w:val="111111"/>
          <w:sz w:val="28"/>
          <w:sz w:val="28"/>
          <w:szCs w:val="28"/>
          <w:rtl w:val="true"/>
          <w:lang w:bidi="ar-SA"/>
        </w:rPr>
        <w:t>و اظهر تبعّض حرّيت است با تبعّض در اداء؛ و اينكه براى شريك، حق امتناع تسلم بعض براى انعتاق بعض نصيب او نيست، مثل عدم استحقاق در صورت اداء كل قيمت براى انعتاق كل نصيب</w:t>
      </w:r>
      <w:r>
        <w:rPr>
          <w:rFonts w:eastAsia="Amiri" w:cs="Amiri" w:ascii="Amiri" w:hAnsi="Amiri"/>
          <w:color w:val="111111"/>
          <w:sz w:val="28"/>
          <w:szCs w:val="28"/>
          <w:rtl w:val="true"/>
          <w:lang w:bidi="ar-SA"/>
        </w:rPr>
        <w:t>.</w:t>
      </w:r>
    </w:p>
    <w:p>
      <w:pPr>
        <w:pStyle w:val="Heading5"/>
        <w:numPr>
          <w:ilvl w:val="4"/>
          <w:numId w:val="1"/>
        </w:numPr>
        <w:rPr/>
      </w:pPr>
      <w:bookmarkStart w:id="2151" w:name="__RefHeading___Toc3808801_1067777946"/>
      <w:bookmarkStart w:id="2152" w:name="_Toc913"/>
      <w:bookmarkEnd w:id="2151"/>
      <w:r>
        <w:rPr>
          <w:rtl w:val="true"/>
        </w:rPr>
        <w:t>شهادت بعض ورثه بر حصول عتق از مورّث</w:t>
      </w:r>
      <w:bookmarkEnd w:id="2152"/>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بعض ورثه شهادت داد بر مورّث كه عتق نموده مملوك ايشان را، نافذ است به حسب اقرار او عتق در خصوص نصيب شهادت دهنده در صورت تعيّن مملوك مشهود به عتق؛ وگرنه در أقلّ مماليك به حسب قيمت، نافذ مى شود، و در زيادتى با عدم تفسير و عدم استظهار حاكم، خاصّى را دور نيست عمل به استصحاب بشود</w:t>
      </w:r>
      <w:r>
        <w:rPr>
          <w:rFonts w:eastAsia="IRNazanin" w:cs="IRNazanin"/>
          <w:color w:val="111111"/>
          <w:sz w:val="28"/>
          <w:szCs w:val="28"/>
          <w:rtl w:val="true"/>
          <w:lang w:bidi="fa-IR"/>
        </w:rPr>
        <w:t xml:space="preserve">. </w:t>
      </w:r>
      <w:bookmarkStart w:id="2153" w:name="pg10265_90122"/>
    </w:p>
    <w:p>
      <w:pPr>
        <w:pStyle w:val="BookText"/>
        <w:rPr/>
      </w:pPr>
      <w:bookmarkEnd w:id="2153"/>
      <w:r>
        <w:rPr>
          <w:rFonts w:ascii="IRNazanin" w:hAnsi="IRNazanin" w:eastAsia="IRNazanin"/>
          <w:color w:val="111111"/>
          <w:sz w:val="28"/>
          <w:sz w:val="28"/>
          <w:szCs w:val="28"/>
          <w:rtl w:val="true"/>
          <w:lang w:bidi="fa-IR"/>
        </w:rPr>
        <w:t xml:space="preserve">و اگر دو نفر شهادت دادند در فرض متقدّم و هر دو عادل و مرضىّ بودند نافذ است عتق به شهادت آنها در همۀ آن مملوك؛ و اگر مرضىّ نباشد، مثل فرض اول در نصيب شهادت دهنده ها عتق نافذ خواهد بود، و كسى از شهادت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 به شراء نصيب غير، نخواهد بود كه مباشر عتق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استسعاء مملوك با اين شهادتِ غير مثبته تأمّل است حتى در صورتى كه عادل باشد شهادت دهنده نزد ورثه و مملوك؛ و نصّ معمولٌ به كه با مرضىّ بودن شاهد، نفوذ مشهودٌ به را و استسعاء مملوك را تعيين مى نمايد، ممكن است حمل بر مرضىّ بالفعل باشد كه متّهم نزد هيچ كدام نيست، و از قبيل اكتفاى همه در ثبوت عتق به آن شهادت است، و استسعاء محمول بر استحباب بشود، و الّا مقتضاى اصل، عدم سرايت و عدم وجوب استسعاء است، و اينكه سرايت و استسعاء موقوف به رضايت همه است، و اللّٰه العالم</w:t>
      </w:r>
      <w:r>
        <w:rPr>
          <w:rFonts w:eastAsia="IRNazanin" w:cs="IRNazanin"/>
          <w:color w:val="111111"/>
          <w:sz w:val="28"/>
          <w:szCs w:val="28"/>
          <w:rtl w:val="true"/>
          <w:lang w:bidi="fa-IR"/>
        </w:rPr>
        <w:t>.</w:t>
      </w:r>
    </w:p>
    <w:p>
      <w:pPr>
        <w:pStyle w:val="Heading4"/>
        <w:numPr>
          <w:ilvl w:val="3"/>
          <w:numId w:val="1"/>
        </w:numPr>
        <w:rPr/>
      </w:pPr>
      <w:bookmarkStart w:id="2154" w:name="__RefHeading___Toc3808803_1067777946"/>
      <w:bookmarkStart w:id="2155" w:name="_Toc914"/>
      <w:bookmarkEnd w:id="2154"/>
      <w:r>
        <w:rPr/>
        <w:t>3</w:t>
      </w:r>
      <w:r>
        <w:rPr>
          <w:rtl w:val="true"/>
        </w:rPr>
        <w:t xml:space="preserve">. </w:t>
      </w:r>
      <w:r>
        <w:rPr>
          <w:rtl w:val="true"/>
        </w:rPr>
        <w:t>ازالۀ رقّيت به سبب مالك بودن</w:t>
      </w:r>
      <w:bookmarkEnd w:id="2155"/>
    </w:p>
    <w:p>
      <w:pPr>
        <w:pStyle w:val="Heading5"/>
        <w:numPr>
          <w:ilvl w:val="4"/>
          <w:numId w:val="1"/>
        </w:numPr>
        <w:rPr/>
      </w:pPr>
      <w:bookmarkStart w:id="2156" w:name="__RefHeading___Toc3808805_1067777946"/>
      <w:bookmarkStart w:id="2157" w:name="_Toc915"/>
      <w:bookmarkEnd w:id="2156"/>
      <w:r>
        <w:rPr>
          <w:rtl w:val="true"/>
        </w:rPr>
        <w:t>اشاره</w:t>
      </w:r>
      <w:bookmarkEnd w:id="2157"/>
    </w:p>
    <w:p>
      <w:pPr>
        <w:pStyle w:val="BookText"/>
        <w:rPr/>
      </w:pPr>
      <w:r>
        <w:rPr>
          <w:rFonts w:ascii="IRNazanin" w:hAnsi="IRNazanin" w:eastAsia="IRNazanin"/>
          <w:color w:val="111111"/>
          <w:sz w:val="28"/>
          <w:sz w:val="28"/>
          <w:szCs w:val="28"/>
          <w:rtl w:val="true"/>
          <w:lang w:bidi="fa-IR"/>
        </w:rPr>
        <w:t>اگر مالك شد شخصى يكى از ابوين و بالاتر از آنها را، يا يكى از اولاد خود چه مرد باشد يا زن يا خنثى و پايين تر از آنها را، پس مملوك منعتق مى شود بر مالك حالاً، چه آنكه مالكيّت محقّقه به اختيار شخص باشد يا به غير اختيار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مالك شد مرد يكى از محرّمات نسبيّه مثل عمّه و خاله و برادر زاده را و خواهر زاده را، و اين مخصوص به مرد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 زن معتق نمى شود غير عمودين و اولاد، و در ملك زن زوج را خلاف است</w:t>
      </w:r>
      <w:r>
        <w:rPr>
          <w:rFonts w:eastAsia="Amiri" w:cs="Amiri" w:ascii="Amiri" w:hAnsi="Amiri"/>
          <w:color w:val="111111"/>
          <w:sz w:val="28"/>
          <w:szCs w:val="28"/>
          <w:rtl w:val="true"/>
          <w:lang w:bidi="ar-SA"/>
        </w:rPr>
        <w:t>.</w:t>
      </w:r>
    </w:p>
    <w:p>
      <w:pPr>
        <w:pStyle w:val="Heading5"/>
        <w:numPr>
          <w:ilvl w:val="4"/>
          <w:numId w:val="1"/>
        </w:numPr>
        <w:rPr/>
      </w:pPr>
      <w:bookmarkStart w:id="2158" w:name="__RefHeading___Toc3808807_1067777946"/>
      <w:bookmarkStart w:id="2159" w:name="_Toc916"/>
      <w:bookmarkEnd w:id="2158"/>
      <w:r>
        <w:rPr>
          <w:rtl w:val="true"/>
        </w:rPr>
        <w:t>محرّمات رضائيه</w:t>
      </w:r>
      <w:bookmarkEnd w:id="2159"/>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محرّمات رضاعيه اگر مالك شد منعتق به رضاع را در صورت انعتاق آنها به نسب، دو روايت است و اشهر عتق است؛ و فرقى در اين جهت بين مرد و زن نيست مگر رعايت عمودين و اولاد در زن</w:t>
      </w:r>
      <w:r>
        <w:rPr>
          <w:rFonts w:eastAsia="IRNazanin" w:cs="IRNazanin"/>
          <w:color w:val="111111"/>
          <w:sz w:val="28"/>
          <w:szCs w:val="28"/>
          <w:rtl w:val="true"/>
          <w:lang w:bidi="fa-IR"/>
        </w:rPr>
        <w:t xml:space="preserve">. </w:t>
      </w:r>
      <w:bookmarkStart w:id="2160" w:name="pg10265_90123"/>
    </w:p>
    <w:p>
      <w:pPr>
        <w:pStyle w:val="Heading5"/>
        <w:numPr>
          <w:ilvl w:val="4"/>
          <w:numId w:val="1"/>
        </w:numPr>
        <w:rPr/>
      </w:pPr>
      <w:bookmarkStart w:id="2161" w:name="__RefHeading___Toc3808809_1067777946"/>
      <w:bookmarkStart w:id="2162" w:name="_Toc917"/>
      <w:bookmarkEnd w:id="2160"/>
      <w:bookmarkEnd w:id="2161"/>
      <w:r>
        <w:rPr>
          <w:rtl w:val="true"/>
        </w:rPr>
        <w:t>اقتران زمانى ملك و عتق با ترتّب</w:t>
      </w:r>
      <w:bookmarkEnd w:id="2162"/>
    </w:p>
    <w:p>
      <w:pPr>
        <w:pStyle w:val="BookText"/>
        <w:rPr/>
      </w:pPr>
      <w:r>
        <w:rPr>
          <w:rFonts w:ascii="IRNazanin" w:hAnsi="IRNazanin" w:eastAsia="IRNazanin"/>
          <w:color w:val="111111"/>
          <w:sz w:val="28"/>
          <w:sz w:val="28"/>
          <w:szCs w:val="28"/>
          <w:rtl w:val="true"/>
          <w:lang w:bidi="fa-IR"/>
        </w:rPr>
        <w:t>و ملك و عتق با ترتّب، اقتران زمانى دارند، چنانچه در سائر علل و معاليل است</w:t>
      </w:r>
      <w:r>
        <w:rPr>
          <w:rFonts w:eastAsia="IRNazanin" w:cs="IRNazanin"/>
          <w:color w:val="111111"/>
          <w:sz w:val="28"/>
          <w:szCs w:val="28"/>
          <w:rtl w:val="true"/>
          <w:lang w:bidi="fa-IR"/>
        </w:rPr>
        <w:t>.</w:t>
      </w:r>
    </w:p>
    <w:p>
      <w:pPr>
        <w:pStyle w:val="Heading5"/>
        <w:numPr>
          <w:ilvl w:val="4"/>
          <w:numId w:val="1"/>
        </w:numPr>
        <w:rPr/>
      </w:pPr>
      <w:bookmarkStart w:id="2163" w:name="__RefHeading___Toc3808811_1067777946"/>
      <w:bookmarkStart w:id="2164" w:name="_Toc918"/>
      <w:bookmarkEnd w:id="2163"/>
      <w:r>
        <w:rPr>
          <w:rtl w:val="true"/>
        </w:rPr>
        <w:t>حكم خنثىٰ‌</w:t>
      </w:r>
      <w:bookmarkEnd w:id="2164"/>
    </w:p>
    <w:p>
      <w:pPr>
        <w:pStyle w:val="BookText"/>
        <w:rPr/>
      </w:pPr>
      <w:r>
        <w:rPr>
          <w:rFonts w:ascii="Amiri" w:hAnsi="Amiri" w:eastAsia="Amiri" w:cs="Amiri"/>
          <w:color w:val="111111"/>
          <w:sz w:val="28"/>
          <w:sz w:val="28"/>
          <w:szCs w:val="28"/>
          <w:rtl w:val="true"/>
          <w:lang w:bidi="ar-SA"/>
        </w:rPr>
        <w:t>و خنثى در مالكيّت به حكم مرأة است و در مملوكيّت به حكم مرد است در حكم بر طبق اصل</w:t>
      </w:r>
      <w:r>
        <w:rPr>
          <w:rFonts w:eastAsia="Amiri" w:cs="Amiri" w:ascii="Amiri" w:hAnsi="Amiri"/>
          <w:color w:val="111111"/>
          <w:sz w:val="28"/>
          <w:szCs w:val="28"/>
          <w:rtl w:val="true"/>
          <w:lang w:bidi="ar-SA"/>
        </w:rPr>
        <w:t>.</w:t>
      </w:r>
    </w:p>
    <w:p>
      <w:pPr>
        <w:pStyle w:val="Heading5"/>
        <w:numPr>
          <w:ilvl w:val="4"/>
          <w:numId w:val="1"/>
        </w:numPr>
        <w:rPr/>
      </w:pPr>
      <w:bookmarkStart w:id="2165" w:name="__RefHeading___Toc3808813_1067777946"/>
      <w:bookmarkStart w:id="2166" w:name="_Toc919"/>
      <w:bookmarkEnd w:id="2165"/>
      <w:r>
        <w:rPr>
          <w:rtl w:val="true"/>
        </w:rPr>
        <w:t>تبعّض ملكيّت و عتق</w:t>
      </w:r>
      <w:bookmarkEnd w:id="2166"/>
    </w:p>
    <w:p>
      <w:pPr>
        <w:pStyle w:val="BookText"/>
        <w:rPr/>
      </w:pPr>
      <w:r>
        <w:rPr>
          <w:rFonts w:ascii="IRNazanin" w:hAnsi="IRNazanin" w:eastAsia="IRNazanin"/>
          <w:color w:val="111111"/>
          <w:sz w:val="28"/>
          <w:sz w:val="28"/>
          <w:szCs w:val="28"/>
          <w:rtl w:val="true"/>
          <w:lang w:bidi="fa-IR"/>
        </w:rPr>
        <w:t xml:space="preserve">اگر شخصى منعتق مى شود تمام او به سبب ملك تمام او، پس بعض او منعتق مى شود به سبب ملك بعض او؛ و بر معسر اگر مالك من ينعتق عليه شد تقويم حصّۀ غير نيست مثل عتق مباشرى، و هم چنين موسر اگر به غير اختيار مالك باشد؛ و در صورت اختيارى بودن ملك بعض، پس محكىّ از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تقويم است، و آن محل تأمّل است كه تحقيق آن در كتاب كفارات است، و مقتضاى اصل، بعد از انصراف ادلّه، عدم تقويم است</w:t>
      </w:r>
      <w:r>
        <w:rPr>
          <w:rFonts w:eastAsia="IRNazanin" w:cs="IRNazanin"/>
          <w:color w:val="111111"/>
          <w:sz w:val="28"/>
          <w:szCs w:val="28"/>
          <w:rtl w:val="true"/>
          <w:lang w:bidi="fa-IR"/>
        </w:rPr>
        <w:t>.</w:t>
      </w:r>
    </w:p>
    <w:p>
      <w:pPr>
        <w:pStyle w:val="Heading5"/>
        <w:numPr>
          <w:ilvl w:val="4"/>
          <w:numId w:val="1"/>
        </w:numPr>
        <w:rPr/>
      </w:pPr>
      <w:bookmarkStart w:id="2167" w:name="__RefHeading___Toc3808815_1067777946"/>
      <w:bookmarkStart w:id="2168" w:name="_Toc920"/>
      <w:bookmarkEnd w:id="2167"/>
      <w:r>
        <w:rPr>
          <w:rtl w:val="true"/>
        </w:rPr>
        <w:t>وصيّت براى شخصى به بعض ولد او</w:t>
      </w:r>
      <w:bookmarkEnd w:id="2168"/>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وصيّت كرد براى عمرو به بعض ولد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بعض زيد، در صورت محكوميّت زيد به رقيّت براى موصى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وفات كرد عمرو بعد از وفات موصى و قبل از قبول وصيّت پس قبول كرد برادر زيد براى موصى له كه عمرو است،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مالك مى شود به اين قبول، ميّت موصى له و سرايت مى كند در باقى زيد اگر تجاوز از ثلث ننمايد، و در صورت تجاوز سعى مى نمايد موصىٰ به در بقيه قيمت كه زائد از ثلث موصى است، چون كه قبول وارث موصى له به منزله قبول موصى له است در حال حيات خودش، و لازمۀ آن تماميّت وصيّت و مالكيّت موصى له است بعد از وفات موصى به سبب كشف قبول از مالكيّت در آن زمان، پس منعتق مى شود بر موصى له تماماً، بعضى به مالكيّت و بعضى به سرايت به نحو مذكور</w:t>
      </w:r>
      <w:r>
        <w:rPr>
          <w:rFonts w:eastAsia="IRNazanin" w:cs="IRNazanin"/>
          <w:color w:val="111111"/>
          <w:sz w:val="28"/>
          <w:szCs w:val="28"/>
          <w:rtl w:val="true"/>
          <w:lang w:bidi="fa-IR"/>
        </w:rPr>
        <w:t xml:space="preserve">. </w:t>
      </w:r>
      <w:bookmarkStart w:id="2169" w:name="pg10265_90124"/>
    </w:p>
    <w:p>
      <w:pPr>
        <w:pStyle w:val="BookText"/>
        <w:rPr/>
      </w:pPr>
      <w:bookmarkEnd w:id="2169"/>
      <w:r>
        <w:rPr>
          <w:rFonts w:ascii="IRNazanin" w:hAnsi="IRNazanin" w:eastAsia="IRNazanin"/>
          <w:color w:val="111111"/>
          <w:sz w:val="28"/>
          <w:sz w:val="28"/>
          <w:szCs w:val="28"/>
          <w:rtl w:val="true"/>
          <w:lang w:bidi="fa-IR"/>
        </w:rPr>
        <w:t>لكن چون مالك معتِق نيست بلكه انعتاق قهرى بر مالك است، پس اظهر عدم سرايت است در فرض 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در حال حيات، قبول وصيّت مى كرد، مورد انعتاق قهرى بود، نه محل سرايت در عتق اختيارى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فرقى نيست در آنچه ذكر شد بين ملاحظۀ اعتاق موصى به ايصاى به آنكه منعتق مى شود بر موصى له، چنانچه از ذكر عدم تجاوز از ثلث ظاهر است، يا اعتاق موصى له به قبول وارث، يا اعتاق قابل به قبول در تقدير صحّت، در آنچه مقرّر شد از انعتاق قهرى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مختار در وصيّت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برادر موصىٰ به، مملّك قابل است نه ميّت؛ پس محل انعتاق و سرايت نيست، زيرا اخ از عمودين يا محرمات نسبيّه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تملّك قابل، به وراثت است نه استقلال، پس بايد در مرتبۀ اُولىٰ ميّت موصى له مالك بشود پس از آن ورثه او، و حال آنكه به مجرد مالكيّت موصى له منعتق بر او مى شود، پس محلّى براى توريث نيست، زيرا ملك مستقرّ موروث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حق قبول، در صورت فعليّت مالكيّت به قبول است نه مطلقاً اگر چه مترتّب نشود بر اعمال حق غير عتق مملوك ميّت به سبب قبول وارث، و لازم اين بطلان، وصيّت است به سبب عدم قبول و عدم قابل وصيّت تمليكيّه</w:t>
      </w:r>
      <w:r>
        <w:rPr>
          <w:rFonts w:eastAsia="IRNazanin" w:cs="IRNazanin"/>
          <w:color w:val="111111"/>
          <w:sz w:val="28"/>
          <w:szCs w:val="28"/>
          <w:rtl w:val="true"/>
          <w:lang w:bidi="fa-IR"/>
        </w:rPr>
        <w:t>.</w:t>
      </w:r>
    </w:p>
    <w:p>
      <w:pPr>
        <w:pStyle w:val="Heading5"/>
        <w:numPr>
          <w:ilvl w:val="4"/>
          <w:numId w:val="1"/>
        </w:numPr>
        <w:rPr/>
      </w:pPr>
      <w:bookmarkStart w:id="2170" w:name="__RefHeading___Toc3808817_1067777946"/>
      <w:bookmarkStart w:id="2171" w:name="_Toc921"/>
      <w:bookmarkEnd w:id="2170"/>
      <w:r>
        <w:rPr>
          <w:rtl w:val="true"/>
        </w:rPr>
        <w:t>وصيّت براى شخصى بعضى از برادرزادۀ او</w:t>
      </w:r>
      <w:bookmarkEnd w:id="2171"/>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وصيّت كرد براى شخصى بعض برادرزادۀ موصى له را پس فوت كرد موصى له قبل از قبول و بعد از موت موصى، و وارث او برادر او بود پس قبول كرد، بقيۀ موصى به بر اخ تقويم نمى شود، زيرا قبول او سبب تملّك موصى له مى شود، و از </w:t>
      </w:r>
    </w:p>
    <w:p>
      <w:pPr>
        <w:pStyle w:val="BookText"/>
        <w:rPr/>
      </w:pPr>
      <w:r>
        <w:rPr>
          <w:rFonts w:ascii="Amiri" w:hAnsi="Amiri" w:eastAsia="Amiri" w:cs="Amiri"/>
          <w:color w:val="111111"/>
          <w:sz w:val="28"/>
          <w:sz w:val="28"/>
          <w:szCs w:val="28"/>
          <w:rtl w:val="true"/>
          <w:lang w:bidi="ar-SA"/>
        </w:rPr>
        <w:t>او متملّك مى شود به ارث، برادر او، و مالكيّت برادر، فرزند خود را موجب انعتاق بر او است و محل سرايت عتق اختيارى مباشرى است؛ بلكه بقيه در ملك ورثۀ موصى باقى است بنا بر اظهر، به جهت عدم صدق اعتاق بر ايصاى موقوف به قبول موصى له يا وارث او براى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آنچه متّجه فرموده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تقويم بر وارث است، محل مناقشۀ مذكوره است، و متّجه بقاى در رقيّت ورثه موصى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از آنكه فرموده به نحو 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يقوّم على الأخ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يحتمل التقويم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در شرح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في الحقيقه حصل باختياره و إن بعُد بواسطة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 منع، و سبب آن قهريّت انعتاق است و انصراف ادلّۀ سرايت از غير عتق اختيارى بنفسه در مقابل اختيارى به اختياريت سبب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 چنين احتمال تقويم و عدم،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رجوع نمايد بعض قريب كه منعتق بر مالك مى شود به سبب رد عوض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آنكه بيع نمايد بعض برادر خود را به عينى پس بايع فوت نمايد و وارث او برادرزادۀ او باشد پس از آن در عين كه ثمن بوده عيبى ظاهر شد پس رد نمود آن را پس رجوع به ملك او نمود آن بعض مبيع كه پدر اين وارث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اختيارى بلاواسطه، رد عوض بود، و مع الواسطه تملّك به رجوع بعض پدر بوده، نظر به وجه اختياريّت تملّك بالواسطه و عدم آن بلاواسطه كه منشأ تردّد در تقويم بر وارث و عدم آن مى شود؛ و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عدم سرايت، قهريّت انعتاق است؛ بلكه بايد انشاى مسبب به ايجاد سبب نمايد، و كافى نيست توليد سبب اختيارى، مسبّب را قهراً به حكم شارع بدون انشاى قصدى از متملّك به رجوع</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خريد شخصى با اجنبى صفقتاً قريبِ منعتقِ بر مشترى را، چون بعض آن مملوك قريب است منعتق مى شود بر مشترى قريب و سرايت در بقيه مى نمايد و ضامن حصّۀ شريك خود مى شود</w:t>
      </w:r>
      <w:r>
        <w:rPr>
          <w:rFonts w:eastAsia="IRNazanin" w:cs="IRNazanin"/>
          <w:color w:val="111111"/>
          <w:sz w:val="28"/>
          <w:szCs w:val="28"/>
          <w:rtl w:val="true"/>
          <w:lang w:bidi="fa-IR"/>
        </w:rPr>
        <w:t xml:space="preserve">. </w:t>
      </w:r>
      <w:bookmarkStart w:id="2172" w:name="pg10265_90126"/>
    </w:p>
    <w:p>
      <w:pPr>
        <w:pStyle w:val="Heading5"/>
        <w:numPr>
          <w:ilvl w:val="4"/>
          <w:numId w:val="1"/>
        </w:numPr>
        <w:rPr/>
      </w:pPr>
      <w:bookmarkStart w:id="2173" w:name="__RefHeading___Toc3808819_1067777946"/>
      <w:bookmarkStart w:id="2174" w:name="_Toc922"/>
      <w:bookmarkEnd w:id="2172"/>
      <w:bookmarkEnd w:id="2173"/>
      <w:r>
        <w:rPr>
          <w:rtl w:val="true"/>
        </w:rPr>
        <w:t>اشكال در كلام صاحب جواهر قدس سرّه در مقام</w:t>
      </w:r>
      <w:bookmarkEnd w:id="2174"/>
    </w:p>
    <w:p>
      <w:pPr>
        <w:pStyle w:val="BookText"/>
        <w:rPr/>
      </w:pPr>
      <w:r>
        <w:rPr>
          <w:rFonts w:ascii="IRNazanin" w:hAnsi="IRNazanin" w:eastAsia="IRNazanin"/>
          <w:color w:val="111111"/>
          <w:sz w:val="28"/>
          <w:sz w:val="28"/>
          <w:szCs w:val="28"/>
          <w:rtl w:val="true"/>
          <w:lang w:bidi="fa-IR"/>
        </w:rPr>
        <w:t xml:space="preserve">و اشكال آن تقويم مطلق است با آنكه بر موسر است نه مطلقاً، و اينكه انعتاق انشائى قصدى نيست بلكه قهرى و غير اختيارى است و لذا قصد خلاف، مضرّ نيست؛ پس تقويم مذكور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مناقشه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خريد زوج و ولد، مادر آن ولد را به نحو صفقه، و مادر حامل به دخترى بود، سرايت مى كند بر ولد در اُمّ‌، و تقويم مى شود حصۀ زوج از آن مشترى كه مادر است بر فرزند، زيرا منعتق مى شود بر فرزند نه بر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منعتقه مى شود بر هر دو از زوج و ولد، كه بنت زوج و اُخت ولد است، و هيچ كدام بر ديگرى حقى مربوط به بنت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اشكال آن چنانچه گذشت قهريت انعتاق بر ولد است نه قصدى انشائى، پس محل سرايت و تقويم حصۀ زوج بر او نيست اگر چه ولد موسر باشد، بلكه حصّۀ زوج باقى بر رقيّت براى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است 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موهوبيّت اُمّ در يك دفعه براى هر دو يعنى زوج و ولد، و هر دو قبول كردند با هم هبۀ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ولد قبلاً قبول هبه نمود، اُمّ و بنت عتق مى شوند بر ولد به سبب مالكيّت تامّۀ نصف موهوب، و سرايت مى كند در نصف ديگر، و تقويم مى شود بر ولد كه موهوب و قابل است براى واهب، نه زوج كه مالك به قبول نشده تلف شد ملك شأنى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گذشت اشكال در سرايت در نظير اين 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اوّلاً زوج قبول نمود، عتق مى شود ولد حامل كلّا بر او، به سبب تماميّت ملك نصف او به قبول و سرايت در بقيۀ ولد براى 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اشكال سرايت جارى است در فرض</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اگر اين هم قبول نمود، تمام اُمّ بر او عتق مى شود، نصف آن به مالكيّت به قبول هبه و نصف ديگر به سرايت، و تقويم مى شود براى زوج بر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اشكال متقدّم در سرايت مذكورۀ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bookmarkStart w:id="2175" w:name="pg10265_90127"/>
    </w:p>
    <w:p>
      <w:pPr>
        <w:pStyle w:val="Heading5"/>
        <w:numPr>
          <w:ilvl w:val="4"/>
          <w:numId w:val="1"/>
        </w:numPr>
        <w:rPr/>
      </w:pPr>
      <w:bookmarkStart w:id="2176" w:name="__RefHeading___Toc3808821_1067777946"/>
      <w:bookmarkStart w:id="2177" w:name="_Toc923"/>
      <w:bookmarkEnd w:id="2175"/>
      <w:bookmarkEnd w:id="2176"/>
      <w:r>
        <w:rPr>
          <w:rtl w:val="true"/>
        </w:rPr>
        <w:t>چند فرع</w:t>
      </w:r>
      <w:bookmarkEnd w:id="2177"/>
    </w:p>
    <w:p>
      <w:pPr>
        <w:pStyle w:val="Heading6"/>
        <w:numPr>
          <w:ilvl w:val="5"/>
          <w:numId w:val="1"/>
        </w:numPr>
        <w:rPr/>
      </w:pPr>
      <w:bookmarkStart w:id="2178" w:name="__RefHeading___Toc3808823_1067777946"/>
      <w:bookmarkStart w:id="2179" w:name="_Toc924"/>
      <w:bookmarkEnd w:id="2178"/>
      <w:r>
        <w:rPr>
          <w:rtl w:val="true"/>
        </w:rPr>
        <w:t>وصيّت براى ناقص به منعتق عليه</w:t>
      </w:r>
      <w:bookmarkEnd w:id="2179"/>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وصيّت نمود براى ناقصى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صبى يا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آنكه منعتق مى شود بر موصى له، براى ولىّ است قبول وصيّت در صورت عدم تضرّر مولّى عليه به مثل انفاق و نحو آن؛ و در صورت تضرّر، غبطه براى ناقص نيست و جائز نيست قبولِ موجب ضرر او، مثل وصيّت به فقير مريض كه قبول وصيت، موجب لزوم انفاق است از مال مولّى عليه</w:t>
      </w:r>
      <w:r>
        <w:rPr>
          <w:rFonts w:eastAsia="IRNazanin" w:cs="IRNazanin"/>
          <w:color w:val="111111"/>
          <w:sz w:val="28"/>
          <w:szCs w:val="28"/>
          <w:rtl w:val="true"/>
          <w:lang w:bidi="fa-IR"/>
        </w:rPr>
        <w:t>.</w:t>
      </w:r>
    </w:p>
    <w:p>
      <w:pPr>
        <w:pStyle w:val="Heading6"/>
        <w:numPr>
          <w:ilvl w:val="5"/>
          <w:numId w:val="1"/>
        </w:numPr>
        <w:rPr/>
      </w:pPr>
      <w:bookmarkStart w:id="2180" w:name="__RefHeading___Toc3808825_1067777946"/>
      <w:bookmarkStart w:id="2181" w:name="_Toc925"/>
      <w:bookmarkEnd w:id="2180"/>
      <w:r>
        <w:rPr>
          <w:rtl w:val="true"/>
        </w:rPr>
        <w:t>وصيّت براى ناقص به بعض منعتق عليه</w:t>
      </w:r>
      <w:bookmarkEnd w:id="2181"/>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وصيّت كرد براى ناقص به بعض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منعتق بر موصى له مى شود و او معسر بود، جائز است قبول، يعنى در صورت عدم تضرر به وجوب انفاق كه تمكّن از آن منافات با اعسار به ثمن بعض ديگر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موسر باشد پس گفته شده است كه قبول نمى كند به جهت لزوم افتكاك اگر چه واجب النفقه نباشد كه فرض مى شود به جهت عدم غبطه در قبول ولىّ‌؛ و وجه نزد اكثر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تعيّن قبول است با عدم تضرّر، به جهت عدم تقويم و عدم سرايت به واسطۀ عدم اختياريّت، اگر چه اختيار ولىّ كافى است در اختياريّت، لكن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قصدى بودن و انشائى بودن عتق لازم است در متيقّن از مستفاد از ادلّۀ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وصف، اختيار فرموده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تقويم را با تقرير آن در نظائر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4"/>
        <w:numPr>
          <w:ilvl w:val="3"/>
          <w:numId w:val="1"/>
        </w:numPr>
        <w:rPr/>
      </w:pPr>
      <w:bookmarkStart w:id="2182" w:name="__RefHeading___Toc3808827_1067777946"/>
      <w:bookmarkStart w:id="2183" w:name="_Toc926"/>
      <w:bookmarkEnd w:id="2182"/>
      <w:r>
        <w:rPr/>
        <w:t>4</w:t>
      </w:r>
      <w:r>
        <w:rPr>
          <w:rtl w:val="true"/>
        </w:rPr>
        <w:t xml:space="preserve">. </w:t>
      </w:r>
      <w:r>
        <w:rPr>
          <w:rtl w:val="true"/>
        </w:rPr>
        <w:t>زوال رقّ به عوارض</w:t>
      </w:r>
      <w:bookmarkEnd w:id="2183"/>
    </w:p>
    <w:p>
      <w:pPr>
        <w:pStyle w:val="Heading5"/>
        <w:numPr>
          <w:ilvl w:val="4"/>
          <w:numId w:val="1"/>
        </w:numPr>
        <w:rPr/>
      </w:pPr>
      <w:bookmarkStart w:id="2184" w:name="__RefHeading___Toc3808829_1067777946"/>
      <w:bookmarkStart w:id="2185" w:name="_Toc927"/>
      <w:bookmarkEnd w:id="2184"/>
      <w:r>
        <w:rPr>
          <w:rtl w:val="true"/>
        </w:rPr>
        <w:t>اشاره</w:t>
      </w:r>
      <w:bookmarkEnd w:id="2185"/>
    </w:p>
    <w:p>
      <w:pPr>
        <w:pStyle w:val="BookText"/>
        <w:rPr/>
      </w:pPr>
      <w:r>
        <w:rPr>
          <w:rFonts w:ascii="IRNazanin" w:hAnsi="IRNazanin" w:eastAsia="IRNazanin"/>
          <w:color w:val="111111"/>
          <w:sz w:val="28"/>
          <w:sz w:val="28"/>
          <w:szCs w:val="28"/>
          <w:rtl w:val="true"/>
          <w:lang w:bidi="fa-IR"/>
        </w:rPr>
        <w:t>پس در مواضعى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عمىٰ و جذام و اقعاد يعنى ابتلاء مملوك به كورى و مرض خوره و زمينگيرى، و اين متفقٌ عليه و منصوص است</w:t>
      </w:r>
      <w:r>
        <w:rPr>
          <w:rFonts w:eastAsia="IRNazanin" w:cs="IRNazanin"/>
          <w:color w:val="111111"/>
          <w:sz w:val="28"/>
          <w:szCs w:val="28"/>
          <w:rtl w:val="true"/>
          <w:lang w:bidi="fa-IR"/>
        </w:rPr>
        <w:t xml:space="preserve">. </w:t>
      </w:r>
      <w:bookmarkStart w:id="2186" w:name="pg10265_90128"/>
    </w:p>
    <w:p>
      <w:pPr>
        <w:pStyle w:val="BookText"/>
        <w:rPr/>
      </w:pPr>
      <w:bookmarkEnd w:id="2186"/>
      <w:r>
        <w:rPr>
          <w:rFonts w:ascii="IRNazanin" w:hAnsi="IRNazanin" w:eastAsia="IRNazanin"/>
          <w:color w:val="111111"/>
          <w:sz w:val="28"/>
          <w:sz w:val="28"/>
          <w:szCs w:val="28"/>
          <w:rtl w:val="true"/>
          <w:lang w:bidi="fa-IR"/>
        </w:rPr>
        <w:t xml:space="preserve">و در تنكيل مولى به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قطع لسان يا انف يا گوشها يا لبهاى او يا مجبوب كردن عبد يا خصىّ نمودن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است، و اقرب انعتاق است، چنانچه اشهر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عدم فرق است در عوارض متقدّمه، بين آنكه به فعل خدا باشد يا عبد يا غير؛ و تنكيل، مخصوص به فعل مولى است؛ و در ابعاض عضو واحد اگر قليل باشد، تأمّل است، و مقتضاى استصحاب، عدم انعتاق است مگر با اشتراك با كل در قبح منظر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مملوك، بعض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تنكيل او موجب انعتاق بعض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سرايت و تقويم بقيّه بر مالك شريك، اشكال متقدّم جارى است؛ و محتمل است ضمان نصف ارش عيب حادث به فعل مولى، براى شريك باشد</w:t>
      </w:r>
      <w:r>
        <w:rPr>
          <w:rFonts w:eastAsia="IRNazanin" w:cs="IRNazanin"/>
          <w:color w:val="111111"/>
          <w:sz w:val="28"/>
          <w:szCs w:val="28"/>
          <w:rtl w:val="true"/>
          <w:lang w:bidi="fa-IR"/>
        </w:rPr>
        <w:t>.</w:t>
      </w:r>
    </w:p>
    <w:p>
      <w:pPr>
        <w:pStyle w:val="Heading5"/>
        <w:numPr>
          <w:ilvl w:val="4"/>
          <w:numId w:val="1"/>
        </w:numPr>
        <w:rPr/>
      </w:pPr>
      <w:bookmarkStart w:id="2187" w:name="__RefHeading___Toc3808831_1067777946"/>
      <w:bookmarkStart w:id="2188" w:name="_Toc928"/>
      <w:bookmarkEnd w:id="2187"/>
      <w:r>
        <w:rPr>
          <w:rtl w:val="true"/>
        </w:rPr>
        <w:t>اسلام عبد</w:t>
      </w:r>
      <w:bookmarkEnd w:id="2188"/>
    </w:p>
    <w:p>
      <w:pPr>
        <w:pStyle w:val="BookText"/>
        <w:rPr/>
      </w:pPr>
      <w:r>
        <w:rPr>
          <w:rFonts w:ascii="Amiri" w:hAnsi="Amiri" w:eastAsia="Amiri" w:cs="Amiri"/>
          <w:color w:val="111111"/>
          <w:sz w:val="28"/>
          <w:sz w:val="28"/>
          <w:szCs w:val="28"/>
          <w:rtl w:val="true"/>
          <w:lang w:bidi="ar-SA"/>
        </w:rPr>
        <w:t>و از آن جمله اسلام عبد است قبل از مولى در دار الحرب با خروج به سوى مسلمين قبل از مولى؛ و اكتفاى به تحقّق اسلام سابق بر مولى دور نيست</w:t>
      </w:r>
      <w:r>
        <w:rPr>
          <w:rFonts w:eastAsia="Amiri" w:cs="Amiri" w:ascii="Amiri" w:hAnsi="Amiri"/>
          <w:color w:val="111111"/>
          <w:sz w:val="28"/>
          <w:szCs w:val="28"/>
          <w:rtl w:val="true"/>
          <w:lang w:bidi="ar-SA"/>
        </w:rPr>
        <w:t>.</w:t>
      </w:r>
    </w:p>
    <w:p>
      <w:pPr>
        <w:pStyle w:val="Heading5"/>
        <w:numPr>
          <w:ilvl w:val="4"/>
          <w:numId w:val="1"/>
        </w:numPr>
        <w:rPr/>
      </w:pPr>
      <w:bookmarkStart w:id="2189" w:name="__RefHeading___Toc3808833_1067777946"/>
      <w:bookmarkStart w:id="2190" w:name="_Toc929"/>
      <w:bookmarkEnd w:id="2189"/>
      <w:r>
        <w:rPr>
          <w:rtl w:val="true"/>
        </w:rPr>
        <w:t>دفع قيمت توسّط قريبِ منحصر در وراثت</w:t>
      </w:r>
      <w:bookmarkEnd w:id="2190"/>
    </w:p>
    <w:p>
      <w:pPr>
        <w:pStyle w:val="BookText"/>
        <w:rPr/>
      </w:pPr>
      <w:r>
        <w:rPr>
          <w:rFonts w:ascii="IRNazanin" w:hAnsi="IRNazanin" w:eastAsia="IRNazanin"/>
          <w:color w:val="111111"/>
          <w:sz w:val="28"/>
          <w:sz w:val="28"/>
          <w:szCs w:val="28"/>
          <w:rtl w:val="true"/>
          <w:lang w:bidi="fa-IR"/>
        </w:rPr>
        <w:t xml:space="preserve">و از آن جمله دفع قريب، قيمت عبدى را كه وارث منحصر او است و غير او وارث ندارد، به مولاى عبد، اگر چه به صورت اشتراء و عتق بعد از اشتراء انجام بگيرد؛ و با آن منعتق مى شود قهراً بر مشترى قريب يا بر مولى به دفع قيمت بدون توسط شراء، يا آنكه خريده مى شود و اعتاق مى شود به مباشرت مشترى از روى اختيار، به نحو مذكور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مى شود كه تدبير و مكاتبه و استيلاد، سبب عتق باشند در صورت اجتماع شروط آتيه در هر كدام، كه از آن جمله در سببيّت استيلاد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مولى با حيات ولد </w:t>
      </w:r>
    </w:p>
    <w:p>
      <w:pPr>
        <w:pStyle w:val="BookText"/>
        <w:rPr/>
      </w:pPr>
      <w:r>
        <w:rPr>
          <w:rFonts w:ascii="IRNazanin" w:hAnsi="IRNazanin" w:eastAsia="IRNazanin"/>
          <w:color w:val="111111"/>
          <w:sz w:val="28"/>
          <w:sz w:val="28"/>
          <w:szCs w:val="28"/>
          <w:rtl w:val="true"/>
          <w:lang w:bidi="fa-IR"/>
        </w:rPr>
        <w:t>و وارثيّت او؛ اگر چه ممكن است گفته شود استيلاد سبب السبب است، چون كه موت مولى با بقاى ولد وارث، سبب انتقال اُمّ الولد به ملك ولد است تماماً يا بعضاً؛ پس منعتق مى شود بر ولد به مالكيّت، نه به نفس استيلاد كه از مقدمات موجب انعتاق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وحده و الصلاة علي سيّد أنبيائه و آله سادة الأوصياء</w:t>
      </w:r>
    </w:p>
    <w:p>
      <w:pPr>
        <w:pStyle w:val="BookText"/>
        <w:rPr/>
      </w:pPr>
      <w:r>
        <w:rPr>
          <w:rFonts w:ascii="IRNazanin" w:hAnsi="IRNazanin" w:eastAsia="IRNazanin"/>
          <w:color w:val="111111"/>
          <w:sz w:val="28"/>
          <w:sz w:val="28"/>
          <w:szCs w:val="28"/>
          <w:rtl w:val="true"/>
          <w:lang w:bidi="fa-IR"/>
        </w:rPr>
        <w:t>و اللعن علىٰ أعدائهم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تحرير يافت در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الحجة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أوّلاً و آخراً، به قلم</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جانب محمد تقى بن محمود الجيلاني عفى عنهما</w:t>
      </w:r>
      <w:r>
        <w:rPr>
          <w:rFonts w:eastAsia="Amiri" w:cs="Amiri" w:ascii="Amiri" w:hAnsi="Amiri"/>
          <w:color w:val="111111"/>
          <w:sz w:val="28"/>
          <w:szCs w:val="28"/>
          <w:rtl w:val="true"/>
          <w:lang w:bidi="ar-SA"/>
        </w:rPr>
        <w:t xml:space="preserve">. </w:t>
      </w:r>
      <w:bookmarkStart w:id="2191" w:name="pg10265_90130"/>
    </w:p>
    <w:p>
      <w:pPr>
        <w:pStyle w:val="Heading2"/>
        <w:numPr>
          <w:ilvl w:val="1"/>
          <w:numId w:val="1"/>
        </w:numPr>
        <w:rPr/>
      </w:pPr>
      <w:bookmarkStart w:id="2192" w:name="__RefHeading___Toc3808835_1067777946"/>
      <w:bookmarkStart w:id="2193" w:name="_Toc930"/>
      <w:bookmarkEnd w:id="2191"/>
      <w:bookmarkEnd w:id="2192"/>
      <w:r>
        <w:rPr>
          <w:rtl w:val="true"/>
        </w:rPr>
        <w:t>كتاب اقرار</w:t>
      </w:r>
      <w:bookmarkEnd w:id="2193"/>
    </w:p>
    <w:p>
      <w:pPr>
        <w:pStyle w:val="Heading3"/>
        <w:numPr>
          <w:ilvl w:val="2"/>
          <w:numId w:val="1"/>
        </w:numPr>
        <w:rPr/>
      </w:pPr>
      <w:bookmarkStart w:id="2194" w:name="__RefHeading___Toc3808837_1067777946"/>
      <w:bookmarkStart w:id="2195" w:name="_Toc931"/>
      <w:bookmarkEnd w:id="2194"/>
      <w:r>
        <w:rPr>
          <w:rtl w:val="true"/>
        </w:rPr>
        <w:t>اشاره</w:t>
      </w:r>
      <w:bookmarkEnd w:id="2195"/>
    </w:p>
    <w:p>
      <w:pPr>
        <w:pStyle w:val="BookText"/>
        <w:rPr/>
      </w:pPr>
      <w:r>
        <w:rPr>
          <w:rFonts w:ascii="Amiri" w:hAnsi="Amiri" w:eastAsia="Amiri" w:cs="Amiri"/>
          <w:color w:val="111111"/>
          <w:sz w:val="28"/>
          <w:sz w:val="28"/>
          <w:szCs w:val="28"/>
          <w:rtl w:val="true"/>
          <w:lang w:bidi="ar-SA"/>
        </w:rPr>
        <w:t>صيغۀ اقرار</w:t>
      </w:r>
    </w:p>
    <w:p>
      <w:pPr>
        <w:pStyle w:val="BookText"/>
        <w:rPr/>
      </w:pPr>
      <w:r>
        <w:rPr>
          <w:rFonts w:ascii="Amiri" w:hAnsi="Amiri" w:eastAsia="Amiri" w:cs="Amiri"/>
          <w:color w:val="111111"/>
          <w:sz w:val="28"/>
          <w:sz w:val="28"/>
          <w:szCs w:val="28"/>
          <w:rtl w:val="true"/>
          <w:lang w:bidi="ar-SA"/>
        </w:rPr>
        <w:t>مُقِرّ و شرايط او</w:t>
      </w:r>
    </w:p>
    <w:p>
      <w:pPr>
        <w:pStyle w:val="BookText"/>
        <w:rPr/>
      </w:pPr>
      <w:r>
        <w:rPr>
          <w:rFonts w:ascii="Amiri" w:hAnsi="Amiri" w:eastAsia="Amiri" w:cs="Amiri"/>
          <w:color w:val="111111"/>
          <w:sz w:val="28"/>
          <w:sz w:val="28"/>
          <w:szCs w:val="28"/>
          <w:rtl w:val="true"/>
          <w:lang w:bidi="ar-SA"/>
        </w:rPr>
        <w:t>شرايط مُقِرّ له</w:t>
      </w:r>
    </w:p>
    <w:p>
      <w:pPr>
        <w:pStyle w:val="BookText"/>
        <w:rPr/>
      </w:pPr>
      <w:r>
        <w:rPr>
          <w:rFonts w:ascii="Amiri" w:hAnsi="Amiri" w:eastAsia="Amiri" w:cs="Amiri"/>
          <w:color w:val="111111"/>
          <w:sz w:val="28"/>
          <w:sz w:val="28"/>
          <w:szCs w:val="28"/>
          <w:rtl w:val="true"/>
          <w:lang w:bidi="ar-SA"/>
        </w:rPr>
        <w:t>تعقيب اقرار به اقرار</w:t>
      </w:r>
    </w:p>
    <w:p>
      <w:pPr>
        <w:pStyle w:val="BookText"/>
        <w:rPr/>
      </w:pPr>
      <w:r>
        <w:rPr>
          <w:rFonts w:ascii="Amiri" w:hAnsi="Amiri" w:eastAsia="Amiri" w:cs="Amiri"/>
          <w:color w:val="111111"/>
          <w:sz w:val="28"/>
          <w:sz w:val="28"/>
          <w:szCs w:val="28"/>
          <w:rtl w:val="true"/>
          <w:lang w:bidi="ar-SA"/>
        </w:rPr>
        <w:t>تعقيب اقرار به ظاهر</w:t>
      </w:r>
    </w:p>
    <w:p>
      <w:pPr>
        <w:pStyle w:val="BookText"/>
        <w:rPr/>
      </w:pPr>
      <w:r>
        <w:rPr>
          <w:rFonts w:ascii="IRNazanin" w:hAnsi="IRNazanin" w:eastAsia="IRNazanin"/>
          <w:color w:val="111111"/>
          <w:sz w:val="28"/>
          <w:sz w:val="28"/>
          <w:szCs w:val="28"/>
          <w:rtl w:val="true"/>
          <w:lang w:bidi="fa-IR"/>
        </w:rPr>
        <w:t>در ابطال</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اقرار به نسب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6" w:name="pg10265_90132"/>
      <w:bookmarkStart w:id="2197" w:name="pg10265_90132"/>
      <w:bookmarkEnd w:id="2197"/>
    </w:p>
    <w:p>
      <w:pPr>
        <w:pStyle w:val="Heading3"/>
        <w:numPr>
          <w:ilvl w:val="2"/>
          <w:numId w:val="1"/>
        </w:numPr>
        <w:rPr/>
      </w:pPr>
      <w:bookmarkStart w:id="2198" w:name="pg10265_90132"/>
      <w:bookmarkStart w:id="2199" w:name="__RefHeading___Toc3808839_1067777946"/>
      <w:bookmarkStart w:id="2200" w:name="_Toc932"/>
      <w:bookmarkEnd w:id="2198"/>
      <w:bookmarkEnd w:id="2199"/>
      <w:r>
        <w:rPr>
          <w:rtl w:val="true"/>
        </w:rPr>
        <w:t>فصل اوّل صيغۀ اقرار</w:t>
      </w:r>
      <w:bookmarkEnd w:id="2200"/>
    </w:p>
    <w:p>
      <w:pPr>
        <w:pStyle w:val="Heading4"/>
        <w:numPr>
          <w:ilvl w:val="3"/>
          <w:numId w:val="1"/>
        </w:numPr>
        <w:rPr/>
      </w:pPr>
      <w:bookmarkStart w:id="2201" w:name="__RefHeading___Toc3808841_1067777946"/>
      <w:bookmarkStart w:id="2202" w:name="_Toc933"/>
      <w:bookmarkEnd w:id="2201"/>
      <w:r>
        <w:rPr>
          <w:rtl w:val="true"/>
        </w:rPr>
        <w:t>اشاره</w:t>
      </w:r>
      <w:bookmarkEnd w:id="2202"/>
    </w:p>
    <w:p>
      <w:pPr>
        <w:pStyle w:val="BookText"/>
        <w:rPr/>
      </w:pPr>
      <w:r>
        <w:rPr>
          <w:rFonts w:ascii="Amiri" w:hAnsi="Amiri" w:eastAsia="Amiri" w:cs="Amiri"/>
          <w:color w:val="111111"/>
          <w:sz w:val="28"/>
          <w:sz w:val="28"/>
          <w:szCs w:val="28"/>
          <w:rtl w:val="true"/>
          <w:lang w:bidi="ar-SA"/>
        </w:rPr>
        <w:t>فصل اوّل صيغۀ اقرار</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علىٰ سيد الأنبياء محمّد و آله</w:t>
      </w:r>
    </w:p>
    <w:p>
      <w:pPr>
        <w:pStyle w:val="BookText"/>
        <w:rPr/>
      </w:pPr>
      <w:r>
        <w:rPr>
          <w:rFonts w:ascii="Amiri" w:hAnsi="Amiri" w:eastAsia="Amiri" w:cs="Amiri"/>
          <w:color w:val="111111"/>
          <w:sz w:val="28"/>
          <w:sz w:val="28"/>
          <w:szCs w:val="28"/>
          <w:rtl w:val="true"/>
          <w:lang w:bidi="ar-SA"/>
        </w:rPr>
        <w:t>الاطهرين و اللعن الدائم علىٰ أعدائهم إلى يوم الدين</w:t>
      </w:r>
    </w:p>
    <w:p>
      <w:pPr>
        <w:pStyle w:val="BookText"/>
        <w:rPr/>
      </w:pPr>
      <w:r>
        <w:rPr>
          <w:rFonts w:ascii="IRNazanin" w:hAnsi="IRNazanin" w:eastAsia="IRNazanin"/>
          <w:color w:val="111111"/>
          <w:sz w:val="28"/>
          <w:sz w:val="28"/>
          <w:szCs w:val="28"/>
          <w:rtl w:val="true"/>
          <w:lang w:bidi="fa-IR"/>
        </w:rPr>
        <w:t>و نظر در اركان و لواحق اقرار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اركان آن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و مُقِرّ و مقرٌّ له و مُقَرّ به</w:t>
      </w:r>
      <w:r>
        <w:rPr>
          <w:rFonts w:eastAsia="IRNazanin" w:cs="IRNazanin"/>
          <w:color w:val="111111"/>
          <w:sz w:val="28"/>
          <w:szCs w:val="28"/>
          <w:rtl w:val="true"/>
          <w:lang w:bidi="fa-IR"/>
        </w:rPr>
        <w:t>.</w:t>
      </w:r>
    </w:p>
    <w:p>
      <w:pPr>
        <w:pStyle w:val="Heading4"/>
        <w:numPr>
          <w:ilvl w:val="3"/>
          <w:numId w:val="1"/>
        </w:numPr>
        <w:rPr/>
      </w:pPr>
      <w:bookmarkStart w:id="2203" w:name="__RefHeading___Toc3808843_1067777946"/>
      <w:bookmarkStart w:id="2204" w:name="_Toc934"/>
      <w:bookmarkEnd w:id="2203"/>
      <w:r>
        <w:rPr/>
        <w:t>1</w:t>
      </w:r>
      <w:r>
        <w:rPr>
          <w:rtl w:val="true"/>
        </w:rPr>
        <w:t xml:space="preserve">. </w:t>
      </w:r>
      <w:r>
        <w:rPr>
          <w:rtl w:val="true"/>
        </w:rPr>
        <w:t>صيغۀ صريحۀ اقرار</w:t>
      </w:r>
      <w:bookmarkEnd w:id="2204"/>
    </w:p>
    <w:p>
      <w:pPr>
        <w:pStyle w:val="Heading5"/>
        <w:numPr>
          <w:ilvl w:val="4"/>
          <w:numId w:val="1"/>
        </w:numPr>
        <w:rPr/>
      </w:pPr>
      <w:bookmarkStart w:id="2205" w:name="__RefHeading___Toc3808845_1067777946"/>
      <w:bookmarkStart w:id="2206" w:name="_Toc935"/>
      <w:bookmarkEnd w:id="2205"/>
      <w:r>
        <w:rPr>
          <w:rtl w:val="true"/>
        </w:rPr>
        <w:t>اشاره</w:t>
      </w:r>
      <w:bookmarkEnd w:id="2206"/>
    </w:p>
    <w:p>
      <w:pPr>
        <w:pStyle w:val="BookText"/>
        <w:rPr/>
      </w:pPr>
      <w:r>
        <w:rPr>
          <w:rFonts w:ascii="IRNazanin" w:hAnsi="IRNazanin" w:eastAsia="IRNazanin"/>
          <w:color w:val="111111"/>
          <w:sz w:val="28"/>
          <w:sz w:val="28"/>
          <w:szCs w:val="28"/>
          <w:rtl w:val="true"/>
          <w:lang w:bidi="fa-IR"/>
        </w:rPr>
        <w:t xml:space="preserve">صيغۀ اقرار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عبارت است از اِخبار به حقى بر مُقِرّ اثباتاً يا نفياً، كه سابق بر اقرار، ثابت يا منتفى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دالّ بر اين اِخبار است، مثل اينكه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 علىّ يا عندي يا فى ذمّتى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آنچه مفيد مفاد اينها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اقرار به ابراء و به مؤجّل و به مشروط، مثل اقرار به ثبوت حق و به حالّ در حين اقرار و به منجّز غير معلَّق به چيزى است؛ و به مفاد نبوى مستفيض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 على انفسهم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نافذ است در موارد مرجعيّت عرف در مفهوم اقرار و سايق آن</w:t>
      </w:r>
      <w:r>
        <w:rPr>
          <w:rFonts w:eastAsia="IRNazanin" w:cs="IRNazanin"/>
          <w:color w:val="111111"/>
          <w:sz w:val="28"/>
          <w:szCs w:val="28"/>
          <w:rtl w:val="true"/>
          <w:lang w:bidi="fa-IR"/>
        </w:rPr>
        <w:t>.</w:t>
      </w:r>
    </w:p>
    <w:p>
      <w:pPr>
        <w:pStyle w:val="Heading5"/>
        <w:numPr>
          <w:ilvl w:val="4"/>
          <w:numId w:val="1"/>
        </w:numPr>
        <w:rPr/>
      </w:pPr>
      <w:bookmarkStart w:id="2207" w:name="__RefHeading___Toc3808847_1067777946"/>
      <w:bookmarkStart w:id="2208" w:name="_Toc936"/>
      <w:bookmarkEnd w:id="2207"/>
      <w:r>
        <w:rPr>
          <w:rtl w:val="true"/>
        </w:rPr>
        <w:t>عدم لزوم ابتدايى بودن اقرار</w:t>
      </w:r>
      <w:bookmarkEnd w:id="2208"/>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لازم نيست ابتدايى بودن اقرار؛ بلكه كافى است استفادۀ آن از تصديق كلام </w:t>
      </w:r>
      <w:bookmarkStart w:id="2209" w:name="pg10265_90133"/>
    </w:p>
    <w:p>
      <w:pPr>
        <w:pStyle w:val="BookText"/>
        <w:rPr/>
      </w:pPr>
      <w:bookmarkEnd w:id="2209"/>
      <w:r>
        <w:rPr>
          <w:rFonts w:ascii="IRNazanin" w:hAnsi="IRNazanin" w:eastAsia="IRNazanin"/>
          <w:color w:val="111111"/>
          <w:sz w:val="28"/>
          <w:sz w:val="28"/>
          <w:szCs w:val="28"/>
          <w:rtl w:val="true"/>
          <w:lang w:bidi="fa-IR"/>
        </w:rPr>
        <w:t>غير، مثل اينكه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جواب كسى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لى عليك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آنكه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لى عليك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آنكه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كسى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استقرضتَ منّى الفاً يا لى عليك 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رددتُها يا ادّيتُها، كه اقرار به دَين و ادّعاى اداى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اگر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كسى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مسكونى تو مال من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خريده ام آن را 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اقرار به ملكيّت و ادّعاى انتقال به شراء است؛ يا آنكه بگويد در جواب مدّعى ملكيّت معيّنى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چه حق تمليك اعم از مالكيّت است و محتاج به استفسار و تفسير است مگر آنكه از قرينۀ مقام، استظهار مالكيّت بشود</w:t>
      </w:r>
      <w:r>
        <w:rPr>
          <w:rFonts w:eastAsia="IRNazanin" w:cs="IRNazanin"/>
          <w:color w:val="111111"/>
          <w:sz w:val="28"/>
          <w:szCs w:val="28"/>
          <w:rtl w:val="true"/>
          <w:lang w:bidi="fa-IR"/>
        </w:rPr>
        <w:t>.</w:t>
      </w:r>
    </w:p>
    <w:p>
      <w:pPr>
        <w:pStyle w:val="Heading5"/>
        <w:numPr>
          <w:ilvl w:val="4"/>
          <w:numId w:val="1"/>
        </w:numPr>
        <w:rPr/>
      </w:pPr>
      <w:bookmarkStart w:id="2210" w:name="__RefHeading___Toc3808849_1067777946"/>
      <w:bookmarkStart w:id="2211" w:name="_Toc937"/>
      <w:bookmarkEnd w:id="2210"/>
      <w:r>
        <w:rPr>
          <w:rtl w:val="true"/>
        </w:rPr>
        <w:t>جواز اجتماع ادّعا و اقرار در قول واحد</w:t>
      </w:r>
      <w:bookmarkEnd w:id="2211"/>
    </w:p>
    <w:p>
      <w:pPr>
        <w:pStyle w:val="BookText"/>
        <w:rPr/>
      </w:pPr>
      <w:r>
        <w:rPr>
          <w:rFonts w:ascii="Amiri" w:hAnsi="Amiri" w:eastAsia="Amiri" w:cs="Amiri"/>
          <w:color w:val="111111"/>
          <w:sz w:val="28"/>
          <w:sz w:val="28"/>
          <w:szCs w:val="28"/>
          <w:rtl w:val="true"/>
          <w:lang w:bidi="ar-SA"/>
        </w:rPr>
        <w:t>و اجتماع ادّعا و اقرار در قول واحد با اختلاف متعلّق، مانعى ندارد و براى هر كدام حكم خودش ثابت است، مثل انكار زوجيّت از احد الزوجين و انكار بيع و شراء از احد المتبايعين</w:t>
      </w:r>
      <w:r>
        <w:rPr>
          <w:rFonts w:eastAsia="Amiri" w:cs="Amiri" w:ascii="Amiri" w:hAnsi="Amiri"/>
          <w:color w:val="111111"/>
          <w:sz w:val="28"/>
          <w:szCs w:val="28"/>
          <w:rtl w:val="true"/>
          <w:lang w:bidi="ar-SA"/>
        </w:rPr>
        <w:t>.</w:t>
      </w:r>
    </w:p>
    <w:p>
      <w:pPr>
        <w:pStyle w:val="Heading5"/>
        <w:numPr>
          <w:ilvl w:val="4"/>
          <w:numId w:val="1"/>
        </w:numPr>
        <w:rPr/>
      </w:pPr>
      <w:bookmarkStart w:id="2212" w:name="__RefHeading___Toc3808851_1067777946"/>
      <w:bookmarkStart w:id="2213" w:name="_Toc938"/>
      <w:bookmarkEnd w:id="2212"/>
      <w:r>
        <w:rPr>
          <w:rtl w:val="true"/>
        </w:rPr>
        <w:t>لعدم اعتبار لغت خاص</w:t>
      </w:r>
      <w:bookmarkEnd w:id="2213"/>
    </w:p>
    <w:p>
      <w:pPr>
        <w:pStyle w:val="BookText"/>
        <w:rPr/>
      </w:pPr>
      <w:r>
        <w:rPr>
          <w:rFonts w:ascii="IRNazanin" w:hAnsi="IRNazanin" w:eastAsia="IRNazanin"/>
          <w:color w:val="111111"/>
          <w:sz w:val="28"/>
          <w:sz w:val="28"/>
          <w:szCs w:val="28"/>
          <w:rtl w:val="true"/>
          <w:lang w:bidi="fa-IR"/>
        </w:rPr>
        <w:t>و معتبر نيست لغت خاصه در اقرار، حتى در حال اختيار، اگر چه گفته شود به اعتبار عربيّت در عقود و ايقاعات</w:t>
      </w:r>
      <w:r>
        <w:rPr>
          <w:rFonts w:eastAsia="IRNazanin" w:cs="IRNazanin"/>
          <w:color w:val="111111"/>
          <w:sz w:val="28"/>
          <w:szCs w:val="28"/>
          <w:rtl w:val="true"/>
          <w:lang w:bidi="fa-IR"/>
        </w:rPr>
        <w:t>.</w:t>
      </w:r>
    </w:p>
    <w:p>
      <w:pPr>
        <w:pStyle w:val="Heading5"/>
        <w:numPr>
          <w:ilvl w:val="4"/>
          <w:numId w:val="1"/>
        </w:numPr>
        <w:rPr/>
      </w:pPr>
      <w:bookmarkStart w:id="2214" w:name="__RefHeading___Toc3808853_1067777946"/>
      <w:bookmarkStart w:id="2215" w:name="_Toc939"/>
      <w:bookmarkEnd w:id="2214"/>
      <w:r>
        <w:rPr>
          <w:rtl w:val="true"/>
        </w:rPr>
        <w:t>اعتبار مجاز با قرينه</w:t>
      </w:r>
      <w:bookmarkEnd w:id="2215"/>
    </w:p>
    <w:p>
      <w:pPr>
        <w:pStyle w:val="BookText"/>
        <w:rPr/>
      </w:pPr>
      <w:r>
        <w:rPr>
          <w:rFonts w:ascii="Amiri" w:hAnsi="Amiri" w:eastAsia="Amiri" w:cs="Amiri"/>
          <w:color w:val="111111"/>
          <w:sz w:val="28"/>
          <w:sz w:val="28"/>
          <w:szCs w:val="28"/>
          <w:rtl w:val="true"/>
          <w:lang w:bidi="ar-SA"/>
        </w:rPr>
        <w:t>و فرقى بين دلالت حقيقيّۀ لغويه يا عرفيّه و بين مجاز با قرينه نيست</w:t>
      </w:r>
      <w:r>
        <w:rPr>
          <w:rFonts w:eastAsia="Amiri" w:cs="Amiri" w:ascii="Amiri" w:hAnsi="Amiri"/>
          <w:color w:val="111111"/>
          <w:sz w:val="28"/>
          <w:szCs w:val="28"/>
          <w:rtl w:val="true"/>
          <w:lang w:bidi="ar-SA"/>
        </w:rPr>
        <w:t>.</w:t>
      </w:r>
    </w:p>
    <w:p>
      <w:pPr>
        <w:pStyle w:val="Heading5"/>
        <w:numPr>
          <w:ilvl w:val="4"/>
          <w:numId w:val="1"/>
        </w:numPr>
        <w:rPr/>
      </w:pPr>
      <w:bookmarkStart w:id="2216" w:name="__RefHeading___Toc3808855_1067777946"/>
      <w:bookmarkStart w:id="2217" w:name="_Toc940"/>
      <w:bookmarkEnd w:id="2216"/>
      <w:r>
        <w:rPr>
          <w:rtl w:val="true"/>
        </w:rPr>
        <w:t>تعليق در اقرار و اقرار به معلّق</w:t>
      </w:r>
      <w:bookmarkEnd w:id="2217"/>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تعليق به مشيّت و نحو آن به خلاف اقرار منجّز به امر معلَّق در عهد و نذر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ارجاع به اين قسم بشود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علىّ كذا إن قدم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قرينۀ </w:t>
      </w:r>
    </w:p>
    <w:p>
      <w:pPr>
        <w:pStyle w:val="BookText"/>
        <w:rPr/>
      </w:pPr>
      <w:r>
        <w:rPr>
          <w:rFonts w:ascii="Amiri" w:hAnsi="Amiri" w:eastAsia="Amiri" w:cs="Amiri"/>
          <w:color w:val="111111"/>
          <w:sz w:val="28"/>
          <w:sz w:val="28"/>
          <w:szCs w:val="28"/>
          <w:rtl w:val="true"/>
          <w:lang w:bidi="ar-SA"/>
        </w:rPr>
        <w:t>بر اراده اين قسم، يعنى اخبار به معلّق نذرى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اقرار به معلَّق كه ذكر شد، غير اقرار تقديرى تعليقى است كه حكم اقرار را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اقرار تعليقى مشروط واحد و غير نافذ است رأساً، و منحلّ به اقرار و اشتراط نيست تا از قبيل تعقيب اقرار به منافى باشد و تبعيض در مأخوذ و متروك بشود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شهادت بدهد فلان براى تو به حقى يا مالى پس او راستگو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اظهر اين است كه اقرار تعليقى و غير ملزم است اگر چه شهادت بدهد، زيرا با عدم جزم به وقوع معلَّقٌ عليه و معلَّق، سازش دارد اگر چه جازم است به استلزام نه به طرفين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خلاف اينكه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شاهدى شهادت بدهد بر وفاق مدّعى و بر خلاف من پس او صادق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محمل صحيحى جز اخبار به مطابقت كلام بر عليه اين قائل ندارد، پس اقرار بدون تعليق است حكماً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شاهدى شهادت بدهد براى مدّعى، تصديق مى نمايم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اينكه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زيد شهادت بدهد، تصديق مى نمايم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مانند فرض اول است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شهد، زيد فهو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تعليق اقرار و عدم لزوم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اضافه به زيد مثلاً؛ به خلاف آنكه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وعد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استظهار كرديم موافقت دارد با 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مخالفت دارد با 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اى از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نسبت او به والدش نسبت اين قول را به اصحاب</w:t>
      </w:r>
      <w:r>
        <w:rPr>
          <w:rFonts w:eastAsia="IRNazanin" w:cs="IRNazanin"/>
          <w:color w:val="111111"/>
          <w:sz w:val="28"/>
          <w:szCs w:val="28"/>
          <w:rtl w:val="true"/>
          <w:lang w:bidi="fa-IR"/>
        </w:rPr>
        <w:t xml:space="preserve">. </w:t>
      </w:r>
      <w:bookmarkStart w:id="2218" w:name="pg10265_90135"/>
    </w:p>
    <w:p>
      <w:pPr>
        <w:pStyle w:val="Heading5"/>
        <w:numPr>
          <w:ilvl w:val="4"/>
          <w:numId w:val="1"/>
        </w:numPr>
        <w:rPr/>
      </w:pPr>
      <w:bookmarkStart w:id="2219" w:name="__RefHeading___Toc3808857_1067777946"/>
      <w:bookmarkStart w:id="2220" w:name="_Toc941"/>
      <w:bookmarkEnd w:id="2218"/>
      <w:bookmarkEnd w:id="2219"/>
      <w:r>
        <w:rPr>
          <w:rtl w:val="true"/>
        </w:rPr>
        <w:t>انصراف اطلاق اقرار</w:t>
      </w:r>
      <w:bookmarkEnd w:id="2220"/>
    </w:p>
    <w:p>
      <w:pPr>
        <w:pStyle w:val="BookText"/>
        <w:rPr/>
      </w:pPr>
      <w:r>
        <w:rPr>
          <w:rFonts w:ascii="IRNazanin" w:hAnsi="IRNazanin" w:eastAsia="IRNazanin"/>
          <w:color w:val="111111"/>
          <w:sz w:val="28"/>
          <w:sz w:val="28"/>
          <w:szCs w:val="28"/>
          <w:rtl w:val="true"/>
          <w:lang w:bidi="fa-IR"/>
        </w:rPr>
        <w:t>و اطلاق اقرار به موزون، منصرف به موزون بلد است؛ و هم چنين مكيل در اطلاق؛ مگر با قرينه بر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اطلاق النقدين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طلا و 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به نقد غالب از مسكوك بلد است، چه خالص باشد يا مغشوش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وزن يك درهم نقره يا يك مثقال 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درهم و مثقال، منصرف به نقد غالب، و در وزن، منصرف به ميزان بلد است؛ و اعتبار در بلد، به بلد مُقِرّ است مگر با قرينه بر خلاف</w:t>
      </w:r>
      <w:r>
        <w:rPr>
          <w:rFonts w:eastAsia="IRNazanin" w:cs="IRNazanin"/>
          <w:color w:val="111111"/>
          <w:sz w:val="28"/>
          <w:szCs w:val="28"/>
          <w:rtl w:val="true"/>
          <w:lang w:bidi="fa-IR"/>
        </w:rPr>
        <w:t>.</w:t>
      </w:r>
    </w:p>
    <w:p>
      <w:pPr>
        <w:pStyle w:val="Heading5"/>
        <w:numPr>
          <w:ilvl w:val="4"/>
          <w:numId w:val="1"/>
        </w:numPr>
        <w:rPr/>
      </w:pPr>
      <w:bookmarkStart w:id="2221" w:name="__RefHeading___Toc3808859_1067777946"/>
      <w:bookmarkStart w:id="2222" w:name="_Toc942"/>
      <w:bookmarkEnd w:id="2221"/>
      <w:r>
        <w:rPr>
          <w:rtl w:val="true"/>
        </w:rPr>
        <w:t>تعدّد نقد غالب در بلد</w:t>
      </w:r>
      <w:bookmarkEnd w:id="2222"/>
    </w:p>
    <w:p>
      <w:pPr>
        <w:pStyle w:val="BookText"/>
        <w:rPr/>
      </w:pPr>
      <w:r>
        <w:rPr>
          <w:rFonts w:ascii="IRNazanin" w:hAnsi="IRNazanin" w:eastAsia="IRNazanin"/>
          <w:color w:val="111111"/>
          <w:sz w:val="28"/>
          <w:sz w:val="28"/>
          <w:szCs w:val="28"/>
          <w:rtl w:val="true"/>
          <w:lang w:bidi="fa-IR"/>
        </w:rPr>
        <w:t>و در صورت تعدّد نقد غالب در بلد، با رجوع به مُقِرّ تعيين مى شود، و اگر ممكن نشد، حمل بر اقل مى شود كه متيقن است بدون ظهور مخالف</w:t>
      </w:r>
      <w:r>
        <w:rPr>
          <w:rFonts w:eastAsia="IRNazanin" w:cs="IRNazanin"/>
          <w:color w:val="111111"/>
          <w:sz w:val="28"/>
          <w:szCs w:val="28"/>
          <w:rtl w:val="true"/>
          <w:lang w:bidi="fa-IR"/>
        </w:rPr>
        <w:t>.</w:t>
      </w:r>
    </w:p>
    <w:p>
      <w:pPr>
        <w:pStyle w:val="Heading5"/>
        <w:numPr>
          <w:ilvl w:val="4"/>
          <w:numId w:val="1"/>
        </w:numPr>
        <w:rPr/>
      </w:pPr>
      <w:bookmarkStart w:id="2223" w:name="__RefHeading___Toc3808861_1067777946"/>
      <w:bookmarkStart w:id="2224" w:name="_Toc943"/>
      <w:bookmarkEnd w:id="2223"/>
      <w:r>
        <w:rPr>
          <w:rtl w:val="true"/>
        </w:rPr>
        <w:t>تكرار و عطف در اقرار</w:t>
      </w:r>
      <w:bookmarkEnd w:id="2224"/>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علىّ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درهم لازم مى شود اگر چه كلام را تكرار نمايد، مگر با قرينه بر تأسيس در حد تكرار، مثل خروج از عقلائيّت به لغويت تكرار، و مگر با ذكر واو حرف عطف به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 درهم، يا درهم ثمّ درهم، يا درهم فدرهم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علىّ درهم و درهمان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درهم لازم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درهم را سه مرتبه ذكر كند، محمول بر تأسيس است و سه درهم لازم است به حسب ظهور؛ و به اين ترتيب در زياده از سه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علىّ درهم مع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فوق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دو درهم است بنا بر اظهر؛ و هم چنين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علىّ درهم فوق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تقدير صحّت اين عبارت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علىّ درهم فوقه درهم و تحته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درهم لازم مى شود؛ </w:t>
      </w:r>
      <w:bookmarkStart w:id="2225" w:name="pg10265_90136"/>
    </w:p>
    <w:p>
      <w:pPr>
        <w:pStyle w:val="BookText"/>
        <w:rPr/>
      </w:pPr>
      <w:bookmarkEnd w:id="2225"/>
      <w:r>
        <w:rPr>
          <w:rFonts w:ascii="IRNazanin" w:hAnsi="IRNazanin" w:eastAsia="IRNazanin"/>
          <w:color w:val="111111"/>
          <w:sz w:val="28"/>
          <w:sz w:val="28"/>
          <w:szCs w:val="28"/>
          <w:rtl w:val="true"/>
          <w:lang w:bidi="fa-IR"/>
        </w:rPr>
        <w:t>و هم چنين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درهم و قبله درهم و بعده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تقدير صحّت تعبير، بنا 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علىّ واحد في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اظهر لزوم عشره است مگر در صورت فائده براى توصيف غير آنچه كه نتيجتاً ضرب است</w:t>
      </w:r>
      <w:r>
        <w:rPr>
          <w:rFonts w:eastAsia="IRNazanin" w:cs="IRNazanin"/>
          <w:color w:val="111111"/>
          <w:sz w:val="28"/>
          <w:szCs w:val="28"/>
          <w:rtl w:val="true"/>
          <w:lang w:bidi="fa-IR"/>
        </w:rPr>
        <w:t>.</w:t>
      </w:r>
    </w:p>
    <w:p>
      <w:pPr>
        <w:pStyle w:val="Heading5"/>
        <w:numPr>
          <w:ilvl w:val="4"/>
          <w:numId w:val="1"/>
        </w:numPr>
        <w:rPr/>
      </w:pPr>
      <w:bookmarkStart w:id="2226" w:name="__RefHeading___Toc3808863_1067777946"/>
      <w:bookmarkStart w:id="2227" w:name="_Toc944"/>
      <w:bookmarkEnd w:id="2226"/>
      <w:r>
        <w:rPr>
          <w:rtl w:val="true"/>
        </w:rPr>
        <w:t>معيّت و عدم معيّت در اقرار و تبعيّت و عدم</w:t>
      </w:r>
      <w:bookmarkEnd w:id="2227"/>
    </w:p>
    <w:p>
      <w:p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غصبته ثوباً في منديل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جهت احتمال فائده براى توصيف اقرار به مظروف، اقرار به ظرف نمى شود؛ به خلاف صورت عدم فائده و مفهوم 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اقرار به ظرف، اقرار به مظروف نمى شود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غصبته غمداً فيه 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مدار فائده در توصيف و عدم آن، به خلاف صورتى كه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غصبته دابّة بسرجها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 بفرشها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افادۀ معيّت مى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غصبته فصّاً في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خاتماً فيه 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داخل در اقرار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آمد و با او خاتم با فصّ بود و استثنا نمود فصّ را بعد از انفصال دو كلام و انتفاى قرينيّت، پس قبول نمى شود، چه ارادۀ شخصِ خاتم باشد يا كلّى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عندي جارية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آورد جاريه را حامل، پس داخل نمى شود حمل در اقرار به جاريه تا استثناى آن حمل در زمان قرينيّت اخراج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اقرار، بيع و وصيّت و عهد است در اين خروج</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علىّ عبد عليه عمامة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اقرار به هر دو است مگر با استثناى متّصل، و هم چنين سائر البسۀ فعليّۀ او اگر در توصيف داخل بود؛ و دخول در يد كافى نيست اگر توصيف نشود، مثل اقرار به عبدى كه واقعاً لابس لباسى است، و مثل اقرار به دابه اى كه واقعاً بر آن زين است بدون توصيف دابه به آن زين بلكه زين در يد صاحب يد بر دابه قبل از اقرار مذكور است</w:t>
      </w:r>
      <w:r>
        <w:rPr>
          <w:rFonts w:eastAsia="IRNazanin" w:cs="IRNazanin"/>
          <w:color w:val="111111"/>
          <w:sz w:val="28"/>
          <w:szCs w:val="28"/>
          <w:rtl w:val="true"/>
          <w:lang w:bidi="fa-IR"/>
        </w:rPr>
        <w:t xml:space="preserve">. </w:t>
      </w:r>
      <w:bookmarkStart w:id="2228" w:name="pg10265_90137"/>
    </w:p>
    <w:p>
      <w:pPr>
        <w:pStyle w:val="BookText"/>
        <w:rPr/>
      </w:pPr>
      <w:bookmarkEnd w:id="2228"/>
      <w:r>
        <w:rPr>
          <w:rFonts w:ascii="IRNazanin" w:hAnsi="IRNazanin" w:eastAsia="IRNazanin"/>
          <w:color w:val="111111"/>
          <w:sz w:val="28"/>
          <w:sz w:val="28"/>
          <w:szCs w:val="28"/>
          <w:rtl w:val="true"/>
          <w:lang w:bidi="fa-IR"/>
        </w:rPr>
        <w:t>و هم چنين يد مُقِرّ بر عبد و بر لباس او است به تبع يد بر عبد، و اقرار متعلّق به ما فى اليد بالاصاله است، نه بر هرچه كه در يد او است؛ پس مورد استيلاء تبعى باقى در ملك مُقِرّ است مگر با توصيف در مرحله اقرار، اگر توصيف محمول بر فائدۀ ديگر مثل معرّفيّت براى مقصود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نيست از باب معرّفيّت شخص مقصود مقرٌّ 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علىّ الف فى هذا الكيس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كيس داخل در اقرار، نيست بلكه اگر در كيس چيزى نبود چيزى لازم نيست، به جهت انتفاى شخص مُقَرّ به در 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يد بر دابّه و البسۀ آن در عرض واحد است بدون اصالت و تبعيّت، به خلاف عبد و لباس او</w:t>
      </w:r>
      <w:r>
        <w:rPr>
          <w:rFonts w:eastAsia="Amiri" w:cs="Amiri" w:ascii="Amiri" w:hAnsi="Amiri"/>
          <w:color w:val="111111"/>
          <w:sz w:val="28"/>
          <w:szCs w:val="28"/>
          <w:rtl w:val="true"/>
          <w:lang w:bidi="ar-SA"/>
        </w:rPr>
        <w:t>.</w:t>
      </w:r>
    </w:p>
    <w:p>
      <w:pPr>
        <w:pStyle w:val="Heading5"/>
        <w:numPr>
          <w:ilvl w:val="4"/>
          <w:numId w:val="1"/>
        </w:numPr>
        <w:rPr/>
      </w:pPr>
      <w:bookmarkStart w:id="2229" w:name="__RefHeading___Toc3808865_1067777946"/>
      <w:bookmarkStart w:id="2230" w:name="_Toc945"/>
      <w:bookmarkEnd w:id="2229"/>
      <w:r>
        <w:rPr>
          <w:rtl w:val="true"/>
        </w:rPr>
        <w:t>حكم اشياى داخلۀ شيئى مورد وصيّت</w:t>
      </w:r>
      <w:bookmarkEnd w:id="2230"/>
    </w:p>
    <w:p>
      <w:pPr>
        <w:pStyle w:val="BookText"/>
        <w:rPr/>
      </w:pPr>
      <w:r>
        <w:rPr>
          <w:rFonts w:ascii="IRNazanin" w:hAnsi="IRNazanin" w:eastAsia="IRNazanin"/>
          <w:color w:val="111111"/>
          <w:sz w:val="28"/>
          <w:sz w:val="28"/>
          <w:szCs w:val="28"/>
          <w:rtl w:val="true"/>
          <w:lang w:bidi="fa-IR"/>
        </w:rPr>
        <w:t>و در وصيّت به صندوقى كه در آن مال باشد، و شمشيرى كه در غلافى و در غلاف آن زيور باشد، و به كشتى كه در آن طعام باشد، بدون توصيف و نحو آن، كه در حكم با اقرار شريك است، متّبع قرائن مقاميّه است؛ و حكم در ظرف و مظروف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مروىّ در امور مذكوره، تبعيّت است در وصيّت؛ و دور نيست محمول بشود در صورت عدم قرائن مقام، بر مواردى كه مفهوم باشد كه اگر انفكاك و عدم تبعيّت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به آن مى شد، و اينكه موارد مذكوره از آن قبيل است</w:t>
      </w:r>
      <w:r>
        <w:rPr>
          <w:rFonts w:eastAsia="IRNazanin" w:cs="IRNazanin"/>
          <w:color w:val="111111"/>
          <w:sz w:val="28"/>
          <w:szCs w:val="28"/>
          <w:rtl w:val="true"/>
          <w:lang w:bidi="fa-IR"/>
        </w:rPr>
        <w:t>.</w:t>
      </w:r>
    </w:p>
    <w:p>
      <w:pPr>
        <w:pStyle w:val="Heading5"/>
        <w:numPr>
          <w:ilvl w:val="4"/>
          <w:numId w:val="1"/>
        </w:numPr>
        <w:rPr/>
      </w:pPr>
      <w:bookmarkStart w:id="2231" w:name="__RefHeading___Toc3808867_1067777946"/>
      <w:bookmarkStart w:id="2232" w:name="_Toc946"/>
      <w:bookmarkEnd w:id="2231"/>
      <w:r>
        <w:rPr>
          <w:rtl w:val="true"/>
        </w:rPr>
        <w:t>عطف به بل</w:t>
      </w:r>
      <w:bookmarkEnd w:id="2232"/>
    </w:p>
    <w:p>
      <w:pPr>
        <w:pStyle w:val="BookText"/>
        <w:rPr/>
      </w:pPr>
      <w:r>
        <w:rPr>
          <w:rFonts w:ascii="IRNazanin" w:hAnsi="IRNazanin" w:eastAsia="IRNazanin"/>
          <w:color w:val="111111"/>
          <w:sz w:val="28"/>
          <w:sz w:val="28"/>
          <w:szCs w:val="28"/>
          <w:rtl w:val="true"/>
          <w:lang w:bidi="fa-IR"/>
        </w:rPr>
        <w:t xml:space="preserve">اگر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بين متغايرين مختلفين يا متفقين يا تداخل، اظهر اعتبار اقرار در اخير و 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احوط جمع است مگر در متداخلين كه اكثر كافى است، متقدّم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يا متأخّر</w:t>
      </w:r>
      <w:r>
        <w:rPr>
          <w:rFonts w:eastAsia="IRNazanin" w:cs="IRNazanin"/>
          <w:color w:val="111111"/>
          <w:sz w:val="28"/>
          <w:szCs w:val="28"/>
          <w:rtl w:val="true"/>
          <w:lang w:bidi="fa-IR"/>
        </w:rPr>
        <w:t>.</w:t>
      </w:r>
    </w:p>
    <w:p>
      <w:pPr>
        <w:pStyle w:val="Heading5"/>
        <w:numPr>
          <w:ilvl w:val="4"/>
          <w:numId w:val="1"/>
        </w:numPr>
        <w:rPr/>
      </w:pPr>
      <w:bookmarkStart w:id="2233" w:name="__RefHeading___Toc3808869_1067777946"/>
      <w:bookmarkStart w:id="2234" w:name="_Toc947"/>
      <w:bookmarkEnd w:id="2233"/>
      <w:r>
        <w:rPr>
          <w:rtl w:val="true"/>
        </w:rPr>
        <w:t>تكرار</w:t>
      </w:r>
      <w:bookmarkEnd w:id="2234"/>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تكرار محض بدون مغايرت، يكى از مكررها كافى است بر تقدير صحّت </w:t>
      </w:r>
      <w:bookmarkStart w:id="2235" w:name="pg10265_90138"/>
    </w:p>
    <w:p>
      <w:pPr>
        <w:pStyle w:val="BookText"/>
        <w:rPr/>
      </w:pPr>
      <w:bookmarkEnd w:id="2235"/>
      <w:r>
        <w:rPr>
          <w:rFonts w:ascii="Amiri" w:hAnsi="Amiri" w:eastAsia="Amiri" w:cs="Amiri"/>
          <w:color w:val="111111"/>
          <w:sz w:val="28"/>
          <w:sz w:val="28"/>
          <w:szCs w:val="28"/>
          <w:rtl w:val="true"/>
          <w:lang w:bidi="ar-SA"/>
        </w:rPr>
        <w:t>عبارت و حمل بر تأكيد، نه مغايرت ملزمه تعدّد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اختلاف به اطلاق و تقييد يا عموم و خصوص بود و در مقدار و وصف متحد بودند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درهم بل هذا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عكس، حمل بر واحد متخصص يا متقيّد مى شود؛ 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درهم بل درهم بغلىّ‌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عكس، اقرار به درهم بغلىّ مى شود؛ و گذشت اظهريت اخذ به اخير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قدر مختلف بودند و يكى از مقدّم يا مؤخر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معين بود، اقرار در اخير ملزِم است چنانچه گذشت، و احوط صلح است</w:t>
      </w:r>
      <w:r>
        <w:rPr>
          <w:rFonts w:eastAsia="IRNazanin" w:cs="IRNazanin"/>
          <w:color w:val="111111"/>
          <w:sz w:val="28"/>
          <w:szCs w:val="28"/>
          <w:rtl w:val="true"/>
          <w:lang w:bidi="fa-IR"/>
        </w:rPr>
        <w:t>.</w:t>
      </w:r>
    </w:p>
    <w:p>
      <w:pPr>
        <w:pStyle w:val="Heading5"/>
        <w:numPr>
          <w:ilvl w:val="4"/>
          <w:numId w:val="1"/>
        </w:numPr>
        <w:rPr/>
      </w:pPr>
      <w:bookmarkStart w:id="2236" w:name="__RefHeading___Toc3808871_1067777946"/>
      <w:bookmarkStart w:id="2237" w:name="_Toc948"/>
      <w:bookmarkEnd w:id="2236"/>
      <w:r>
        <w:rPr>
          <w:rtl w:val="true"/>
        </w:rPr>
        <w:t>جمع بين مختلفين</w:t>
      </w:r>
      <w:bookmarkEnd w:id="2237"/>
    </w:p>
    <w:p>
      <w:pPr>
        <w:pStyle w:val="BookText"/>
        <w:rPr/>
      </w:pPr>
      <w:r>
        <w:rPr>
          <w:rFonts w:ascii="IRNazanin" w:hAnsi="IRNazanin" w:eastAsia="IRNazanin"/>
          <w:color w:val="111111"/>
          <w:sz w:val="28"/>
          <w:sz w:val="28"/>
          <w:szCs w:val="28"/>
          <w:rtl w:val="true"/>
          <w:lang w:bidi="fa-IR"/>
        </w:rPr>
        <w:t>اگر جمع كرد در اثبات بين مختلفين در كمّيّت با تعيّن هر دو، اظهر لزوم اخير است، و احوط صلح به جمع است، مثل آنكه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هذا القفيز من الحنطة، بل هذان القفيزان من الشعير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نفى بود، اقرار تعلّق به 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گيرد و لازم مى شود در جميع صور؛ و هم چنين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از نفى فقط واقع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اظهر در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علىّ عشرة لا بل 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موافقت در حكم با صورت 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نفى است، و احوط صلح به زائد است و در مختلفين به جمع</w:t>
      </w:r>
      <w:r>
        <w:rPr>
          <w:rFonts w:eastAsia="Amiri" w:cs="Amiri" w:ascii="Amiri" w:hAnsi="Amiri"/>
          <w:color w:val="111111"/>
          <w:sz w:val="28"/>
          <w:szCs w:val="28"/>
          <w:rtl w:val="true"/>
          <w:lang w:bidi="ar-SA"/>
        </w:rPr>
        <w:t>.</w:t>
      </w:r>
    </w:p>
    <w:p>
      <w:pPr>
        <w:pStyle w:val="Heading5"/>
        <w:numPr>
          <w:ilvl w:val="4"/>
          <w:numId w:val="1"/>
        </w:numPr>
        <w:rPr/>
      </w:pPr>
      <w:bookmarkStart w:id="2238" w:name="__RefHeading___Toc3808873_1067777946"/>
      <w:bookmarkStart w:id="2239" w:name="_Toc949"/>
      <w:bookmarkEnd w:id="2238"/>
      <w:r>
        <w:rPr>
          <w:rtl w:val="true"/>
        </w:rPr>
        <w:t>جريان احكام سابقه در وصايا و عهود</w:t>
      </w:r>
      <w:bookmarkEnd w:id="2239"/>
    </w:p>
    <w:p>
      <w:pPr>
        <w:pStyle w:val="BookText"/>
        <w:rPr/>
      </w:pPr>
      <w:r>
        <w:rPr>
          <w:rFonts w:ascii="IRNazanin" w:hAnsi="IRNazanin" w:eastAsia="IRNazanin"/>
          <w:color w:val="111111"/>
          <w:sz w:val="28"/>
          <w:sz w:val="28"/>
          <w:szCs w:val="28"/>
          <w:rtl w:val="true"/>
          <w:lang w:bidi="fa-IR"/>
        </w:rPr>
        <w:t>و در وصايا و عهود، جارى است آنچه در اقرار گذشت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اقرار كرد براى ميّتى به مالى، لازم است بر او دفع به وارث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گفت وارثى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نداند، ملزم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دفع مال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دعواى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انحصار در وراثت را اگر مال، ذمّى باشد؛ و انطباق واقعى، دائر مدار انحصار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ظهور خلاف، حكم واقعى خود را واجد است؛ و اگر شخصى باشد پس با اذن حاكم و فحص او و ثبوت انحصار در نزد او، لازم است دفع آن به مُقِرّ له، </w:t>
      </w:r>
      <w:bookmarkStart w:id="2240" w:name="pg10265_90139"/>
    </w:p>
    <w:p>
      <w:pPr>
        <w:pStyle w:val="BookText"/>
        <w:rPr/>
      </w:pPr>
      <w:bookmarkEnd w:id="2240"/>
      <w:r>
        <w:rPr>
          <w:rFonts w:ascii="IRNazanin" w:hAnsi="IRNazanin" w:eastAsia="IRNazanin"/>
          <w:color w:val="111111"/>
          <w:sz w:val="28"/>
          <w:sz w:val="28"/>
          <w:szCs w:val="28"/>
          <w:rtl w:val="true"/>
          <w:lang w:bidi="fa-IR"/>
        </w:rPr>
        <w:t>وگرنه مال را تسليم به امين مى نمايد با نظر حاكم تا معلوم شود مالك تمام؛ و به مقتضاى اعتراف، بدل متيقّن از مملوك وارث فعلى را تسليم مى نمايد به او جمعاً بين الحقّين يا حقوق</w:t>
      </w:r>
      <w:r>
        <w:rPr>
          <w:rFonts w:eastAsia="IRNazanin" w:cs="IRNazanin"/>
          <w:color w:val="111111"/>
          <w:sz w:val="28"/>
          <w:szCs w:val="28"/>
          <w:rtl w:val="true"/>
          <w:lang w:bidi="fa-IR"/>
        </w:rPr>
        <w:t>.</w:t>
      </w:r>
    </w:p>
    <w:p>
      <w:pPr>
        <w:pStyle w:val="Heading5"/>
        <w:numPr>
          <w:ilvl w:val="4"/>
          <w:numId w:val="1"/>
        </w:numPr>
        <w:rPr/>
      </w:pPr>
      <w:bookmarkStart w:id="2241" w:name="__RefHeading___Toc3808875_1067777946"/>
      <w:bookmarkStart w:id="2242" w:name="_Toc950"/>
      <w:bookmarkEnd w:id="2241"/>
      <w:r>
        <w:rPr>
          <w:rtl w:val="true"/>
        </w:rPr>
        <w:t>اشتمال اقرار بر شرط</w:t>
      </w:r>
      <w:bookmarkEnd w:id="2242"/>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رأس الشهر، فله علىّ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آنكه مؤخر نمايد شرط را در عبارت، لازم مى شود ألف بعد از مجيء رأس شهر، چنانچه مفاد اقرار است؛ و لازم اين، تعليق اقرار نيست، بلكه اقرارِ به معلّق است كه نحو ثبوت آن معلّق است و سبب ثبوت آن متعلّق به متعلّق بوده مثل 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قدم مسافرى، فلزيد علىّ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منافات ندارد لزوم به اين اقرار با اعتبار سبق كه مراد از آن به حسب دليل، اعتبار ثبوت با قطع نظر از اقرار است، نه اعتبار سبق ثابت زماناً بر زمان اقرار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مالك عبد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را فروخته ام به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انكار كرد شراء را، احكام شراء با حلف او منتفى مى شوند و مملوك منعتق مى شود به اقرار سيّد به بيع به ولد، و هيچ كدام ولاء بر آن منعتق ندارد به واسطۀ اقرار به اينكه انعتاق از ملك غير بوده و به واسطۀ انكار ولد كه انعتاق از ملك او بوده است؛ و توضيح فرع در مواضع مناسبه ديگر داده مى شود ان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خانه را از فلان تملّك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از او كرده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اقرار است براى فلان به مالكيّت خانه، به خلاف آنكه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تملّكتها على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احتمال غير مالكيّت صاحب يد دارد و ظهور در تمليك صاحب يد ندارد</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لفلان علىّ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لازم مى شود مُقَرّ به و ظهور در زوال دين ندارد؛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ظهورى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بود مُقِرّ و مدّعى بود، اگر چه در بعض صور آن اشكال است</w:t>
      </w:r>
      <w:r>
        <w:rPr>
          <w:rFonts w:eastAsia="IRNazanin" w:cs="IRNazanin"/>
          <w:color w:val="111111"/>
          <w:sz w:val="28"/>
          <w:szCs w:val="28"/>
          <w:rtl w:val="true"/>
          <w:lang w:bidi="fa-IR"/>
        </w:rPr>
        <w:t xml:space="preserve">. </w:t>
      </w:r>
      <w:bookmarkStart w:id="2243" w:name="pg10265_90140"/>
    </w:p>
    <w:p>
      <w:pPr>
        <w:pStyle w:val="Heading4"/>
        <w:numPr>
          <w:ilvl w:val="3"/>
          <w:numId w:val="1"/>
        </w:numPr>
        <w:rPr/>
      </w:pPr>
      <w:bookmarkStart w:id="2244" w:name="__RefHeading___Toc3808877_1067777946"/>
      <w:bookmarkStart w:id="2245" w:name="_Toc951"/>
      <w:bookmarkEnd w:id="2243"/>
      <w:bookmarkEnd w:id="2244"/>
      <w:r>
        <w:rPr/>
        <w:t>2</w:t>
      </w:r>
      <w:r>
        <w:rPr>
          <w:rtl w:val="true"/>
        </w:rPr>
        <w:t xml:space="preserve">. </w:t>
      </w:r>
      <w:r>
        <w:rPr>
          <w:rtl w:val="true"/>
        </w:rPr>
        <w:t>اقارير مبهمه</w:t>
      </w:r>
      <w:bookmarkEnd w:id="2245"/>
    </w:p>
    <w:p>
      <w:pPr>
        <w:pStyle w:val="Heading5"/>
        <w:numPr>
          <w:ilvl w:val="4"/>
          <w:numId w:val="1"/>
        </w:numPr>
        <w:rPr/>
      </w:pPr>
      <w:bookmarkStart w:id="2246" w:name="__RefHeading___Toc3808879_1067777946"/>
      <w:bookmarkStart w:id="2247" w:name="_Toc952"/>
      <w:bookmarkEnd w:id="2246"/>
      <w:r>
        <w:rPr>
          <w:rtl w:val="true"/>
        </w:rPr>
        <w:t>اقرار به مالى براى شخصى و الزام به تفسير</w:t>
      </w:r>
      <w:bookmarkEnd w:id="22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اقرار به مالى براى شخصى كرد، صحيح و نافذ است و الزام مى شود به تفسير؛ و اگر امتناع كرد با قدرت بر تفسير و معرفت آن، حبس مى شود براى تفسير؛ و دور نيست اكتفا در تفسير به آنچه حاضر است به تأديۀ آن كه كاشف است از عدم زيادتى مستحَق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وفات نمايد قبل از تفسيرِ مقدور، وارث مطالبه به آن مال مى شود پس تفسير از او خواسته مى شود با ادّعاى مُقَرّ له علم وارث را به مقدار مُقَرّ به؛ و اگر بگويد نمى دانم، با يمين او مقدّم است قول او بر قول مدّعى و اقل متموَّل تسليم مدّعى مى شود و به ادّعا عمل نمى شود بدون بينه، مگر با يمين مردوده كه در مقام مفقود است به جهت فوت مدّعىٰ عليه و فرض يمين وارث به عدم علم او به مقدار</w:t>
      </w:r>
      <w:r>
        <w:rPr>
          <w:rFonts w:eastAsia="IRNazanin" w:cs="IRNazanin"/>
          <w:color w:val="111111"/>
          <w:sz w:val="28"/>
          <w:szCs w:val="28"/>
          <w:rtl w:val="true"/>
          <w:lang w:bidi="fa-IR"/>
        </w:rPr>
        <w:t>.</w:t>
      </w:r>
    </w:p>
    <w:p>
      <w:pPr>
        <w:pStyle w:val="Heading5"/>
        <w:numPr>
          <w:ilvl w:val="4"/>
          <w:numId w:val="1"/>
        </w:numPr>
        <w:rPr/>
      </w:pPr>
      <w:bookmarkStart w:id="2248" w:name="__RefHeading___Toc3808881_1067777946"/>
      <w:bookmarkStart w:id="2249" w:name="_Toc953"/>
      <w:bookmarkEnd w:id="2248"/>
      <w:r>
        <w:rPr>
          <w:rtl w:val="true"/>
        </w:rPr>
        <w:t>ادّعاى مخالفت در تفسير</w:t>
      </w:r>
      <w:bookmarkEnd w:id="2249"/>
    </w:p>
    <w:p>
      <w:pPr>
        <w:pStyle w:val="BookText"/>
        <w:rPr/>
      </w:pPr>
      <w:r>
        <w:rPr>
          <w:rFonts w:ascii="IRNazanin" w:hAnsi="IRNazanin" w:eastAsia="IRNazanin"/>
          <w:color w:val="111111"/>
          <w:sz w:val="28"/>
          <w:sz w:val="28"/>
          <w:szCs w:val="28"/>
          <w:rtl w:val="true"/>
          <w:lang w:bidi="fa-IR"/>
        </w:rPr>
        <w:t>و اگر مُقَرّ له ادّعا كرد مخالفت تفسير مُقِرّ يا وارث را با مراد به اقرار، با يمين مقر يا وارث فصل مى شود، و يمين وارث به عدم علم به خلاف است</w:t>
      </w:r>
      <w:r>
        <w:rPr>
          <w:rFonts w:eastAsia="IRNazanin" w:cs="IRNazanin"/>
          <w:color w:val="111111"/>
          <w:sz w:val="28"/>
          <w:szCs w:val="28"/>
          <w:rtl w:val="true"/>
          <w:lang w:bidi="fa-IR"/>
        </w:rPr>
        <w:t>.</w:t>
      </w:r>
    </w:p>
    <w:p>
      <w:pPr>
        <w:pStyle w:val="Heading5"/>
        <w:numPr>
          <w:ilvl w:val="4"/>
          <w:numId w:val="1"/>
        </w:numPr>
        <w:rPr/>
      </w:pPr>
      <w:bookmarkStart w:id="2250" w:name="__RefHeading___Toc3808883_1067777946"/>
      <w:bookmarkStart w:id="2251" w:name="_Toc954"/>
      <w:bookmarkEnd w:id="2250"/>
      <w:r>
        <w:rPr>
          <w:rtl w:val="true"/>
        </w:rPr>
        <w:t>تفسير به غير متموّل و غير مملوك و غير منتفع</w:t>
      </w:r>
      <w:bookmarkEnd w:id="2251"/>
    </w:p>
    <w:p>
      <w:pPr>
        <w:pStyle w:val="BookText"/>
        <w:rPr/>
      </w:pPr>
      <w:r>
        <w:rPr>
          <w:rFonts w:ascii="IRNazanin" w:hAnsi="IRNazanin" w:eastAsia="IRNazanin"/>
          <w:color w:val="111111"/>
          <w:sz w:val="28"/>
          <w:sz w:val="28"/>
          <w:szCs w:val="28"/>
          <w:rtl w:val="true"/>
          <w:lang w:bidi="fa-IR"/>
        </w:rPr>
        <w:t>و اگر تفسير به اقل متموَّل شد، قبول مى شود در صورت عادى بودن تموّل آن در عرف، نه مثل پوست لوز يا رد سلام يا حد 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تفسير كرد براى مسلِم مُقَرّ له به غير مملوك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خمر و خنزير و جلد ميته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نمى شود؛ و در خمر محترمه، يعنى متخذۀ براى تخليل با علم به موضوع، احتمال قبول است، بلكه خالى از وجه نيست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اقرار و تفسير مذكور در خمر و خنزير براى مستحلّ ذِمى شد، قبول، راجح </w:t>
      </w:r>
      <w:bookmarkStart w:id="2252" w:name="pg10265_90141"/>
    </w:p>
    <w:p>
      <w:pPr>
        <w:pStyle w:val="BookText"/>
        <w:rPr/>
      </w:pPr>
      <w:bookmarkEnd w:id="225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جلد ميته بعد از دَبغ براى قائل به طهارت، تفسير و اقرار به آن، مقبوليّت آنها رجحان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تفسير به غير منتفَع به و غير مملوك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سرگين نجس و كلب عقور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قبول اقرار و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كلام در عذره اى كه تسميد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مى شود در محلش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تفسير كلب به كلب صيد و ماشيه و زرع شد، مقبول است، مثل اقرار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قابل تعليم براى اين جهت معلومه، احتمال قبول است، چنانچه 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قبول تفسير مال مقرٌّ به، به امۀ مستولده، مثل اقرار به آن، اشكال است، و تابع بودن براى جواز بيع در امكان و وقوع، موافق قاعده است؛ و منع تسليم در عين با غرامت قيمت عين و منافع جمعاً بين الحقين، محتمل است، و احوط اول است؛ پس يا تسليم مى شود و ابطال استيلاد مى شود، يا آنكه غرامت هم نمى شود به دفع قيمت عين و منافع مثل استخدام؛ و در صورت عدم ابطال حق استيلاد كه حق اللّٰه است، تسليم به مُقَرّ له نمى شود، و به حسب اقرار، تغريم مى شود به قيمت اَمه و ولد در روز ولادت و منافع اَمه به تفويت يا اتلاف</w:t>
      </w:r>
      <w:r>
        <w:rPr>
          <w:rFonts w:eastAsia="IRNazanin" w:cs="IRNazanin"/>
          <w:color w:val="111111"/>
          <w:sz w:val="28"/>
          <w:szCs w:val="28"/>
          <w:rtl w:val="true"/>
          <w:lang w:bidi="fa-IR"/>
        </w:rPr>
        <w:t>.</w:t>
      </w:r>
    </w:p>
    <w:p>
      <w:pPr>
        <w:pStyle w:val="Heading5"/>
        <w:numPr>
          <w:ilvl w:val="4"/>
          <w:numId w:val="1"/>
        </w:numPr>
        <w:rPr/>
      </w:pPr>
      <w:bookmarkStart w:id="2253" w:name="__RefHeading___Toc3808885_1067777946"/>
      <w:bookmarkStart w:id="2254" w:name="_Toc955"/>
      <w:bookmarkEnd w:id="2253"/>
      <w:r>
        <w:rPr>
          <w:rtl w:val="true"/>
        </w:rPr>
        <w:t>تفسير به غير منفعت محلّله</w:t>
      </w:r>
      <w:bookmarkEnd w:id="225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علىّ شىء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مسلمانى، پس از استفسار تفسير نمود به جلد ميته يا سرگين نجس، پس با عدم اعتقاد منفعت محلّله از مقِرّ و مُقَرّ له، اثرى براى اقرار مفسّر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معتقد منفعت محلله باشند و حق اختصاص ثابت باشد، دور نيست قبول آن و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تمليك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مذكور، قريب، و در كلب معلَّم، اقرب است از دو مورد مذكور</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چنين در تفسير به حبۀ حنطه كه در معرضيّت قريبه به انضمام به مقدار ماليّت و انتفاع باشد، مثل اقرار به آن و سماع دعواى آن</w:t>
      </w:r>
      <w:r>
        <w:rPr>
          <w:rFonts w:eastAsia="IRNazanin" w:cs="IRNazanin"/>
          <w:color w:val="111111"/>
          <w:sz w:val="28"/>
          <w:szCs w:val="28"/>
          <w:rtl w:val="true"/>
          <w:lang w:bidi="fa-IR"/>
        </w:rPr>
        <w:t xml:space="preserve">. </w:t>
      </w:r>
      <w:bookmarkStart w:id="2255" w:name="pg10265_90142"/>
    </w:p>
    <w:p>
      <w:pPr>
        <w:pStyle w:val="BookText"/>
        <w:rPr/>
      </w:pPr>
      <w:bookmarkEnd w:id="2255"/>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علىّ مال 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تفسير به قليل كرد، قبول مى شود تفسير در هر چه محتمل باشد صحّت توصيف به عظمت در اعتقاد 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على شىء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اختصاص به متموّل ندارد، بلكه قبول مى شود تفسير آن به اقل ما يتموّل، يا اقل حقوق واجب الاداء، و به آن عمل مى شود در صورت تعذر تفسير</w:t>
      </w:r>
      <w:r>
        <w:rPr>
          <w:rFonts w:eastAsia="IRNazanin" w:cs="IRNazanin"/>
          <w:color w:val="111111"/>
          <w:sz w:val="28"/>
          <w:szCs w:val="28"/>
          <w:rtl w:val="true"/>
          <w:lang w:bidi="fa-IR"/>
        </w:rPr>
        <w:t>.</w:t>
      </w:r>
    </w:p>
    <w:p>
      <w:pPr>
        <w:pStyle w:val="Heading5"/>
        <w:numPr>
          <w:ilvl w:val="4"/>
          <w:numId w:val="1"/>
        </w:numPr>
        <w:rPr/>
      </w:pPr>
      <w:bookmarkStart w:id="2256" w:name="__RefHeading___Toc3808887_1067777946"/>
      <w:bookmarkStart w:id="2257" w:name="_Toc956"/>
      <w:bookmarkEnd w:id="2256"/>
      <w:r>
        <w:rPr>
          <w:rtl w:val="true"/>
        </w:rPr>
        <w:t>تفسير لفظ كثير در اقرار</w:t>
      </w:r>
      <w:bookmarkEnd w:id="2257"/>
    </w:p>
    <w:p>
      <w:p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علىّ مال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احوط و اولى تراضى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معتمد، رجوع به عرف در صدق كثرت است، يا عدم صدق در اقل، و تفسير به اقل مصاديق كثرت فما زاد قبول مى شود با عدم محذور ديگر، مثل مجاوزت از ثلث در وصايا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اضافۀ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علىّ مال، مؤثّر در زيادتى نيست، بلكه ازيد از تأكيد استفاده از آن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علىّ اكثر من مال فلان، يا من المال الفلانى، ملزم به مطلق زيادتى بر مال مذكور معلوم مى شود، و تفسير به آن هم قبول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اكثريّت، در اعتبار كثرت، تابع مفضول است، به جهت صدق اكثر و ازيد بر مالى در مقابل قليل فى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بر كثرت عدديّه و مقداريّه مى شود در اقرار و به حسب تفسير، نه كثرت از حيث كيفيّت و منفعت و بركت، مگر با قرينه بر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تفسير با اتّصال، قبول است اگر انكار بعد الاقرار نباشد؛ بلكه تأويل، محتمل باشد؛ و با انفصال، قبول نمى شود مگر با ابهامِ اقرار و عدم ظهور كافى در عرفيّات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تفسير زيادتى و آنچه با آن اكثريّت محقّق مى شود، رجوع به مُقِرّ مى شود و قبول مى شود تفسير محتمل او؛ و اگر ممكن نشد تفسير، اظهر اعتبار تموّل است در </w:t>
      </w:r>
      <w:bookmarkStart w:id="2258" w:name="pg10265_90143"/>
    </w:p>
    <w:p>
      <w:pPr>
        <w:pStyle w:val="BookText"/>
        <w:rPr/>
      </w:pPr>
      <w:bookmarkEnd w:id="2258"/>
      <w:r>
        <w:rPr>
          <w:rFonts w:ascii="IRNazanin" w:hAnsi="IRNazanin" w:eastAsia="IRNazanin"/>
          <w:color w:val="111111"/>
          <w:sz w:val="28"/>
          <w:sz w:val="28"/>
          <w:szCs w:val="28"/>
          <w:rtl w:val="true"/>
          <w:lang w:bidi="fa-IR"/>
        </w:rPr>
        <w:t>نفس زيادتى و محقّق اكثريّت اگر مزيدٌ عليه، مال است؛ و تفصيل در مثل حبه اى از حنطه، گذشت</w:t>
      </w:r>
      <w:r>
        <w:rPr>
          <w:rFonts w:eastAsia="IRNazanin" w:cs="IRNazanin"/>
          <w:color w:val="111111"/>
          <w:sz w:val="28"/>
          <w:szCs w:val="28"/>
          <w:rtl w:val="true"/>
          <w:lang w:bidi="fa-IR"/>
        </w:rPr>
        <w:t>.</w:t>
      </w:r>
    </w:p>
    <w:p>
      <w:pPr>
        <w:pStyle w:val="Heading5"/>
        <w:numPr>
          <w:ilvl w:val="4"/>
          <w:numId w:val="1"/>
        </w:numPr>
        <w:rPr/>
      </w:pPr>
      <w:bookmarkStart w:id="2259" w:name="__RefHeading___Toc3808889_1067777946"/>
      <w:bookmarkStart w:id="2260" w:name="_Toc957"/>
      <w:bookmarkEnd w:id="2259"/>
      <w:r>
        <w:rPr>
          <w:rtl w:val="true"/>
        </w:rPr>
        <w:t>تفسير به معتقَد</w:t>
      </w:r>
      <w:bookmarkEnd w:id="2260"/>
    </w:p>
    <w:p>
      <w:pPr>
        <w:pStyle w:val="BookText"/>
        <w:rPr/>
      </w:pPr>
      <w:r>
        <w:rPr>
          <w:rFonts w:ascii="IRNazanin" w:hAnsi="IRNazanin" w:eastAsia="IRNazanin"/>
          <w:color w:val="111111"/>
          <w:sz w:val="28"/>
          <w:sz w:val="28"/>
          <w:szCs w:val="28"/>
          <w:rtl w:val="true"/>
          <w:lang w:bidi="fa-IR"/>
        </w:rPr>
        <w:t>و اگر در مقام تفسير بگويد كه اعتقاد من چنين بود كه مال فلان اين قدر است، دور نيست قبول و عدم اعتبار به زيادتى واقعيّه از اعتقاد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زائد معتقد بودم از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 نيست اعتبار به اعتقاد زيادتى و عدم اعتبار به نقص واقعى اگر چه در صورت عدم تفسير، عبرت به واقع است در دو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علم به كذب در تفسير او در دو صورت بود، مسموع نيست، مثل اقرار به معلوم الكذب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شهادت صحيحه به يك مقدار داد به نحو تحديد، پس اقرار به اكثر، مسموع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در تفسير، اعتقاد به مقدارى را با تحديد ذكر كرد پس از آن اقرار به اكثر نمود، مسموع نمى شود</w:t>
      </w:r>
      <w:r>
        <w:rPr>
          <w:rFonts w:eastAsia="IRNazanin" w:cs="IRNazanin"/>
          <w:color w:val="111111"/>
          <w:sz w:val="28"/>
          <w:szCs w:val="28"/>
          <w:rtl w:val="true"/>
          <w:lang w:bidi="fa-IR"/>
        </w:rPr>
        <w:t>.</w:t>
      </w:r>
    </w:p>
    <w:p>
      <w:pPr>
        <w:pStyle w:val="Heading5"/>
        <w:numPr>
          <w:ilvl w:val="4"/>
          <w:numId w:val="1"/>
        </w:numPr>
        <w:rPr/>
      </w:pPr>
      <w:bookmarkStart w:id="2261" w:name="__RefHeading___Toc3808891_1067777946"/>
      <w:bookmarkStart w:id="2262" w:name="_Toc958"/>
      <w:bookmarkEnd w:id="2261"/>
      <w:r>
        <w:rPr>
          <w:rtl w:val="true"/>
        </w:rPr>
        <w:t>اقرار به اكثريّت</w:t>
      </w:r>
      <w:bookmarkEnd w:id="2262"/>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لى عليك ألف دينار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مدّعى عليه بگويد در مقام اقرار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 علىّ اكثر من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اظهر رجوع به او در تفسير است؛ و با تعذر، اظهر زيادتى يك دينار است بر مُقَرّ به، و تفسير به آن قبول مى شود، به خلاف تفسير به يك دانۀ گندم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احتمالِ قبول اين تفسير است؛ و با تعذر،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اين قدر زيادتى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علىّ اكثر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مى شود زائد بر نصف به يكى، از جنس مذكور از دينار يا غير آن</w:t>
      </w:r>
      <w:r>
        <w:rPr>
          <w:rFonts w:eastAsia="IRNazanin" w:cs="IRNazanin"/>
          <w:color w:val="111111"/>
          <w:sz w:val="28"/>
          <w:szCs w:val="28"/>
          <w:rtl w:val="true"/>
          <w:lang w:bidi="fa-IR"/>
        </w:rPr>
        <w:t>.</w:t>
      </w:r>
    </w:p>
    <w:p>
      <w:pPr>
        <w:pStyle w:val="Heading5"/>
        <w:numPr>
          <w:ilvl w:val="4"/>
          <w:numId w:val="1"/>
        </w:numPr>
        <w:rPr/>
      </w:pPr>
      <w:bookmarkStart w:id="2263" w:name="__RefHeading___Toc3808893_1067777946"/>
      <w:bookmarkStart w:id="2264" w:name="_Toc959"/>
      <w:bookmarkEnd w:id="2263"/>
      <w:r>
        <w:rPr>
          <w:rtl w:val="true"/>
        </w:rPr>
        <w:t>اقرار به غصب و استناد آن به طرف</w:t>
      </w:r>
      <w:bookmarkEnd w:id="2264"/>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غصبتك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تفسير آن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أردتُ نفسك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قبول نمى شود، چون حرّ مغصوب نمى شود؛ و اظهر عدم قبول تفسير است نه اقرار، </w:t>
      </w:r>
      <w:bookmarkStart w:id="2265" w:name="pg10265_90144"/>
    </w:p>
    <w:p>
      <w:pPr>
        <w:pStyle w:val="BookText"/>
        <w:rPr/>
      </w:pPr>
      <w:bookmarkEnd w:id="2265"/>
      <w:r>
        <w:rPr>
          <w:rFonts w:ascii="IRNazanin" w:hAnsi="IRNazanin" w:eastAsia="IRNazanin"/>
          <w:color w:val="111111"/>
          <w:sz w:val="28"/>
          <w:sz w:val="28"/>
          <w:szCs w:val="28"/>
          <w:rtl w:val="true"/>
          <w:lang w:bidi="fa-IR"/>
        </w:rPr>
        <w:t xml:space="preserve">چون منافات بين اقرار و تفسير، ظاهر است؛ و انكار بعد از اقرار، مسموع نيست و ملزم به اقل ما يتموّل أو يُستحق مى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علىّ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متعذر شد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تأويلى ديگر هست كه در نتيجه متحد است با آنچه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غصبتك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بگويد در تفسير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اردت نفسك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مُقِرّ له مخاطب، مملوك بود، اظهر صحّت تفسير است، و مُقَرّ له واقعاً مالكِ مخاطب است نه خود 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غصبته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تفسير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اردت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ذكر شد كه اگر مرجعِ ضمير، مملوك است، تفسير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تفسير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غبنتُه، مطلقاً قبول مى شود و از قبيل قرينة المجاز مى شود كه با اتّصال، تحكيم بر ظهور غصب در استيلاء بر مال عدواناً مى شود و محمول بر اقرار به غبن ديگرى در معامله مى شود</w:t>
      </w:r>
      <w:r>
        <w:rPr>
          <w:rFonts w:eastAsia="IRNazanin" w:cs="IRNazanin"/>
          <w:color w:val="111111"/>
          <w:sz w:val="28"/>
          <w:szCs w:val="28"/>
          <w:rtl w:val="true"/>
          <w:lang w:bidi="fa-IR"/>
        </w:rPr>
        <w:t>.</w:t>
      </w:r>
    </w:p>
    <w:p>
      <w:pPr>
        <w:pStyle w:val="Heading5"/>
        <w:numPr>
          <w:ilvl w:val="4"/>
          <w:numId w:val="1"/>
        </w:numPr>
        <w:rPr/>
      </w:pPr>
      <w:bookmarkStart w:id="2266" w:name="__RefHeading___Toc3808895_1067777946"/>
      <w:bookmarkStart w:id="2267" w:name="_Toc960"/>
      <w:bookmarkEnd w:id="2266"/>
      <w:r>
        <w:rPr>
          <w:rtl w:val="true"/>
        </w:rPr>
        <w:t>نحوۀ تعيين مقدار اقرار به جمع</w:t>
      </w:r>
      <w:bookmarkEnd w:id="226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منكّر محمول بر سه است پس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علىّ دراهم يا دنانير، بيش از سه لازم نمى شود، بلكه استفسار مى شود و به تفسير عمل مى شود هرچه باشد؛ و اگر متعذر شد، چون ازيد از سه كه متيقن است مُقَرّ به و مخبر عنه بودن آن معلوم نيست و مقتضاى اصل، برائت است، بيش از سه لازم نمى شود؛ و چون اخبار است نه انشاء، اخذ به اطلاق نمى شود و مخبر عنه واقعِ آن خاص است و آن مجهول مردّد بين اقل متيقن و اكثر مشكوك است و با اصل برائت، تعيين ظاهرى مى شود، و با اين بيان استدراك تعبير به اطلاق در بعض فروع سابقه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تفسير به اثنين نمايد و محتمل باشد رأى او يا رأى مقلَّد او در جمع مطلقاً يا خصوص جمع قلّت، مقبول مى شود وگرنه حمل بر مجازيّت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بودن تفسير قرينۀ مجاز، موقوف بر اتّصال است به جملۀ اقرار</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علىّ ثلاثة آلاف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استفسار مى شود از جنس و وصف، و بايد </w:t>
      </w:r>
      <w:bookmarkStart w:id="2268" w:name="pg10265_90145"/>
    </w:p>
    <w:p>
      <w:pPr>
        <w:pStyle w:val="BookText"/>
        <w:rPr/>
      </w:pPr>
      <w:bookmarkEnd w:id="2268"/>
      <w:r>
        <w:rPr>
          <w:rFonts w:ascii="IRNazanin" w:hAnsi="IRNazanin" w:eastAsia="IRNazanin"/>
          <w:color w:val="111111"/>
          <w:sz w:val="28"/>
          <w:sz w:val="28"/>
          <w:szCs w:val="28"/>
          <w:rtl w:val="true"/>
          <w:lang w:bidi="fa-IR"/>
        </w:rPr>
        <w:t>مملوك و متموّل و معدود منفصل الاجزاء در متعارف باشد، و تجزيۀ تحليليّۀ تقديريّۀ واحد متّصل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تفسير، متعذر شد، حكم جنس و وصف حكم مراتب عدديّۀ جمع است</w:t>
      </w:r>
      <w:r>
        <w:rPr>
          <w:rFonts w:eastAsia="IRNazanin" w:cs="IRNazanin"/>
          <w:color w:val="111111"/>
          <w:sz w:val="28"/>
          <w:szCs w:val="28"/>
          <w:rtl w:val="true"/>
          <w:lang w:bidi="fa-IR"/>
        </w:rPr>
        <w:t>.</w:t>
      </w:r>
    </w:p>
    <w:p>
      <w:pPr>
        <w:pStyle w:val="Heading5"/>
        <w:numPr>
          <w:ilvl w:val="4"/>
          <w:numId w:val="1"/>
        </w:numPr>
        <w:rPr/>
      </w:pPr>
      <w:bookmarkStart w:id="2269" w:name="__RefHeading___Toc3808897_1067777946"/>
      <w:bookmarkStart w:id="2270" w:name="_Toc961"/>
      <w:bookmarkEnd w:id="2269"/>
      <w:r>
        <w:rPr>
          <w:rtl w:val="true"/>
        </w:rPr>
        <w:t>مبيّن بودن معطوف و مجهوليّت معطوف عليه</w:t>
      </w:r>
      <w:bookmarkEnd w:id="227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علىّ الف و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درهمان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و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هكذا، درهم و نحو آن ثابت و لازم مى شود، و الف و مائة مجهول و محتاج به تفسير مى شود، و علّت، عطف مقابل تمييز است؛ به خلاف مثل الف و خمسون درهماً يا مائة و خمسون درهماً كه اظهر تمييز است؛ مگر تفسير متّصل تعيين خلاف نمايد كه اظهر مقبوليّت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در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درهم و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الف درهم و عشرون، مورد اشكال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همۀ مذكورات به وحدت سياق مى توان حكم كرد در صورت معلوميّت و مميَّز بودن اكثر و تبعيّت اقل نه عكس، و در صورت اتّصال تمييز و مميَّز با تعدّد فواصل بين اول و آخر؛ و در هر صورت تفسير خلاف اگر متّصل باشد، مقبول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علىّ درهم و 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نصف درهم است مگر با تفسير متّصل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نصف و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نصف، مبهم است و رجوع به در تفسير آن مى شود؛ و اگر ممكن نشد، حمل مى شود بر نصف مالى كه آن نصف اقل ما يتموّل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علىّ كذا،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علىّ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رجوع به او مى شود در تفسير، و اظهر كنايه از عدد و تبعيّت تمييز است و استفسار براى آن و مرتبۀ مميَّز مى شود؛ و اگر تفسير به بيست درهم كرد، اقرار به بيست درهم مى شود</w:t>
      </w:r>
      <w:r>
        <w:rPr>
          <w:rFonts w:eastAsia="IRNazanin" w:cs="IRNazanin"/>
          <w:color w:val="111111"/>
          <w:sz w:val="28"/>
          <w:szCs w:val="28"/>
          <w:rtl w:val="true"/>
          <w:lang w:bidi="fa-IR"/>
        </w:rPr>
        <w:t>.</w:t>
      </w:r>
    </w:p>
    <w:p>
      <w:pPr>
        <w:pStyle w:val="Heading5"/>
        <w:numPr>
          <w:ilvl w:val="4"/>
          <w:numId w:val="1"/>
        </w:numPr>
        <w:rPr/>
      </w:pPr>
      <w:bookmarkStart w:id="2271" w:name="__RefHeading___Toc3808899_1067777946"/>
      <w:bookmarkStart w:id="2272" w:name="_Toc962"/>
      <w:bookmarkEnd w:id="2271"/>
      <w:r>
        <w:rPr>
          <w:rtl w:val="true"/>
        </w:rPr>
        <w:t xml:space="preserve">اختلاف نصب و رفع و جرّ </w:t>
      </w:r>
      <w:r>
        <w:rPr>
          <w:rtl w:val="true"/>
        </w:rPr>
        <w:t>«</w:t>
      </w:r>
      <w:r>
        <w:rPr>
          <w:rtl w:val="true"/>
        </w:rPr>
        <w:t>درهم</w:t>
      </w:r>
      <w:r>
        <w:rPr>
          <w:rtl w:val="true"/>
        </w:rPr>
        <w:t xml:space="preserve">» </w:t>
      </w:r>
      <w:r>
        <w:rPr>
          <w:rtl w:val="true"/>
        </w:rPr>
        <w:t>در مفاد</w:t>
      </w:r>
      <w:bookmarkEnd w:id="2272"/>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آيا فرق است بين نصب درهم و رفع آن در اين مقام‌؟ اظهر چنين است در صورت </w:t>
      </w:r>
      <w:bookmarkStart w:id="2273" w:name="pg10265_90146"/>
    </w:p>
    <w:p>
      <w:pPr>
        <w:pStyle w:val="BookText"/>
        <w:rPr/>
      </w:pPr>
      <w:bookmarkEnd w:id="2273"/>
      <w:r>
        <w:rPr>
          <w:rFonts w:ascii="IRNazanin" w:hAnsi="IRNazanin" w:eastAsia="IRNazanin"/>
          <w:color w:val="111111"/>
          <w:sz w:val="28"/>
          <w:sz w:val="28"/>
          <w:szCs w:val="28"/>
          <w:rtl w:val="true"/>
          <w:lang w:bidi="fa-IR"/>
        </w:rPr>
        <w:t>صدور از اهل لسان با معرفت به آداب صحيحۀ عربيّت؛ پس با نصب، محمول مى شود بر عشرين كه اقل آنچه منصوب مى شود، مميّزش مى باشد، با ضميمۀ اصالة البراءة، و لكن رجوع به تفسير در مراتب اين عدد مى شود، و اگر متعذر شد محمول بر عشرين مى شود، چنانچه گذشت در نظائرش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آنكه رجوع به تفسير بشود، و اگر نشد حمل مى شود بر آنچه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به آن مى شود، مثل آن صورت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علىّ كذا شىءٌ‌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مجرور نمايد، حمل بر بعض درهم مى شود و رجوع به او در تفسير مى شود؛ و با تعذّر، محمول بر بعض درهم كه آن بعض، متموّل باشد مى شود، لكن اظهر مثل سابق، حمل بر مرتبۀ مميّز مجرور مى شود و رجوع به او مى شود در تفسير، وگرنه حمل بر اقل مميَّز به مجرور مى شود با ضميمۀ اصالة البراءة كه صد درهم است، خصوصاً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 درهمٍ صحيح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وصف براى مضاف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الاظهر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مضافٌ اليه وگرنه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نمود، و به معنى تامّ تأكيد است نه تأسيس</w:t>
      </w:r>
      <w:r>
        <w:rPr>
          <w:rFonts w:eastAsia="IRNazanin" w:cs="IRNazanin"/>
          <w:color w:val="111111"/>
          <w:sz w:val="28"/>
          <w:szCs w:val="28"/>
          <w:rtl w:val="true"/>
          <w:lang w:bidi="fa-IR"/>
        </w:rPr>
        <w:t>.</w:t>
      </w:r>
    </w:p>
    <w:p>
      <w:pPr>
        <w:pStyle w:val="Heading5"/>
        <w:numPr>
          <w:ilvl w:val="4"/>
          <w:numId w:val="1"/>
        </w:numPr>
        <w:rPr/>
      </w:pPr>
      <w:bookmarkStart w:id="2274" w:name="__RefHeading___Toc3808901_1067777946"/>
      <w:bookmarkStart w:id="2275" w:name="_Toc963"/>
      <w:bookmarkEnd w:id="2274"/>
      <w:r>
        <w:rPr>
          <w:rtl w:val="true"/>
        </w:rPr>
        <w:t xml:space="preserve">وقف بر كلمۀ </w:t>
      </w:r>
      <w:r>
        <w:rPr>
          <w:rtl w:val="true"/>
        </w:rPr>
        <w:t>«</w:t>
      </w:r>
      <w:r>
        <w:rPr>
          <w:rtl w:val="true"/>
        </w:rPr>
        <w:t>درهم</w:t>
      </w:r>
      <w:r>
        <w:rPr>
          <w:rtl w:val="true"/>
        </w:rPr>
        <w:t>»</w:t>
      </w:r>
      <w:bookmarkEnd w:id="2275"/>
    </w:p>
    <w:p>
      <w:pPr>
        <w:pStyle w:val="BookText"/>
        <w:rPr/>
      </w:pPr>
      <w:r>
        <w:rPr>
          <w:rFonts w:ascii="IRNazanin" w:hAnsi="IRNazanin" w:eastAsia="IRNazanin"/>
          <w:color w:val="111111"/>
          <w:sz w:val="28"/>
          <w:sz w:val="28"/>
          <w:szCs w:val="28"/>
          <w:rtl w:val="true"/>
          <w:lang w:bidi="fa-IR"/>
        </w:rPr>
        <w:t>و اگر وقف بر درهم، با سكون كرد، متيقّن به حسب مذكور، يك درهم است كه در تقدير رفع و جرّ ثابت است، و رجوع به تفسير او مى شود و بر مائة و سائر مراتب خفض، قبول مى شود؛ و اگر متعذر شد تفسير، الزام به درهم واحد مى شود كه متيقّن است با ضميمۀ اصالة البراءة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علىّ كذا و كذا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رفع يا نصب يا خفض، چون گذشت حكم در غير صورت عطف و چون ظاهرِ عطف، مغايرت است، پس با حفظ وحدتِ سياق، اظهر آن است كه محمولٌ عليه در صورت عدم عطف، در حالت رفع يا نصب دو چندان مى شود با عطف، يا سه مقابل مى شود در صورت تكرار عطف، و هكذا</w:t>
      </w:r>
      <w:r>
        <w:rPr>
          <w:rFonts w:eastAsia="IRNazanin" w:cs="IRNazanin"/>
          <w:color w:val="111111"/>
          <w:sz w:val="28"/>
          <w:szCs w:val="28"/>
          <w:rtl w:val="true"/>
          <w:lang w:bidi="fa-IR"/>
        </w:rPr>
        <w:t xml:space="preserve">. </w:t>
      </w:r>
      <w:bookmarkStart w:id="2276" w:name="pg10265_90147"/>
    </w:p>
    <w:p>
      <w:pPr>
        <w:pStyle w:val="BookText"/>
        <w:rPr/>
      </w:pPr>
      <w:bookmarkEnd w:id="2276"/>
      <w:r>
        <w:rPr>
          <w:rFonts w:ascii="IRNazanin" w:hAnsi="IRNazanin" w:eastAsia="IRNazanin"/>
          <w:color w:val="111111"/>
          <w:sz w:val="28"/>
          <w:sz w:val="28"/>
          <w:szCs w:val="28"/>
          <w:rtl w:val="true"/>
          <w:lang w:bidi="fa-IR"/>
        </w:rPr>
        <w:t>و على اىّ حال رجوع به تفسير او مى شود در مراتب شىء يا مميَّز به منصوب يا مميَّز به مرفوع؛ و در صورت تعذّر تفسير، اخذ به متيقّن مى شود و نفى زائد به اصل چنانچه ذكر شد؛ و احتمالات ديگر ضعيف است بالاضافه</w:t>
      </w:r>
      <w:r>
        <w:rPr>
          <w:rFonts w:eastAsia="IRNazanin" w:cs="IRNazanin"/>
          <w:color w:val="111111"/>
          <w:sz w:val="28"/>
          <w:szCs w:val="28"/>
          <w:rtl w:val="true"/>
          <w:lang w:bidi="fa-IR"/>
        </w:rPr>
        <w:t>.</w:t>
      </w:r>
    </w:p>
    <w:p>
      <w:pPr>
        <w:pStyle w:val="Heading5"/>
        <w:numPr>
          <w:ilvl w:val="4"/>
          <w:numId w:val="1"/>
        </w:numPr>
        <w:rPr/>
      </w:pPr>
      <w:bookmarkStart w:id="2277" w:name="__RefHeading___Toc3808903_1067777946"/>
      <w:bookmarkStart w:id="2278" w:name="_Toc964"/>
      <w:bookmarkEnd w:id="2277"/>
      <w:r>
        <w:rPr>
          <w:rtl w:val="true"/>
        </w:rPr>
        <w:t>اقرار به خانه اى براى يكى از دو نفر</w:t>
      </w:r>
      <w:bookmarkEnd w:id="227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خانه، مال يكى از اين دو نفر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الزام به بيان مى شود، اگر تعيين كرد يكى از آنها را، قبول مى شود، چون مصدَّق است در اخبار از نيّت خودش و تفسير و مفسَّر عرفاً يك اقرار است؛ و به مقتضاى تفسيرِ مقبول، تسليم مى شود به مُقَرّ له بعد از تفسير؛ پس از آن اگر دومى ادّعاى آن را نمود مدّعى و خارج است و ذو اليد كه مُقَرّ له است مع التفسير منكِر و داخل است، و حكم داخل و خارج مرتب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خارج كه مدعىٖ است ادّعاى علم به مدعىٰ بر مُقِرّ اوّلى كرد يا ادّعاى غصب كرد، مى تواند احلاف نمايد مُقِرّ را بر نفى علم در اول و بر يقين به خلاف در دوم بنابراين كه اقرار او مؤثّر در غرامت است به سبب تفويت عين به سبب اقرار براى معين؛ پس بر او يمين است براى نفى غرامت لازمه بر تقدير اقرار؛ پس اگر نكول كرد، مدعىٖ با يمين خودش اثبات مدعىٰ مى نمايد و تغريم مى نمايد مُقِرّ را، و اگر ايقاع حلف كرد، دعوى ساقط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خلاف آنكه اگر اقرار او بعد از اقرار براى معيّن بى اثر است و به منزلۀ انكار بعد از اقرار است كه يمين بر او نيست تا با نكول او، مدّعى با يمين خودش تغريم نمايد مُقِرّ را، و اين مختار محكىّ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أولى به قبول از ايراد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او</w:t>
      </w:r>
      <w:r>
        <w:rPr>
          <w:rFonts w:eastAsia="IRNazanin" w:cs="IRNazanin"/>
          <w:color w:val="111111"/>
          <w:sz w:val="28"/>
          <w:szCs w:val="28"/>
          <w:rtl w:val="true"/>
          <w:lang w:bidi="fa-IR"/>
        </w:rPr>
        <w:t>.</w:t>
      </w:r>
    </w:p>
    <w:p>
      <w:pPr>
        <w:pStyle w:val="Heading5"/>
        <w:numPr>
          <w:ilvl w:val="4"/>
          <w:numId w:val="1"/>
        </w:numPr>
        <w:rPr/>
      </w:pPr>
      <w:bookmarkStart w:id="2279" w:name="__RefHeading___Toc3808905_1067777946"/>
      <w:bookmarkStart w:id="2280" w:name="_Toc965"/>
      <w:bookmarkEnd w:id="2279"/>
      <w:r>
        <w:rPr>
          <w:rtl w:val="true"/>
        </w:rPr>
        <w:t>تعقب اقرار براى معيّن به اقرار براى ديگرى</w:t>
      </w:r>
      <w:bookmarkEnd w:id="2280"/>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بعد از اقرار براى معيّن، اقرار براى ديگرى كرد كه مدّعى است، پس بنا بر سماع اين اقرار، ضمان مثل يا قيمت براى دوم لازم است براى حيلولت به سبب </w:t>
      </w:r>
      <w:bookmarkStart w:id="2281" w:name="pg10265_90148"/>
    </w:p>
    <w:p>
      <w:pPr>
        <w:pStyle w:val="BookText"/>
        <w:rPr/>
      </w:pPr>
      <w:bookmarkEnd w:id="2281"/>
      <w:r>
        <w:rPr>
          <w:rFonts w:ascii="IRNazanin" w:hAnsi="IRNazanin" w:eastAsia="IRNazanin"/>
          <w:color w:val="111111"/>
          <w:sz w:val="28"/>
          <w:sz w:val="28"/>
          <w:szCs w:val="28"/>
          <w:rtl w:val="true"/>
          <w:lang w:bidi="fa-IR"/>
        </w:rPr>
        <w:t>اقرار سابق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اوّلى تصديق نمود اقرار ثانى است، از او مأخوذ مى شود و به مُقَرّ له ثانياً مردود مى شود بدون ضمان مُقِرّ در مرتبۀ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استحقاق احلاف اوّلى بعد از اقرار براى دومى، تأمّل است، مگر در صورت تكذيب نفس به اقرار براى دومى، كه راجح، عدم استحقاق احلاف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 تقدير استحقاق، حلف بر نفى علم، كافى نيست؛ كمااينكه تملّك به مجرد اقرار ذى اليد، مملّكِ مُقَرّ له نخواهد بود، بلكه حلف بر مالكيّت بتّيّه، فاصل خواهد بود</w:t>
      </w:r>
      <w:r>
        <w:rPr>
          <w:rFonts w:eastAsia="Amiri" w:cs="Amiri" w:ascii="Amiri" w:hAnsi="Amiri"/>
          <w:color w:val="111111"/>
          <w:sz w:val="28"/>
          <w:szCs w:val="28"/>
          <w:rtl w:val="true"/>
          <w:lang w:bidi="ar-SA"/>
        </w:rPr>
        <w:t>.</w:t>
      </w:r>
    </w:p>
    <w:p>
      <w:pPr>
        <w:pStyle w:val="Heading5"/>
        <w:numPr>
          <w:ilvl w:val="4"/>
          <w:numId w:val="1"/>
        </w:numPr>
        <w:rPr/>
      </w:pPr>
      <w:bookmarkStart w:id="2282" w:name="__RefHeading___Toc3808907_1067777946"/>
      <w:bookmarkStart w:id="2283" w:name="_Toc966"/>
      <w:bookmarkEnd w:id="2282"/>
      <w:r>
        <w:rPr>
          <w:rtl w:val="true"/>
        </w:rPr>
        <w:t>ادّعاى جهل به تعيين توسط مقر</w:t>
      </w:r>
      <w:bookmarkEnd w:id="2283"/>
    </w:p>
    <w:p>
      <w:pPr>
        <w:pStyle w:val="BookText"/>
        <w:rPr/>
      </w:pPr>
      <w:r>
        <w:rPr>
          <w:rFonts w:ascii="IRNazanin" w:hAnsi="IRNazanin" w:eastAsia="IRNazanin"/>
          <w:color w:val="111111"/>
          <w:sz w:val="28"/>
          <w:sz w:val="28"/>
          <w:szCs w:val="28"/>
          <w:rtl w:val="true"/>
          <w:lang w:bidi="fa-IR"/>
        </w:rPr>
        <w:t>اگر مُقِرّ بعد از الزام به بيان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معيّن را، دفع مقرٌّ به به هر دو يا وكيل هر دو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در صورت عدم دفع به غير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نمايد، و آن دو خصم منازع مى شوند با خروج از يد واقعيّه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مُقِرّ را تصديق كردند در نفى علم، با او طرف دعوى نيستند؛ و هم چنين يكى از آن دو اگر تصديق كرد؛ و اگر تصديق نكردند، قول مُقِرّ در نفى علم به معيّن با يمين او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در بين متداعيين اگر ادّعا كرده شد بر ديگرى علم را، منكر، حلف بر نفى علم، ايقاع مى نمايد و دعوى را اسقاط مى كند؛ و اگر هر دو مدّعى علم ديگرى بودند كذلك با حلف هر كدام، حق ديگرى بر او از اين دعوى ساقط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مخاصمۀ آن دو با هم، به صلح به تنصيف يا مراجعه به حاكم و صلح حاكم يا امر او به صلح، فصل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مال ملك زيد يا چيزى غير قابل تملّك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اقرار بى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ملك زيد و حائط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اقرار به نصف است براى زيد، و لغو است اقرار براى حائط</w:t>
      </w:r>
      <w:r>
        <w:rPr>
          <w:rFonts w:eastAsia="IRNazanin" w:cs="IRNazanin"/>
          <w:color w:val="111111"/>
          <w:sz w:val="28"/>
          <w:szCs w:val="28"/>
          <w:rtl w:val="true"/>
          <w:lang w:bidi="fa-IR"/>
        </w:rPr>
        <w:t>.</w:t>
      </w:r>
    </w:p>
    <w:p>
      <w:pPr>
        <w:pStyle w:val="Heading5"/>
        <w:numPr>
          <w:ilvl w:val="4"/>
          <w:numId w:val="1"/>
        </w:numPr>
        <w:rPr/>
      </w:pPr>
      <w:bookmarkStart w:id="2284" w:name="__RefHeading___Toc3808909_1067777946"/>
      <w:bookmarkStart w:id="2285" w:name="_Toc967"/>
      <w:bookmarkEnd w:id="2284"/>
      <w:r>
        <w:rPr>
          <w:rtl w:val="true"/>
        </w:rPr>
        <w:t>ترديد در متعلّق اقرار</w:t>
      </w:r>
      <w:bookmarkEnd w:id="2285"/>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عبد يا اين ثوب ملك زيد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معاملۀ اقرار به مبهم با او</w:t>
      </w:r>
      <w:bookmarkStart w:id="2286" w:name="pg10265_90149"/>
    </w:p>
    <w:p>
      <w:pPr>
        <w:pStyle w:val="BookText"/>
        <w:rPr/>
      </w:pPr>
      <w:bookmarkEnd w:id="2286"/>
      <w:r>
        <w:rPr>
          <w:rFonts w:ascii="IRNazanin" w:hAnsi="IRNazanin" w:eastAsia="IRNazanin"/>
          <w:color w:val="111111"/>
          <w:sz w:val="28"/>
          <w:sz w:val="28"/>
          <w:szCs w:val="28"/>
          <w:rtl w:val="true"/>
          <w:lang w:bidi="fa-IR"/>
        </w:rPr>
        <w:t>مى شود و الزام به بيان مى شود؛ پس اگر تعيين كرد، قبول مى شود تعيين او؛ پس اگر مُقَرّ له موافقت كرد، اشكالى ندارد؛ و اگر مخالفت كرد، قول مُقِرّ با يمين او مقدّم است؛ لكن اگر ادّعاى تعيّن واقعى غير آن معين را دارد، دعواى او ساقط مى شود، و چون معيّن، مسلوب از هر دو به اقرار مُقِرّ و انكار مُقَرّ له است، مجهول المالك مى شود و تسليم به حاكم مى شود تا زمان علم به مالك، يا آنكه مُقَرّ له رجوع نمايد از انكار به اقرار با احتمال صحّت اقرار به مثل غلط در انكار و نحو آن بنا بر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مُقِرّ مصرّ بر اقرار بود و مُقَرّ له بر انكار، مى تواند مُقِرّ آن مال را ايصال به مُقَرّ له نمايد اگر چه به طريق دسّ در مال او باشد؛ و اگر حاكم مطلع شد و صلاح را در اخذ از يد مُقِرّ دانست، مى تواند اخذ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ولايت بر مالك واقعى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طبق نظر خودش تصرّف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دور نيست صحّت رجوع مُقِرّ در صورت اصرار مُقَرّ له بر انكار، با احتمال صحّت رجوع به غلط بودن اقرار و نحو آن، چنانچه 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287" w:name="__RefHeading___Toc3808911_1067777946"/>
      <w:bookmarkStart w:id="2288" w:name="_Toc968"/>
      <w:bookmarkEnd w:id="2287"/>
      <w:r>
        <w:rPr>
          <w:rtl w:val="true"/>
        </w:rPr>
        <w:t>تفسير به جنسى كه مقر له مخالف آن است</w:t>
      </w:r>
      <w:bookmarkEnd w:id="2288"/>
    </w:p>
    <w:p>
      <w:pPr>
        <w:pStyle w:val="BookText"/>
        <w:rPr/>
      </w:pPr>
      <w:r>
        <w:rPr>
          <w:rFonts w:ascii="IRNazanin" w:hAnsi="IRNazanin" w:eastAsia="IRNazanin"/>
          <w:color w:val="111111"/>
          <w:sz w:val="28"/>
          <w:sz w:val="28"/>
          <w:szCs w:val="28"/>
          <w:rtl w:val="true"/>
          <w:lang w:bidi="fa-IR"/>
        </w:rPr>
        <w:t>و هم چنين اقرار، بى اثر است در صورت تفسير به جنسى كه مُقَرّ له با آن تفسير مخالف باشد، و مؤاخذه نمى شود به اقرار مفسَّر در صورت كلى بودن مُقَرّ به؛ و در صورت شخصى بودن، معامله مجهول المالك مى شود با مفسَّر، و ثابت نيست مدعاى مُقَرّ له چون متعلّق اقرار مفسَّر نيست</w:t>
      </w:r>
      <w:r>
        <w:rPr>
          <w:rFonts w:eastAsia="IRNazanin" w:cs="IRNazanin"/>
          <w:color w:val="111111"/>
          <w:sz w:val="28"/>
          <w:szCs w:val="28"/>
          <w:rtl w:val="true"/>
          <w:lang w:bidi="fa-IR"/>
        </w:rPr>
        <w:t>.</w:t>
      </w:r>
    </w:p>
    <w:p>
      <w:pPr>
        <w:pStyle w:val="Heading5"/>
        <w:numPr>
          <w:ilvl w:val="4"/>
          <w:numId w:val="1"/>
        </w:numPr>
        <w:rPr/>
      </w:pPr>
      <w:bookmarkStart w:id="2289" w:name="__RefHeading___Toc3808913_1067777946"/>
      <w:bookmarkStart w:id="2290" w:name="_Toc969"/>
      <w:bookmarkEnd w:id="2289"/>
      <w:r>
        <w:rPr>
          <w:rtl w:val="true"/>
        </w:rPr>
        <w:t>رجوع مقر و مُقِرّ له بعد از اقرار و انكار</w:t>
      </w:r>
      <w:bookmarkEnd w:id="2290"/>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مُقِرّ و انكار مقر له، هر دو رجوع نمودند در يك زمان، اقرب اين است كه مال، مورد تنازع است، زيرا تصديق مُقِرّ له، مقارن اقرار نيست و اقرار مقر مقارن تصديق نيست؛ پس هيچ كدام از اقرار و تصديق اثر ندارد؛ پس مال به سبب </w:t>
      </w:r>
      <w:bookmarkStart w:id="2291" w:name="pg10265_90150"/>
    </w:p>
    <w:p>
      <w:pPr>
        <w:pStyle w:val="BookText"/>
        <w:rPr/>
      </w:pPr>
      <w:bookmarkEnd w:id="2291"/>
      <w:r>
        <w:rPr>
          <w:rFonts w:ascii="IRNazanin" w:hAnsi="IRNazanin" w:eastAsia="IRNazanin"/>
          <w:color w:val="111111"/>
          <w:sz w:val="28"/>
          <w:sz w:val="28"/>
          <w:szCs w:val="28"/>
          <w:rtl w:val="true"/>
          <w:lang w:bidi="fa-IR"/>
        </w:rPr>
        <w:t>سابقِ بر اقرار، در يد مُقِرّ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رجوع مُقِرّ، سابق بود ايضاً در يد مقرّ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رجوع مقر له، سابق بود، مال مُقَرّ له است و انكار مُقِرّ بعد از اقرار، مؤثّر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مقرِّ به اينكه مال ملك يكى از دو نفر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متعذر شد به سببى تفسير و تعيين، پس مال به امر حاكم مورد صلح مى شود بين دو نفر، در صورت ادّعاى هر كدام تمام را و عدم سبق صلح بين خود آن دو نفر</w:t>
      </w:r>
      <w:r>
        <w:rPr>
          <w:rFonts w:eastAsia="IRNazanin" w:cs="IRNazanin"/>
          <w:color w:val="111111"/>
          <w:sz w:val="28"/>
          <w:szCs w:val="28"/>
          <w:rtl w:val="true"/>
          <w:lang w:bidi="fa-IR"/>
        </w:rPr>
        <w:t>.</w:t>
      </w:r>
    </w:p>
    <w:p>
      <w:pPr>
        <w:pStyle w:val="Heading5"/>
        <w:numPr>
          <w:ilvl w:val="4"/>
          <w:numId w:val="1"/>
        </w:numPr>
        <w:rPr/>
      </w:pPr>
      <w:bookmarkStart w:id="2292" w:name="__RefHeading___Toc3808915_1067777946"/>
      <w:bookmarkStart w:id="2293" w:name="_Toc970"/>
      <w:bookmarkEnd w:id="2292"/>
      <w:r>
        <w:rPr>
          <w:rtl w:val="true"/>
        </w:rPr>
        <w:t>اقرار به مردد بين اقل و اكثر</w:t>
      </w:r>
      <w:bookmarkEnd w:id="2293"/>
    </w:p>
    <w:p>
      <w:pPr>
        <w:pStyle w:val="BookText"/>
        <w:rPr/>
      </w:pPr>
      <w:r>
        <w:rPr>
          <w:rFonts w:ascii="IRNazanin" w:hAnsi="IRNazanin" w:eastAsia="IRNazanin"/>
          <w:color w:val="111111"/>
          <w:sz w:val="28"/>
          <w:sz w:val="28"/>
          <w:szCs w:val="28"/>
          <w:rtl w:val="true"/>
          <w:lang w:bidi="fa-IR"/>
        </w:rPr>
        <w:t>اگر مُقِرّ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زيد بر من يك درهم يا دو درهم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استفسار مى شود؛ و با عدم تفسير يا تعذر آن، يكى متيقن است و دوم منفى به اصل برائت است؛ و هم چنين در نظائر اين اقرار، اقل عرفى اگر چه حكمى باشد، لازم مى شود در صورت عدم تفسير به اكثر</w:t>
      </w:r>
      <w:r>
        <w:rPr>
          <w:rFonts w:eastAsia="IRNazanin" w:cs="IRNazanin"/>
          <w:color w:val="111111"/>
          <w:sz w:val="28"/>
          <w:szCs w:val="28"/>
          <w:rtl w:val="true"/>
          <w:lang w:bidi="fa-IR"/>
        </w:rPr>
        <w:t>.</w:t>
      </w:r>
    </w:p>
    <w:p>
      <w:pPr>
        <w:pStyle w:val="Heading5"/>
        <w:numPr>
          <w:ilvl w:val="4"/>
          <w:numId w:val="1"/>
        </w:numPr>
        <w:rPr/>
      </w:pPr>
      <w:bookmarkStart w:id="2294" w:name="__RefHeading___Toc3808917_1067777946"/>
      <w:bookmarkStart w:id="2295" w:name="_Toc971"/>
      <w:bookmarkEnd w:id="2294"/>
      <w:r>
        <w:rPr>
          <w:rtl w:val="true"/>
        </w:rPr>
        <w:t>اختلاف ادّعا بين مقر و مقر له</w:t>
      </w:r>
      <w:bookmarkEnd w:id="2295"/>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عندي دراهم وديعه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مالك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اظهر قبول تفسير به وديعه است در صورت اتّصال و انفصال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اگر مالك سابق مدّعى قرض باشد، مقدّم است قول او با يمين او بر قول صاحب يد با تفسير او، چنانچه منصوص در دو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محكىّ از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و از ابن الجنيد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است حكم در صورت دعواى مالك، امانت بودن مال را</w:t>
      </w:r>
      <w:r>
        <w:rPr>
          <w:rFonts w:eastAsia="IRNazanin" w:cs="IRNazanin"/>
          <w:color w:val="111111"/>
          <w:sz w:val="28"/>
          <w:szCs w:val="28"/>
          <w:rtl w:val="true"/>
          <w:lang w:bidi="fa-IR"/>
        </w:rPr>
        <w:t>.</w:t>
      </w:r>
    </w:p>
    <w:p>
      <w:pPr>
        <w:pStyle w:val="Heading5"/>
        <w:numPr>
          <w:ilvl w:val="4"/>
          <w:numId w:val="1"/>
        </w:numPr>
        <w:rPr/>
      </w:pPr>
      <w:bookmarkStart w:id="2296" w:name="__RefHeading___Toc3808919_1067777946"/>
      <w:bookmarkStart w:id="2297" w:name="_Toc972"/>
      <w:bookmarkEnd w:id="2296"/>
      <w:r>
        <w:rPr>
          <w:rtl w:val="true"/>
        </w:rPr>
        <w:t>دفع عين متعلَّق اقرار با تعيين، بعد از اقرار به ثبوت در ذمّه</w:t>
      </w:r>
      <w:bookmarkEnd w:id="2297"/>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لفلان علىّ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 دفع نمود الف را به او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مُقَرّ به است، پس اگر ظهور قول اخير اقوى از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ذمىّ بودن الف باشد تفسير به وديعه است، پس در صورت انكار مُقَرّ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اينكه بگويد مقرٌ به دين </w:t>
      </w:r>
      <w:bookmarkStart w:id="2298" w:name="pg10265_90151"/>
    </w:p>
    <w:p>
      <w:pPr>
        <w:pStyle w:val="BookText"/>
        <w:rPr/>
      </w:pPr>
      <w:bookmarkEnd w:id="2298"/>
      <w:r>
        <w:rPr>
          <w:rFonts w:ascii="IRNazanin" w:hAnsi="IRNazanin" w:eastAsia="IRNazanin"/>
          <w:color w:val="111111"/>
          <w:sz w:val="28"/>
          <w:sz w:val="28"/>
          <w:szCs w:val="28"/>
          <w:rtl w:val="true"/>
          <w:lang w:bidi="fa-IR"/>
        </w:rPr>
        <w:t>است و اين مدفوع وديعه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مُقِرّ با يمين او مقدّم است، لكن اقوائيّت، مورد تأمّل بلكه منع است؛ و اقوائيّت در عرف با ذمى بودن، مستظهر از كلام اول است، پس تفسير مستفاد نيست و نمى تواند مقر له، مدفوع را وديعه و مطالبۀ دين ذمى نمايد، بلكه ثابت به اقرار، غير دين ذمى نيست و آن با دفع، تأديه شد و طلب وديعه ادّعا است و مُقِرّ منكر است و بر مدّعى بينه است؛ و همين مقدار فرق است بين دو طريق كه دعوىٰ به دين تعلّق مى گيرد در اول و به عين در دوم؛ به خلاف اينكه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عندي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 دفع الف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مورد اقرار بوده، كه استفادۀ تفسير و لوازم آن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 فى ذمتى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آورد آن را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هى وديعة و هذه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قبول تفسير محتمل، مانعى ندارد، لكن ثمره ندارد اگر منحصر است فرق بين قبول و عدم، در ضمان مفروض در اينجا به سبب تلف با تفريط؛ پس فرقى بين دين و وديعۀ مضمونه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 فى ذمتى الف و الّتى اقررت بها كانت وديعه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قبول نمى شود تفسير مذكور كه جمع بين ذمى بودن در اصل و وديعه بودن در اصل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نفوذ اقرار در اصل و معاملۀ دين با اتّصال به آنچه آن را كالمبهم مى نمايد، تردد است، مگر آنكه بگوييم لغويت اخير متيقّن است و تماميّت اولى مورد احتمال است، پس داخل در عموم حكم اقرار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صورت انفصال، پس ظاهراً اقرار نافذ است و تفسيرى كه كالمنافى است اثرى ندارد</w:t>
      </w:r>
      <w:r>
        <w:rPr>
          <w:rFonts w:eastAsia="IRNazanin" w:cs="IRNazanin"/>
          <w:color w:val="111111"/>
          <w:sz w:val="28"/>
          <w:szCs w:val="28"/>
          <w:rtl w:val="true"/>
          <w:lang w:bidi="fa-IR"/>
        </w:rPr>
        <w:t>.</w:t>
      </w:r>
    </w:p>
    <w:p>
      <w:pPr>
        <w:pStyle w:val="Heading5"/>
        <w:numPr>
          <w:ilvl w:val="4"/>
          <w:numId w:val="1"/>
        </w:numPr>
        <w:rPr/>
      </w:pPr>
      <w:bookmarkStart w:id="2299" w:name="__RefHeading___Toc3808921_1067777946"/>
      <w:bookmarkStart w:id="2300" w:name="_Toc973"/>
      <w:bookmarkEnd w:id="2299"/>
      <w:r>
        <w:rPr>
          <w:rtl w:val="true"/>
        </w:rPr>
        <w:t>اقرار به بدهى و تفسير آن به وديعه و ادّعاى تلف</w:t>
      </w:r>
      <w:bookmarkEnd w:id="2300"/>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علىّ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 منفصلاً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وديعه بود و به گمانم باقى بود بعد معلوم شد كه تالف شده است بدون تفريط، پس قبول نمى شود بيان منفصل كه مكذب اقرار سابق است، و عمل بر اقرار است؛ و هم چنين در صورت اتّصال بنا بر </w:t>
      </w:r>
      <w:bookmarkStart w:id="2301" w:name="pg10265_90152"/>
    </w:p>
    <w:p>
      <w:pPr>
        <w:pStyle w:val="BookText"/>
        <w:rPr/>
      </w:pPr>
      <w:bookmarkEnd w:id="2301"/>
      <w:r>
        <w:rPr>
          <w:rFonts w:ascii="Amiri" w:hAnsi="Amiri" w:eastAsia="Amiri" w:cs="Amiri"/>
          <w:color w:val="111111"/>
          <w:sz w:val="28"/>
          <w:sz w:val="28"/>
          <w:szCs w:val="28"/>
          <w:rtl w:val="true"/>
          <w:lang w:bidi="ar-SA"/>
        </w:rPr>
        <w:t>تقريب متقدّم از لغويّت جملۀ اخيره و عدم صلاحيت براى قرينه بودن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در كلام اخير كلمۀ غير منافيه با ضمان بود قبول مى شود، پس فرقى بين تفسير مذكور و عدم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تقدير سماع تفسير به وديعه با تقديم آنچه ظاهر در خلاف است پس اگر دعواى تلف بعد الاقرار كرد، مسموع است از ودعى بدون بيّنه و منافات با اقرار سابق ندارد</w:t>
      </w:r>
      <w:r>
        <w:rPr>
          <w:rFonts w:eastAsia="IRNazanin" w:cs="IRNazanin"/>
          <w:color w:val="111111"/>
          <w:sz w:val="28"/>
          <w:szCs w:val="28"/>
          <w:rtl w:val="true"/>
          <w:lang w:bidi="fa-IR"/>
        </w:rPr>
        <w:t>.</w:t>
      </w:r>
    </w:p>
    <w:p>
      <w:pPr>
        <w:pStyle w:val="Heading5"/>
        <w:numPr>
          <w:ilvl w:val="4"/>
          <w:numId w:val="1"/>
        </w:numPr>
        <w:rPr/>
      </w:pPr>
      <w:bookmarkStart w:id="2302" w:name="__RefHeading___Toc3808923_1067777946"/>
      <w:bookmarkStart w:id="2303" w:name="_Toc974"/>
      <w:bookmarkEnd w:id="2302"/>
      <w:r>
        <w:rPr>
          <w:rtl w:val="true"/>
        </w:rPr>
        <w:t>اقرار به بدهى و تفسير به عين</w:t>
      </w:r>
      <w:bookmarkEnd w:id="2303"/>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فى هذه الدار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قبول مى شود و رجوع به او در تفسير آن مى شود؛ پس اگر تفسير به محتمل نمايد به طورى كه صدق نمايد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حقيقت، قبول مى شود، مثل آنكه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مرادم آن بود كه براى مُقَرّ له جزئى است كه قيمت آن مائة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صدق ننمايد با آن تفسير، اقرار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حقيقت، بلكه به نحو مجاز صدق بنمايد، پس در متّصل قبول مى شود و قرينۀ مجاز مى شود؛ و در منفصل در اين مقام، قرينۀ مجاز قبول نمى شود كه انكار بعد از اقرار،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قبول اگر مُقَرّ له انكار نمايد واقعيّت مُقَرّ به را، قول مُقِرّ با يمين او مقدّم است نسبت به سلب از مُقِرّ نه اثبات براى مُقَرّ له، بلكه معاملۀ مجهول المالك به نحو متقدّم در نظيرش مى شود</w:t>
      </w:r>
      <w:r>
        <w:rPr>
          <w:rFonts w:eastAsia="IRNazanin" w:cs="IRNazanin"/>
          <w:color w:val="111111"/>
          <w:sz w:val="28"/>
          <w:szCs w:val="28"/>
          <w:rtl w:val="true"/>
          <w:lang w:bidi="fa-IR"/>
        </w:rPr>
        <w:t>.</w:t>
      </w:r>
    </w:p>
    <w:p>
      <w:pPr>
        <w:pStyle w:val="Heading5"/>
        <w:numPr>
          <w:ilvl w:val="4"/>
          <w:numId w:val="1"/>
        </w:numPr>
        <w:rPr/>
      </w:pPr>
      <w:bookmarkStart w:id="2304" w:name="__RefHeading___Toc3808925_1067777946"/>
      <w:bookmarkStart w:id="2305" w:name="_Toc975"/>
      <w:bookmarkEnd w:id="2304"/>
      <w:r>
        <w:rPr>
          <w:rtl w:val="true"/>
        </w:rPr>
        <w:t xml:space="preserve">اقرار به </w:t>
      </w:r>
      <w:r>
        <w:rPr>
          <w:rtl w:val="true"/>
        </w:rPr>
        <w:t>«</w:t>
      </w:r>
      <w:r>
        <w:rPr>
          <w:rtl w:val="true"/>
        </w:rPr>
        <w:t>فى</w:t>
      </w:r>
      <w:r>
        <w:rPr>
          <w:rtl w:val="true"/>
        </w:rPr>
        <w:t xml:space="preserve">» </w:t>
      </w:r>
      <w:r>
        <w:rPr>
          <w:rtl w:val="true"/>
        </w:rPr>
        <w:t xml:space="preserve">يا </w:t>
      </w:r>
      <w:r>
        <w:rPr>
          <w:rtl w:val="true"/>
        </w:rPr>
        <w:t>«</w:t>
      </w:r>
      <w:r>
        <w:rPr>
          <w:rtl w:val="true"/>
        </w:rPr>
        <w:t>من</w:t>
      </w:r>
      <w:r>
        <w:rPr>
          <w:rtl w:val="true"/>
        </w:rPr>
        <w:t>»</w:t>
      </w:r>
      <w:bookmarkEnd w:id="2305"/>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فى ميراث 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ميراث ابى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اقرار است به مائة؛ و هم چنين در امثال اين عبارت از سائر لغات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ميراثى من 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ميراثى من 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مشهور با اين تعبير معاملۀ وعد به هبه مى نمايند و معلّل به تناقض شده است بين اقرار و اضافه به </w:t>
      </w:r>
      <w:bookmarkStart w:id="2306" w:name="pg10265_90153"/>
    </w:p>
    <w:p>
      <w:pPr>
        <w:pStyle w:val="BookText"/>
        <w:rPr/>
      </w:pPr>
      <w:bookmarkEnd w:id="2306"/>
      <w:r>
        <w:rPr>
          <w:rFonts w:ascii="IRNazanin" w:hAnsi="IRNazanin" w:eastAsia="IRNazanin"/>
          <w:color w:val="111111"/>
          <w:sz w:val="28"/>
          <w:sz w:val="28"/>
          <w:szCs w:val="28"/>
          <w:rtl w:val="true"/>
          <w:lang w:bidi="fa-IR"/>
        </w:rPr>
        <w:t xml:space="preserve">مقر، لكن اتّصال قرينه، مانع از تناقض است و موجب حمل بر اضافۀ فى الجمله يا اضافۀ لو لا الاقرار به نحو كمال؛ و اظهر عدم فرق است بين دو عبارت متقدّمه چنانچه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الف من هذه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اقرار است، 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الف من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اقرار نيست به جهت تناقض متقدّمه با مناقشۀ متقدّمه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روى تناقض مذكور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فى مالى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قبول نمى شود و مناقشه وارد است، و تفرقه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است وجه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اينها، متأكد است آنچه استظهار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دو كلام متناقض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حكايت از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انفصال و تعاقب ذكر شد، پس اقرار نافذ است و ظاهر در رجوع، و انكار بعد از اقرار مسموع نيست</w:t>
      </w:r>
      <w:r>
        <w:rPr>
          <w:rFonts w:eastAsia="IRNazanin" w:cs="IRNazanin"/>
          <w:color w:val="111111"/>
          <w:sz w:val="28"/>
          <w:szCs w:val="28"/>
          <w:rtl w:val="true"/>
          <w:lang w:bidi="fa-IR"/>
        </w:rPr>
        <w:t>.</w:t>
      </w:r>
    </w:p>
    <w:p>
      <w:pPr>
        <w:pStyle w:val="Heading4"/>
        <w:numPr>
          <w:ilvl w:val="3"/>
          <w:numId w:val="1"/>
        </w:numPr>
        <w:rPr/>
      </w:pPr>
      <w:bookmarkStart w:id="2307" w:name="__RefHeading___Toc3808927_1067777946"/>
      <w:bookmarkStart w:id="2308" w:name="_Toc976"/>
      <w:bookmarkEnd w:id="2307"/>
      <w:r>
        <w:rPr/>
        <w:t>3</w:t>
      </w:r>
      <w:r>
        <w:rPr>
          <w:rtl w:val="true"/>
        </w:rPr>
        <w:t xml:space="preserve">. </w:t>
      </w:r>
      <w:r>
        <w:rPr>
          <w:rtl w:val="true"/>
        </w:rPr>
        <w:t>اقرار مستفاد از جواب</w:t>
      </w:r>
      <w:bookmarkEnd w:id="2308"/>
    </w:p>
    <w:p>
      <w:pPr>
        <w:pStyle w:val="BookText"/>
        <w:rPr/>
      </w:pPr>
      <w:r>
        <w:rPr>
          <w:rFonts w:ascii="IRNazanin" w:hAnsi="IRNazanin" w:eastAsia="IRNazanin"/>
          <w:color w:val="111111"/>
          <w:sz w:val="28"/>
          <w:sz w:val="28"/>
          <w:szCs w:val="28"/>
          <w:rtl w:val="true"/>
          <w:lang w:bidi="fa-IR"/>
        </w:rPr>
        <w:t>اگر بگويد به كسى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لى عليك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نحو اين عبارت از سائر لغات، پس مخاطب در جواب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اقبضتُها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أبرأتَنى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اقرار به مدعىٰ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محكىّ از قطع اصحاب است در محكىّ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مجيب، مدعىِ تحقّق برائت و اقباض و قضا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خلاف آنكه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خُذها يا زِنها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عرفاً اقرار، صدق به آن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اقرار صادق است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بگويد بعد از كلام متقدّم در دعوىٰ‌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مقِرّ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مُقِرّ بما ادّعيت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نحو اينها، كه اقرار صادق مى شود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 به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محتمل است اخبار از اقرار مستقبل كه اعم از وقوع آن است در استقبال اگر چه عالم به وقوع مستقبل بوده است؛ پس اقرار منجّز بودن، </w:t>
      </w:r>
      <w:bookmarkStart w:id="2309" w:name="pg10265_90154"/>
    </w:p>
    <w:p>
      <w:pPr>
        <w:pStyle w:val="BookText"/>
        <w:rPr/>
      </w:pPr>
      <w:bookmarkEnd w:id="2309"/>
      <w:r>
        <w:rPr>
          <w:rFonts w:ascii="Amiri" w:hAnsi="Amiri" w:eastAsia="Amiri" w:cs="Amiri"/>
          <w:color w:val="111111"/>
          <w:sz w:val="28"/>
          <w:sz w:val="28"/>
          <w:szCs w:val="28"/>
          <w:rtl w:val="true"/>
          <w:lang w:bidi="ar-SA"/>
        </w:rPr>
        <w:t>موقوف به انسداد اين احتمال است به حسب قرائن حال و 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دور نيست اقرار به سبب، مثبِتِ سبب باشد و آن سببِ ثابت، اثباتِ مسبب نمايد در صورتى كه اقرار به اقرار بنمايد؛ و مثل آن اقرار به قيام بيّنه بر مالكيّت زيد آنچه را كه در يد مُقِرّ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خلاف اينكه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منكِراً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اعم از اقرار است، چنانچه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صحّت اينكه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اُنكره و لا اُقرّ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چنين در صورت عدم 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 عليك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اقتصار نمايد، پس اقرار است اگر احتمال غير مطابقت با دعوىٰ ضعيف و كالعدم است و لو بمعونۀ جواب بودن بدون احتمال ارادۀ امور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 به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اشتريتَ منّى يا استوهبتَ منّى ما فى يدك، پس مخاطب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اقرار است به شراء و به هبه، و ملزَم به حكم مُقَرّ به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اتّهب، 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گفت مخاطب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اقرار به ملكيّت نيست، زيرا احتمال توكيل مالك يا ولايت بر مالك، قائم است، و اعتراف به صحّت اشتراء و اتّهاب، اعم از اينها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منّى عبدى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اتّهبه 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مخاطب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كه ظاهر جواب مطابق با ظاهر سؤال، اعتراف به مالكيّت او است كه مضاف است عبد به سوى او در كلام او به حسب اعتقاد او و 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ليس لى عليك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مخاطب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اقرار است مثل قول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بِرَبِّكُمْ قَالُواْ 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خلاف اينكه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Heading4"/>
        <w:numPr>
          <w:ilvl w:val="3"/>
          <w:numId w:val="1"/>
        </w:numPr>
        <w:rPr/>
      </w:pPr>
      <w:bookmarkStart w:id="2310" w:name="__RefHeading___Toc3808929_1067777946"/>
      <w:bookmarkStart w:id="2311" w:name="_Toc977"/>
      <w:bookmarkEnd w:id="2310"/>
      <w:r>
        <w:rPr/>
        <w:t>4</w:t>
      </w:r>
      <w:r>
        <w:rPr>
          <w:rtl w:val="true"/>
        </w:rPr>
        <w:t xml:space="preserve">. </w:t>
      </w:r>
      <w:r>
        <w:rPr>
          <w:rtl w:val="true"/>
        </w:rPr>
        <w:t>صيغ استثنا</w:t>
      </w:r>
      <w:bookmarkEnd w:id="2311"/>
    </w:p>
    <w:p>
      <w:pPr>
        <w:pStyle w:val="Heading5"/>
        <w:numPr>
          <w:ilvl w:val="4"/>
          <w:numId w:val="1"/>
        </w:numPr>
        <w:rPr/>
      </w:pPr>
      <w:bookmarkStart w:id="2312" w:name="__RefHeading___Toc3808931_1067777946"/>
      <w:bookmarkStart w:id="2313" w:name="_Toc978"/>
      <w:bookmarkEnd w:id="2312"/>
      <w:r>
        <w:rPr>
          <w:rtl w:val="true"/>
        </w:rPr>
        <w:t>استثناى از اثبات و نفى</w:t>
      </w:r>
      <w:bookmarkEnd w:id="2313"/>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قاعدۀ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استثناى از اثبات، نفى است، و از نفى، اثبات است؛ و اين مطلب در محاورات عرفيّۀ عقلائيّه قابل انكار نيست</w:t>
      </w:r>
      <w:r>
        <w:rPr>
          <w:rFonts w:eastAsia="Amiri" w:cs="Amiri" w:ascii="Amiri" w:hAnsi="Amiri"/>
          <w:color w:val="111111"/>
          <w:sz w:val="28"/>
          <w:szCs w:val="28"/>
          <w:rtl w:val="true"/>
          <w:lang w:bidi="ar-SA"/>
        </w:rPr>
        <w:t xml:space="preserve">. </w:t>
      </w:r>
      <w:bookmarkStart w:id="2314" w:name="pg10265_90155"/>
    </w:p>
    <w:p>
      <w:pPr>
        <w:pStyle w:val="Heading5"/>
        <w:numPr>
          <w:ilvl w:val="4"/>
          <w:numId w:val="1"/>
        </w:numPr>
        <w:rPr/>
      </w:pPr>
      <w:bookmarkStart w:id="2315" w:name="__RefHeading___Toc3808933_1067777946"/>
      <w:bookmarkStart w:id="2316" w:name="_Toc979"/>
      <w:bookmarkEnd w:id="2314"/>
      <w:bookmarkEnd w:id="2315"/>
      <w:r>
        <w:rPr>
          <w:rtl w:val="true"/>
        </w:rPr>
        <w:t>استثناى متّصل و منقطع</w:t>
      </w:r>
      <w:bookmarkEnd w:id="2316"/>
    </w:p>
    <w:p>
      <w:pPr>
        <w:pStyle w:val="BookText"/>
        <w:rPr/>
      </w:pPr>
      <w:r>
        <w:rPr>
          <w:rFonts w:ascii="Amiri" w:hAnsi="Amiri" w:eastAsia="Amiri" w:cs="Amiri"/>
          <w:color w:val="111111"/>
          <w:sz w:val="28"/>
          <w:sz w:val="28"/>
          <w:szCs w:val="28"/>
          <w:rtl w:val="true"/>
          <w:lang w:bidi="ar-SA"/>
        </w:rPr>
        <w:t>قاعدۀ ثانيه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استثناى از جنس جائز است و حقيقت است، و از غير جنس جائز است و تجوّز است فى الجمله؛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لو لا الاستثناء است، و خلاف آن غير جنس است</w:t>
      </w:r>
      <w:r>
        <w:rPr>
          <w:rFonts w:eastAsia="Amiri" w:cs="Amiri" w:ascii="Amiri" w:hAnsi="Amiri"/>
          <w:color w:val="111111"/>
          <w:sz w:val="28"/>
          <w:szCs w:val="28"/>
          <w:rtl w:val="true"/>
          <w:lang w:bidi="ar-SA"/>
        </w:rPr>
        <w:t>.</w:t>
      </w:r>
    </w:p>
    <w:p>
      <w:pPr>
        <w:pStyle w:val="Heading5"/>
        <w:numPr>
          <w:ilvl w:val="4"/>
          <w:numId w:val="1"/>
        </w:numPr>
        <w:rPr/>
      </w:pPr>
      <w:bookmarkStart w:id="2317" w:name="__RefHeading___Toc3808935_1067777946"/>
      <w:bookmarkStart w:id="2318" w:name="_Toc980"/>
      <w:bookmarkEnd w:id="2317"/>
      <w:r>
        <w:rPr>
          <w:rtl w:val="true"/>
        </w:rPr>
        <w:t>كمى و زيادى باقيمانده</w:t>
      </w:r>
      <w:bookmarkEnd w:id="2318"/>
    </w:p>
    <w:p>
      <w:pPr>
        <w:pStyle w:val="BookText"/>
        <w:rPr/>
      </w:pPr>
      <w:r>
        <w:rPr>
          <w:rFonts w:ascii="IRNazanin" w:hAnsi="IRNazanin" w:eastAsia="IRNazanin"/>
          <w:color w:val="111111"/>
          <w:sz w:val="28"/>
          <w:sz w:val="28"/>
          <w:szCs w:val="28"/>
          <w:rtl w:val="true"/>
          <w:lang w:bidi="fa-IR"/>
        </w:rPr>
        <w:t>قاعدۀ ثالثه در كفايت مطلق بقيه در صحّت استثناى تردد است؛ و بر تقدير لزوم بقاى اكثر، كفايت اكثريّت فرديه ايضاً مورد تأمّل است، و قبول عرفى، آن را به نحو حقيقت، فاصل است، چنانچه اوسعيّت باب تجوّز در موارد وجود مصحح معلوم است</w:t>
      </w:r>
      <w:r>
        <w:rPr>
          <w:rFonts w:eastAsia="IRNazanin" w:cs="IRNazanin"/>
          <w:color w:val="111111"/>
          <w:sz w:val="28"/>
          <w:szCs w:val="28"/>
          <w:rtl w:val="true"/>
          <w:lang w:bidi="fa-IR"/>
        </w:rPr>
        <w:t>.</w:t>
      </w:r>
    </w:p>
    <w:p>
      <w:pPr>
        <w:pStyle w:val="Heading5"/>
        <w:numPr>
          <w:ilvl w:val="4"/>
          <w:numId w:val="1"/>
        </w:numPr>
        <w:rPr/>
      </w:pPr>
      <w:bookmarkStart w:id="2319" w:name="__RefHeading___Toc3808937_1067777946"/>
      <w:bookmarkStart w:id="2320" w:name="_Toc981"/>
      <w:bookmarkEnd w:id="2319"/>
      <w:r>
        <w:rPr/>
        <w:t>1</w:t>
      </w:r>
      <w:r>
        <w:rPr>
          <w:rtl w:val="true"/>
        </w:rPr>
        <w:t xml:space="preserve">. </w:t>
      </w:r>
      <w:r>
        <w:rPr>
          <w:rtl w:val="true"/>
        </w:rPr>
        <w:t xml:space="preserve">تفريع بر قاعده اُولىٰ </w:t>
      </w:r>
      <w:r>
        <w:rPr>
          <w:rtl w:val="true"/>
        </w:rPr>
        <w:t>(</w:t>
      </w:r>
      <w:r>
        <w:rPr>
          <w:rtl w:val="true"/>
        </w:rPr>
        <w:t>اثبات و نفى</w:t>
      </w:r>
      <w:r>
        <w:rPr>
          <w:rtl w:val="true"/>
        </w:rPr>
        <w:t>)</w:t>
      </w:r>
      <w:bookmarkEnd w:id="2320"/>
    </w:p>
    <w:p>
      <w:pPr>
        <w:pStyle w:val="Heading6"/>
        <w:numPr>
          <w:ilvl w:val="5"/>
          <w:numId w:val="1"/>
        </w:numPr>
        <w:rPr/>
      </w:pPr>
      <w:bookmarkStart w:id="2321" w:name="__RefHeading___Toc3808939_1067777946"/>
      <w:bookmarkStart w:id="2322" w:name="_Toc982"/>
      <w:bookmarkEnd w:id="2321"/>
      <w:r>
        <w:rPr>
          <w:rtl w:val="true"/>
        </w:rPr>
        <w:t>تأثير نصب و رفع تمييز در مفاد اقرار</w:t>
      </w:r>
      <w:bookmarkEnd w:id="2322"/>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علىّ عشرة الاّ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نصب درهم، اقرار به تسعه است؛ و اگر به رفع درهم بگويد و قاصد توصيف باشد، اقرار به عشره است و محمول بر آن است از عارف به عربيّت كه از قانون آن تجاوز نماينده نيست؛ و اين تفريع بر قاعده اثبات و نفى در استثنا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ماله عندي شىء الا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رفع، و هم چنين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ماله عندي عشرة إلّا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رفع درهم، اقرار به يك درهم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ماله عندي شىء إلّا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نصب درهم، پس مشهور اين است كه اقرار نيست، و اقرب مماثلت با رفع است در صورت عدم شذوذ نصب در عرف قائل</w:t>
      </w:r>
      <w:r>
        <w:rPr>
          <w:rFonts w:eastAsia="IRNazanin" w:cs="IRNazanin"/>
          <w:color w:val="111111"/>
          <w:sz w:val="28"/>
          <w:szCs w:val="28"/>
          <w:rtl w:val="true"/>
          <w:lang w:bidi="fa-IR"/>
        </w:rPr>
        <w:t>.</w:t>
      </w:r>
    </w:p>
    <w:p>
      <w:pPr>
        <w:pStyle w:val="Heading6"/>
        <w:numPr>
          <w:ilvl w:val="5"/>
          <w:numId w:val="1"/>
        </w:numPr>
        <w:rPr/>
      </w:pPr>
      <w:bookmarkStart w:id="2323" w:name="__RefHeading___Toc3808941_1067777946"/>
      <w:bookmarkStart w:id="2324" w:name="_Toc983"/>
      <w:bookmarkEnd w:id="2323"/>
      <w:r>
        <w:rPr>
          <w:rtl w:val="true"/>
        </w:rPr>
        <w:t>تعقب در استثنا</w:t>
      </w:r>
      <w:bookmarkEnd w:id="2324"/>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علىّ خمسة إلّا اثنين و إلّا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اقرار به اثنين است در صورت </w:t>
      </w:r>
    </w:p>
    <w:p>
      <w:pPr>
        <w:pStyle w:val="BookText"/>
        <w:rPr/>
      </w:pPr>
      <w:r>
        <w:rPr>
          <w:rFonts w:ascii="Amiri" w:hAnsi="Amiri" w:eastAsia="Amiri" w:cs="Amiri"/>
          <w:color w:val="111111"/>
          <w:sz w:val="28"/>
          <w:sz w:val="28"/>
          <w:szCs w:val="28"/>
          <w:rtl w:val="true"/>
          <w:lang w:bidi="ar-SA"/>
        </w:rPr>
        <w:t>عدم استهجان در تخصيص اكثر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علىّ عشرة إلّا خمسة إلّا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اقرار به ثمانيه است در تقدير صحّت اين دو استثنا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صورت عطف استثنايى به ديگر و در صورت عدم صحّت استثنايى از متّصل به آن، استثناى راجع به مستثنىٰ منه اول مى شود در تقدير صحّت آن استثنا؛ وگرنه خصوص استثناى مبطِل، باطل مى شود، و صحيح است استثنايى كه كلام، محفوظ از اخلال با آن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علىّ ثلاثة إلّا ثلاثة إلّا 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 تقدير صحّت اين تعبير و صحّت استثناى اثنين از ثلاثه، لازم يك درهم است و دو استثنا به منزلۀ يك استثنا،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ماله علىّ عشرة إلّا خمسة إلّا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استثناها صحيح باشد، اقرار به اثنين است، زيرا خمسة اثبات و ثلاثة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اثنين باقى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علىّ عشرة إلّا تسعة إلّا ثمانية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اقرار به تسعه است، زيرا تسعه نفى است و ثمانيه اثبات و با واحدِ باقى در مستثنىٰ منه، تسعه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تعاقب بشود استثناها تا واحد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علىّ عشرة إلّا تسعة إلّا ثمانية إلّا سبعة إلّا ستة إلّا خمسة إلّا أربعة إلّا ثلاثة إلّا اثنين إلّا واحداً، پس مقتضاى نفى سابق و اثبات لاحق، جبران سابق منفى به اثبات لاحق است؛ و لازمۀ آن كه تا واحد متعاقب بوده استثناها، اقرار به خمسه است؛ چنانچه ظاهر است بعد از ملاحظۀ آنچه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در مثال مذكور، مجموع منفى ها از مجموع مثبتها استثنا شود، باقى خمسه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چنين اگر استثنا شود هر متأخّر از مقدّم متّصل تا به مستثناى اول در مثال، خمسه باقيمانده و آن اگر اخراج از عشره شود خمسه باقى ماند و همان مقر به است</w:t>
      </w:r>
      <w:r>
        <w:rPr>
          <w:rFonts w:eastAsia="IRNazanin" w:cs="IRNazanin"/>
          <w:color w:val="111111"/>
          <w:sz w:val="28"/>
          <w:szCs w:val="28"/>
          <w:rtl w:val="true"/>
          <w:lang w:bidi="fa-IR"/>
        </w:rPr>
        <w:t xml:space="preserve">. </w:t>
      </w:r>
      <w:bookmarkStart w:id="2325" w:name="pg10265_90157"/>
    </w:p>
    <w:p>
      <w:pPr>
        <w:pStyle w:val="Heading6"/>
        <w:numPr>
          <w:ilvl w:val="5"/>
          <w:numId w:val="1"/>
        </w:numPr>
        <w:rPr/>
      </w:pPr>
      <w:bookmarkStart w:id="2326" w:name="__RefHeading___Toc3808943_1067777946"/>
      <w:bookmarkStart w:id="2327" w:name="_Toc984"/>
      <w:bookmarkEnd w:id="2325"/>
      <w:bookmarkEnd w:id="2326"/>
      <w:r>
        <w:rPr>
          <w:rtl w:val="true"/>
        </w:rPr>
        <w:t xml:space="preserve">محكى از </w:t>
      </w:r>
      <w:r>
        <w:rPr>
          <w:rtl w:val="true"/>
        </w:rPr>
        <w:t>«</w:t>
      </w:r>
      <w:r>
        <w:rPr>
          <w:rtl w:val="true"/>
        </w:rPr>
        <w:t>دروس</w:t>
      </w:r>
      <w:r>
        <w:rPr>
          <w:rtl w:val="true"/>
        </w:rPr>
        <w:t xml:space="preserve">» </w:t>
      </w:r>
      <w:r>
        <w:rPr>
          <w:rtl w:val="true"/>
        </w:rPr>
        <w:t>در مقام</w:t>
      </w:r>
      <w:bookmarkEnd w:id="2327"/>
    </w:p>
    <w:p>
      <w:pPr>
        <w:pStyle w:val="BookText"/>
        <w:rPr/>
      </w:pPr>
      <w:r>
        <w:rPr>
          <w:rFonts w:ascii="IRNazanin" w:hAnsi="IRNazanin" w:eastAsia="IRNazanin"/>
          <w:color w:val="111111"/>
          <w:sz w:val="28"/>
          <w:sz w:val="28"/>
          <w:szCs w:val="28"/>
          <w:rtl w:val="true"/>
          <w:lang w:bidi="fa-IR"/>
        </w:rPr>
        <w:t xml:space="preserve">و اما آنچه 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صورت تعقيب واحد در نهايت صورت مذكوره در اينجا به اثنين و ثلاثه و هكذا، از استنتاج لزوم واحد، پس مناسب اعتبار به جمع ازواج و مثبتات، و جمع افراد و منفيات، و اخراج دومى از اولى است نه عكس، و نتيجه، لزوم واحد مى شود؛ و اين موافق با طريقۀ دوّم است در ضابطه هايى كه ذكر شد؛ لكن صحّت اين گونه استثنا به اينكه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واحدا إلاّ 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عرفيّت آن محل منع است يعنى تعبير از اين مقصود به اين عبارت؛ و اما احتمال تعبديت در حمل اين عبارت بر اين قصد، پس بى وجه است؛ و بر تقدير صحّت، در آنچه فرض كرده است و استنتاج كرده است، موافق با ضابط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لزوم استثنا از مستثنىٰ منه اولى در صورت عدم امكان استثنا از متّصل سابق، حكم استثناى عرفى عقلايى است؛ و هم چنين جمع هر يك از ازواج و افراد و اخراج مجموع منفيّات از مجموع مثبتات، حكم استثناى صحيح عرفى است</w:t>
      </w:r>
      <w:r>
        <w:rPr>
          <w:rFonts w:eastAsia="IRNazanin" w:cs="IRNazanin"/>
          <w:color w:val="111111"/>
          <w:sz w:val="28"/>
          <w:szCs w:val="28"/>
          <w:rtl w:val="true"/>
          <w:lang w:bidi="fa-IR"/>
        </w:rPr>
        <w:t>.</w:t>
      </w:r>
    </w:p>
    <w:p>
      <w:pPr>
        <w:pStyle w:val="Heading6"/>
        <w:numPr>
          <w:ilvl w:val="5"/>
          <w:numId w:val="1"/>
        </w:numPr>
        <w:rPr/>
      </w:pPr>
      <w:bookmarkStart w:id="2328" w:name="__RefHeading___Toc3808945_1067777946"/>
      <w:bookmarkStart w:id="2329" w:name="_Toc985"/>
      <w:bookmarkEnd w:id="2328"/>
      <w:r>
        <w:rPr>
          <w:rtl w:val="true"/>
        </w:rPr>
        <w:t xml:space="preserve">ايراد دوم مرحوم صاحب </w:t>
      </w:r>
      <w:r>
        <w:rPr>
          <w:rtl w:val="true"/>
        </w:rPr>
        <w:t>«</w:t>
      </w:r>
      <w:r>
        <w:rPr>
          <w:rtl w:val="true"/>
        </w:rPr>
        <w:t>جواهر</w:t>
      </w:r>
      <w:r>
        <w:rPr>
          <w:rtl w:val="true"/>
        </w:rPr>
        <w:t xml:space="preserve">» - </w:t>
      </w:r>
      <w:r>
        <w:rPr>
          <w:rtl w:val="true"/>
        </w:rPr>
        <w:t xml:space="preserve">قدس سرّه </w:t>
      </w:r>
      <w:r>
        <w:rPr>
          <w:rtl w:val="true"/>
        </w:rPr>
        <w:t xml:space="preserve">- </w:t>
      </w:r>
      <w:r>
        <w:rPr>
          <w:rtl w:val="true"/>
        </w:rPr>
        <w:t>بر محكى از دروس</w:t>
      </w:r>
      <w:bookmarkEnd w:id="2329"/>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ايراد دوم به 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در اشكال به استثناى اثنين با اثبات آنها در فرض 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استغراق مانع است از استثناى اثنين از واحد يا اثنين كه واحد از آن مستثنىٰ است و نمى شود استثنا از خمسۀ ثابته تا آخر استثنا تا واحد، وگرنه استثناى اثنين از خمسه ثابته، مقتضى نفى اثنين است و فرض كرديم اثبات آنها را؛ و هم چنين نمى شود استثناى اثنين از خمسه منفيه فى نفسها، زيرا اخراج اثنين از خمسه، لازم آن بقاى ثلاثه است، و لازم استثناى ثلاثه بعدى از آن، استغراق است؛ و دعواى خروج ثلاثه از سبعه ثابته كه خمسه مقدّم و اثنين متأخّر است، لازمۀ آن، تعدّد ادات استثنا است، زيرا اين سبعه مقدّم و مستثنىٰ منه ثلاثه است و متأخّر و مستثنىٰ از سبعۀ مشتمل بر آن است و با توضيح عينيّت بعض مستثنىٰ منه با مستثنىٰ است در اثنين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ايراد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توضيح مراد ايشان مذكور شد با شرح آن</w:t>
      </w:r>
      <w:r>
        <w:rPr>
          <w:rFonts w:eastAsia="IRNazanin" w:cs="IRNazanin"/>
          <w:color w:val="111111"/>
          <w:sz w:val="28"/>
          <w:szCs w:val="28"/>
          <w:rtl w:val="true"/>
          <w:lang w:bidi="fa-IR"/>
        </w:rPr>
        <w:t xml:space="preserve">. </w:t>
      </w:r>
      <w:bookmarkStart w:id="2330" w:name="pg10265_90158"/>
    </w:p>
    <w:p>
      <w:pPr>
        <w:pStyle w:val="BookText"/>
        <w:rPr/>
      </w:pPr>
      <w:bookmarkEnd w:id="2330"/>
      <w:r>
        <w:rPr>
          <w:rFonts w:ascii="IRNazanin" w:hAnsi="IRNazanin" w:eastAsia="IRNazanin"/>
          <w:color w:val="111111"/>
          <w:sz w:val="28"/>
          <w:sz w:val="28"/>
          <w:szCs w:val="28"/>
          <w:rtl w:val="true"/>
          <w:lang w:bidi="fa-IR"/>
        </w:rPr>
        <w:t xml:space="preserve">و جارى است آنچه مذكور شد از سؤال و جواب، در فرض ديگر 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علىّ عشرة إلّا واحداً تا تسعه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تفصيل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استثناى متأخّر، به قدر متقدّم يا ازيد از آن باشد، هر دو راجع به مستثنىٰ منه مى شوند، و محتمل است رجوع به اقرب از مستثنيات كه قابل استثناى اين مجموع از آن باشد، بلكه اين اقرب است؛ و جارى است استبعاد صحّت اين تعبير بدون احتمال نسيان و تذكّر در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عشرة الا ثلاثة إلّا واحداً إلّا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عشرة إلّا واحداً إلّا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واضح است حكم، لو لا مناقشۀ متقدّمه در تعبير از مقصود به اين عبارت بدون عذر عقلايى</w:t>
      </w:r>
      <w:r>
        <w:rPr>
          <w:rFonts w:eastAsia="IRNazanin" w:cs="IRNazanin"/>
          <w:color w:val="111111"/>
          <w:sz w:val="28"/>
          <w:szCs w:val="28"/>
          <w:rtl w:val="true"/>
          <w:lang w:bidi="fa-IR"/>
        </w:rPr>
        <w:t>.</w:t>
      </w:r>
    </w:p>
    <w:p>
      <w:pPr>
        <w:pStyle w:val="Heading6"/>
        <w:numPr>
          <w:ilvl w:val="5"/>
          <w:numId w:val="1"/>
        </w:numPr>
        <w:rPr/>
      </w:pPr>
      <w:bookmarkStart w:id="2331" w:name="__RefHeading___Toc3808947_1067777946"/>
      <w:bookmarkStart w:id="2332" w:name="_Toc986"/>
      <w:bookmarkEnd w:id="2331"/>
      <w:r>
        <w:rPr>
          <w:rtl w:val="true"/>
        </w:rPr>
        <w:t>عدم فرق بين اعداد و اعيان در استثناى از ديگرى</w:t>
      </w:r>
      <w:bookmarkEnd w:id="2332"/>
    </w:p>
    <w:p>
      <w:pPr>
        <w:pStyle w:val="BookText"/>
        <w:rPr/>
      </w:pPr>
      <w:r>
        <w:rPr>
          <w:rFonts w:ascii="IRNazanin" w:hAnsi="IRNazanin" w:eastAsia="IRNazanin"/>
          <w:color w:val="111111"/>
          <w:sz w:val="28"/>
          <w:sz w:val="28"/>
          <w:szCs w:val="28"/>
          <w:rtl w:val="true"/>
          <w:lang w:bidi="fa-IR"/>
        </w:rPr>
        <w:t>فرقى بين اعداد و اعيان نيست در استثناى هر كدام از ديگرى و استثناى بعض از هر كدام، از كلّ آن، در صحّت استثنا در جميع اينها؛ و خلاف بعضى بى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لفلان هذه الدار و هذا البيت منها 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بيتها 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هذا الخاتم و الفصّ 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اتّصال كلام؛ به خلاف انفصال كه رجوع از ظاهر اقرار، و انكار بعد از اقرار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العبيد لزيد إلّا واحداً، صحيح است و مكلّف به بيان ابهام مستثنىٰ مى شود؛ پس اگر تعيين كرد، صحيح است؛ و در صورت انكار مُقَرّ له تعيين را، قول مُقِرّ با يمين او مقدّم است نسبت به قصد خودش از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امتناع از تفسير، امر، مربوط به حاكم شرع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يكى از عبيد مُرد و تعيين ميّت نمود، قبول است؛ و با منازعه، قول مُقِرّ با يمين او مقدّم است</w:t>
      </w:r>
      <w:r>
        <w:rPr>
          <w:rFonts w:eastAsia="IRNazanin" w:cs="IRNazanin"/>
          <w:color w:val="111111"/>
          <w:sz w:val="28"/>
          <w:szCs w:val="28"/>
          <w:rtl w:val="true"/>
          <w:lang w:bidi="fa-IR"/>
        </w:rPr>
        <w:t>.</w:t>
      </w:r>
    </w:p>
    <w:p>
      <w:pPr>
        <w:pStyle w:val="Heading5"/>
        <w:numPr>
          <w:ilvl w:val="4"/>
          <w:numId w:val="1"/>
        </w:numPr>
        <w:rPr/>
      </w:pPr>
      <w:bookmarkStart w:id="2333" w:name="__RefHeading___Toc3808949_1067777946"/>
      <w:bookmarkStart w:id="2334" w:name="_Toc987"/>
      <w:bookmarkEnd w:id="2333"/>
      <w:r>
        <w:rPr/>
        <w:t>2</w:t>
      </w:r>
      <w:r>
        <w:rPr>
          <w:rtl w:val="true"/>
        </w:rPr>
        <w:t xml:space="preserve">. </w:t>
      </w:r>
      <w:r>
        <w:rPr>
          <w:rtl w:val="true"/>
        </w:rPr>
        <w:t xml:space="preserve">تفريع بر قاعدۀ ثانيه </w:t>
      </w:r>
      <w:r>
        <w:rPr>
          <w:rtl w:val="true"/>
        </w:rPr>
        <w:t>(</w:t>
      </w:r>
      <w:r>
        <w:rPr>
          <w:rtl w:val="true"/>
        </w:rPr>
        <w:t>استثنا از جنس</w:t>
      </w:r>
      <w:r>
        <w:rPr>
          <w:rtl w:val="true"/>
        </w:rPr>
        <w:t>)</w:t>
      </w:r>
      <w:bookmarkEnd w:id="2334"/>
    </w:p>
    <w:p>
      <w:pPr>
        <w:pStyle w:val="Heading6"/>
        <w:numPr>
          <w:ilvl w:val="5"/>
          <w:numId w:val="1"/>
        </w:numPr>
        <w:rPr/>
      </w:pPr>
      <w:bookmarkStart w:id="2335" w:name="__RefHeading___Toc3808951_1067777946"/>
      <w:bookmarkStart w:id="2336" w:name="_Toc988"/>
      <w:bookmarkEnd w:id="2335"/>
      <w:r>
        <w:rPr>
          <w:rtl w:val="true"/>
        </w:rPr>
        <w:t>صحت استثناى منقطع</w:t>
      </w:r>
      <w:bookmarkEnd w:id="2336"/>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علىّ الف إلّا درهماً، پس چون استثناى منقطع و از غير جنس، </w:t>
      </w:r>
      <w:bookmarkStart w:id="2337" w:name="pg10265_90159"/>
    </w:p>
    <w:p>
      <w:pPr>
        <w:pStyle w:val="BookText"/>
        <w:rPr/>
      </w:pPr>
      <w:bookmarkEnd w:id="2337"/>
      <w:r>
        <w:rPr>
          <w:rFonts w:ascii="IRNazanin" w:hAnsi="IRNazanin" w:eastAsia="IRNazanin"/>
          <w:color w:val="111111"/>
          <w:sz w:val="28"/>
          <w:sz w:val="28"/>
          <w:szCs w:val="28"/>
          <w:rtl w:val="true"/>
          <w:lang w:bidi="fa-IR"/>
        </w:rPr>
        <w:t>عرفيّت دارد و خلاف ظهور نيست پس محمول بر صحّت است، و تفسير الف با مقر است؛ پس اگر تفسير كرد به چيزى كه قابل استثناى درهم يا قيمت آن است اشكالى ندارد؛ و اگر قابليّت ندارد پس جمع بين تفسير و استثنا،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 نيست عدم صحّت استثنا، نه تفسيرى كه لا بد منه است با ابهام مستثنىٰ منه؛ پس چون جمع بين صدر كلام و ذيل آن ممكن نيست، صدر مأخوذ است و ذيل از قبيل تعقيب اقرار به منافى است، و اين قول 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علىّ الف الاّ ثوباً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مكلّف به بيان قيمت ثوب مى شود، لكن اگر استثناى منقطع صحيح نباشد حتى با مجاز بودن آن، باطل مى شود استثنا، وگرنه چنانچه بيان شد، اگر بيان كرد چيزى را كه با آن صحيح مى شود استثناى قيمت ثوب از هزار درهم، صحيح است، وگرنه اقرار به الف، محكَّم است و استثناى بعدى كالعدم است</w:t>
      </w:r>
      <w:r>
        <w:rPr>
          <w:rFonts w:eastAsia="IRNazanin" w:cs="IRNazanin"/>
          <w:color w:val="111111"/>
          <w:sz w:val="28"/>
          <w:szCs w:val="28"/>
          <w:rtl w:val="true"/>
          <w:lang w:bidi="fa-IR"/>
        </w:rPr>
        <w:t>.</w:t>
      </w:r>
    </w:p>
    <w:p>
      <w:pPr>
        <w:pStyle w:val="Heading6"/>
        <w:numPr>
          <w:ilvl w:val="5"/>
          <w:numId w:val="1"/>
        </w:numPr>
        <w:rPr/>
      </w:pPr>
      <w:bookmarkStart w:id="2338" w:name="__RefHeading___Toc3808953_1067777946"/>
      <w:bookmarkStart w:id="2339" w:name="_Toc989"/>
      <w:bookmarkEnd w:id="2338"/>
      <w:r>
        <w:rPr>
          <w:rtl w:val="true"/>
        </w:rPr>
        <w:t>مجهوليت مستثنىٰ و مستثنىٰ منه</w:t>
      </w:r>
      <w:bookmarkEnd w:id="2339"/>
    </w:p>
    <w:p>
      <w:pPr>
        <w:pStyle w:val="BookText"/>
        <w:rPr/>
      </w:pPr>
      <w:r>
        <w:rPr>
          <w:rFonts w:ascii="IRNazanin" w:hAnsi="IRNazanin" w:eastAsia="IRNazanin"/>
          <w:color w:val="111111"/>
          <w:sz w:val="28"/>
          <w:sz w:val="28"/>
          <w:szCs w:val="28"/>
          <w:rtl w:val="true"/>
          <w:lang w:bidi="fa-IR"/>
        </w:rPr>
        <w:t>اگر مستثنىٰ و مستثنىٰ منه مجهول بودند مثل اينكه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الف الا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مكلّف مى شود مقِر به تفسير در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استثناى از جنس يا غير جنس، و استيعاب نفس يا قيمت، و صحّت اخراج عين يا قيمت و عدم صحّت، و صورت بطلان تفسير مستثنىٰ به چيزى كه قابل استثنا نباشد، حكم آنها از بيانات سابقه در صورت انفراد دو مجهول از هم، معلوم مى شود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چنين است صورت مجهوليّت هر دو از هر جهت، مثل اينكه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علىّ شىء الّا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علىّ مال إلّا 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احتياج به تفسير؛ و بايد مستثنىٰ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ازيد از اقل ما يتموّل باشد تا در صورت تفسير مستثنىٰ به ما يتموّل، بقيه در مستثنىٰ منه، متموّل باشد؛ لكن صحّت اين گونه تعبيرات و عقلائيّت آنها اگر چه با تفسير متأخّر باشد، محل تأمّل است</w:t>
      </w:r>
      <w:r>
        <w:rPr>
          <w:rFonts w:eastAsia="IRNazanin" w:cs="IRNazanin"/>
          <w:color w:val="111111"/>
          <w:sz w:val="28"/>
          <w:szCs w:val="28"/>
          <w:rtl w:val="true"/>
          <w:lang w:bidi="fa-IR"/>
        </w:rPr>
        <w:t xml:space="preserve">. </w:t>
      </w:r>
      <w:bookmarkStart w:id="2340" w:name="pg10265_90160"/>
    </w:p>
    <w:p>
      <w:pPr>
        <w:pStyle w:val="BookText"/>
        <w:rPr/>
      </w:pPr>
      <w:bookmarkEnd w:id="2340"/>
      <w:r>
        <w:rPr>
          <w:rFonts w:ascii="Amiri" w:hAnsi="Amiri" w:eastAsia="Amiri" w:cs="Amiri"/>
          <w:color w:val="111111"/>
          <w:sz w:val="28"/>
          <w:sz w:val="28"/>
          <w:szCs w:val="28"/>
          <w:rtl w:val="true"/>
          <w:lang w:bidi="ar-SA"/>
        </w:rPr>
        <w:t>و در صورت تعذّر تفسير يا امتناع از آن و عدم امكان استفسار با اجبار حاكم، مقتضاى اصل برائت، عدم زياده بر متموّل است در مستثنىٰ و عدم نقص از متموّل است در مستثنىٰ منه بعد از اخراج 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 از حيث جنس و غير جنس و استيعاب و عدم آن مثل ما سبق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اتحاد مستثنىٰ منه و مستثنىٰ در لفظ، غير اتحاد در واقع است؛ پس لازمۀ آن، استيعابِ واقعى نيست تا حكم به بطلان استثنا بشود؛ بلى بر تقدير بطلان استثناى مذكور، مكلّف به تفسير مستثنىٰ منه فقط مى شود</w:t>
      </w:r>
      <w:r>
        <w:rPr>
          <w:rFonts w:eastAsia="IRNazanin" w:cs="IRNazanin"/>
          <w:color w:val="111111"/>
          <w:sz w:val="28"/>
          <w:szCs w:val="28"/>
          <w:rtl w:val="true"/>
          <w:lang w:bidi="fa-IR"/>
        </w:rPr>
        <w:t>.</w:t>
      </w:r>
    </w:p>
    <w:p>
      <w:pPr>
        <w:pStyle w:val="Heading5"/>
        <w:numPr>
          <w:ilvl w:val="4"/>
          <w:numId w:val="1"/>
        </w:numPr>
        <w:rPr/>
      </w:pPr>
      <w:bookmarkStart w:id="2341" w:name="__RefHeading___Toc3808955_1067777946"/>
      <w:bookmarkStart w:id="2342" w:name="_Toc990"/>
      <w:bookmarkEnd w:id="2341"/>
      <w:r>
        <w:rPr/>
        <w:t>3</w:t>
      </w:r>
      <w:r>
        <w:rPr>
          <w:rtl w:val="true"/>
        </w:rPr>
        <w:t xml:space="preserve">. </w:t>
      </w:r>
      <w:r>
        <w:rPr>
          <w:rtl w:val="true"/>
        </w:rPr>
        <w:t>تفريع بر قاعده ثالثه</w:t>
      </w:r>
      <w:bookmarkEnd w:id="2342"/>
    </w:p>
    <w:p>
      <w:pPr>
        <w:pStyle w:val="Heading6"/>
        <w:numPr>
          <w:ilvl w:val="5"/>
          <w:numId w:val="1"/>
        </w:numPr>
        <w:rPr/>
      </w:pPr>
      <w:bookmarkStart w:id="2343" w:name="__RefHeading___Toc3808957_1067777946"/>
      <w:bookmarkStart w:id="2344" w:name="_Toc991"/>
      <w:bookmarkEnd w:id="2343"/>
      <w:r>
        <w:rPr>
          <w:rtl w:val="true"/>
        </w:rPr>
        <w:t>استهجان تخصيص</w:t>
      </w:r>
      <w:bookmarkEnd w:id="2344"/>
    </w:p>
    <w:p>
      <w:pPr>
        <w:pStyle w:val="BookText"/>
        <w:rPr/>
      </w:pPr>
      <w:r>
        <w:rPr>
          <w:rFonts w:ascii="IRNazanin" w:hAnsi="IRNazanin" w:eastAsia="IRNazanin"/>
          <w:color w:val="111111"/>
          <w:sz w:val="28"/>
          <w:sz w:val="28"/>
          <w:szCs w:val="28"/>
          <w:rtl w:val="true"/>
          <w:lang w:bidi="fa-IR"/>
        </w:rPr>
        <w:t>بايد بعد از استثنا، با ملاحظۀ بقيه در مستثنىٰ منه، استهجان تخصيص نباشد، مثل استلزام تخصيص اكثر يا مساوى فى الجمله؛ پس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علىّ درهم الا 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استثناى صحيح و مقبول نيست و از قبيل تعقيب اقرار به ضد است و ملزَم به يك درهم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علىّ درهم و درهم الا 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اظهر لزوم يك درهم است، و رجوع استثنا به مجموع است نه به اخير تا باطل باشد با امكان تصحيح به ارجاع به مجموع؛ و اين وجه 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اظهريّت عرفيّۀ اين وجه اين است كه واو عطف، به منزلۀ الف تثنيه است و اختلاف در مفهوم از استثنا است، نه در مستثنىٰ منه؛ پس همچنان كه متعذر است ارجاع به اخيره، متعذّر است ارجاع به 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ارجاع به مجموع، و صون كلام كلاًّ از لغويّت، ارجاع به مجموع است با ملاحظۀ آنچه ذكر شد، و اين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همين بيان با توضيح</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گفته شود كه رجوع به اخير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استثناى باطل است و ملزَم به دو درهم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ثلاثة دراهم و درهمان إلّا درهمين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مستثنىٰ از ثلاثه اگر خللى در تخصيص اكثر نباشد؛ وگرنه از مجموع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و درهم إلّا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نتيجه على اىّ تقدير لزوم ثلاثه است؛ چنانچه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درهمان و درهمان إلّا درهمين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استثناى از مجموع است، بنا بر آنچه گذشت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و درهم إلّا درهمين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لازم در مقام دو درهم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ثلاثة الاّ درهما و درهما و 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دو درهم لازم است بنا بر اخلال تخصيص اكثر، وگرنه خصوص استثناى اخير باطل است و يك درهم لازم است، و هو العالم</w:t>
      </w:r>
      <w:r>
        <w:rPr>
          <w:rFonts w:eastAsia="IRNazanin" w:cs="IRNazanin"/>
          <w:color w:val="111111"/>
          <w:sz w:val="28"/>
          <w:szCs w:val="28"/>
          <w:rtl w:val="true"/>
          <w:lang w:bidi="fa-IR"/>
        </w:rPr>
        <w:t xml:space="preserve">. </w:t>
      </w:r>
      <w:bookmarkStart w:id="2345" w:name="pg10265_90162"/>
    </w:p>
    <w:p>
      <w:pPr>
        <w:pStyle w:val="Heading3"/>
        <w:numPr>
          <w:ilvl w:val="2"/>
          <w:numId w:val="1"/>
        </w:numPr>
        <w:rPr/>
      </w:pPr>
      <w:bookmarkStart w:id="2346" w:name="__RefHeading___Toc3808959_1067777946"/>
      <w:bookmarkStart w:id="2347" w:name="_Toc992"/>
      <w:bookmarkEnd w:id="2345"/>
      <w:bookmarkEnd w:id="2346"/>
      <w:r>
        <w:rPr>
          <w:rtl w:val="true"/>
        </w:rPr>
        <w:t>فصل دوّم مُقِرّ و شرايط او</w:t>
      </w:r>
      <w:bookmarkEnd w:id="2347"/>
    </w:p>
    <w:p>
      <w:pPr>
        <w:pStyle w:val="Heading4"/>
        <w:numPr>
          <w:ilvl w:val="3"/>
          <w:numId w:val="1"/>
        </w:numPr>
        <w:rPr/>
      </w:pPr>
      <w:bookmarkStart w:id="2348" w:name="__RefHeading___Toc3808961_1067777946"/>
      <w:bookmarkStart w:id="2349" w:name="_Toc993"/>
      <w:bookmarkEnd w:id="2348"/>
      <w:r>
        <w:rPr>
          <w:rtl w:val="true"/>
        </w:rPr>
        <w:t>شرايط اقراركننده</w:t>
      </w:r>
      <w:bookmarkEnd w:id="2349"/>
    </w:p>
    <w:p>
      <w:pPr>
        <w:pStyle w:val="BookText"/>
        <w:rPr/>
      </w:pPr>
      <w:r>
        <w:rPr>
          <w:rFonts w:ascii="Amiri" w:hAnsi="Amiri" w:eastAsia="Amiri" w:cs="Amiri"/>
          <w:color w:val="111111"/>
          <w:sz w:val="28"/>
          <w:sz w:val="28"/>
          <w:szCs w:val="28"/>
          <w:rtl w:val="true"/>
          <w:lang w:bidi="ar-SA"/>
        </w:rPr>
        <w:t xml:space="preserve">بايد مُقرّ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نه هازل و ساهى و غافل و سكران؛ و تماميّت بعض اين شروط به طور اطلاق، به سبب نقل عدم خلاف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عدالت مُقِرّ معتبر نيست در نفوذ اقرار، بلكه كفر مانع از نفوذ اقرار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صبى اقرار او نافذ نيست اگر چه مميز و مراهق و با اذن ولى باشد بنا بر احوط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بنا بر نفوذ وصيّت صبى مخصوص، نافذ است اقرار به آن</w:t>
      </w:r>
      <w:r>
        <w:rPr>
          <w:rFonts w:eastAsia="Amiri" w:cs="Amiri" w:ascii="Amiri" w:hAnsi="Amiri"/>
          <w:color w:val="111111"/>
          <w:sz w:val="28"/>
          <w:szCs w:val="28"/>
          <w:rtl w:val="true"/>
          <w:lang w:bidi="ar-SA"/>
        </w:rPr>
        <w:t>.</w:t>
      </w:r>
    </w:p>
    <w:p>
      <w:pPr>
        <w:pStyle w:val="Heading4"/>
        <w:numPr>
          <w:ilvl w:val="3"/>
          <w:numId w:val="1"/>
        </w:numPr>
        <w:rPr/>
      </w:pPr>
      <w:bookmarkStart w:id="2350" w:name="__RefHeading___Toc3808963_1067777946"/>
      <w:bookmarkStart w:id="2351" w:name="_Toc994"/>
      <w:bookmarkEnd w:id="2350"/>
      <w:r>
        <w:rPr>
          <w:rtl w:val="true"/>
        </w:rPr>
        <w:t>ادّعاى بلوغ</w:t>
      </w:r>
      <w:bookmarkEnd w:id="2351"/>
    </w:p>
    <w:p>
      <w:pPr>
        <w:pStyle w:val="BookText"/>
        <w:rPr/>
      </w:pPr>
      <w:r>
        <w:rPr>
          <w:rFonts w:ascii="IRNazanin" w:hAnsi="IRNazanin" w:eastAsia="IRNazanin"/>
          <w:color w:val="111111"/>
          <w:sz w:val="28"/>
          <w:sz w:val="28"/>
          <w:szCs w:val="28"/>
          <w:rtl w:val="true"/>
          <w:lang w:bidi="fa-IR"/>
        </w:rPr>
        <w:t>و اگر مدّعىِ بلوغ به احتلام باشد در وقت امكان آن، تصديق مى شود بدون يمين، و احتياط در اين مقام ترك نشود؛ و اگر مدّعى بلوغ به سن باشد، محتاج به بينه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صبيّه اگر مدّعى بلوغ به احتلام يا حيض باشد، به خلاف بلوغ با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بلوغ با انبات اگر ادّعا بشود، اعتبار و اختبار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مجنون غير ادوارى و نائم و ساهى و غافل و مبتلى به هذيان و سكران و مغمى عليه، اقرار هيچ كدام از اينها نافذ نيست</w:t>
      </w:r>
      <w:r>
        <w:rPr>
          <w:rFonts w:eastAsia="IRNazanin" w:cs="IRNazanin"/>
          <w:color w:val="111111"/>
          <w:sz w:val="28"/>
          <w:szCs w:val="28"/>
          <w:rtl w:val="true"/>
          <w:lang w:bidi="fa-IR"/>
        </w:rPr>
        <w:t>.</w:t>
      </w:r>
    </w:p>
    <w:p>
      <w:pPr>
        <w:pStyle w:val="Heading4"/>
        <w:numPr>
          <w:ilvl w:val="3"/>
          <w:numId w:val="1"/>
        </w:numPr>
        <w:rPr/>
      </w:pPr>
      <w:bookmarkStart w:id="2352" w:name="__RefHeading___Toc3808965_1067777946"/>
      <w:bookmarkStart w:id="2353" w:name="_Toc995"/>
      <w:bookmarkEnd w:id="2352"/>
      <w:r>
        <w:rPr>
          <w:rtl w:val="true"/>
        </w:rPr>
        <w:t>اكراه در اقرار</w:t>
      </w:r>
      <w:bookmarkEnd w:id="2353"/>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مُكرَه، به آنچه اكراه بر او شده است اقرار او بى اثر است</w:t>
      </w:r>
      <w:r>
        <w:rPr>
          <w:rFonts w:eastAsia="IRNazanin" w:cs="IRNazanin"/>
          <w:color w:val="111111"/>
          <w:sz w:val="28"/>
          <w:szCs w:val="28"/>
          <w:rtl w:val="true"/>
          <w:lang w:bidi="fa-IR"/>
        </w:rPr>
        <w:t xml:space="preserve">. </w:t>
      </w:r>
      <w:bookmarkStart w:id="2354" w:name="pg10265_90163"/>
    </w:p>
    <w:p>
      <w:pPr>
        <w:pStyle w:val="BookText"/>
        <w:rPr/>
      </w:pPr>
      <w:bookmarkEnd w:id="2354"/>
      <w:r>
        <w:rPr>
          <w:rFonts w:ascii="IRNazanin" w:hAnsi="IRNazanin" w:eastAsia="IRNazanin"/>
          <w:color w:val="111111"/>
          <w:sz w:val="28"/>
          <w:sz w:val="28"/>
          <w:szCs w:val="28"/>
          <w:rtl w:val="true"/>
          <w:lang w:bidi="fa-IR"/>
        </w:rPr>
        <w:t>به خلاف اينكه با اكراه بر اقرار بمائة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 بمائة و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اظهر نفوذ اقرار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نيست مثل اين باشد اگر اقرار كرد به مأتين كه به منزلۀ دو اقرار است كه هر كدام به مائة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 بمائة و زيادة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 بمائة و جناية منّى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زائد بر حيثيّت مكره عليها نافذ است، چون اكراهى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خلاف صورتى كه اكراه بر اكثر شد، پس اقرار به اقل كرد، كه 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اقرار سكران به سبب اختيارى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نافذ نيست، بلى بايد او و امثال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اشاره به آنها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كمال عقل در حد متعارف خارج شده باشد؛ پس كافى نيست در سقوط اقرار، مجرّد صدق سكران و نحو او</w:t>
      </w:r>
      <w:r>
        <w:rPr>
          <w:rFonts w:eastAsia="IRNazanin" w:cs="IRNazanin"/>
          <w:color w:val="111111"/>
          <w:sz w:val="28"/>
          <w:szCs w:val="28"/>
          <w:rtl w:val="true"/>
          <w:lang w:bidi="fa-IR"/>
        </w:rPr>
        <w:t>.</w:t>
      </w:r>
    </w:p>
    <w:p>
      <w:pPr>
        <w:pStyle w:val="Heading4"/>
        <w:numPr>
          <w:ilvl w:val="3"/>
          <w:numId w:val="1"/>
        </w:numPr>
        <w:rPr/>
      </w:pPr>
      <w:bookmarkStart w:id="2355" w:name="__RefHeading___Toc3808967_1067777946"/>
      <w:bookmarkStart w:id="2356" w:name="_Toc996"/>
      <w:bookmarkEnd w:id="2355"/>
      <w:r>
        <w:rPr>
          <w:rtl w:val="true"/>
        </w:rPr>
        <w:t>اقرار سفيه</w:t>
      </w:r>
      <w:bookmarkEnd w:id="2356"/>
    </w:p>
    <w:p>
      <w:pPr>
        <w:pStyle w:val="BookText"/>
        <w:rPr/>
      </w:pPr>
      <w:r>
        <w:rPr>
          <w:rFonts w:ascii="Amiri" w:hAnsi="Amiri" w:eastAsia="Amiri" w:cs="Amiri"/>
          <w:color w:val="111111"/>
          <w:sz w:val="28"/>
          <w:sz w:val="28"/>
          <w:szCs w:val="28"/>
          <w:rtl w:val="true"/>
          <w:lang w:bidi="ar-SA"/>
        </w:rPr>
        <w:t>سفيه محجورٌ عليه، اقرار او به مالى در ذمه يا در خارج، مقبول نيست و بعد از زوال حجر مطالبه نمى شود از او؛ لكن اطلاق اين حكم، در صورت اقرار به سبب اشتغال ذمّه از انشائيّات در حال عدم اثبات سفاهت او به حيثيّتى كه مطالبه از ولى نشود و از خودش بعد از زوال حجر ايضاً مطالبه نشود، خالى از اشكال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قبول است اقرار سفيه در غير تصرّفات ماليّه، مثل خلع و طلاق و نسب و موجب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استتباع مفسدۀ ماليّه، مجبور به نظر ولى بشود يا تبديل به مصلحت بشود، مثل آنكه تصرّف مالى از خود ولى شده در مال سفيه، وگرنه يا اقرار نافذ نيست يا آنكه لوازم، مترتّب نمى شود نسبت به ضرر مالى؛ پس نفقه در اقرار به نسب، موجب نفقه بر بيت المال است اگر ولىّ مصلحت نداند و نسب ثابت بشود؛ و فداء قصاص بر ولى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محتمل است تحليل اقرار، نسبت به طلاق و مهر و نسب و نفقه، پس ثابت بشود غير مال مگر آنكه ولى مصلحت بداند كه امر جائز مصلحت دار و ممكن </w:t>
      </w:r>
      <w:bookmarkStart w:id="2357" w:name="pg10265_90164"/>
    </w:p>
    <w:p>
      <w:pPr>
        <w:pStyle w:val="BookText"/>
        <w:rPr/>
      </w:pPr>
      <w:bookmarkEnd w:id="2357"/>
      <w:r>
        <w:rPr>
          <w:rFonts w:ascii="Amiri" w:hAnsi="Amiri" w:eastAsia="Amiri" w:cs="Amiri"/>
          <w:color w:val="111111"/>
          <w:sz w:val="28"/>
          <w:sz w:val="28"/>
          <w:szCs w:val="28"/>
          <w:rtl w:val="true"/>
          <w:lang w:bidi="ar-SA"/>
        </w:rPr>
        <w:t>است واجب بر ولى باشد، مثل فداء در اقرار به موجب قصاص كه مصلحت است از مال مقِرّ و واجب مى شود بر ولى در صورت نفوذ اقرار در قصاص و موجب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اين قبيل است اقرار به سرقت، كه مقبول در حدِّ ثابت به آن است، نه در تضمين مال مگر در تقدير صلاح در تصرّف ولى در مال مضمون به نحو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چيزى كه مشتمل بر مال و غير مال است، مانعى از نفوذ اقرار در غير مال نيست</w:t>
      </w:r>
      <w:r>
        <w:rPr>
          <w:rFonts w:eastAsia="IRNazanin" w:cs="IRNazanin"/>
          <w:color w:val="111111"/>
          <w:sz w:val="28"/>
          <w:szCs w:val="28"/>
          <w:rtl w:val="true"/>
          <w:lang w:bidi="fa-IR"/>
        </w:rPr>
        <w:t>.</w:t>
      </w:r>
    </w:p>
    <w:p>
      <w:pPr>
        <w:pStyle w:val="Heading4"/>
        <w:numPr>
          <w:ilvl w:val="3"/>
          <w:numId w:val="1"/>
        </w:numPr>
        <w:rPr/>
      </w:pPr>
      <w:bookmarkStart w:id="2358" w:name="__RefHeading___Toc3808969_1067777946"/>
      <w:bookmarkStart w:id="2359" w:name="_Toc997"/>
      <w:bookmarkEnd w:id="2358"/>
      <w:r>
        <w:rPr>
          <w:rtl w:val="true"/>
        </w:rPr>
        <w:t>اقرار مملوك</w:t>
      </w:r>
      <w:bookmarkEnd w:id="2359"/>
    </w:p>
    <w:p>
      <w:pPr>
        <w:pStyle w:val="BookText"/>
        <w:rPr/>
      </w:pPr>
      <w:r>
        <w:rPr>
          <w:rFonts w:ascii="IRNazanin" w:hAnsi="IRNazanin" w:eastAsia="IRNazanin"/>
          <w:color w:val="111111"/>
          <w:sz w:val="28"/>
          <w:sz w:val="28"/>
          <w:szCs w:val="28"/>
          <w:rtl w:val="true"/>
          <w:lang w:bidi="fa-IR"/>
        </w:rPr>
        <w:t>قبول نمى شود اقرار مملوك در ملك مولى يا در آنچه در ولايت مولى است، چه در بدن او يا در مال خارجى يا در ذمّۀ او باشد؛ و در هيچ كدام تعجيل ايصال نمى شود، چه مال باشد يا حد باشد يا جنايتى باشد كه موجب ارش يا قصاص باشد؛ پس اگر اقرار كرد و مولى تصديق كرد، قبول مى شود و تعجيل در ايصال مى شود در عين مال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مستند به جنايت باشد يا به اتلاف مال مى شود، بعد از عتق، مطالبه از خودش مى شود، مثل صورت عدم تصديق مولى؛ چنانچه با تصديق، عين موجوده دفع به مُقَرّ له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آنچه تلف در يد مملوك شده است اگر چه مورد تصديق مولى باشد؛ پس در همۀ اينها اتباع بعد از عتق؛ متجه است به جهت تعلّق به ذمۀ عبد؛ مگر با تسليم اختيارى مولى مملوك را پس از اقرار به جنايات نفسيّه و ماليّه كه تعجيل خالى از وجه نيست</w:t>
      </w:r>
      <w:r>
        <w:rPr>
          <w:rFonts w:eastAsia="IRNazanin" w:cs="IRNazanin"/>
          <w:color w:val="111111"/>
          <w:sz w:val="28"/>
          <w:szCs w:val="28"/>
          <w:rtl w:val="true"/>
          <w:lang w:bidi="fa-IR"/>
        </w:rPr>
        <w:t>.</w:t>
      </w:r>
    </w:p>
    <w:p>
      <w:pPr>
        <w:pStyle w:val="Heading4"/>
        <w:numPr>
          <w:ilvl w:val="3"/>
          <w:numId w:val="1"/>
        </w:numPr>
        <w:rPr/>
      </w:pPr>
      <w:bookmarkStart w:id="2360" w:name="__RefHeading___Toc3808971_1067777946"/>
      <w:bookmarkStart w:id="2361" w:name="_Toc998"/>
      <w:bookmarkEnd w:id="2360"/>
      <w:r>
        <w:rPr>
          <w:rtl w:val="true"/>
        </w:rPr>
        <w:t>اقرار مملوك مأذون در تجارت</w:t>
      </w:r>
      <w:bookmarkEnd w:id="2361"/>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اقرار مملوك مأذون در تجارت، در آنچه متعلّق به تجارت مأذونه است مقبول است؛ لكن در تبعيّت او بعد از عتق مطلقاً يا در زائد بر آنچه در يد است از مال مولىٰ‌،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بين كيفيّت و حد اذن كه استنابه باشد و به جاى مولى در مالى مولى باشد يا آنكه رفع حجر باشد و به جاى آزاد باشد، بى وجه نيست؛ پس در صورت دوم، تبعيّت بعد از عتق مطلقاً بدون اختصاص به غير آنچه در يد او </w:t>
      </w:r>
      <w:bookmarkStart w:id="2362" w:name="pg10265_90165"/>
    </w:p>
    <w:p>
      <w:pPr>
        <w:pStyle w:val="BookText"/>
        <w:rPr/>
      </w:pPr>
      <w:bookmarkEnd w:id="2362"/>
      <w:r>
        <w:rPr>
          <w:rFonts w:ascii="IRNazanin" w:hAnsi="IRNazanin" w:eastAsia="IRNazanin"/>
          <w:color w:val="111111"/>
          <w:sz w:val="28"/>
          <w:sz w:val="28"/>
          <w:szCs w:val="28"/>
          <w:rtl w:val="true"/>
          <w:lang w:bidi="fa-IR"/>
        </w:rPr>
        <w:t>است، متجه است؛ و در صورت اول مصدَّق بودن به جهت امين بودن؛ متجه است مطلقاً بدون تخصيص به آنچه در يد او است؛ بلى مالك با علم به خلاف، حق دعوىٰ بر مملوك در توسعه اذن و در تحقّق مأذونٌ فيه يا موجب خسارت ماليّه او دارد، و با يمين مملوك در موارد ظهور در استنابۀ مطلقه، فصل مرافعه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حدى ندارد تصديق مگر حدى را كه وكالتِ مطلقۀ اجنبىِ آزاد دارد؛ پس مملوكِ مأذون در تجارت به مال مولىٰ مثل وكيل آزاد در تجارت به مال موكّل به وكالت مطلقه است به حسب قاعدۀ وكالت، نه آنچه در وكالت بر خلاف قاعده ثابت بشود</w:t>
      </w:r>
      <w:r>
        <w:rPr>
          <w:rFonts w:eastAsia="IRNazanin" w:cs="IRNazanin"/>
          <w:color w:val="111111"/>
          <w:sz w:val="28"/>
          <w:szCs w:val="28"/>
          <w:rtl w:val="true"/>
          <w:lang w:bidi="fa-IR"/>
        </w:rPr>
        <w:t>.</w:t>
      </w:r>
    </w:p>
    <w:p>
      <w:pPr>
        <w:pStyle w:val="Heading4"/>
        <w:numPr>
          <w:ilvl w:val="3"/>
          <w:numId w:val="1"/>
        </w:numPr>
        <w:rPr/>
      </w:pPr>
      <w:bookmarkStart w:id="2363" w:name="__RefHeading___Toc3808973_1067777946"/>
      <w:bookmarkStart w:id="2364" w:name="_Toc999"/>
      <w:bookmarkEnd w:id="2363"/>
      <w:r>
        <w:rPr>
          <w:rtl w:val="true"/>
        </w:rPr>
        <w:t>اقرار در غير تجارت مأذونه</w:t>
      </w:r>
      <w:bookmarkEnd w:id="2364"/>
    </w:p>
    <w:p>
      <w:pPr>
        <w:pStyle w:val="BookText"/>
        <w:rPr/>
      </w:pPr>
      <w:r>
        <w:rPr>
          <w:rFonts w:ascii="IRNazanin" w:hAnsi="IRNazanin" w:eastAsia="IRNazanin"/>
          <w:color w:val="111111"/>
          <w:sz w:val="28"/>
          <w:sz w:val="28"/>
          <w:szCs w:val="28"/>
          <w:rtl w:val="true"/>
          <w:lang w:bidi="fa-IR"/>
        </w:rPr>
        <w:t>و اقرار مملوك در غير تجارت مأذونه، به مالى براى غير، بى اثر است در حق مولى؛ بلى تأثير در اتباع بعد از عتق بى وجه نيست در ماليات يا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بقاى اذن اگر چه در موارد جريان استصحاب باشد، لازم است؛ و با انتفاى اذن مطلقاً حكم اقرار در غير مأذونٌ فيه را دارد</w:t>
      </w:r>
      <w:r>
        <w:rPr>
          <w:rFonts w:eastAsia="IRNazanin" w:cs="IRNazanin"/>
          <w:color w:val="111111"/>
          <w:sz w:val="28"/>
          <w:szCs w:val="28"/>
          <w:rtl w:val="true"/>
          <w:lang w:bidi="fa-IR"/>
        </w:rPr>
        <w:t>.</w:t>
      </w:r>
    </w:p>
    <w:p>
      <w:pPr>
        <w:pStyle w:val="Heading4"/>
        <w:numPr>
          <w:ilvl w:val="3"/>
          <w:numId w:val="1"/>
        </w:numPr>
        <w:rPr/>
      </w:pPr>
      <w:bookmarkStart w:id="2365" w:name="__RefHeading___Toc3808975_1067777946"/>
      <w:bookmarkStart w:id="2366" w:name="_Toc1000"/>
      <w:bookmarkEnd w:id="2365"/>
      <w:r>
        <w:rPr>
          <w:rtl w:val="true"/>
        </w:rPr>
        <w:t>اقرار مولى</w:t>
      </w:r>
      <w:bookmarkEnd w:id="2366"/>
    </w:p>
    <w:p>
      <w:pPr>
        <w:pStyle w:val="BookText"/>
        <w:rPr/>
      </w:pPr>
      <w:r>
        <w:rPr>
          <w:rFonts w:ascii="Amiri" w:hAnsi="Amiri" w:eastAsia="Amiri" w:cs="Amiri"/>
          <w:color w:val="111111"/>
          <w:sz w:val="28"/>
          <w:sz w:val="28"/>
          <w:szCs w:val="28"/>
          <w:rtl w:val="true"/>
          <w:lang w:bidi="ar-SA"/>
        </w:rPr>
        <w:t>و اقرار مولى در عقوبات و موجبات آنها از حد و تعزير، نفوذ ندارد؛ بلكه در جنايات در غير موارد اجتماع با اقرار مملوك، تأمّل است در نفوذ اقرار مولى بر مملوك</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ممكن است گفته شود كه اقرار مولى مشتمل است در حق مملوك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اجتماع با شهادت ديگرى، بينه محقّق مى شود و احكام آن مرتب مى شود؛ و با اجتماع با اقرار مملوك، حكم تصديق را دارد و بر آن مرتّب مى شود اتباع بعد از عتق در ماليات يا مطلقاً، به واسطۀ تسليم مولى مملوك را براى قصاص در نفس يا طَرَف، يا فداء او را از مال خود مولى كه از آن جمله آن مملوك است، يا مطلقاً تعجيل بشود چنانچه محتمل است</w:t>
      </w:r>
      <w:r>
        <w:rPr>
          <w:rFonts w:eastAsia="IRNazanin" w:cs="IRNazanin"/>
          <w:color w:val="111111"/>
          <w:sz w:val="28"/>
          <w:szCs w:val="28"/>
          <w:rtl w:val="true"/>
          <w:lang w:bidi="fa-IR"/>
        </w:rPr>
        <w:t xml:space="preserve">. </w:t>
      </w:r>
      <w:bookmarkStart w:id="2367" w:name="pg10265_90166"/>
    </w:p>
    <w:p>
      <w:pPr>
        <w:pStyle w:val="Heading4"/>
        <w:numPr>
          <w:ilvl w:val="3"/>
          <w:numId w:val="1"/>
        </w:numPr>
        <w:rPr/>
      </w:pPr>
      <w:bookmarkStart w:id="2368" w:name="__RefHeading___Toc3808977_1067777946"/>
      <w:bookmarkStart w:id="2369" w:name="_Toc1001"/>
      <w:bookmarkEnd w:id="2367"/>
      <w:bookmarkEnd w:id="2368"/>
      <w:r>
        <w:rPr>
          <w:rtl w:val="true"/>
        </w:rPr>
        <w:t>اقرار مفلَّس</w:t>
      </w:r>
      <w:bookmarkEnd w:id="2369"/>
    </w:p>
    <w:p>
      <w:pPr>
        <w:pStyle w:val="BookText"/>
        <w:rPr/>
      </w:pPr>
      <w:r>
        <w:rPr>
          <w:rFonts w:ascii="IRNazanin" w:hAnsi="IRNazanin" w:eastAsia="IRNazanin"/>
          <w:color w:val="111111"/>
          <w:sz w:val="28"/>
          <w:sz w:val="28"/>
          <w:szCs w:val="28"/>
          <w:rtl w:val="true"/>
          <w:lang w:bidi="fa-IR"/>
        </w:rPr>
        <w:t xml:space="preserve">اقرار مفلَّس به دين سابقِ بر حكمِ به افلاس، نافذ است؛ و آيا موجب شركت مُقَرّ له با غرما است قبل از قسمت، يا آنكه اتباع مى شود به مُقَرّ به بعد از زوال افلاس و در غير مورد محجوريّت او از تصرفات از فاضل از حقوق غرما يا متملّك به سبب حادث مثل ارث‌؟ در محلش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به 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 حكم اين اقرار و اقرار به عين شخصيّه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جريان بحث در اقرار به دين لاحق به سبب لاحق معاملى يا غير آن، تأمّل است؛ و هم چنين صورت عدم اسناد به سبب 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وصيّت بر نص و صحيح، مقبول است در ثلث موصىٖ اگر چه ورثه اجازه نكنند وصيّت را، به خلاف زائد بر ثلث كه محتاج به اجازۀ ورثه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اقرار او، از ثلث انفاذ مى شود براى وارث و اجنبى، با تهمت و عدم آن، و اين اظهر اقوال مذكوره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370" w:name="__RefHeading___Toc3808979_1067777946"/>
      <w:bookmarkStart w:id="2371" w:name="_Toc1002"/>
      <w:bookmarkEnd w:id="2370"/>
      <w:r>
        <w:rPr>
          <w:rtl w:val="true"/>
        </w:rPr>
        <w:t>اقرار به مبهم</w:t>
      </w:r>
      <w:bookmarkEnd w:id="2371"/>
    </w:p>
    <w:p>
      <w:pPr>
        <w:pStyle w:val="BookText"/>
        <w:rPr/>
      </w:pPr>
      <w:r>
        <w:rPr>
          <w:rFonts w:ascii="IRNazanin" w:hAnsi="IRNazanin" w:eastAsia="IRNazanin"/>
          <w:color w:val="111111"/>
          <w:sz w:val="28"/>
          <w:sz w:val="28"/>
          <w:szCs w:val="28"/>
          <w:rtl w:val="true"/>
          <w:lang w:bidi="fa-IR"/>
        </w:rPr>
        <w:t>و اقرار به مبهم قبول مى شود و مكلّف مى شود به بيان؛ و اگر امتناع از بيان نمود معامله مى كند حاكم با او به آنچه جائز و صلاح يا لازم مى داند؛ و اگر امتناع نمود از بيان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ناكل محسوب مى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امتناع و اصرار نمود، احلاف مى شود مُقَرّ له و حكم مى شود با حلف او به آنچه ممكن است و مدّعى آن است؛ و اظهر استفاده مرتبۀ مناسب با معطىِ مقِر و معطىٰ له كه مُقَر له است و عدم اكتفاى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اول مرتبۀ ماليّت دار است كه به منزلۀ حمل بر هزل است؛ و هم چنين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حبّه اى از حنطه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استظهار، مطّرد در اقرار و وصيّت و نحو اينها است؛ پس در قبول تفسير مطابق اطلاق، تأمّل است، به خلاف تفسير به مرتبه دوم و سوم و هكذا كه مقبول مى شود</w:t>
      </w:r>
      <w:r>
        <w:rPr>
          <w:rFonts w:eastAsia="IRNazanin" w:cs="IRNazanin"/>
          <w:color w:val="111111"/>
          <w:sz w:val="28"/>
          <w:szCs w:val="28"/>
          <w:rtl w:val="true"/>
          <w:lang w:bidi="fa-IR"/>
        </w:rPr>
        <w:t>.</w:t>
      </w:r>
    </w:p>
    <w:p>
      <w:pPr>
        <w:pStyle w:val="Heading4"/>
        <w:numPr>
          <w:ilvl w:val="3"/>
          <w:numId w:val="1"/>
        </w:numPr>
        <w:rPr/>
      </w:pPr>
      <w:bookmarkStart w:id="2372" w:name="__RefHeading___Toc3808981_1067777946"/>
      <w:bookmarkStart w:id="2373" w:name="_Toc1003"/>
      <w:bookmarkEnd w:id="2372"/>
      <w:r>
        <w:rPr>
          <w:rtl w:val="true"/>
        </w:rPr>
        <w:t>ترديد در اقرار</w:t>
      </w:r>
      <w:bookmarkEnd w:id="2373"/>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فلان است بر من يك منّ گندم يا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ذميّات يا يكى از اين دو </w:t>
      </w:r>
      <w:bookmarkStart w:id="2374" w:name="pg10265_90167"/>
    </w:p>
    <w:p>
      <w:pPr>
        <w:pStyle w:val="BookText"/>
        <w:rPr/>
      </w:pPr>
      <w:bookmarkEnd w:id="2374"/>
      <w:r>
        <w:rPr>
          <w:rFonts w:ascii="IRNazanin" w:hAnsi="IRNazanin" w:eastAsia="IRNazanin"/>
          <w:color w:val="111111"/>
          <w:sz w:val="28"/>
          <w:sz w:val="28"/>
          <w:szCs w:val="28"/>
          <w:rtl w:val="true"/>
          <w:lang w:bidi="fa-IR"/>
        </w:rPr>
        <w:t>در خارجيّات، الزام به بيان و تفسير مى شود و قبول مى شود تفسير به ممكن و محتمل، اگر تناسب، تعيينِ خلاف نكند چنانچه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مُقَرّ له نفى كرد، حق او بر ذمه ساقط مى شود، و در عين شخصيّه منتظر وضوح امر مى شوند؛ و در صورت عدم، محتاج به صلح يا قرعه است و احوط صلح است؛ وگرنه از هر دو مسلوب است تا آنكه يكى رجوع نمايد</w:t>
      </w:r>
      <w:r>
        <w:rPr>
          <w:rFonts w:eastAsia="IRNazanin" w:cs="IRNazanin"/>
          <w:color w:val="111111"/>
          <w:sz w:val="28"/>
          <w:szCs w:val="28"/>
          <w:rtl w:val="true"/>
          <w:lang w:bidi="fa-IR"/>
        </w:rPr>
        <w:t>.</w:t>
      </w:r>
    </w:p>
    <w:p>
      <w:pPr>
        <w:pStyle w:val="Heading4"/>
        <w:numPr>
          <w:ilvl w:val="3"/>
          <w:numId w:val="1"/>
        </w:numPr>
        <w:rPr/>
      </w:pPr>
      <w:bookmarkStart w:id="2375" w:name="__RefHeading___Toc3808983_1067777946"/>
      <w:bookmarkStart w:id="2376" w:name="_Toc1004"/>
      <w:bookmarkEnd w:id="2375"/>
      <w:r>
        <w:rPr>
          <w:rtl w:val="true"/>
        </w:rPr>
        <w:t>جهالت در مُقِرّ له</w:t>
      </w:r>
      <w:bookmarkEnd w:id="2376"/>
    </w:p>
    <w:p>
      <w:pPr>
        <w:pStyle w:val="BookText"/>
        <w:rPr/>
      </w:pPr>
      <w:r>
        <w:rPr>
          <w:rFonts w:ascii="IRNazanin" w:hAnsi="IRNazanin" w:eastAsia="IRNazanin"/>
          <w:color w:val="111111"/>
          <w:sz w:val="28"/>
          <w:sz w:val="28"/>
          <w:szCs w:val="28"/>
          <w:rtl w:val="true"/>
          <w:lang w:bidi="fa-IR"/>
        </w:rPr>
        <w:t xml:space="preserve">و جهالت در مُقَرّ له مثل جهالت در مُقَرّ به، محتاج به تفسير مُقِرّ است؛ و با تفسير او، انكار يكىِ غيرِ معيّن به تفسير، اثرى ندارد و مخاصمه واقع نمى شود اگر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براى يكى از اين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تفسير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تفسير، با صلح يا قرعه رفع نزاع بين دو نفر مى شود و احوط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دعواى علم بر مُقِرّ نمودند، قبول مى شود قول مُقِرّ با يمين او به عدم علم فعلى</w:t>
      </w:r>
      <w:r>
        <w:rPr>
          <w:rFonts w:eastAsia="IRNazanin" w:cs="IRNazanin"/>
          <w:color w:val="111111"/>
          <w:sz w:val="28"/>
          <w:szCs w:val="28"/>
          <w:rtl w:val="true"/>
          <w:lang w:bidi="fa-IR"/>
        </w:rPr>
        <w:t>.</w:t>
      </w:r>
    </w:p>
    <w:p>
      <w:pPr>
        <w:pStyle w:val="Heading4"/>
        <w:numPr>
          <w:ilvl w:val="3"/>
          <w:numId w:val="1"/>
        </w:numPr>
        <w:rPr/>
      </w:pPr>
      <w:bookmarkStart w:id="2377" w:name="__RefHeading___Toc3808985_1067777946"/>
      <w:bookmarkStart w:id="2378" w:name="_Toc1005"/>
      <w:bookmarkEnd w:id="2377"/>
      <w:r>
        <w:rPr>
          <w:rtl w:val="true"/>
        </w:rPr>
        <w:t>ادّعاى بلوغ</w:t>
      </w:r>
      <w:bookmarkEnd w:id="2378"/>
    </w:p>
    <w:p>
      <w:pPr>
        <w:pStyle w:val="BookText"/>
        <w:rPr/>
      </w:pPr>
      <w:r>
        <w:rPr>
          <w:rFonts w:ascii="Amiri" w:hAnsi="Amiri" w:eastAsia="Amiri" w:cs="Amiri"/>
          <w:color w:val="111111"/>
          <w:sz w:val="28"/>
          <w:sz w:val="28"/>
          <w:szCs w:val="28"/>
          <w:rtl w:val="true"/>
          <w:lang w:bidi="ar-SA"/>
        </w:rPr>
        <w:t xml:space="preserve">دعواى صبى بلوغ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محل اعتبار و اختبار و استعلام است به مطالبۀ بيّنۀ ممكنه؛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عدم افادۀ اطمينان به قرائن مقرونۀ به دعوى با يمين او يا مطلقاً، مورد تأمّل و احتياط است، و مقتضاى استصحاب، عدم ترتّب آثار است در مواقع 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لحوق صبيّه در دعواى بلوغ به حيض يا به احتلام، به صبى در دعواى بلوغ به احتلام، تأمّل است، و احوط انتظار تبيّن حال است اگر چه به سائر علامات بلوغ باشد</w:t>
      </w:r>
      <w:r>
        <w:rPr>
          <w:rFonts w:eastAsia="IRNazanin" w:cs="IRNazanin"/>
          <w:color w:val="111111"/>
          <w:sz w:val="28"/>
          <w:szCs w:val="28"/>
          <w:rtl w:val="true"/>
          <w:lang w:bidi="fa-IR"/>
        </w:rPr>
        <w:t>.</w:t>
      </w:r>
    </w:p>
    <w:p>
      <w:pPr>
        <w:pStyle w:val="Heading4"/>
        <w:numPr>
          <w:ilvl w:val="3"/>
          <w:numId w:val="1"/>
        </w:numPr>
        <w:rPr/>
      </w:pPr>
      <w:bookmarkStart w:id="2379" w:name="__RefHeading___Toc3808987_1067777946"/>
      <w:bookmarkStart w:id="2380" w:name="_Toc1006"/>
      <w:bookmarkEnd w:id="2379"/>
      <w:r>
        <w:rPr>
          <w:rtl w:val="true"/>
        </w:rPr>
        <w:t>مراد از اقرار در مقام</w:t>
      </w:r>
      <w:bookmarkEnd w:id="2380"/>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مراد از اقرار در اين موارد كه در بعضى از آنها مطالبۀ بيّنه يا يمين مى شود، جامع بين موصوف به اقرار و ادّعا است، يعنى اصل اخبار از واقع، كه در بعض موارد، </w:t>
      </w:r>
      <w:bookmarkStart w:id="2381" w:name="pg10265_90168"/>
    </w:p>
    <w:p>
      <w:pPr>
        <w:pStyle w:val="BookText"/>
        <w:rPr/>
      </w:pPr>
      <w:bookmarkEnd w:id="2381"/>
      <w:r>
        <w:rPr>
          <w:rFonts w:ascii="Amiri" w:hAnsi="Amiri" w:eastAsia="Amiri" w:cs="Amiri"/>
          <w:color w:val="111111"/>
          <w:sz w:val="28"/>
          <w:sz w:val="28"/>
          <w:szCs w:val="28"/>
          <w:rtl w:val="true"/>
          <w:lang w:bidi="ar-SA"/>
        </w:rPr>
        <w:t>موصوف به مدّعى لنفسه على الغير و مطالَب به بيّنه يا يمين مى شود؛ و در بعض موارد، موصوف به اقرار و اخبار عمّا للغير على نفسه مى شود و بدون مطالبۀ بيّنه از احدى مسموع مى شود</w:t>
      </w:r>
      <w:r>
        <w:rPr>
          <w:rFonts w:eastAsia="Amiri" w:cs="Amiri" w:ascii="Amiri" w:hAnsi="Amiri"/>
          <w:color w:val="111111"/>
          <w:sz w:val="28"/>
          <w:szCs w:val="28"/>
          <w:rtl w:val="true"/>
          <w:lang w:bidi="ar-SA"/>
        </w:rPr>
        <w:t>.</w:t>
      </w:r>
    </w:p>
    <w:p>
      <w:pPr>
        <w:pStyle w:val="Heading4"/>
        <w:numPr>
          <w:ilvl w:val="3"/>
          <w:numId w:val="1"/>
        </w:numPr>
        <w:rPr/>
      </w:pPr>
      <w:bookmarkStart w:id="2382" w:name="__RefHeading___Toc3808989_1067777946"/>
      <w:bookmarkStart w:id="2383" w:name="_Toc1007"/>
      <w:bookmarkEnd w:id="2382"/>
      <w:r>
        <w:rPr>
          <w:rtl w:val="true"/>
        </w:rPr>
        <w:t>اقرار مراهق و اختلاف در بلوغ</w:t>
      </w:r>
      <w:bookmarkEnd w:id="2383"/>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مراهق اقرار كرد و بعد از آن با مُقَرّ له اختلاف در بلوغ نمودند، پس اگر قبل از تحقّق بلوغ و حكم به آن است، مطالبۀ بيّنه بر بلوغ از مُقَرّ له مى شود در تقدير مسموعيّت دعوىٰ از بالغ نسبت به كسى كه مستصحب است عدم بلوغ او و ثابت نشده باشد بلوغ او، يا فرض نزاع در زمانى متأخّر از زمان اقرار كه اختلاف در بلوغ در آن زمانِ سابق بين دو بالغ باشد؛ و اگر بعد از تحقّق بلوغ است، پس لازمِ ترتّب آثار بلوغ بر حكم به بلوغ، نفوذ اقرار و صحّت معاملات او است</w:t>
      </w:r>
      <w:r>
        <w:rPr>
          <w:rFonts w:eastAsia="IRNazanin" w:cs="IRNazanin"/>
          <w:color w:val="111111"/>
          <w:sz w:val="28"/>
          <w:szCs w:val="28"/>
          <w:rtl w:val="true"/>
          <w:lang w:bidi="fa-IR"/>
        </w:rPr>
        <w:t xml:space="preserve">. </w:t>
      </w:r>
      <w:bookmarkStart w:id="2384" w:name="pg10265_90169"/>
    </w:p>
    <w:p>
      <w:pPr>
        <w:pStyle w:val="Heading3"/>
        <w:numPr>
          <w:ilvl w:val="2"/>
          <w:numId w:val="1"/>
        </w:numPr>
        <w:rPr/>
      </w:pPr>
      <w:bookmarkStart w:id="2385" w:name="__RefHeading___Toc3808991_1067777946"/>
      <w:bookmarkStart w:id="2386" w:name="_Toc1008"/>
      <w:bookmarkEnd w:id="2384"/>
      <w:bookmarkEnd w:id="2385"/>
      <w:r>
        <w:rPr>
          <w:rtl w:val="true"/>
        </w:rPr>
        <w:t>فصل سوّم شرايط مُقَرّ له</w:t>
      </w:r>
      <w:bookmarkEnd w:id="2386"/>
    </w:p>
    <w:p>
      <w:pPr>
        <w:pStyle w:val="Heading4"/>
        <w:numPr>
          <w:ilvl w:val="3"/>
          <w:numId w:val="1"/>
        </w:numPr>
        <w:rPr/>
      </w:pPr>
      <w:bookmarkStart w:id="2387" w:name="__RefHeading___Toc3808993_1067777946"/>
      <w:bookmarkStart w:id="2388" w:name="_Toc1009"/>
      <w:bookmarkEnd w:id="2387"/>
      <w:r>
        <w:rPr>
          <w:rtl w:val="true"/>
        </w:rPr>
        <w:t>اعتبار امكان و احتمال وقوع</w:t>
      </w:r>
      <w:bookmarkEnd w:id="2388"/>
    </w:p>
    <w:p>
      <w:pPr>
        <w:pStyle w:val="BookText"/>
        <w:rPr/>
      </w:pPr>
      <w:r>
        <w:rPr>
          <w:rFonts w:ascii="IRNazanin" w:hAnsi="IRNazanin" w:eastAsia="IRNazanin"/>
          <w:color w:val="111111"/>
          <w:sz w:val="28"/>
          <w:sz w:val="28"/>
          <w:szCs w:val="28"/>
          <w:rtl w:val="true"/>
          <w:lang w:bidi="fa-IR"/>
        </w:rPr>
        <w:t>اقرار بايد تعلّق به ممكن محتمل الوقوع داشته باشد؛ پس اگر اقرار به مالكيّت است، بايد مُقَرّ له قابل تملّك باشد، و هم چنين اقرار به استحقاق نسبت به قابليّت 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نيست در نفوذ اقرار فى الجمله، تعيين مُقِرّ له يا عدم تكذيب او؛ بلكه به مجرد اقرار به ممكن و محتمل، محكوم به خروج از ملك مُقِرّ مى شود، و معاملۀ مجهول المالك مى شود اگر اماره بر تعيين مالك محقّق نشود</w:t>
      </w:r>
      <w:r>
        <w:rPr>
          <w:rFonts w:eastAsia="IRNazanin" w:cs="IRNazanin"/>
          <w:color w:val="111111"/>
          <w:sz w:val="28"/>
          <w:szCs w:val="28"/>
          <w:rtl w:val="true"/>
          <w:lang w:bidi="fa-IR"/>
        </w:rPr>
        <w:t>.</w:t>
      </w:r>
    </w:p>
    <w:p>
      <w:pPr>
        <w:pStyle w:val="Heading4"/>
        <w:numPr>
          <w:ilvl w:val="3"/>
          <w:numId w:val="1"/>
        </w:numPr>
        <w:rPr/>
      </w:pPr>
      <w:bookmarkStart w:id="2389" w:name="__RefHeading___Toc3808995_1067777946"/>
      <w:bookmarkStart w:id="2390" w:name="_Toc1010"/>
      <w:bookmarkEnd w:id="2389"/>
      <w:r>
        <w:rPr>
          <w:rtl w:val="true"/>
        </w:rPr>
        <w:t>حكم اقرار به مالكيّت بهيمه</w:t>
      </w:r>
      <w:bookmarkEnd w:id="2390"/>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اقرار به مالكيّت بهيمه، متعلّق به غير ممكن است، نافذ نيست، مگر آنكه بهيمه از موقوفات باشد و مرجع اقرار، مالكيّت موقوفٌ عليه باشد؛ و دلالت اقتضا و خروج از لَغويّت، معيّن اين مطلب است كه مثل آن جارى در وصيّت براى دابّه و علف آن و نذر براى آن است، بلكه جارى در اقرار براى بهيمۀ مملوكۀ غير موقوفه است در صورت مناسبت مصححه براى ارادۀ صرف در مصرفِ مخصوص كه در حكم تمليك است، مثل اينكه كاشفيّت داشته باشد از وصيّت سابقۀ سائغه و نذر سابق بر راجح، و اين غير تصريح به مالكيّت غير معقوله براى بهائم است تا محكوم به لَغويت باشد</w:t>
      </w:r>
      <w:r>
        <w:rPr>
          <w:rFonts w:eastAsia="IRNazanin" w:cs="IRNazanin"/>
          <w:color w:val="111111"/>
          <w:sz w:val="28"/>
          <w:szCs w:val="28"/>
          <w:rtl w:val="true"/>
          <w:lang w:bidi="fa-IR"/>
        </w:rPr>
        <w:t xml:space="preserve">. </w:t>
      </w:r>
      <w:bookmarkStart w:id="2391" w:name="pg10265_90170"/>
    </w:p>
    <w:p>
      <w:pPr>
        <w:pStyle w:val="Heading4"/>
        <w:numPr>
          <w:ilvl w:val="3"/>
          <w:numId w:val="1"/>
        </w:numPr>
        <w:rPr/>
      </w:pPr>
      <w:bookmarkStart w:id="2392" w:name="__RefHeading___Toc3808997_1067777946"/>
      <w:bookmarkStart w:id="2393" w:name="_Toc1011"/>
      <w:bookmarkEnd w:id="2391"/>
      <w:bookmarkEnd w:id="2392"/>
      <w:r>
        <w:rPr>
          <w:rtl w:val="true"/>
        </w:rPr>
        <w:t>انواع اقرار به مالكيّت بهيمه و حكم هر كدام</w:t>
      </w:r>
      <w:bookmarkEnd w:id="2393"/>
    </w:p>
    <w:p>
      <w:p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مال بسبب تلك البهيمة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نافذ است و اقرار براى مالك آن است، زيرا مالكيّت غير به سبب جنايت مثلاً محتاج به بيان است وگرنه محمول بر مالك بهيمه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لرجل علىّ مال بسبب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نافذ است و استفسار مى شود مثل مبهمات بالذات؛ و اگر بيان كرد قبول مى شود تعيين او؛ و اگر شخصى ادّعاى تعيين قصدى نمود متوجه مى شود براى او حلف بر مُقِرّ بر نفى 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ابهام باقى ماند و محملى براى صحّت واقعيّه اقرار در جنس آن بود، آن مقدار، متعلّق حق غير مى شود در ذمۀ مُقِرّ و با آن حكم مجهول المالك در خارجيات عملى مى شود، وگرنه محمول بر لغويت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علىّ كذا بسبب حمل 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با محمل صحيح مثل آن است 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وجهى براى الغا نيست؛ پس مال مالكِ حمل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آنكه صرف در حمل تا زمان وضع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به نحو مذكور در نفس دابه؛ و بالعرض اگر اجمالى باشد، استفسار مى شود؛ و با عدم تفسير، گذشت آنچه در تعيين وظيفه لازم مى شود</w:t>
      </w:r>
      <w:r>
        <w:rPr>
          <w:rFonts w:eastAsia="IRNazanin" w:cs="IRNazanin"/>
          <w:color w:val="111111"/>
          <w:sz w:val="28"/>
          <w:szCs w:val="28"/>
          <w:rtl w:val="true"/>
          <w:lang w:bidi="fa-IR"/>
        </w:rPr>
        <w:t>.</w:t>
      </w:r>
    </w:p>
    <w:p>
      <w:pPr>
        <w:pStyle w:val="Heading4"/>
        <w:numPr>
          <w:ilvl w:val="3"/>
          <w:numId w:val="1"/>
        </w:numPr>
        <w:rPr/>
      </w:pPr>
      <w:bookmarkStart w:id="2394" w:name="__RefHeading___Toc3808999_1067777946"/>
      <w:bookmarkStart w:id="2395" w:name="_Toc1012"/>
      <w:bookmarkEnd w:id="2394"/>
      <w:r>
        <w:rPr>
          <w:rtl w:val="true"/>
        </w:rPr>
        <w:t>اقرار براى مملوك</w:t>
      </w:r>
      <w:bookmarkEnd w:id="2395"/>
    </w:p>
    <w:p>
      <w:pPr>
        <w:pStyle w:val="BookText"/>
        <w:rPr/>
      </w:pPr>
      <w:r>
        <w:rPr>
          <w:rFonts w:ascii="Amiri" w:hAnsi="Amiri" w:eastAsia="Amiri" w:cs="Amiri"/>
          <w:color w:val="111111"/>
          <w:sz w:val="28"/>
          <w:sz w:val="28"/>
          <w:szCs w:val="28"/>
          <w:rtl w:val="true"/>
          <w:lang w:bidi="ar-SA"/>
        </w:rPr>
        <w:t xml:space="preserve">اقرار به مالى براى مملوك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غلام و كنيز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نافذ است و موجب مالكيّت مولىٰ مى شود</w:t>
      </w:r>
      <w:r>
        <w:rPr>
          <w:rFonts w:eastAsia="Amiri" w:cs="Amiri" w:ascii="Amiri" w:hAnsi="Amiri"/>
          <w:color w:val="111111"/>
          <w:sz w:val="28"/>
          <w:szCs w:val="28"/>
          <w:rtl w:val="true"/>
          <w:lang w:bidi="ar-SA"/>
        </w:rPr>
        <w:t>.</w:t>
      </w:r>
    </w:p>
    <w:p>
      <w:pPr>
        <w:pStyle w:val="Heading4"/>
        <w:numPr>
          <w:ilvl w:val="3"/>
          <w:numId w:val="1"/>
        </w:numPr>
        <w:rPr/>
      </w:pPr>
      <w:bookmarkStart w:id="2396" w:name="__RefHeading___Toc3809001_1067777946"/>
      <w:bookmarkStart w:id="2397" w:name="_Toc1013"/>
      <w:bookmarkEnd w:id="2396"/>
      <w:r>
        <w:rPr>
          <w:rtl w:val="true"/>
        </w:rPr>
        <w:t>اقرار براى مساجد يا مشاهد مشرّفه و</w:t>
      </w:r>
      <w:r>
        <w:rPr>
          <w:rtl w:val="true"/>
        </w:rPr>
        <w:t>...</w:t>
      </w:r>
      <w:bookmarkEnd w:id="2397"/>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اقرار براى مسجدى يا مشهدى از مشاهد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سائر علما و صلحا يا مدرسۀ يا رباطى، نافذ است و موجب مالكيّت جهت مى شود و صرف در اصلاح و تعمير محل و انتفاع منتفعين به آنها است، چه اسناد به سبب صحيح مثل وقف يا </w:t>
      </w:r>
      <w:bookmarkStart w:id="2398" w:name="pg10265_90171"/>
    </w:p>
    <w:p>
      <w:pPr>
        <w:pStyle w:val="BookText"/>
        <w:rPr/>
      </w:pPr>
      <w:bookmarkEnd w:id="2398"/>
      <w:r>
        <w:rPr>
          <w:rFonts w:ascii="IRNazanin" w:hAnsi="IRNazanin" w:eastAsia="IRNazanin"/>
          <w:color w:val="111111"/>
          <w:sz w:val="28"/>
          <w:sz w:val="28"/>
          <w:szCs w:val="28"/>
          <w:rtl w:val="true"/>
          <w:lang w:bidi="fa-IR"/>
        </w:rPr>
        <w:t>نذر يا وصيّت، نمايد يا استفادۀ آن از اطلاق محمول بر صحّت بشود، به خلاف اسناد به سبب باطل كه شبهۀ ابطال اين ضميمه، اصل اقرار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در نظائر آن، ابتناى به تعدّد كلام مقصود و تعدّد قصد است كه حكم به صحّت اقرار مى شود با تعدّد و الغاى مى شود ضميمۀ مغايرۀ منافيه، چه سابق در ذكر باشد يا لاحق، و در صورت وحدت مقصود يا احتمال آن بدون شاهد و قرينۀ تعدّد مشكوك و مستصحب العدم است</w:t>
      </w:r>
      <w:r>
        <w:rPr>
          <w:rFonts w:eastAsia="IRNazanin" w:cs="IRNazanin"/>
          <w:color w:val="111111"/>
          <w:sz w:val="28"/>
          <w:szCs w:val="28"/>
          <w:rtl w:val="true"/>
          <w:lang w:bidi="fa-IR"/>
        </w:rPr>
        <w:t>.</w:t>
      </w:r>
    </w:p>
    <w:p>
      <w:pPr>
        <w:pStyle w:val="Heading4"/>
        <w:numPr>
          <w:ilvl w:val="3"/>
          <w:numId w:val="1"/>
        </w:numPr>
        <w:rPr/>
      </w:pPr>
      <w:bookmarkStart w:id="2399" w:name="__RefHeading___Toc3809003_1067777946"/>
      <w:bookmarkStart w:id="2400" w:name="_Toc1014"/>
      <w:bookmarkEnd w:id="2399"/>
      <w:r>
        <w:rPr>
          <w:rtl w:val="true"/>
        </w:rPr>
        <w:t>اقرار براى حمل</w:t>
      </w:r>
      <w:bookmarkEnd w:id="2400"/>
    </w:p>
    <w:p>
      <w:pPr>
        <w:pStyle w:val="BookText"/>
        <w:rPr/>
      </w:pPr>
      <w:r>
        <w:rPr>
          <w:rFonts w:ascii="Amiri" w:hAnsi="Amiri" w:eastAsia="Amiri" w:cs="Amiri"/>
          <w:color w:val="111111"/>
          <w:sz w:val="28"/>
          <w:sz w:val="28"/>
          <w:szCs w:val="28"/>
          <w:rtl w:val="true"/>
          <w:lang w:bidi="ar-SA"/>
        </w:rPr>
        <w:t>اقرار براى حمل، نافذ است و محمول است بر سبب صحيح از قبيل ارث و وصيّت و نذر، به خلاف صورت ذكر سبب باطل كه در صورت مغايرت و كلام مذكور، انفاذ اقرار و ابطال ذكر سبب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مالك مى شود حمل، مُقَرّ به را بعد از تولدش در حال حيات، به نحو كشف از مالكيّت در زمان اقرار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صورت ولادت با حيات، استفسار لزوم ندارد؛ و در صورت ولادت ميّت، استفسار مى شود در صورت معلوميّت مستحِق اگر چه به علم اجمالى در محصور باشد؛ پس اگر تفسير به ميراث كرد، راجع مى شود مقرٌّ به به سائر ورثه اگر نبود اقرار؛ و اگر تفسير به وصيّت نمود، راجع مى شود به ورثۀ موصىٖ كه لو لا الاقرار و الوصيّه به آنها مى رسيد</w:t>
      </w:r>
      <w:r>
        <w:rPr>
          <w:rFonts w:eastAsia="IRNazanin" w:cs="IRNazanin"/>
          <w:color w:val="111111"/>
          <w:sz w:val="28"/>
          <w:szCs w:val="28"/>
          <w:rtl w:val="true"/>
          <w:lang w:bidi="fa-IR"/>
        </w:rPr>
        <w:t>.</w:t>
      </w:r>
    </w:p>
    <w:p>
      <w:pPr>
        <w:pStyle w:val="Heading4"/>
        <w:numPr>
          <w:ilvl w:val="3"/>
          <w:numId w:val="1"/>
        </w:numPr>
        <w:rPr/>
      </w:pPr>
      <w:bookmarkStart w:id="2401" w:name="__RefHeading___Toc3809005_1067777946"/>
      <w:bookmarkStart w:id="2402" w:name="_Toc1015"/>
      <w:bookmarkEnd w:id="2401"/>
      <w:r>
        <w:rPr>
          <w:rtl w:val="true"/>
        </w:rPr>
        <w:t>ترك تفسير در مقام</w:t>
      </w:r>
      <w:bookmarkEnd w:id="2402"/>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اهمال نمود و ترك تفسير كرد از روى اختيار، مطالبه تفسير مى شود به نحوى كه حاكم، صلاح و سائغ مى داند در موارد لزوم استفسار و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تفسير ممتنع شد به سبب موت مُقِرّ يا نحو آن، پس باطل مى شود اقرار؛ يا مجهول المالك مى شود مُقَرّ به كه به اقرار، خارج از ملك مُقِرّ است و دائر است بين دو تفسير مقدّم، </w:t>
      </w:r>
      <w:bookmarkStart w:id="2403" w:name="pg10265_90172"/>
    </w:p>
    <w:p>
      <w:pPr>
        <w:pStyle w:val="BookText"/>
        <w:rPr/>
      </w:pPr>
      <w:bookmarkEnd w:id="2403"/>
      <w:r>
        <w:rPr>
          <w:rFonts w:ascii="IRNazanin" w:hAnsi="IRNazanin" w:eastAsia="IRNazanin"/>
          <w:color w:val="111111"/>
          <w:sz w:val="28"/>
          <w:sz w:val="28"/>
          <w:szCs w:val="28"/>
          <w:rtl w:val="true"/>
          <w:lang w:bidi="fa-IR"/>
        </w:rPr>
        <w:t>پس بايد مورد مصالحه بين دو وارث مذكور باشد؛ و اين مقتضاى حمل اقرار بر صحيح واقعى است كه خصوصيتش معلوم نشود و فقط ثابت بشود عدم مالكيّت حمل و خروج مقرٌّ به به اقرار از ملك مقر، پس اين احتمال اظهر است</w:t>
      </w:r>
      <w:r>
        <w:rPr>
          <w:rFonts w:eastAsia="IRNazanin" w:cs="IRNazanin"/>
          <w:color w:val="111111"/>
          <w:sz w:val="28"/>
          <w:szCs w:val="28"/>
          <w:rtl w:val="true"/>
          <w:lang w:bidi="fa-IR"/>
        </w:rPr>
        <w:t>.</w:t>
      </w:r>
    </w:p>
    <w:p>
      <w:pPr>
        <w:pStyle w:val="Heading4"/>
        <w:numPr>
          <w:ilvl w:val="3"/>
          <w:numId w:val="1"/>
        </w:numPr>
        <w:rPr/>
      </w:pPr>
      <w:bookmarkStart w:id="2404" w:name="__RefHeading___Toc3809007_1067777946"/>
      <w:bookmarkStart w:id="2405" w:name="_Toc1016"/>
      <w:bookmarkEnd w:id="2404"/>
      <w:r>
        <w:rPr>
          <w:rtl w:val="true"/>
        </w:rPr>
        <w:t>تأثير مقدار زمان در اثبات</w:t>
      </w:r>
      <w:bookmarkEnd w:id="2405"/>
    </w:p>
    <w:p>
      <w:pPr>
        <w:pStyle w:val="BookText"/>
        <w:rPr/>
      </w:pPr>
      <w:r>
        <w:rPr>
          <w:rFonts w:ascii="Amiri" w:hAnsi="Amiri" w:eastAsia="Amiri" w:cs="Amiri"/>
          <w:color w:val="111111"/>
          <w:sz w:val="28"/>
          <w:sz w:val="28"/>
          <w:szCs w:val="28"/>
          <w:rtl w:val="true"/>
          <w:lang w:bidi="ar-SA"/>
        </w:rPr>
        <w:t>و بعد از ولادت با حيات، حكم مى شود براى حمل در صورتى كه از زمان اقرار بيش از شش ماه نباشد به طورى كه ممكن نباشد از حمل حاصل بعد از وطى حاصل بعد از اقرار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اگر از زمان اقرار تا زمان ولادت بيش از اقصى الحمل باشد، استحقاق حمل باطل مى شود كه در زمان اقرار قطعاً نبوده است وگرنه ولادت از اقصى الحمل متأخّر نمى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ما بين ولادت و اقرار، بين اقل حمل و اقصى الحمل باشد، اظهر نفوذ و صحّت اقرار و استحقاق حمل است به سبب امكان وجود در حال اقرار، و همين كافى است در حكم به صحّت اقرار و تأثير آن؛ پس فرقى بين وجود زوج و آنكه به حكم زوج است بعد از زمان اقرار بحيث ممكن باشد تحقّق حمل از وطى متأخّر از زمان اقرار و عدم آن، در حكم، به مجرّد تعلّق اقرار به ممكن از تأخّر آن از وطى صحيح، نيست با امكان فصل بين اقرار و ولادت به مقدارى كه بين اقل حمل و اقصى الحمل است؛ بلكه غالب، وضع در غير اقل حمل است و عدول از اقرار به احتمال نادر مرجوح نمى شود؛ چنانچه محكىّ از حواشى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تقويت همين قول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تحسين شده است</w:t>
      </w:r>
      <w:r>
        <w:rPr>
          <w:rFonts w:eastAsia="IRNazanin" w:cs="IRNazanin"/>
          <w:color w:val="111111"/>
          <w:sz w:val="28"/>
          <w:szCs w:val="28"/>
          <w:rtl w:val="true"/>
          <w:lang w:bidi="fa-IR"/>
        </w:rPr>
        <w:t>.</w:t>
      </w:r>
    </w:p>
    <w:p>
      <w:pPr>
        <w:pStyle w:val="Heading4"/>
        <w:numPr>
          <w:ilvl w:val="3"/>
          <w:numId w:val="1"/>
        </w:numPr>
        <w:rPr/>
      </w:pPr>
      <w:bookmarkStart w:id="2406" w:name="__RefHeading___Toc3809009_1067777946"/>
      <w:bookmarkStart w:id="2407" w:name="_Toc1017"/>
      <w:bookmarkEnd w:id="2406"/>
      <w:r>
        <w:rPr>
          <w:rtl w:val="true"/>
        </w:rPr>
        <w:t>اشتمال حمل بر دو نفر</w:t>
      </w:r>
      <w:bookmarkEnd w:id="2407"/>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حمل دو ذكر باشد يا دو انثى باشد، متساوى در تملّك و استحقاق مى باشند در مُقَرّ به، مگر با تصريح مُقَرّ به تفضيل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ذكر و انثى باشد، متساوى در وصيّت </w:t>
      </w:r>
      <w:bookmarkStart w:id="2408" w:name="pg10265_90173"/>
    </w:p>
    <w:p>
      <w:pPr>
        <w:pStyle w:val="BookText"/>
        <w:rPr/>
      </w:pPr>
      <w:bookmarkEnd w:id="2408"/>
      <w:r>
        <w:rPr>
          <w:rFonts w:ascii="IRNazanin" w:hAnsi="IRNazanin" w:eastAsia="IRNazanin"/>
          <w:color w:val="111111"/>
          <w:sz w:val="28"/>
          <w:sz w:val="28"/>
          <w:szCs w:val="28"/>
          <w:rtl w:val="true"/>
          <w:lang w:bidi="fa-IR"/>
        </w:rPr>
        <w:t>مى باشند اگر منشأ اقرار باشد و متفاضل در ارث مى باشند اگر منشأ، ارث باشد، مگر در بعض صور ارث، مثل كلالۀ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جهل مورد استفسار است، و با عدم امكان، صلح، احوط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مولود دو نفر باشند مثلاً يكى ميّت باشد، تمام مُقَرّ به، مال حىِّ در زمان ولادت است در صورت بودن منشأ، وصيّت براى حمل بدون تخصص به تعدّد، يا ارث حمل بدون ارتباط به تعدّد به سبب آنكه ارث مربوط به حمل بوده و به غير حمل ارتباط نداشته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به طور استغراق باشد بدون ارتباط، يا با فرق بين تعدّد و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ارث ثلث از كلاله در صورت تعدّد، و سدس در صورت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زائد از مال يكى، براى حى در زمان ولادت نخواهد بود؛ و اين مطلب بايد استظهار بشود از كلام يا آنكه استفسار شود اگر ظهور، تعيين ننمايد</w:t>
      </w:r>
      <w:r>
        <w:rPr>
          <w:rFonts w:eastAsia="IRNazanin" w:cs="IRNazanin"/>
          <w:color w:val="111111"/>
          <w:sz w:val="28"/>
          <w:szCs w:val="28"/>
          <w:rtl w:val="true"/>
          <w:lang w:bidi="fa-IR"/>
        </w:rPr>
        <w:t>.</w:t>
      </w:r>
    </w:p>
    <w:p>
      <w:pPr>
        <w:pStyle w:val="Heading4"/>
        <w:numPr>
          <w:ilvl w:val="3"/>
          <w:numId w:val="1"/>
        </w:numPr>
        <w:rPr/>
      </w:pPr>
      <w:bookmarkStart w:id="2409" w:name="__RefHeading___Toc3809011_1067777946"/>
      <w:bookmarkStart w:id="2410" w:name="_Toc1018"/>
      <w:bookmarkEnd w:id="2409"/>
      <w:r>
        <w:rPr>
          <w:rtl w:val="true"/>
        </w:rPr>
        <w:t>عدم تلازم اقرار به وصيت به ولديّت با زوجيّت</w:t>
      </w:r>
      <w:bookmarkEnd w:id="2410"/>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اقرار به ولدى اقرار به زوجيّت مادر او نمى شود اگر چه مشهوره به حرّيت و عفاف باشد، به جهت احتمال شبهه كه موجب صحّت نسب است بدون زوجيّت مادر؛ بلكه موجب مهر المثل نمى شود، زيرا ممكن است وطى، محقّق نبوده و تولد بدون وطى بوده يا آنكه وطى با اكراه زن مرد را بوده</w:t>
      </w:r>
      <w:r>
        <w:rPr>
          <w:rFonts w:eastAsia="IRNazanin" w:cs="IRNazanin"/>
          <w:color w:val="111111"/>
          <w:sz w:val="28"/>
          <w:szCs w:val="28"/>
          <w:rtl w:val="true"/>
          <w:lang w:bidi="fa-IR"/>
        </w:rPr>
        <w:t xml:space="preserve">. </w:t>
      </w:r>
      <w:bookmarkStart w:id="2411" w:name="pg10265_90174"/>
    </w:p>
    <w:p>
      <w:pPr>
        <w:pStyle w:val="Heading3"/>
        <w:numPr>
          <w:ilvl w:val="2"/>
          <w:numId w:val="1"/>
        </w:numPr>
        <w:rPr/>
      </w:pPr>
      <w:bookmarkStart w:id="2412" w:name="__RefHeading___Toc3809013_1067777946"/>
      <w:bookmarkStart w:id="2413" w:name="_Toc1019"/>
      <w:bookmarkEnd w:id="2411"/>
      <w:bookmarkEnd w:id="2412"/>
      <w:r>
        <w:rPr>
          <w:rtl w:val="true"/>
        </w:rPr>
        <w:t>فصل چهارم تعقيب اقرار به اقرار</w:t>
      </w:r>
      <w:bookmarkEnd w:id="2413"/>
    </w:p>
    <w:p>
      <w:pPr>
        <w:pStyle w:val="Heading4"/>
        <w:numPr>
          <w:ilvl w:val="3"/>
          <w:numId w:val="1"/>
        </w:numPr>
        <w:rPr/>
      </w:pPr>
      <w:bookmarkStart w:id="2414" w:name="__RefHeading___Toc3809015_1067777946"/>
      <w:bookmarkStart w:id="2415" w:name="_Toc1020"/>
      <w:bookmarkEnd w:id="2414"/>
      <w:r>
        <w:rPr>
          <w:rtl w:val="true"/>
        </w:rPr>
        <w:t>اقرار به خانه اى براى شخصى سپس بريا شخص ديگرى</w:t>
      </w:r>
      <w:bookmarkEnd w:id="24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يد او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محكوم به ملكيّت صاحب يد بود، پس در مقام اقرار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لفلان بل لفلان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چيزى مرادف آن در سائر لغات باشد، يا رجوع به اين نمايد، اظهر اين است كه در كلام متّصل، محكوم به رجوع مى شود و عين را دومى مالك مى شود؛ و براى اولى با صلاحيّت و اولويت اتمام دال در دومى، چيزى نيست؛ لكن مشهور، قضاوت به عين براى اولى به اقرار اول و غرامت تمام قيمت است براى دومى، براى حيلولت بين دومى و عين، به اقرار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صلح است، اگر چه اظهر آن است كه مذكور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براى سومى اگر در كلام، سوّم باشد؛ و لازمِ مشهور، غرامت تمام قيمت براى هر كدام از دوم و سوم است به جهت اقتضاى اقرار بنا بر مشهور و حيلولت بين عين و له در دو نفر اخير كه مقتضى تمام قيمت است براى هر كدام از ثانى و ثالث، و به جهت اختصاص عين به سومى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استظهار مقدّم</w:t>
      </w:r>
      <w:r>
        <w:rPr>
          <w:rFonts w:eastAsia="IRNazanin" w:cs="IRNazanin"/>
          <w:color w:val="111111"/>
          <w:sz w:val="28"/>
          <w:szCs w:val="28"/>
          <w:rtl w:val="true"/>
          <w:lang w:bidi="fa-IR"/>
        </w:rPr>
        <w:t>.</w:t>
      </w:r>
    </w:p>
    <w:p>
      <w:pPr>
        <w:pStyle w:val="Heading4"/>
        <w:numPr>
          <w:ilvl w:val="3"/>
          <w:numId w:val="1"/>
        </w:numPr>
        <w:rPr/>
      </w:pPr>
      <w:bookmarkStart w:id="2416" w:name="__RefHeading___Toc3809017_1067777946"/>
      <w:bookmarkStart w:id="2417" w:name="_Toc1021"/>
      <w:bookmarkEnd w:id="2416"/>
      <w:r>
        <w:rPr>
          <w:rtl w:val="true"/>
        </w:rPr>
        <w:t>تعقيب به اقرار براى دو نفر</w:t>
      </w:r>
      <w:bookmarkEnd w:id="2417"/>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فرض متقدّم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لعمرو و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 قيمت تنصيف مى شود بين </w:t>
      </w:r>
      <w:bookmarkStart w:id="2418" w:name="pg10265_90175"/>
    </w:p>
    <w:p>
      <w:pPr>
        <w:pStyle w:val="BookText"/>
        <w:rPr/>
      </w:pPr>
      <w:bookmarkEnd w:id="24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مشهور، و تشريك در عين مى شود بين اين دو نفر بنا بر استظهار متقدّم و براى اولى چيزى نيست</w:t>
      </w:r>
      <w:r>
        <w:rPr>
          <w:rFonts w:eastAsia="IRNazanin" w:cs="IRNazanin"/>
          <w:color w:val="111111"/>
          <w:sz w:val="28"/>
          <w:szCs w:val="28"/>
          <w:rtl w:val="true"/>
          <w:lang w:bidi="fa-IR"/>
        </w:rPr>
        <w:t>.</w:t>
      </w:r>
    </w:p>
    <w:p>
      <w:pPr>
        <w:pStyle w:val="Heading4"/>
        <w:numPr>
          <w:ilvl w:val="3"/>
          <w:numId w:val="1"/>
        </w:numPr>
        <w:rPr/>
      </w:pPr>
      <w:bookmarkStart w:id="2419" w:name="__RefHeading___Toc3809019_1067777946"/>
      <w:bookmarkStart w:id="2420" w:name="_Toc1022"/>
      <w:bookmarkEnd w:id="2419"/>
      <w:r>
        <w:rPr>
          <w:rtl w:val="true"/>
        </w:rPr>
        <w:t>اقرار براى دو نفر و بعد براى يك نفر يا دو نفر</w:t>
      </w:r>
      <w:bookmarkEnd w:id="2420"/>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لزيد و عمرو بل لخالد، تماماً عين، ملكِ خالد مى شود بنا بر استظهار متقدّم، و تنصيف مى شود مالكيّت عين بين زيد و عمرو و تمام قيمت را مى دهد به خالد بنا بر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فرض مذكور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لخالد، تشريك بين دو نفر در عين و به سوّمى ثلث قيمت دفع مى شود كه حيلولت در ثلث است كه مقتضاى اقرار به عطفِ ظاهر در عطف به دو است كه اگر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مى شد، ثلث عين را مالك مى شد بنا بر مشهور، و تثليث در ملك عين يا تنصيف مى شود بنا بر استظهار متقدّم، و احوط صلح است در تفاوت بين نصف و ثلث بين سه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است اختلاف نتيجه بين مشهور و مقدّم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غصبتها من فلان بل من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مثل اقرار براى دو نفر است بنا بر مشهور، و اقرار براى خصوص اخير است بنا بر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اولى و اصرح است از اين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غصبتها من زيد لا بل من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مثل اين است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غصبتها من زيد و هو لعمرو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مستأنفه باشد، مثل دو جملۀ غير مرتبطه؛ پس اگر مستفاد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لعمرو فى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مسموع نيست غير اقرار به غصب از زيد؛ و اگر مستفاد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لعمرو واقعاً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مثل اول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حاليّه بود، و اظهر همين است پس محل دو احتمال متقدّم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لزيد و غصبتها من عمرو، پس اظهر اين است كه از قبيل تعقيب اقرار به منافى است و اقرار براى زيد مسموع است و براى عمرو ملغى است، چون منافى با اقرار بلا مانع از نفوذ است و در متعلّق حق غير است، پس براى عمرو ضامن غرامت نيست و براى زيد، ضامن عين است و لازم است دفع عين به زيد</w:t>
      </w:r>
      <w:r>
        <w:rPr>
          <w:rFonts w:eastAsia="IRNazanin" w:cs="IRNazanin"/>
          <w:color w:val="111111"/>
          <w:sz w:val="28"/>
          <w:szCs w:val="28"/>
          <w:rtl w:val="true"/>
          <w:lang w:bidi="fa-IR"/>
        </w:rPr>
        <w:t xml:space="preserve">. </w:t>
      </w:r>
      <w:bookmarkStart w:id="2421" w:name="pg10265_90176"/>
    </w:p>
    <w:p>
      <w:pPr>
        <w:pStyle w:val="Heading4"/>
        <w:numPr>
          <w:ilvl w:val="3"/>
          <w:numId w:val="1"/>
        </w:numPr>
        <w:rPr/>
      </w:pPr>
      <w:bookmarkStart w:id="2422" w:name="__RefHeading___Toc3809021_1067777946"/>
      <w:bookmarkStart w:id="2423" w:name="_Toc1023"/>
      <w:bookmarkEnd w:id="2421"/>
      <w:bookmarkEnd w:id="2422"/>
      <w:r>
        <w:rPr>
          <w:rtl w:val="true"/>
        </w:rPr>
        <w:t>اقرار به مملوكيّت عبد براى غير</w:t>
      </w:r>
      <w:bookmarkEnd w:id="242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اقرار نمايد صاحب يد بر عبد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مملوك غير است على التعيين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غير، نفى نمايد مالكيّت او را، پس اگر عبد اقرار به مملوكيّت براى ثالثى معيّن نمود، و او تصديق نمود، حكم به ملكيّت براى او مى شود؛ و اگر ادّعاى حرّيت نمود، قبول مى شود، وگرنه در حكم مجهول المالك است و امر او مربوط به حاكم شرع است</w:t>
      </w:r>
      <w:r>
        <w:rPr>
          <w:rFonts w:eastAsia="IRNazanin" w:cs="IRNazanin"/>
          <w:color w:val="111111"/>
          <w:sz w:val="28"/>
          <w:szCs w:val="28"/>
          <w:rtl w:val="true"/>
          <w:lang w:bidi="fa-IR"/>
        </w:rPr>
        <w:t>.</w:t>
      </w:r>
    </w:p>
    <w:p>
      <w:pPr>
        <w:pStyle w:val="Heading4"/>
        <w:numPr>
          <w:ilvl w:val="3"/>
          <w:numId w:val="1"/>
        </w:numPr>
        <w:rPr/>
      </w:pPr>
      <w:bookmarkStart w:id="2424" w:name="__RefHeading___Toc3809023_1067777946"/>
      <w:bookmarkStart w:id="2425" w:name="_Toc1024"/>
      <w:bookmarkEnd w:id="2424"/>
      <w:r>
        <w:rPr>
          <w:rtl w:val="true"/>
        </w:rPr>
        <w:t>ادّعاى عتق و عبد خريد آن</w:t>
      </w:r>
      <w:bookmarkEnd w:id="242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اقرار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مولائى عبد خودش را عتق كرده است، و پس از اين اقرار، او را خريد از آن مولىٰ‌، دور نيست كه حكمِ بيعِ صحيح از جانب مولىٰ مرتّب باشد اگر نداند حين بيع، عتق خود را و عدم قصد مشترى بيع حقيقى را و آنكه مقصودش استنقاذ حرّ است، چنانچه مشترى مرتّب نمى نمايد حكم شراء حقيقى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واقعيّت اطلاق بيع با عدم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مفروض است به سبب عدم قصد شراء حقيقى از مشترى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انفكاك به حسب اعتقاد متعاملَين،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متفرّع بر آنچه استظهار شد اين است كه جميع احكام بيع كه مربوط به بايع است مرتب مى شود، مثل خيار مجلس و رد به عيب و غبن و شرط، و لكن مشترى احكام شراء حقيقى در بارۀ او اجراء نمى شود؛ پس خيار مجلس و رد به عيب و خيار حيوان و نحو آنها از توابع شراء مرتب نمى شود؛ بلى مى تواند فسخ نمايد و استرداد عوض نمايد كه به زعم بائع، فسخ و به اعتقاد مشترى رد استنقاذ است كه لزوم آور نبوده؛ و هم چنين اخذ ارش كه در اعتقاد مشترى رد استنقاذ در فائت معنوى كه سلامت است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يد مشترى انعتاق مبيع به اقرار مشترى است به حصول سبب عتق سابقاً نه به نفس اقرار</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بلى در بعض فروض در منازعه در بيع و شراء و عدم آن، قول مشترى مسموع با يمين او مى شود در صورتى كه حاكم، عالم به خصوصيّات اشتراء نباشد</w:t>
      </w:r>
      <w:r>
        <w:rPr>
          <w:rFonts w:eastAsia="Amiri" w:cs="Amiri" w:ascii="Amiri" w:hAnsi="Amiri"/>
          <w:color w:val="111111"/>
          <w:sz w:val="28"/>
          <w:szCs w:val="28"/>
          <w:rtl w:val="true"/>
          <w:lang w:bidi="ar-SA"/>
        </w:rPr>
        <w:t xml:space="preserve">. </w:t>
      </w:r>
      <w:bookmarkStart w:id="2426" w:name="pg10265_90177"/>
    </w:p>
    <w:p>
      <w:pPr>
        <w:pStyle w:val="Heading4"/>
        <w:numPr>
          <w:ilvl w:val="3"/>
          <w:numId w:val="1"/>
        </w:numPr>
        <w:rPr/>
      </w:pPr>
      <w:bookmarkStart w:id="2427" w:name="__RefHeading___Toc3809025_1067777946"/>
      <w:bookmarkStart w:id="2428" w:name="_Toc1025"/>
      <w:bookmarkEnd w:id="2426"/>
      <w:bookmarkEnd w:id="2427"/>
      <w:r>
        <w:rPr>
          <w:rtl w:val="true"/>
        </w:rPr>
        <w:t>وفات عبد در فرض مذكور</w:t>
      </w:r>
      <w:bookmarkEnd w:id="2428"/>
    </w:p>
    <w:p>
      <w:pPr>
        <w:pStyle w:val="BookText"/>
        <w:rPr/>
      </w:pPr>
      <w:r>
        <w:rPr>
          <w:rFonts w:ascii="IRNazanin" w:hAnsi="IRNazanin" w:eastAsia="IRNazanin"/>
          <w:color w:val="111111"/>
          <w:sz w:val="28"/>
          <w:sz w:val="28"/>
          <w:szCs w:val="28"/>
          <w:rtl w:val="true"/>
          <w:lang w:bidi="fa-IR"/>
        </w:rPr>
        <w:t xml:space="preserve">اگر عبد پس از اشتراء مذكور وفات كرد، براى مشترى است از تركۀ او به قدر ثمن واقع در شراء صورى، زيرا در صورت صدق او كه مقطوع مشترى است، ولاء براى مولىٰ است اگر وارث خاصى غير مولى ندارد؛ و اگر كاذب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ظاهر از عمل بايع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تركه تماماً ملك مشترى است؛ و در هر دو صورت قدرِ ثمن در صورت وفاءِ تركه به آن فما زاد، ملك مشترى است على اليقين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زائد اگر باشد به حسب اعتقاد مشترى، وظيفۀ او ايصال به مالك آن است اگر چه مكذّبِ مشترى است؛ و با عدم تمكّن از ايصال و يأس از تغيير حال به رجوع از تكذيب و نحو آن، معاملۀ مجهول المالكِ حكمى با آن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اقرار به غصب نمودن ذو اليد عبد را از زيد مثلاً نمود پس از آن خواست بخرد آن را براى دفع به مالك عبد، پس شراء استنقاذى به ثمن مخصوص اگر چه ثمن المثل باشد، صحّت آن به نحوى كه بتواند رجوع به آن به مالك نمايد، موقوف به اذن مالك يا حاكم شرع يا اجازۀ آنها مى باشد، و اللّٰه العالم</w:t>
      </w:r>
      <w:r>
        <w:rPr>
          <w:rFonts w:eastAsia="IRNazanin" w:cs="IRNazanin"/>
          <w:color w:val="111111"/>
          <w:sz w:val="28"/>
          <w:szCs w:val="28"/>
          <w:rtl w:val="true"/>
          <w:lang w:bidi="fa-IR"/>
        </w:rPr>
        <w:t>.</w:t>
      </w:r>
    </w:p>
    <w:p>
      <w:pPr>
        <w:pStyle w:val="Heading4"/>
        <w:numPr>
          <w:ilvl w:val="3"/>
          <w:numId w:val="1"/>
        </w:numPr>
        <w:rPr/>
      </w:pPr>
      <w:bookmarkStart w:id="2429" w:name="__RefHeading___Toc3809027_1067777946"/>
      <w:bookmarkStart w:id="2430" w:name="_Toc1026"/>
      <w:bookmarkEnd w:id="2429"/>
      <w:r>
        <w:rPr>
          <w:rtl w:val="true"/>
        </w:rPr>
        <w:t>حكم اقرار به صورت خاصّ‌</w:t>
      </w:r>
      <w:bookmarkEnd w:id="243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جواب كسى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لى عليك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قضيتُها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اجّلتَنى ايّاها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اقرار به استحقاق و ادّعاى اداء يا تأجيل مى نمايد كه بر او است اثبات آنها با بيّنه</w:t>
      </w:r>
      <w:r>
        <w:rPr>
          <w:rFonts w:eastAsia="IRNazanin" w:cs="IRNazanin"/>
          <w:color w:val="111111"/>
          <w:sz w:val="28"/>
          <w:szCs w:val="28"/>
          <w:rtl w:val="true"/>
          <w:lang w:bidi="fa-IR"/>
        </w:rPr>
        <w:t>.</w:t>
      </w:r>
      <w:bookmarkStart w:id="2431" w:name="pg10265_90178"/>
    </w:p>
    <w:p>
      <w:pPr>
        <w:pStyle w:val="Heading3"/>
        <w:numPr>
          <w:ilvl w:val="2"/>
          <w:numId w:val="1"/>
        </w:numPr>
        <w:rPr/>
      </w:pPr>
      <w:bookmarkStart w:id="2432" w:name="__RefHeading___Toc3809029_1067777946"/>
      <w:bookmarkStart w:id="2433" w:name="_Toc1027"/>
      <w:bookmarkEnd w:id="2431"/>
      <w:bookmarkEnd w:id="2432"/>
      <w:r>
        <w:rPr>
          <w:rtl w:val="true"/>
        </w:rPr>
        <w:t>فصل پنجم تعقيب اقرار به ظاهر در ابطال</w:t>
      </w:r>
      <w:bookmarkEnd w:id="2433"/>
    </w:p>
    <w:p>
      <w:pPr>
        <w:pStyle w:val="Heading4"/>
        <w:numPr>
          <w:ilvl w:val="3"/>
          <w:numId w:val="1"/>
        </w:numPr>
        <w:rPr/>
      </w:pPr>
      <w:bookmarkStart w:id="2434" w:name="__RefHeading___Toc3809031_1067777946"/>
      <w:bookmarkStart w:id="2435" w:name="_Toc1028"/>
      <w:bookmarkEnd w:id="2434"/>
      <w:r>
        <w:rPr>
          <w:rtl w:val="true"/>
        </w:rPr>
        <w:t>اشاره</w:t>
      </w:r>
      <w:bookmarkEnd w:id="2435"/>
    </w:p>
    <w:p>
      <w:pPr>
        <w:pStyle w:val="BookText"/>
        <w:rPr/>
      </w:pPr>
      <w:r>
        <w:rPr>
          <w:rFonts w:ascii="IRNazanin" w:hAnsi="IRNazanin" w:eastAsia="IRNazanin"/>
          <w:color w:val="111111"/>
          <w:sz w:val="28"/>
          <w:sz w:val="28"/>
          <w:szCs w:val="28"/>
          <w:rtl w:val="true"/>
          <w:lang w:bidi="fa-IR"/>
        </w:rPr>
        <w:t>و در آن مسائلى است</w:t>
      </w:r>
      <w:r>
        <w:rPr>
          <w:rFonts w:eastAsia="IRNazanin" w:cs="IRNazanin"/>
          <w:color w:val="111111"/>
          <w:sz w:val="28"/>
          <w:szCs w:val="28"/>
          <w:rtl w:val="true"/>
          <w:lang w:bidi="fa-IR"/>
        </w:rPr>
        <w:t>:</w:t>
      </w:r>
    </w:p>
    <w:p>
      <w:pPr>
        <w:pStyle w:val="Heading4"/>
        <w:numPr>
          <w:ilvl w:val="3"/>
          <w:numId w:val="1"/>
        </w:numPr>
        <w:rPr/>
      </w:pPr>
      <w:bookmarkStart w:id="2436" w:name="__RefHeading___Toc3809033_1067777946"/>
      <w:bookmarkStart w:id="2437" w:name="_Toc1029"/>
      <w:bookmarkEnd w:id="2436"/>
      <w:r>
        <w:rPr>
          <w:rtl w:val="true"/>
        </w:rPr>
        <w:t>صلاحيّت متأخّر براى تعيين مراد در مقام</w:t>
      </w:r>
      <w:bookmarkEnd w:id="24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وديعه است و تلف شده است، يا آنكه مردود به او شده است، اظهر رجوع آن است به اينكه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له عندي وديعة و قد هلكت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جهت صلاحيّت متأخّر براى تعيين مراد از متقدّم و عدم تماميّت متقدّم مگر با ملاحظۀ متأخّرِ متّصل مربوط به آن؛ و در هر دو صورت دعواى امين تلف وديعه را بدون تفريط، قبول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علىّ مال من ثمن خمر او خنزير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مال، لازم است در صورت انفصال عرفى بين دو كلام و ارادۀ غير محترم از ثمن آنها؛ و اما در صورت اتّصال و احتمال لزوم اعتقادى و جهل به حكمِ موجب اقرار به مال، پس عدم لزوم، خالى از وجه نيست؛ چنانچه نسبت توقف و تأمّل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صورت انفصال يا اتّصال بنا بر لزوم مال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ثمن خمر بوده و ظن به لزوم داشتم و اقرار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ادّعا مسموع است و براى او است احلاف مُقَرّ له بر نفى ادّعاى مُقِرّ اگر مُقَرّ له ادّعاى علم به استحقاق نمود؛ و اگر گفت نمى دانم، </w:t>
      </w:r>
      <w:bookmarkStart w:id="2438" w:name="pg10265_90179"/>
    </w:p>
    <w:p>
      <w:pPr>
        <w:pStyle w:val="BookText"/>
        <w:rPr/>
      </w:pPr>
      <w:bookmarkEnd w:id="2438"/>
      <w:r>
        <w:rPr>
          <w:rFonts w:ascii="IRNazanin" w:hAnsi="IRNazanin" w:eastAsia="IRNazanin"/>
          <w:color w:val="111111"/>
          <w:sz w:val="28"/>
          <w:sz w:val="28"/>
          <w:szCs w:val="28"/>
          <w:rtl w:val="true"/>
          <w:lang w:bidi="fa-IR"/>
        </w:rPr>
        <w:t>احلاف بر نفى علم مى شود؛ و اگر احتمال جهل و ظن مذكور در بارۀ مقر نبود، التفات به ادّعاى او نمى شود</w:t>
      </w:r>
      <w:r>
        <w:rPr>
          <w:rFonts w:eastAsia="IRNazanin" w:cs="IRNazanin"/>
          <w:color w:val="111111"/>
          <w:sz w:val="28"/>
          <w:szCs w:val="28"/>
          <w:rtl w:val="true"/>
          <w:lang w:bidi="fa-IR"/>
        </w:rPr>
        <w:t>.</w:t>
      </w:r>
    </w:p>
    <w:p>
      <w:pPr>
        <w:pStyle w:val="Heading4"/>
        <w:numPr>
          <w:ilvl w:val="3"/>
          <w:numId w:val="1"/>
        </w:numPr>
        <w:rPr/>
      </w:pPr>
      <w:bookmarkStart w:id="2439" w:name="__RefHeading___Toc3809035_1067777946"/>
      <w:bookmarkStart w:id="2440" w:name="_Toc1030"/>
      <w:bookmarkEnd w:id="2439"/>
      <w:r>
        <w:rPr>
          <w:rtl w:val="true"/>
        </w:rPr>
        <w:t>فرض تقييد بعد از قطع كلام</w:t>
      </w:r>
      <w:bookmarkEnd w:id="244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علىّ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قطع نمايد، پس از آن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ثمن مبيع لم اقبضه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آنكه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علىّ الف من ثمن مبيع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قطع كلام نمايد، پس از آن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اقبضه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اظهر قبول تقييد است به جهت قبول ارجاع ضمير به كلام سابق و تعلّق اقرار به مقيّد و افادۀ اقرار به مقيّد در صورت تعقّب به ثبوت قبض فيما بعد اگر چه به اقرار ديگر باشد؛ چنانچه مختار جماعتى در صورت دوم، قبول تقييد و عدم لزوم مُقَرّ به است</w:t>
      </w:r>
      <w:r>
        <w:rPr>
          <w:rFonts w:eastAsia="IRNazanin" w:cs="IRNazanin"/>
          <w:color w:val="111111"/>
          <w:sz w:val="28"/>
          <w:szCs w:val="28"/>
          <w:rtl w:val="true"/>
          <w:lang w:bidi="fa-IR"/>
        </w:rPr>
        <w:t>.</w:t>
      </w:r>
    </w:p>
    <w:p>
      <w:pPr>
        <w:pStyle w:val="Heading4"/>
        <w:numPr>
          <w:ilvl w:val="3"/>
          <w:numId w:val="1"/>
        </w:numPr>
        <w:rPr/>
      </w:pPr>
      <w:bookmarkStart w:id="2441" w:name="__RefHeading___Toc3809037_1067777946"/>
      <w:bookmarkStart w:id="2442" w:name="_Toc1031"/>
      <w:bookmarkEnd w:id="2441"/>
      <w:r>
        <w:rPr>
          <w:rtl w:val="true"/>
        </w:rPr>
        <w:t>تبيين راجع به استثنا و فرق مثبت و منفى</w:t>
      </w:r>
      <w:bookmarkEnd w:id="2442"/>
    </w:p>
    <w:p>
      <w:pPr>
        <w:pStyle w:val="BookText"/>
        <w:rPr/>
      </w:pPr>
      <w:r>
        <w:rPr>
          <w:rFonts w:ascii="IRNazanin" w:hAnsi="IRNazanin" w:eastAsia="IRNazanin"/>
          <w:color w:val="111111"/>
          <w:sz w:val="28"/>
          <w:sz w:val="28"/>
          <w:szCs w:val="28"/>
          <w:rtl w:val="true"/>
          <w:lang w:bidi="fa-IR"/>
        </w:rPr>
        <w:t>استثنا، از قبيل تعقيب اقرار به منافى نيست، بلكه مُقَرّ به، باقى بعد از استثنا مى شود اگر استثناى از مثبت است، و مُقَرّ به نفس مستثنىٰ است اگر استثناى از منفى است، چنانچه استثناى از نفى، اثبات و از اثبات، نفى است؛ پس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علىّ عشرة الا 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الدار إلّا هذه الغرفة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اقرار به تسعه و به دار ما عداى غرفه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 علىّ شىء إلّا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له علىّ من هذه الدار إلّا هذه الغرفة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اقرار به درهم و به غرفۀ خاصه مى شود</w:t>
      </w:r>
      <w:r>
        <w:rPr>
          <w:rFonts w:eastAsia="IRNazanin" w:cs="IRNazanin"/>
          <w:color w:val="111111"/>
          <w:sz w:val="28"/>
          <w:szCs w:val="28"/>
          <w:rtl w:val="true"/>
          <w:lang w:bidi="fa-IR"/>
        </w:rPr>
        <w:t>.</w:t>
      </w:r>
    </w:p>
    <w:p>
      <w:pPr>
        <w:pStyle w:val="Heading4"/>
        <w:numPr>
          <w:ilvl w:val="3"/>
          <w:numId w:val="1"/>
        </w:numPr>
        <w:rPr/>
      </w:pPr>
      <w:bookmarkStart w:id="2443" w:name="__RefHeading___Toc3809039_1067777946"/>
      <w:bookmarkStart w:id="2444" w:name="_Toc1032"/>
      <w:bookmarkEnd w:id="2443"/>
      <w:r>
        <w:rPr>
          <w:rtl w:val="true"/>
        </w:rPr>
        <w:t>فرض عدم مسموعيّت اقرار ثانى</w:t>
      </w:r>
      <w:bookmarkEnd w:id="2444"/>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لى عليك عشرة الا 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الدار الا هذه الغرفة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اقرار به عدم استحقاق يك درهم زائد از تسعه كه ادّعا نموده و عدم استحقاق يك غرفه از خانه اى كه ادّعا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بعد، ادّعاى استحقاق تمام عشرة و تمام خانه بنمايد مسموع در تمام مدعىٰ نمى شود</w:t>
      </w:r>
      <w:r>
        <w:rPr>
          <w:rFonts w:eastAsia="IRNazanin" w:cs="IRNazanin"/>
          <w:color w:val="111111"/>
          <w:sz w:val="28"/>
          <w:szCs w:val="28"/>
          <w:rtl w:val="true"/>
          <w:lang w:bidi="fa-IR"/>
        </w:rPr>
        <w:t xml:space="preserve">. </w:t>
      </w:r>
      <w:bookmarkStart w:id="2445" w:name="pg10265_90180"/>
    </w:p>
    <w:p>
      <w:pPr>
        <w:pStyle w:val="Heading4"/>
        <w:numPr>
          <w:ilvl w:val="3"/>
          <w:numId w:val="1"/>
        </w:numPr>
        <w:rPr/>
      </w:pPr>
      <w:bookmarkStart w:id="2446" w:name="__RefHeading___Toc3809041_1067777946"/>
      <w:bookmarkStart w:id="2447" w:name="_Toc1033"/>
      <w:bookmarkEnd w:id="2445"/>
      <w:bookmarkEnd w:id="2446"/>
      <w:r>
        <w:rPr>
          <w:rtl w:val="true"/>
        </w:rPr>
        <w:t>نتيجۀ متعاكس در استثنا</w:t>
      </w:r>
      <w:bookmarkEnd w:id="2447"/>
    </w:p>
    <w:p>
      <w:p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يك درهم از ده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يك غرفه از تمام خانه بر تو استحقاق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عدم استحقاق بيش از يك درهم مدعىٰ و عدم استحقاق بيش از يك غرفه كه ادّعاى ملكيّت آن را مى نمايد؛ پس نتيجۀ استثناى از ادّعا از غير و از عدم استحقاق از غير، متعاكس است، چه استثنا از اثبات باشد يا از نفى</w:t>
      </w:r>
      <w:r>
        <w:rPr>
          <w:rFonts w:eastAsia="IRNazanin" w:cs="IRNazanin"/>
          <w:color w:val="111111"/>
          <w:sz w:val="28"/>
          <w:szCs w:val="28"/>
          <w:rtl w:val="true"/>
          <w:lang w:bidi="fa-IR"/>
        </w:rPr>
        <w:t>.</w:t>
      </w:r>
    </w:p>
    <w:p>
      <w:pPr>
        <w:pStyle w:val="Heading4"/>
        <w:numPr>
          <w:ilvl w:val="3"/>
          <w:numId w:val="1"/>
        </w:numPr>
        <w:rPr/>
      </w:pPr>
      <w:bookmarkStart w:id="2448" w:name="__RefHeading___Toc3809043_1067777946"/>
      <w:bookmarkStart w:id="2449" w:name="_Toc1034"/>
      <w:bookmarkEnd w:id="2448"/>
      <w:r>
        <w:rPr>
          <w:rtl w:val="true"/>
        </w:rPr>
        <w:t>اعتبار حمل بر شرط صحيح در عقد در ادّعاى خيار</w:t>
      </w:r>
      <w:bookmarkEnd w:id="244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ابتداى كلام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ابتعت بخيار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ضمنت بخيار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آنكه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كفلت بخيار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محمول بر شرط صحيحِ در ضمن عقد بشود يا آنكه استفسار و تفسير به آن بشود، قبول مى شود؛ وگرنه مدّعى فساد يا شرط فاسد بعد از اقرار به عقد ظاهر در صحيح، قبول نمى شود قول او، و مأخوذ، كلام اول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غير ابتداى كلام، موقوف است به استظهار خصوصى از سابق و لاحق كلام</w:t>
      </w:r>
      <w:r>
        <w:rPr>
          <w:rFonts w:eastAsia="IRNazanin" w:cs="IRNazanin"/>
          <w:color w:val="111111"/>
          <w:sz w:val="28"/>
          <w:szCs w:val="28"/>
          <w:rtl w:val="true"/>
          <w:lang w:bidi="fa-IR"/>
        </w:rPr>
        <w:t>.</w:t>
      </w:r>
    </w:p>
    <w:p>
      <w:pPr>
        <w:pStyle w:val="Heading4"/>
        <w:numPr>
          <w:ilvl w:val="3"/>
          <w:numId w:val="1"/>
        </w:numPr>
        <w:rPr/>
      </w:pPr>
      <w:bookmarkStart w:id="2450" w:name="__RefHeading___Toc3809045_1067777946"/>
      <w:bookmarkStart w:id="2451" w:name="_Toc1035"/>
      <w:bookmarkEnd w:id="2450"/>
      <w:r>
        <w:rPr>
          <w:rtl w:val="true"/>
        </w:rPr>
        <w:t>نفوذ اقرار به بدهى مال ناقص</w:t>
      </w:r>
      <w:bookmarkEnd w:id="245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علىّ دراهم ناقصة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علىّ دراهم زيّفة و مغشوشة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قبول مى شود و رجوع به او در تفسير و قدر نقص مى شود، و تفسير به ممكن الاجتماع با مُقَرّ به قبول مى شود؛ نه آنكه محمول بر دراهم تامّۀ مقرٌ بها و ادّعاى نقص يا تزييف بشود، مثل صورت انفصال كلام به نحوى كه ثانى، متمم كلام اول نباشد، خصوصاً اگر معامله با ناقص يا زيّف، متعارف نباشد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توصيف با اتّصال كلام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دُرَيهمات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آنكه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دراهم صغار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تفسير به ناقص بعد از استفسار، ممكن است موافقت با عرف در دراهم متعارفه و عدم موافقت؛ پس در اولى، قبول مى شود تفسير و در ثانى قبول </w:t>
      </w:r>
      <w:bookmarkStart w:id="2452" w:name="pg10265_90181"/>
    </w:p>
    <w:p>
      <w:pPr>
        <w:pStyle w:val="BookText"/>
        <w:rPr/>
      </w:pPr>
      <w:bookmarkEnd w:id="2452"/>
      <w:r>
        <w:rPr>
          <w:rFonts w:ascii="IRNazanin" w:hAnsi="IRNazanin" w:eastAsia="IRNazanin"/>
          <w:color w:val="111111"/>
          <w:sz w:val="28"/>
          <w:sz w:val="28"/>
          <w:szCs w:val="28"/>
          <w:rtl w:val="true"/>
          <w:lang w:bidi="fa-IR"/>
        </w:rPr>
        <w:t>نمى شود تفسير؛ بلكه اصل اقرار ايضاً، مگر با انفصال و عدم متمّم بودن كه اقرار، مقبول و تفسيرِ منافى ظاهر، غير مقبول است</w:t>
      </w:r>
      <w:r>
        <w:rPr>
          <w:rFonts w:eastAsia="IRNazanin" w:cs="IRNazanin"/>
          <w:color w:val="111111"/>
          <w:sz w:val="28"/>
          <w:szCs w:val="28"/>
          <w:rtl w:val="true"/>
          <w:lang w:bidi="fa-IR"/>
        </w:rPr>
        <w:t>.</w:t>
      </w:r>
    </w:p>
    <w:p>
      <w:pPr>
        <w:pStyle w:val="Heading4"/>
        <w:numPr>
          <w:ilvl w:val="3"/>
          <w:numId w:val="1"/>
        </w:numPr>
        <w:rPr/>
      </w:pPr>
      <w:bookmarkStart w:id="2453" w:name="__RefHeading___Toc3809047_1067777946"/>
      <w:bookmarkStart w:id="2454" w:name="_Toc1036"/>
      <w:bookmarkEnd w:id="2453"/>
      <w:r>
        <w:rPr>
          <w:rtl w:val="true"/>
        </w:rPr>
        <w:t>مقبوليّت استدراك در اقرار</w:t>
      </w:r>
      <w:bookmarkEnd w:id="245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علىّ عشرة لاٰ بل 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اظهر اتحاد آن است با آنكه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علىّ عشرة إلّا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حسب غلبۀ وقوع اشتباه مُحوِج به استدراك در كلام متّصل واحد، به خلاف صورت انفصال و عدم جزئيّت لاحق براى مجموع از سابق و لاحق</w:t>
      </w:r>
      <w:r>
        <w:rPr>
          <w:rFonts w:eastAsia="IRNazanin" w:cs="IRNazanin"/>
          <w:color w:val="111111"/>
          <w:sz w:val="28"/>
          <w:szCs w:val="28"/>
          <w:rtl w:val="true"/>
          <w:lang w:bidi="fa-IR"/>
        </w:rPr>
        <w:t>.</w:t>
      </w:r>
    </w:p>
    <w:p>
      <w:pPr>
        <w:pStyle w:val="Heading4"/>
        <w:numPr>
          <w:ilvl w:val="3"/>
          <w:numId w:val="1"/>
        </w:numPr>
        <w:rPr/>
      </w:pPr>
      <w:bookmarkStart w:id="2455" w:name="__RefHeading___Toc3809049_1067777946"/>
      <w:bookmarkStart w:id="2456" w:name="_Toc1037"/>
      <w:bookmarkEnd w:id="2455"/>
      <w:r>
        <w:rPr>
          <w:rtl w:val="true"/>
        </w:rPr>
        <w:t>قرينيّت لاحق در فرض اتصال</w:t>
      </w:r>
      <w:bookmarkEnd w:id="2456"/>
    </w:p>
    <w:p>
      <w:pPr>
        <w:pStyle w:val="BookText"/>
        <w:rPr/>
      </w:pPr>
      <w:r>
        <w:rPr>
          <w:rFonts w:ascii="IRNazanin" w:hAnsi="IRNazanin" w:eastAsia="IRNazanin"/>
          <w:color w:val="111111"/>
          <w:sz w:val="28"/>
          <w:sz w:val="28"/>
          <w:szCs w:val="28"/>
          <w:rtl w:val="true"/>
          <w:lang w:bidi="fa-IR"/>
        </w:rPr>
        <w:t>و اگر بگويد با اتّصال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أودعتَني مائة فلم أقبضها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أقرضتَنى مائة فلم آخذها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اظهر قرينيّت لاحق براى ارادۀ ايجاب محض يا خالى از قبض از سابق است و عدم تحقّق اقرار به قرض و ايداع صحيح است با تناسب كلام با مقام به نحوى كه عدم اقرار به اصل ايجاب مناسب نبوده و غرض صحيحى در اقرار باشد؛ و اين به خلاف صورت انفصال و عدم جزئيّت است كه رجوع از اقرار بعد از تمام آن، ادّعا غير مقبول است و به اقرار اخذ مى شود و به ظاهر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بگويد با اتّصال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هذه الدار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قبول مى شود توصيف و مُقَرّ به چيزى مى شود كه جائز الرجوع در مورد آن است، به خلاف صورت انفصال و تمام شدن اقرار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هذه الدار عارية او سكنى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اظهر قبول توصيف است و عدم محكوميّت به اقرار به مالكيّت عين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چنين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هذه الدار ثلثها او ربعها، در صورت اتّصال مثل استثناى در كلام واحد، نه انفصال بعد از تمام اقرار ظاهر در ملك عين و ملك تمام عين كه ادّعا و رجوع، غير مقبول است</w:t>
      </w:r>
      <w:r>
        <w:rPr>
          <w:rFonts w:eastAsia="IRNazanin" w:cs="IRNazanin"/>
          <w:color w:val="111111"/>
          <w:sz w:val="28"/>
          <w:szCs w:val="28"/>
          <w:rtl w:val="true"/>
          <w:lang w:bidi="fa-IR"/>
        </w:rPr>
        <w:t xml:space="preserve">. </w:t>
      </w:r>
      <w:bookmarkStart w:id="2457" w:name="pg10265_90182"/>
    </w:p>
    <w:p>
      <w:pPr>
        <w:pStyle w:val="Heading4"/>
        <w:numPr>
          <w:ilvl w:val="3"/>
          <w:numId w:val="1"/>
        </w:numPr>
        <w:rPr/>
      </w:pPr>
      <w:bookmarkStart w:id="2458" w:name="__RefHeading___Toc3809051_1067777946"/>
      <w:bookmarkStart w:id="2459" w:name="_Toc1038"/>
      <w:bookmarkEnd w:id="2457"/>
      <w:bookmarkEnd w:id="2458"/>
      <w:r>
        <w:rPr>
          <w:rtl w:val="true"/>
        </w:rPr>
        <w:t>اقرار به فروش و قبض ثمن يا خريد و قبض مبيع و إن كان آن</w:t>
      </w:r>
      <w:bookmarkEnd w:id="2459"/>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اقرار كرد بر عليه خودش به بيع و قبض ثمن از مشترى يا آنكه مشترى اقرار كرد به شراء و قبض مبيع، پس از آن انكار كرد بايع قبض ثمن را يا مشترى قبض مبيع را، و ادّعا كرد كه شهادت و اقرار بر عليه خودش به اقتضاى عادت قبض عوض يا معوض را بوده، يا آنكه اقرار از مواطاة بر قبض يا اقباض بوده يا آنكه براى مصلحت ممكن التحقق بوده، پس معروف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متأخّر از او، سماعِ دعوىٰ و توجّه يمين به مدّعىِ قبض يا اقباض است؛ لكن عدم سماع رجوع و تكذيب اقرار سابق، چه آنكه حكم حاكم بر نفوذ اقرار و به مقتضاى آن شده باشد يا نه، و عدم توجه يمين به اين انكار بعد از اقرار، خالى از وجه نيست؛ مثل صورت قيام بينه بر وقوع قبض و اقباض كه انكار مذكور مسموع نمى شود، چون تكذيب بينه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منقول از اكثر متأخّرين با تسلم عدم سماع تكذيب اقرار، سماع دعواى كيفيّت اقرار نسبت به خصوصيّت آن از قبيل مواطاة با مشترى و نحو آن است؛ پس ادّعايى است مستأنف نه رجوع از اقرار و تكذيب بعد از تصديق؛ و لكن اظهر عدم تحصيل در اين تعليل است، و چون ظهور براى عبارتِ اقرار، محقّق است، استفسار از مُقِرّ نمى شود، پس خلافِ ظهور، خلافِ اقرارِ محقّق است و تكذيب آن است و غير مسموع است</w:t>
      </w:r>
      <w:r>
        <w:rPr>
          <w:rFonts w:eastAsia="IRNazanin" w:cs="IRNazanin"/>
          <w:color w:val="111111"/>
          <w:sz w:val="28"/>
          <w:szCs w:val="28"/>
          <w:rtl w:val="true"/>
          <w:lang w:bidi="fa-IR"/>
        </w:rPr>
        <w:t xml:space="preserve">. </w:t>
      </w:r>
      <w:bookmarkStart w:id="2460" w:name="pg10265_90183"/>
    </w:p>
    <w:p>
      <w:pPr>
        <w:pStyle w:val="Heading3"/>
        <w:numPr>
          <w:ilvl w:val="2"/>
          <w:numId w:val="1"/>
        </w:numPr>
        <w:rPr/>
      </w:pPr>
      <w:bookmarkStart w:id="2461" w:name="__RefHeading___Toc3809053_1067777946"/>
      <w:bookmarkStart w:id="2462" w:name="_Toc1039"/>
      <w:bookmarkEnd w:id="2460"/>
      <w:bookmarkEnd w:id="2461"/>
      <w:r>
        <w:rPr>
          <w:rtl w:val="true"/>
        </w:rPr>
        <w:t>فصل ششم اقرار به نسب</w:t>
      </w:r>
      <w:bookmarkEnd w:id="2462"/>
    </w:p>
    <w:p>
      <w:pPr>
        <w:pStyle w:val="Heading4"/>
        <w:numPr>
          <w:ilvl w:val="3"/>
          <w:numId w:val="1"/>
        </w:numPr>
        <w:rPr/>
      </w:pPr>
      <w:bookmarkStart w:id="2463" w:name="__RefHeading___Toc3809055_1067777946"/>
      <w:bookmarkStart w:id="2464" w:name="_Toc1040"/>
      <w:bookmarkEnd w:id="2463"/>
      <w:r>
        <w:rPr>
          <w:rtl w:val="true"/>
        </w:rPr>
        <w:t>اشاره</w:t>
      </w:r>
      <w:bookmarkEnd w:id="2464"/>
    </w:p>
    <w:p>
      <w:pPr>
        <w:pStyle w:val="BookText"/>
        <w:rPr/>
      </w:pPr>
      <w:r>
        <w:rPr>
          <w:rFonts w:ascii="IRNazanin" w:hAnsi="IRNazanin" w:eastAsia="IRNazanin"/>
          <w:color w:val="111111"/>
          <w:sz w:val="28"/>
          <w:sz w:val="28"/>
          <w:szCs w:val="28"/>
          <w:rtl w:val="true"/>
          <w:lang w:bidi="fa-IR"/>
        </w:rPr>
        <w:t>قبول اقرار به نسب و ثبوت آن به اقرار، اتّفاقى و مدلول عمومات و خصوصات است، و در آن مسائلى است</w:t>
      </w:r>
      <w:r>
        <w:rPr>
          <w:rFonts w:eastAsia="IRNazanin" w:cs="IRNazanin"/>
          <w:color w:val="111111"/>
          <w:sz w:val="28"/>
          <w:szCs w:val="28"/>
          <w:rtl w:val="true"/>
          <w:lang w:bidi="fa-IR"/>
        </w:rPr>
        <w:t>:</w:t>
      </w:r>
    </w:p>
    <w:p>
      <w:pPr>
        <w:pStyle w:val="Heading4"/>
        <w:numPr>
          <w:ilvl w:val="3"/>
          <w:numId w:val="1"/>
        </w:numPr>
        <w:rPr/>
      </w:pPr>
      <w:bookmarkStart w:id="2465" w:name="__RefHeading___Toc3809057_1067777946"/>
      <w:bookmarkStart w:id="2466" w:name="_Toc1041"/>
      <w:bookmarkEnd w:id="2465"/>
      <w:r>
        <w:rPr>
          <w:rtl w:val="true"/>
        </w:rPr>
        <w:t>اقرار به بنوّت ولد صغير</w:t>
      </w:r>
      <w:bookmarkEnd w:id="24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نمى كند اقرار، نسب ولد صغير را مگر آنكه بنوّت ممكن باشد و مجهول باشد و منازعى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امكان ولادت نباشد و 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بنوّت ولدى كه عادى نيست ولادت با اين سنّ از مُقِرّ بعد از بلوغ او، قبول نمى شود اقرار در آثار ثابته براى 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اقرار كرد به ولادت مساوى در سنّ با مقر، قبول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كسى كه بين مُقِرّ و والدۀ ولدِ اقرارى، مسافتى باشد كه طى اين مسافت براى وصول به مادر طفل با ملاحظۀ سنّ طفل و مُقِرّ مناسبت ندارد مگر به خلاف عادت به نحوى كه شبيه به اعجاز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معلوم باشد انتساب ولد به غير مقر، قبول نمى شود اقرار با علم مذكور يا لحوق شرعى به سبب فراش يا غير آن</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مدّعى ولادت، با مُقِرّ نزاع نمايد در ولادت ولدى از او، محتاج است قبول اقرار به بينه يا قرعه كه رفع نزاع نمايد بين دو اقرار متضاد</w:t>
      </w:r>
      <w:r>
        <w:rPr>
          <w:rFonts w:eastAsia="IRNazanin" w:cs="IRNazanin"/>
          <w:color w:val="111111"/>
          <w:sz w:val="28"/>
          <w:szCs w:val="28"/>
          <w:rtl w:val="true"/>
          <w:lang w:bidi="fa-IR"/>
        </w:rPr>
        <w:t xml:space="preserve">. </w:t>
      </w:r>
      <w:bookmarkStart w:id="2467" w:name="pg10265_90184"/>
    </w:p>
    <w:p>
      <w:pPr>
        <w:pStyle w:val="Heading4"/>
        <w:numPr>
          <w:ilvl w:val="3"/>
          <w:numId w:val="1"/>
        </w:numPr>
        <w:rPr/>
      </w:pPr>
      <w:bookmarkStart w:id="2468" w:name="__RefHeading___Toc3809059_1067777946"/>
      <w:bookmarkStart w:id="2469" w:name="_Toc1042"/>
      <w:bookmarkEnd w:id="2467"/>
      <w:bookmarkEnd w:id="2468"/>
      <w:r>
        <w:rPr>
          <w:rtl w:val="true"/>
        </w:rPr>
        <w:t>اعتبار تصديق در كبير</w:t>
      </w:r>
      <w:bookmarkEnd w:id="2469"/>
    </w:p>
    <w:p>
      <w:pPr>
        <w:pStyle w:val="BookText"/>
        <w:rPr/>
      </w:pPr>
      <w:r>
        <w:rPr>
          <w:rFonts w:ascii="IRNazanin" w:hAnsi="IRNazanin" w:eastAsia="IRNazanin"/>
          <w:color w:val="111111"/>
          <w:sz w:val="28"/>
          <w:sz w:val="28"/>
          <w:szCs w:val="28"/>
          <w:rtl w:val="true"/>
          <w:lang w:bidi="fa-IR"/>
        </w:rPr>
        <w:t xml:space="preserve">و در اين شروط فرقى بين آنكه ولد، صغير باشد يا كبير، نيست؛ بلى ممكن است فى الجمله اعتبار تصديق كبير در اثبات نسب به اقرار؛ اگر چه در بعض عبارات،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شايد به مناسبت وجود سائر موجبات و موانع در كبير اين تقييد واقع شده در آنها</w:t>
      </w:r>
      <w:r>
        <w:rPr>
          <w:rFonts w:eastAsia="IRNazanin" w:cs="IRNazanin"/>
          <w:color w:val="111111"/>
          <w:sz w:val="28"/>
          <w:szCs w:val="28"/>
          <w:rtl w:val="true"/>
          <w:lang w:bidi="fa-IR"/>
        </w:rPr>
        <w:t>.</w:t>
      </w:r>
    </w:p>
    <w:p>
      <w:pPr>
        <w:pStyle w:val="Heading4"/>
        <w:numPr>
          <w:ilvl w:val="3"/>
          <w:numId w:val="1"/>
        </w:numPr>
        <w:rPr/>
      </w:pPr>
      <w:bookmarkStart w:id="2470" w:name="__RefHeading___Toc3809061_1067777946"/>
      <w:bookmarkStart w:id="2471" w:name="_Toc1043"/>
      <w:bookmarkEnd w:id="2470"/>
      <w:r>
        <w:rPr>
          <w:rtl w:val="true"/>
        </w:rPr>
        <w:t>اگر حربيّه اى با ولد خود داخل دار الاسلام شد</w:t>
      </w:r>
      <w:r>
        <w:rPr>
          <w:rtl w:val="true"/>
        </w:rPr>
        <w:t>...</w:t>
      </w:r>
      <w:bookmarkEnd w:id="2471"/>
    </w:p>
    <w:p>
      <w:pPr>
        <w:pStyle w:val="BookText"/>
        <w:rPr/>
      </w:pPr>
      <w:r>
        <w:rPr>
          <w:rFonts w:ascii="IRNazanin" w:hAnsi="IRNazanin" w:eastAsia="IRNazanin"/>
          <w:color w:val="111111"/>
          <w:sz w:val="28"/>
          <w:sz w:val="28"/>
          <w:szCs w:val="28"/>
          <w:rtl w:val="true"/>
          <w:lang w:bidi="fa-IR"/>
        </w:rPr>
        <w:t>اگر حربيّه اى داخل دار الاسلام با ولدى شد، پس فردى مسلم يا ذمى استلحاق نمود آن ولد را، به او ملحق مى شود، مگر با علم به عدم مواصله بين مُقِرّ و بين مادر طفل در زمان مناسب با ولادت او، چه آنكه مواصلۀ لازمه در دار الكفر بوده يا در دار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مواصلت لازمه، 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وطى يا مساحقه با موطوئه مقر يا آنچه حاصل مى شود از انفاذ قاروره، در صورت امكان و احتمال يكى از طرق مذكوره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ولد ولد پس خارج از منطوق روايات خاصه؛ است لكن تعدى به الغاى خصوصيّت بلكه صدق عرفى ولد، خالى از وجه نيست در اثبات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ترتّب آثار بر نفس مُقِرّ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وجوب انفاق و حرمت نكاح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محل اشكال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فرقى بين اينكه مُقِرّ اب باشد يا اُمّ نيست، به الغاى خصوصيّت كه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لازمۀ شمول، عدم احتياج به تصديق كبير يا صغير بعد از كبر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متيقن است احكام و آثارى كه بر عليه مُقِرّ است از قبيل وجوب انفاق و حرمت نكاح است، و اما ثبوت نسب با تمام آثار آن در غير صغير، پس خالى از اشكال نيست در صورت عدم تصديق اقرار از كبير</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 تصديق مذكور ثابت مى شود با شروط مذكوره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امكان و عدم لحوق به غير و عدم منازع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اقرار كه بر عليه مُقِرّ مى باشند، مثل وجوب انفاق و حرمت نكاح، و ثابت مى شود نسب و سائر آثار او، مثل ثبوت با بيّنه، و مترتّب مى شود </w:t>
      </w:r>
      <w:bookmarkStart w:id="2472" w:name="pg10265_90185"/>
    </w:p>
    <w:p>
      <w:pPr>
        <w:pStyle w:val="BookText"/>
        <w:rPr/>
      </w:pPr>
      <w:bookmarkEnd w:id="2472"/>
      <w:r>
        <w:rPr>
          <w:rFonts w:ascii="IRNazanin" w:hAnsi="IRNazanin" w:eastAsia="IRNazanin"/>
          <w:color w:val="111111"/>
          <w:sz w:val="28"/>
          <w:sz w:val="28"/>
          <w:szCs w:val="28"/>
          <w:rtl w:val="true"/>
          <w:lang w:bidi="fa-IR"/>
        </w:rPr>
        <w:t>آثار او مثل اخوّتِ آنكه اقرار به ولادت او شده براى سائر اولاد مُقِرّ و هكذا مثل اينكه ولد مقرٌّ به، حفيد مقِرّ مى شود، و اب و اُمّ مُقِرّ، جد و جدۀ طفل مقرٌّ به مى شوند، و اخوه و اخوات مقِرّ، اعمام و عمّات مى شوند؛ و هم چنين است اقرار به اخوّت و نحو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معتبر است تصديق، در اثبات نسب كبير، در اقرار به سائر انساب غير از بنوّت، بلكه ممكن است ارجاع آنها به بنوّت بالواسطه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فرقى بين والد مُقِرّ و والدۀ مقرۀ به ولادت در احكام اقرار بلكه در ثبوت نسب به اقرار نيست بنا بر اظهر</w:t>
      </w:r>
      <w:r>
        <w:rPr>
          <w:rFonts w:eastAsia="IRNazanin" w:cs="IRNazanin"/>
          <w:color w:val="111111"/>
          <w:sz w:val="28"/>
          <w:szCs w:val="28"/>
          <w:rtl w:val="true"/>
          <w:lang w:bidi="fa-IR"/>
        </w:rPr>
        <w:t>.</w:t>
      </w:r>
    </w:p>
    <w:p>
      <w:pPr>
        <w:pStyle w:val="Heading4"/>
        <w:numPr>
          <w:ilvl w:val="3"/>
          <w:numId w:val="1"/>
        </w:numPr>
        <w:rPr/>
      </w:pPr>
      <w:bookmarkStart w:id="2473" w:name="__RefHeading___Toc3809063_1067777946"/>
      <w:bookmarkStart w:id="2474" w:name="_Toc1044"/>
      <w:bookmarkEnd w:id="2473"/>
      <w:r>
        <w:rPr>
          <w:rtl w:val="true"/>
        </w:rPr>
        <w:t>عدم اعتبار تصديق دو صغير</w:t>
      </w:r>
      <w:bookmarkEnd w:id="2474"/>
    </w:p>
    <w:p>
      <w:pPr>
        <w:pStyle w:val="BookText"/>
        <w:rPr/>
      </w:pPr>
      <w:r>
        <w:rPr>
          <w:rFonts w:ascii="IRNazanin" w:hAnsi="IRNazanin" w:eastAsia="IRNazanin"/>
          <w:color w:val="111111"/>
          <w:sz w:val="28"/>
          <w:sz w:val="28"/>
          <w:szCs w:val="28"/>
          <w:rtl w:val="true"/>
          <w:lang w:bidi="fa-IR"/>
        </w:rPr>
        <w:t>و در صغير معتبر نيست تصديق اگر چه بعد از كبر باشد، بلكه ثابت مى شود نسب صغير با اقرار با شروط مذكوره و تأثير ندارد انكار او بعد از كبر سنّ‌؛ و هم چنين آن كه در عدم اهليّت، مثل صغير است، مثل مجنون و ميّت؛ به خلاف كبير كه عاقل و حىّ باشد كه تصديق او معتبر است در ثبوت نسب به نحو متقدّم با شروط ثلاثۀ متقدّمه</w:t>
      </w:r>
      <w:r>
        <w:rPr>
          <w:rFonts w:eastAsia="IRNazanin" w:cs="IRNazanin"/>
          <w:color w:val="111111"/>
          <w:sz w:val="28"/>
          <w:szCs w:val="28"/>
          <w:rtl w:val="true"/>
          <w:lang w:bidi="fa-IR"/>
        </w:rPr>
        <w:t>.</w:t>
      </w:r>
    </w:p>
    <w:p>
      <w:pPr>
        <w:pStyle w:val="Heading4"/>
        <w:numPr>
          <w:ilvl w:val="3"/>
          <w:numId w:val="1"/>
        </w:numPr>
        <w:rPr/>
      </w:pPr>
      <w:bookmarkStart w:id="2475" w:name="__RefHeading___Toc3809065_1067777946"/>
      <w:bookmarkStart w:id="2476" w:name="_Toc1045"/>
      <w:bookmarkEnd w:id="2475"/>
      <w:r>
        <w:rPr>
          <w:rtl w:val="true"/>
        </w:rPr>
        <w:t>اثبات سائر انساب به وسيلۀ اقرار</w:t>
      </w:r>
      <w:bookmarkEnd w:id="2476"/>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سائر انساب، احكام مرتّبه بر اقرار مرتب مى شود و ثبوت نسب با كبر مقر به و تصديق او حاصل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ثبوت آن در صغير از آنها مطلقاً و خصوصاً با تصديق بعد از كبر و در كبير با تصديق ثابت مى شود نسب بين متصادقين بدون تعدى به غير؛ و امّا به نحوى كه متعدى به سائر ورثه باشد و توارث همه از طريق اقرار ثابت بشود مثل بيّنه با شروط ثلاثۀ مذكوره و با تصديق در كبير، محتمل است بلكه خالى از وجهِ مبنى بر الغاءِ خصوصيّت در موارد نصوص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موارد ثبوت وارث محقّق غير ثابت به اقرار، از قبيل وجود منازع است كه عدم آن يكى از شروط </w:t>
      </w:r>
      <w:bookmarkStart w:id="2477" w:name="pg10265_90186"/>
    </w:p>
    <w:p>
      <w:pPr>
        <w:pStyle w:val="BookText"/>
        <w:rPr/>
      </w:pPr>
      <w:bookmarkEnd w:id="2477"/>
      <w:r>
        <w:rPr>
          <w:rFonts w:ascii="IRNazanin" w:hAnsi="IRNazanin" w:eastAsia="IRNazanin"/>
          <w:color w:val="111111"/>
          <w:sz w:val="28"/>
          <w:sz w:val="28"/>
          <w:szCs w:val="28"/>
          <w:rtl w:val="true"/>
          <w:lang w:bidi="fa-IR"/>
        </w:rPr>
        <w:t>مذكوره بوده؛ لكن چون كه معروف، عدم تعدى است در غير موارد نصوص مذكوره، پس احتياط به صلح در اموال در غير موارد بيّنۀ موافقه،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در وجوب انفاق و حرمت نكاح كه فرض آنها بشود احتياط مناسب است</w:t>
      </w:r>
      <w:r>
        <w:rPr>
          <w:rFonts w:eastAsia="IRNazanin" w:cs="IRNazanin"/>
          <w:color w:val="111111"/>
          <w:sz w:val="28"/>
          <w:szCs w:val="28"/>
          <w:rtl w:val="true"/>
          <w:lang w:bidi="fa-IR"/>
        </w:rPr>
        <w:t>.</w:t>
      </w:r>
    </w:p>
    <w:p>
      <w:pPr>
        <w:pStyle w:val="Heading4"/>
        <w:numPr>
          <w:ilvl w:val="3"/>
          <w:numId w:val="1"/>
        </w:numPr>
        <w:rPr/>
      </w:pPr>
      <w:bookmarkStart w:id="2478" w:name="__RefHeading___Toc3809067_1067777946"/>
      <w:bookmarkStart w:id="2479" w:name="_Toc1046"/>
      <w:bookmarkEnd w:id="2478"/>
      <w:r>
        <w:rPr>
          <w:rtl w:val="true"/>
        </w:rPr>
        <w:t>لزوم تصديق كبير در اثبات غير ولد صلبى به اقرار</w:t>
      </w:r>
      <w:bookmarkEnd w:id="2479"/>
    </w:p>
    <w:p>
      <w:pPr>
        <w:pStyle w:val="BookText"/>
        <w:rPr/>
      </w:pPr>
      <w:r>
        <w:rPr>
          <w:rFonts w:ascii="IRNazanin" w:hAnsi="IRNazanin" w:eastAsia="IRNazanin"/>
          <w:color w:val="111111"/>
          <w:sz w:val="28"/>
          <w:sz w:val="28"/>
          <w:szCs w:val="28"/>
          <w:rtl w:val="true"/>
          <w:lang w:bidi="fa-IR"/>
        </w:rPr>
        <w:t>پس در غير ولد صلبى، بدون تصديق كبير، نسب ثابت نمى شود و با تصديق او، محل احتياط است در تعدى توارث به غير متصادقين از سائر انساب، نه در حكم اقرار و نه در ثبوت نسب بخصوص متصادقين، بلكه در تعدى و ثبوت نسب مطلقاً؛ چنانچه در ولد صلبى صغير يا كبير با تصديق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آنچه معروف است از قصر ثبوت نسب مطلقاً به اقرار به ولد صلبى صغير يا كبير با تصديق و حكم در غير ولد صلبى به سبب اقرار با تصديق به ثبوت نسب در خصوص متصادقين بدون تعدى به سائر منسوبين، موافق با احتياط موافق با اصل است در طريق مناسب احتياط، اگر چه تفريق بين موارد مثل تفريق بين اخوين و اختين، خالى از تأمّل نيست</w:t>
      </w:r>
      <w:r>
        <w:rPr>
          <w:rFonts w:eastAsia="IRNazanin" w:cs="IRNazanin"/>
          <w:color w:val="111111"/>
          <w:sz w:val="28"/>
          <w:szCs w:val="28"/>
          <w:rtl w:val="true"/>
          <w:lang w:bidi="fa-IR"/>
        </w:rPr>
        <w:t>.</w:t>
      </w:r>
    </w:p>
    <w:p>
      <w:pPr>
        <w:pStyle w:val="Heading4"/>
        <w:numPr>
          <w:ilvl w:val="3"/>
          <w:numId w:val="1"/>
        </w:numPr>
        <w:rPr/>
      </w:pPr>
      <w:bookmarkStart w:id="2480" w:name="__RefHeading___Toc3809069_1067777946"/>
      <w:bookmarkStart w:id="2481" w:name="_Toc1047"/>
      <w:bookmarkEnd w:id="2480"/>
      <w:r>
        <w:rPr>
          <w:rtl w:val="true"/>
        </w:rPr>
        <w:t>اقوال در ولد صلبى و غير صلبى</w:t>
      </w:r>
      <w:bookmarkEnd w:id="2481"/>
    </w:p>
    <w:p>
      <w:pPr>
        <w:pStyle w:val="BookText"/>
        <w:rPr/>
      </w:pPr>
      <w:r>
        <w:rPr>
          <w:rFonts w:ascii="IRNazanin" w:hAnsi="IRNazanin" w:eastAsia="IRNazanin"/>
          <w:color w:val="111111"/>
          <w:sz w:val="28"/>
          <w:sz w:val="28"/>
          <w:szCs w:val="28"/>
          <w:rtl w:val="true"/>
          <w:lang w:bidi="fa-IR"/>
        </w:rPr>
        <w:t>و آنچه به حسب اقوال در مسأله معروف است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تصديق در ولد صلبى صغير، اتفاقى است، و ثبوت نسب با اقرار به ولادت او، اتفاقى است بقول مطلق، يعنى با تعدّى به سائر اقارب؛ و در ولد كبير صلبى، اعتبار تصديق اتفاقى است در توارث بين آن دو، و هم چنين در سائر انساب و در ولد غير صلبى ايضاً مذكور است؛ و در غير ولد صغير، تعدى به سائر اقارب نمى نمايد به حسب اقوال، و وراثت مقصور به متصادقين است اگر چه صغير بعد از كبر تصديق نمايد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لحوق ولد كبير با تصديق، به ولد صلبى صغير يا به سائر انساب در تعدّى </w:t>
      </w:r>
      <w:bookmarkStart w:id="2482" w:name="pg10265_90187"/>
    </w:p>
    <w:p>
      <w:pPr>
        <w:pStyle w:val="BookText"/>
        <w:rPr/>
      </w:pPr>
      <w:bookmarkEnd w:id="2482"/>
      <w:r>
        <w:rPr>
          <w:rFonts w:ascii="IRNazanin" w:hAnsi="IRNazanin" w:eastAsia="IRNazanin"/>
          <w:color w:val="111111"/>
          <w:sz w:val="28"/>
          <w:sz w:val="28"/>
          <w:szCs w:val="28"/>
          <w:rtl w:val="true"/>
          <w:lang w:bidi="fa-IR"/>
        </w:rPr>
        <w:t xml:space="preserve">نسب به غير متصادقين يا عدم تعدى، اختلافى بين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گفته شود اگر حكم، در ولد صلبى صغير، حكمِ اقرار است و با او نسب به قول مطلق ثابت مى شود، پس فرقى بين ولد صغير و كبير با تصديق نيست؛ و اگر زائد بر حكم اقرار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الظاهر، و لذا معتبر است تصديق، و مبناى توارث، اجماع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فرقى بين كبر از ولد يا غير ولد نيست كه در هر دو تصديق، معتبر و توارث، غير متعدى است؛ لكن مقتضاى دو روايت در اقرار به ولد كه متعقّب به نفى باشد با مسلّميّت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مستظهر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لحوق ولد كبير با تصديق به ولد صغير است، نه به سائر انساب مقرٌ بها، چنانچه صريح 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فرق بين ولد و غير ولد؛ و احتياط مناسب موارد در غير اقرار به ولد صغير و در غير حكم نفس اقرار در همۀ موارد، در محلش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ايضاً محل احتياط در غير ولد صغير در تعدى توارث به سائر انساب است، نه در توارث بين متصادقين و مقِرّ و مُقَرّ به است كه ظاهراً اصل آن مسلّم است و تعدى مورد اختلاف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صغير از ولد غير صلبى، مثل كبير ولد است در صورت تصديق بعد از كبر صغير كه در همۀ اينها خروج از محل اجماع است كه توارث بين خصوص متصادقين و عدم ثبوت تعديه مثل ولد صغير صلبى است</w:t>
      </w:r>
      <w:r>
        <w:rPr>
          <w:rFonts w:eastAsia="Amiri" w:cs="Amiri" w:ascii="Amiri" w:hAnsi="Amiri"/>
          <w:color w:val="111111"/>
          <w:sz w:val="28"/>
          <w:szCs w:val="28"/>
          <w:rtl w:val="true"/>
          <w:lang w:bidi="ar-SA"/>
        </w:rPr>
        <w:t>.</w:t>
      </w:r>
    </w:p>
    <w:p>
      <w:pPr>
        <w:pStyle w:val="Heading4"/>
        <w:numPr>
          <w:ilvl w:val="3"/>
          <w:numId w:val="1"/>
        </w:numPr>
        <w:rPr/>
      </w:pPr>
      <w:bookmarkStart w:id="2483" w:name="__RefHeading___Toc3809071_1067777946"/>
      <w:bookmarkStart w:id="2484" w:name="_Toc1048"/>
      <w:bookmarkEnd w:id="2483"/>
      <w:r>
        <w:rPr>
          <w:rtl w:val="true"/>
        </w:rPr>
        <w:t>چند فرع</w:t>
      </w:r>
      <w:bookmarkEnd w:id="2484"/>
    </w:p>
    <w:p>
      <w:pPr>
        <w:pStyle w:val="Heading5"/>
        <w:numPr>
          <w:ilvl w:val="4"/>
          <w:numId w:val="1"/>
        </w:numPr>
        <w:rPr/>
      </w:pPr>
      <w:bookmarkStart w:id="2485" w:name="__RefHeading___Toc3809073_1067777946"/>
      <w:bookmarkStart w:id="2486" w:name="_Toc1049"/>
      <w:bookmarkEnd w:id="2485"/>
      <w:r>
        <w:rPr>
          <w:rtl w:val="true"/>
        </w:rPr>
        <w:t>انكار اقرار به اخوت توسط يكى از سه برادر</w:t>
      </w:r>
      <w:bookmarkEnd w:id="2486"/>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اقرار كرد يكى از دو فرزند ميّت، به ولد ديگر براى 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سه از ذكور بودند يعنى متساوى در ارث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ديگر انكار نمود، براى منكر، نصف ميراث و براى مقر، ثلث است و براى مقرٌّ به سدس است</w:t>
      </w:r>
      <w:r>
        <w:rPr>
          <w:rFonts w:eastAsia="IRNazanin" w:cs="IRNazanin"/>
          <w:color w:val="111111"/>
          <w:sz w:val="28"/>
          <w:szCs w:val="28"/>
          <w:rtl w:val="true"/>
          <w:lang w:bidi="fa-IR"/>
        </w:rPr>
        <w:t xml:space="preserve">. </w:t>
      </w:r>
      <w:bookmarkStart w:id="2487" w:name="pg10265_90188"/>
    </w:p>
    <w:p>
      <w:pPr>
        <w:pStyle w:val="Heading5"/>
        <w:numPr>
          <w:ilvl w:val="4"/>
          <w:numId w:val="1"/>
        </w:numPr>
        <w:rPr/>
      </w:pPr>
      <w:bookmarkStart w:id="2488" w:name="__RefHeading___Toc3809075_1067777946"/>
      <w:bookmarkStart w:id="2489" w:name="_Toc1050"/>
      <w:bookmarkEnd w:id="2487"/>
      <w:bookmarkEnd w:id="2488"/>
      <w:r>
        <w:rPr>
          <w:rtl w:val="true"/>
        </w:rPr>
        <w:t>اقرار زوجه به ولد براى ميّت</w:t>
      </w:r>
      <w:bookmarkEnd w:id="2489"/>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ميّت اخوه و زوجه باشد پس زوجه اقرار كرد به ولدى براى ميّت، براى زوجه ثُمن است و بقيه، مال ولد است با تصديق اخوه؛ و اگر انكار كردند و ثابت نشد نسبت ولد، براى اخوه سه ربع است و براى ولد، تكملۀ ارث زوجه كه سدس باشد،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فرع، از موارد وجود منازع است كه بايد با بيّنه ثابت بشود نسب آن كه مورد نزاع است</w:t>
      </w:r>
      <w:r>
        <w:rPr>
          <w:rFonts w:eastAsia="IRNazanin" w:cs="IRNazanin"/>
          <w:color w:val="111111"/>
          <w:sz w:val="28"/>
          <w:szCs w:val="28"/>
          <w:rtl w:val="true"/>
          <w:lang w:bidi="fa-IR"/>
        </w:rPr>
        <w:t>.</w:t>
      </w:r>
    </w:p>
    <w:p>
      <w:pPr>
        <w:pStyle w:val="Heading5"/>
        <w:numPr>
          <w:ilvl w:val="4"/>
          <w:numId w:val="1"/>
        </w:numPr>
        <w:rPr/>
      </w:pPr>
      <w:bookmarkStart w:id="2490" w:name="__RefHeading___Toc3809077_1067777946"/>
      <w:bookmarkStart w:id="2491" w:name="_Toc1051"/>
      <w:bookmarkEnd w:id="2490"/>
      <w:r>
        <w:rPr>
          <w:rtl w:val="true"/>
        </w:rPr>
        <w:t>اقرار شخصى به بنوّت صبى مجهول النسب بعد از وفات وى</w:t>
      </w:r>
      <w:bookmarkEnd w:id="2491"/>
    </w:p>
    <w:p>
      <w:pPr>
        <w:pStyle w:val="BookText"/>
        <w:rPr/>
      </w:pPr>
      <w:r>
        <w:rPr>
          <w:rFonts w:ascii="IRNazanin" w:hAnsi="IRNazanin" w:eastAsia="IRNazanin"/>
          <w:color w:val="111111"/>
          <w:sz w:val="28"/>
          <w:sz w:val="28"/>
          <w:szCs w:val="28"/>
          <w:rtl w:val="true"/>
          <w:lang w:bidi="fa-IR"/>
        </w:rPr>
        <w:t>اگر صبى مجهول النسب وفات نمود پس شخصى اقرار به بنوّت او كرد نسب ثابت مى شود و براى مُقِرّ است تمام مال او اگر چيزى داشته و وارث ديگرى نباشد كه نسب او محفوظ و ثابت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مقتضاى وجود شروط متقدّمه، ثبوت نسب است در استلحاق عبد يا امۀ غير با تصديق كبير و عدم منازع؛ و هم چنين استلحاق غير صاحب فراش، آنكه را كه منتفى به لعان از صاحب فراش شده است؛ و هم چنين استلحاق مملوك كبير خود با تصديق و عدم منازع در نسب؛ و در صورت عدم تصديق اگر چه تكذيب نباشد؛ ثابت نمى شود، چنانچه گذشت</w:t>
      </w:r>
      <w:r>
        <w:rPr>
          <w:rFonts w:eastAsia="IRNazanin" w:cs="IRNazanin"/>
          <w:color w:val="111111"/>
          <w:sz w:val="28"/>
          <w:szCs w:val="28"/>
          <w:rtl w:val="true"/>
          <w:lang w:bidi="fa-IR"/>
        </w:rPr>
        <w:t>.</w:t>
      </w:r>
    </w:p>
    <w:p>
      <w:pPr>
        <w:pStyle w:val="Heading5"/>
        <w:numPr>
          <w:ilvl w:val="4"/>
          <w:numId w:val="1"/>
        </w:numPr>
        <w:rPr/>
      </w:pPr>
      <w:bookmarkStart w:id="2492" w:name="__RefHeading___Toc3809079_1067777946"/>
      <w:bookmarkStart w:id="2493" w:name="_Toc1052"/>
      <w:bookmarkEnd w:id="2492"/>
      <w:r>
        <w:rPr>
          <w:rtl w:val="true"/>
        </w:rPr>
        <w:t>تصادق بالغين بر نسب و رجوع از آن</w:t>
      </w:r>
      <w:bookmarkEnd w:id="2493"/>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بالغَين تصادق كردند بر نسب پس از آن رجوع نمودند، پس 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عدم قبول رجوع در اقرار به بنوّت، و تردد در اقرار به نسب ديگر است؛ و مقتضاى صحيح، اعتبار بقا است بر اقرار در هر دو مقام در اثبات نسب كه بر خلاف قاعده در اقرار است؛ و مقتضاى دو روايت، عدم تأثير امتناع بعد از اقرار در ولد است، چنانچه مورد عمل باشند موافق قطع 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رفع يد به آن از دلالت مفهوميّۀ صحيح است، به خلاف اقرار به اخوت كه تقييد موافق قاعده بدون مُخرِج </w:t>
      </w:r>
      <w:bookmarkStart w:id="2494" w:name="pg10265_90189"/>
    </w:p>
    <w:p>
      <w:pPr>
        <w:pStyle w:val="BookText"/>
        <w:rPr/>
      </w:pPr>
      <w:bookmarkEnd w:id="2494"/>
      <w:r>
        <w:rPr>
          <w:rFonts w:ascii="Amiri" w:hAnsi="Amiri" w:eastAsia="Amiri" w:cs="Amiri"/>
          <w:color w:val="111111"/>
          <w:sz w:val="28"/>
          <w:sz w:val="28"/>
          <w:szCs w:val="28"/>
          <w:rtl w:val="true"/>
          <w:lang w:bidi="ar-SA"/>
        </w:rPr>
        <w:t>است، و لكن خالى از تأمّل ناشى از بُعد تفكيك در مدلول صحيح است بين بنوّت و اخوّت</w:t>
      </w:r>
      <w:r>
        <w:rPr>
          <w:rFonts w:eastAsia="Amiri" w:cs="Amiri" w:ascii="Amiri" w:hAnsi="Amiri"/>
          <w:color w:val="111111"/>
          <w:sz w:val="28"/>
          <w:szCs w:val="28"/>
          <w:rtl w:val="true"/>
          <w:lang w:bidi="ar-SA"/>
        </w:rPr>
        <w:t>.</w:t>
      </w:r>
    </w:p>
    <w:p>
      <w:pPr>
        <w:pStyle w:val="Heading5"/>
        <w:numPr>
          <w:ilvl w:val="4"/>
          <w:numId w:val="1"/>
        </w:numPr>
        <w:rPr/>
      </w:pPr>
      <w:bookmarkStart w:id="2495" w:name="__RefHeading___Toc3809081_1067777946"/>
      <w:bookmarkStart w:id="2496" w:name="_Toc1053"/>
      <w:bookmarkEnd w:id="2495"/>
      <w:r>
        <w:rPr>
          <w:rtl w:val="true"/>
        </w:rPr>
        <w:t>اقرار به فرزندى از زنا</w:t>
      </w:r>
      <w:bookmarkEnd w:id="2496"/>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ولدى من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اظهر قبول دعواى ارادۀ خلاف ظهور با اتّصال قرينه است و عدم استفسار،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قبول اتمام به منفصل است، به خلاف اينكه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اقتصار نمايد كه قبول نمى شود دعواى ارادۀ اخوت دينيّه يا غير نسبيّه با انفصال دو كلام، اگر چه قبول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497" w:name="__RefHeading___Toc3809083_1067777946"/>
      <w:bookmarkStart w:id="2498" w:name="_Toc1054"/>
      <w:bookmarkEnd w:id="2497"/>
      <w:r>
        <w:rPr>
          <w:rtl w:val="true"/>
        </w:rPr>
        <w:t>اقرار به اخوت يا ابوّت شخصى و تكذيب وى</w:t>
      </w:r>
      <w:bookmarkEnd w:id="2498"/>
    </w:p>
    <w:p>
      <w:pPr>
        <w:pStyle w:val="BookText"/>
        <w:rPr/>
      </w:pPr>
      <w:r>
        <w:rPr>
          <w:rFonts w:ascii="IRNazanin" w:hAnsi="IRNazanin" w:eastAsia="IRNazanin"/>
          <w:color w:val="111111"/>
          <w:sz w:val="28"/>
          <w:sz w:val="28"/>
          <w:szCs w:val="28"/>
          <w:rtl w:val="true"/>
          <w:lang w:bidi="fa-IR"/>
        </w:rPr>
        <w:t>اگر اقرار به اخوت شخصى كرد و آن شخص تكذيب كرد مقِرّ را، پس از آن وفات نمود مقر، پس از آن تصديق كرد مُقِرّ را، اظهر اين است كه از قبيل وجود شرط بعد از عدم آن است؛ و تكذيب جز اثر عدم تصديق را ندارد؛ پس فعلاً نسب ثابت مى شود شرعاً و ارث مى برد از متوفى در صورت عدم تهمت در تصديق كه منصرَف عنه دليل ثبوت نسب به اقرار بر خلاف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قبيل است اقرار به بنوّت كبير و تعقّب آن به تكذيب كبير مُقِرّ را و تعقّب آن به تصديق بعد از وفات مقر</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اين قبيل است اقرار ابن به ابوّت مردى كه تكذيب نمايد مُقِرّ را و بعد از آن وفات نمايد ابن و تصديق نمايد بعد از آن والد، ولد متوفى را، كه شرط اقرار در نسب بعد از وفات مُقِرّ موجود شده است؛ بلكه ممكن است كه تصديقِ اقرار به بنوّت ولد ابتدائاً بعد از وفات مُقَرّ به محسوب شود كه اقرار مسبوق به تصديق است، و استثناى تهمت كما فى السابق است</w:t>
      </w:r>
      <w:r>
        <w:rPr>
          <w:rFonts w:eastAsia="Amiri" w:cs="Amiri" w:ascii="Amiri" w:hAnsi="Amiri"/>
          <w:color w:val="111111"/>
          <w:sz w:val="28"/>
          <w:szCs w:val="28"/>
          <w:rtl w:val="true"/>
          <w:lang w:bidi="ar-SA"/>
        </w:rPr>
        <w:t xml:space="preserve">. </w:t>
      </w:r>
      <w:bookmarkStart w:id="2499" w:name="pg10265_90190"/>
    </w:p>
    <w:p>
      <w:pPr>
        <w:pStyle w:val="Heading5"/>
        <w:numPr>
          <w:ilvl w:val="4"/>
          <w:numId w:val="1"/>
        </w:numPr>
        <w:rPr/>
      </w:pPr>
      <w:bookmarkStart w:id="2500" w:name="__RefHeading___Toc3809085_1067777946"/>
      <w:bookmarkStart w:id="2501" w:name="_Toc1055"/>
      <w:bookmarkEnd w:id="2499"/>
      <w:bookmarkEnd w:id="2500"/>
      <w:r>
        <w:rPr>
          <w:rtl w:val="true"/>
        </w:rPr>
        <w:t>اقرار به بنوّت ولد صغير و اثبات آن و انكار بالغ آن را</w:t>
      </w:r>
      <w:bookmarkEnd w:id="250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اقرار كرد به بنوّت ولد صغير و به آن نسب ثابت شد شرعاً، پس از آن ولد بعد از بلوغش انكار كرد بنوّت را، مسموع نمى شود بعد از سبق ثبوت نسب؛ بلى حكم مسلَّم اقرار نسبت به ولد در احكام خودش، مرتب مى شود</w:t>
      </w:r>
      <w:r>
        <w:rPr>
          <w:rFonts w:eastAsia="IRNazanin" w:cs="IRNazanin"/>
          <w:color w:val="111111"/>
          <w:sz w:val="28"/>
          <w:szCs w:val="28"/>
          <w:rtl w:val="true"/>
          <w:lang w:bidi="fa-IR"/>
        </w:rPr>
        <w:t>.</w:t>
      </w:r>
    </w:p>
    <w:p>
      <w:pPr>
        <w:pStyle w:val="Heading5"/>
        <w:numPr>
          <w:ilvl w:val="4"/>
          <w:numId w:val="1"/>
        </w:numPr>
        <w:rPr/>
      </w:pPr>
      <w:bookmarkStart w:id="2502" w:name="__RefHeading___Toc3809087_1067777946"/>
      <w:bookmarkStart w:id="2503" w:name="_Toc1056"/>
      <w:bookmarkEnd w:id="2502"/>
      <w:r>
        <w:rPr>
          <w:rtl w:val="true"/>
        </w:rPr>
        <w:t>اقرار ولد به ولد ديگرى و اقرار هر دو به ثالث</w:t>
      </w:r>
      <w:bookmarkEnd w:id="250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اقرار كرد ولد ميّت به ولد ديگر پس از آن اقرار كردند هر دو به ثالث، نسب سومى ثابت مى شود اگر آن دو نفر عادل باشند، به سبب قيام بيّنه براى ثالث، و بر طبق اقرار همه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فرض، سومى انكار كرد اخوت ثانى را، نسب ثانى ثابت نمى شود به جهت وجود منازع و فقط حكم اقرار اولى مرتب مى شود بر خودش، و سومى نصف تركه را وارث مى شود، و اولى ثلث تركه را وارث مى شود بر حسب اقرار خودش، و براى ثانى كه مورد اقرار اولى و انكار سومى است، سدس تركه كه تكملۀ نصيب اوّلى لو لا الاقرار بوده، ثابت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موضعى كه نسب يكى به بيّنه ثابت بشود، بر همۀ ورثه ممضىٰ و از اصل تركه وارث مى شود؛ و اگر به محض اقرارِ يكى حكم بشود بر ارث، فقط از حصۀ مُقِرّ لو لا الاقرار اخراج مى شود آن قدرى كه اگر ديگران توافق مى كردند، همان قدر از حصۀ هر كدام اخراج مى شد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 ولد ميّت معلوم النسب باشند و اقرار به ولد سوم نمودند، ثابت مى شود نسب سومى در صورت عدالت آن دو؛ و اگر سومى انكار نمايد يكى از آن دو را، تأثيرى در انكار معلوم النسب ندارد، و تركه تقسيم به سه بين آنها مى شود، و به حكم اقرار محكوم مى شوند اگر چه عادل نباشند و ثابت نشود نسب سومى بلكه فقط با تصادق در جهت خاصه توريث مى شود سومى، و مرتب نمى شود سائر لوازم ثبوت نسب به نحو مطلق</w:t>
      </w:r>
      <w:r>
        <w:rPr>
          <w:rFonts w:eastAsia="IRNazanin" w:cs="IRNazanin"/>
          <w:color w:val="111111"/>
          <w:sz w:val="28"/>
          <w:szCs w:val="28"/>
          <w:rtl w:val="true"/>
          <w:lang w:bidi="fa-IR"/>
        </w:rPr>
        <w:t xml:space="preserve">. </w:t>
      </w:r>
      <w:bookmarkStart w:id="2504" w:name="pg10265_90191"/>
    </w:p>
    <w:p>
      <w:pPr>
        <w:pStyle w:val="Heading5"/>
        <w:numPr>
          <w:ilvl w:val="4"/>
          <w:numId w:val="1"/>
        </w:numPr>
        <w:rPr/>
      </w:pPr>
      <w:bookmarkStart w:id="2505" w:name="__RefHeading___Toc3809089_1067777946"/>
      <w:bookmarkStart w:id="2506" w:name="_Toc1057"/>
      <w:bookmarkEnd w:id="2504"/>
      <w:bookmarkEnd w:id="2505"/>
      <w:r>
        <w:rPr>
          <w:rtl w:val="true"/>
        </w:rPr>
        <w:t>اقرار زوجه براى ولد ميّت و اقرار براى اقرب</w:t>
      </w:r>
      <w:bookmarkEnd w:id="250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براى ميّت اخوه و زوجه بود پس زوجه اقرار كرد به ولدى براى ميّت، صغير يا كبير، براى زوجه ثُمن است كه عبارت از نصف نصيب زوجه لو لا الاقرار باشد؛ پس اگر اخوه تصديق كردند زوجه را، باقى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عبارت از سه ربع لو لا الاقرار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براى ولد مُقَرّ به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هر وارثى كه اقرار به اقرب از خودش نمود دفع مى نمايد به مُقَرّ به تمام آنچه در يد وارث مى شود لو لا الاقرار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يك طبقه باشد، با ملاحظۀ نسبت دفع مى نمايد حق مُقَرّ به را؛ پس اگر دو برادر، اقرار به يك خواهر نمودند خمس حق خودشان را به خواهر مى دهند؛ و اگر فقط يكى اقرار كرد، خمس حق انفرادى خودش لو لا الاقرار را به خواهر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اخوه انكار كردند ولد را، سه ربع تركه مال آنها است و ثُمن، مال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باقى كه ثُمن باشد مال ولد مقرٌّ 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وارث به دعوىٰ اقرار به مساوى كرد و مُقَرّ له نسب مُقِرّ را انكار كرد و بيّنه نداشتند و با حلف يكى از متداعيين و نكول ديگرى فصل نشد و با تحالف تنصيف نشد، احوط مصالحه به تنصيف يا تراضى به قرعه است؛ و 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حيازت مُقَرّ له تركه را است با يمين او به جهت توافق در نسب مُقَرّ له به خلاف نسب مقر؛ و راجح آن است كه ذكر شد</w:t>
      </w:r>
      <w:r>
        <w:rPr>
          <w:rFonts w:eastAsia="IRNazanin" w:cs="IRNazanin"/>
          <w:color w:val="111111"/>
          <w:sz w:val="28"/>
          <w:szCs w:val="28"/>
          <w:rtl w:val="true"/>
          <w:lang w:bidi="fa-IR"/>
        </w:rPr>
        <w:t>.</w:t>
      </w:r>
    </w:p>
    <w:p>
      <w:pPr>
        <w:pStyle w:val="Heading5"/>
        <w:numPr>
          <w:ilvl w:val="4"/>
          <w:numId w:val="1"/>
        </w:numPr>
        <w:rPr/>
      </w:pPr>
      <w:bookmarkStart w:id="2507" w:name="__RefHeading___Toc3809091_1067777946"/>
      <w:bookmarkStart w:id="2508" w:name="_Toc1058"/>
      <w:bookmarkEnd w:id="2507"/>
      <w:r>
        <w:rPr>
          <w:rtl w:val="true"/>
        </w:rPr>
        <w:t>اقرار به بنوّت يا مجنونيّت ميّت</w:t>
      </w:r>
      <w:bookmarkEnd w:id="250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ملحق است نزد اصحاب، اقرار به بنوّت ميّت يا مجنون در ثبوت نسب بقول مطلق، به اقرار به بنوّت ولد صغير در آنچه گذشت از عدم احتياج به تصديق صغير اگر چه بعد از بلوغ او باشد، بلكه تأثيرى ندارد انكار بعد از بلوغ و حكم به ثبوت نسب، به خلاف اقرار به بنوّت كبير حى عاقل كه محتاج به تصديق است به نحو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مدرك در اصل، اجماع بوده نه اقتضاى قاعده، پس اظهر عدم</w:t>
      </w:r>
      <w:bookmarkStart w:id="2509" w:name="pg10265_90192"/>
    </w:p>
    <w:p>
      <w:pPr>
        <w:pStyle w:val="BookText"/>
        <w:rPr/>
      </w:pPr>
      <w:bookmarkEnd w:id="2509"/>
      <w:r>
        <w:rPr>
          <w:rFonts w:ascii="IRNazanin" w:hAnsi="IRNazanin" w:eastAsia="IRNazanin"/>
          <w:color w:val="111111"/>
          <w:sz w:val="28"/>
          <w:sz w:val="28"/>
          <w:szCs w:val="28"/>
          <w:rtl w:val="true"/>
          <w:lang w:bidi="fa-IR"/>
        </w:rPr>
        <w:t>احتياج در اين فرع به دليل ديگر است، زيرا دعواى اجماع در هر دو مقام محقّق است و شروط معتبره در اصل، معتبر است در اين فرع؛ و دعواى كفايت دلالت روايت در اصل، در تعدى به اين فرع، خالى از مناقشه نيست</w:t>
      </w:r>
      <w:r>
        <w:rPr>
          <w:rFonts w:eastAsia="IRNazanin" w:cs="IRNazanin"/>
          <w:color w:val="111111"/>
          <w:sz w:val="28"/>
          <w:szCs w:val="28"/>
          <w:rtl w:val="true"/>
          <w:lang w:bidi="fa-IR"/>
        </w:rPr>
        <w:t>.</w:t>
      </w:r>
    </w:p>
    <w:p>
      <w:pPr>
        <w:pStyle w:val="Heading5"/>
        <w:numPr>
          <w:ilvl w:val="4"/>
          <w:numId w:val="1"/>
        </w:numPr>
        <w:rPr/>
      </w:pPr>
      <w:bookmarkStart w:id="2510" w:name="__RefHeading___Toc3809093_1067777946"/>
      <w:bookmarkStart w:id="2511" w:name="_Toc1059"/>
      <w:bookmarkEnd w:id="2510"/>
      <w:r>
        <w:rPr>
          <w:rtl w:val="true"/>
        </w:rPr>
        <w:t>اقرار مالك به بنوّت ولد واحد</w:t>
      </w:r>
      <w:bookmarkEnd w:id="251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مولود شد از امۀ او طفلى پس اقرار كرد مالك اَمه به بنوّت آن ولد، ملحق به او مى شود و حكم به حرّيت او مى شود در صورتى كه زوج يا محلّلى براى نباشد كه فراش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آنكه اَمه اُمّ ولد باشد با اين اقرار در صورت عدم علم به احد طرفين، پس استيلاد كه موضوع احكام است، مخالف اصل است اگر ظاهر معتبر در آن باشد مثل آن كه استفاده شود از اقرار، علوق در ملك مُقِرّ يا آنكه اقرار به تملّك آن قبل از دو سال به نحو مستمر تعلّق بگيرد، و عمر طفل كمتر از دو سال باشد به نحوى كه اقرار خاص در متعلّق خاص نافذ باشد و با آن ثابت بشود بنوّت خاصه، ثابت مى شود كه اَمه اُمّ ولد و محكوم به احكام او است؛ و شروط و خصوصيّات معتبره در اقرار به ولد در صغير و كبير معتبر، است در اين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اقرار به بنوّت ولد يكى از دو اَمه خود كرد پس از آن تعيين كرد، متعين خاص، ملحق به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امۀ دوم ادّعا كرد كه ولد او مُقَرّ به است، قول مقر با تعيين او مقدّم است با يمين او، و اگر نكول كرد و اَمه دوم ايقاع حلف كرد، ثابت مى شود استيلاد براى او و لوازم آن نه تعيين مُقِرّ و لوازم آن، و لكن مسأله در تقدير نكول، محتاج به تأمّل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مالك تعيين نكرد تا آنكه وفات كرد پس اگر همه توافق كردند بر تعيين يكى و محتمل بود صدق ايشان در اخبار از خصوصيّت مُقَرّ به بدون منازع، پس مثل صورت علم است؛ وگرنه متعين است تعيين با قرعه و الحاق و حكم به حرّيتِ خارج از قرعه و استيلاد والدۀ او</w:t>
      </w:r>
      <w:r>
        <w:rPr>
          <w:rFonts w:eastAsia="IRNazanin" w:cs="IRNazanin"/>
          <w:color w:val="111111"/>
          <w:sz w:val="28"/>
          <w:szCs w:val="28"/>
          <w:rtl w:val="true"/>
          <w:lang w:bidi="fa-IR"/>
        </w:rPr>
        <w:t xml:space="preserve">. </w:t>
      </w:r>
      <w:bookmarkStart w:id="2512" w:name="pg10265_90193"/>
    </w:p>
    <w:p>
      <w:pPr>
        <w:pStyle w:val="Heading5"/>
        <w:numPr>
          <w:ilvl w:val="4"/>
          <w:numId w:val="1"/>
        </w:numPr>
        <w:rPr/>
      </w:pPr>
      <w:bookmarkStart w:id="2513" w:name="__RefHeading___Toc3809095_1067777946"/>
      <w:bookmarkStart w:id="2514" w:name="_Toc1060"/>
      <w:bookmarkEnd w:id="2512"/>
      <w:bookmarkEnd w:id="2513"/>
      <w:r>
        <w:rPr>
          <w:rtl w:val="true"/>
        </w:rPr>
        <w:t>اقرار به بنوّت يكى از سه ولد كنيز</w:t>
      </w:r>
      <w:bookmarkEnd w:id="2514"/>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سه ولد از يك كنيز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اقرار كرد به بنوّت يكى از آنها، پس اگر مملوكيت، فراش است، حكم به بنوّت همه آنهايى كه در ملك او مولود شده اند مى شود و حاجتى به اقرار ندارند و اقرار، تأثيرى در اثبات نسب و حرّيت آنها ندارد؛ و اگر فراش نباشد و به محض اقرار نسب ثابت باشد و مملوكيّت در زمان علوق و تولد هم ثابت نباشد، پس مجرد اقرار به بنوّت يكى، مجامع با فراش ديگرى است و بنوّت يكى مستلزم بنوّت متأخّر در ولادت نيست، و آن يكى كه مقر به و ثابت النسب و محكوم به حرّيت است بعد از استفسار و تفسير و تعيينِ ولد، حرّ است و ديگران محتاج به امارات ديگرى هستند در حرّيت و رقّيّت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بلى اگر ثابت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از سائر قرائن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بنوّت به سبب وطى در ملك و علوق در ملك مُقِرّ بوده و آن ملك، مستمر بوده، ثابت مى شود بنوّت متأخّر،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اختصاص علمى بوده نه واقعى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تعيين نكرد تا وفات يا آنكه معيّن مشتبه شد، پس گذشت در صورت اُولىٰ آنچه در تعيين وارث گفته شده، و گذشت احتياط به صلح در مسأله سابقه؛ پس مطلقاً احتياط در توافق و جزم در صورت ثانيه در استخراج ولد مُقَرّ به با قرعه است؛ و جارى است حكم در متأخّر از خارج به قرعه به نحو مذكور</w:t>
      </w:r>
      <w:r>
        <w:rPr>
          <w:rFonts w:eastAsia="IRNazanin" w:cs="IRNazanin"/>
          <w:color w:val="111111"/>
          <w:sz w:val="28"/>
          <w:szCs w:val="28"/>
          <w:rtl w:val="true"/>
          <w:lang w:bidi="fa-IR"/>
        </w:rPr>
        <w:t>.</w:t>
      </w:r>
    </w:p>
    <w:p>
      <w:pPr>
        <w:pStyle w:val="Heading5"/>
        <w:numPr>
          <w:ilvl w:val="4"/>
          <w:numId w:val="1"/>
        </w:numPr>
        <w:rPr/>
      </w:pPr>
      <w:bookmarkStart w:id="2515" w:name="__RefHeading___Toc3809097_1067777946"/>
      <w:bookmarkStart w:id="2516" w:name="_Toc1061"/>
      <w:bookmarkEnd w:id="2515"/>
      <w:r>
        <w:rPr>
          <w:rtl w:val="true"/>
        </w:rPr>
        <w:t>نحوۀ ثابت شدن نسب</w:t>
      </w:r>
      <w:bookmarkEnd w:id="2516"/>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ثابت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دو مرد عادل، و هم چنين به استفاضه، و به علم و اطمينان كسى كه مكلّف به ترتيب اثر شخصى بر آن است؛ و ثابت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مذكور در محل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يك مرد عادل و دو زن عادله، يا يك مرد عادل با يمين مدّعى، و يا دو مرد فاسق اگر چه وارث باشند، چنانچه در كتاب شهادات مذكور است</w:t>
      </w:r>
      <w:r>
        <w:rPr>
          <w:rFonts w:eastAsia="IRNazanin" w:cs="IRNazanin"/>
          <w:color w:val="111111"/>
          <w:sz w:val="28"/>
          <w:szCs w:val="28"/>
          <w:rtl w:val="true"/>
          <w:lang w:bidi="fa-IR"/>
        </w:rPr>
        <w:t>.</w:t>
      </w:r>
      <w:bookmarkStart w:id="2517" w:name="pg10265_90194"/>
    </w:p>
    <w:p>
      <w:pPr>
        <w:pStyle w:val="Heading5"/>
        <w:numPr>
          <w:ilvl w:val="4"/>
          <w:numId w:val="1"/>
        </w:numPr>
        <w:rPr/>
      </w:pPr>
      <w:bookmarkStart w:id="2518" w:name="__RefHeading___Toc3809099_1067777946"/>
      <w:bookmarkStart w:id="2519" w:name="_Toc1062"/>
      <w:bookmarkEnd w:id="2517"/>
      <w:bookmarkEnd w:id="2518"/>
      <w:r>
        <w:rPr>
          <w:rtl w:val="true"/>
        </w:rPr>
        <w:t>شهادت دو برادر به پسرى براى ميّت</w:t>
      </w:r>
      <w:bookmarkEnd w:id="2519"/>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برادر شهادت دادند به پسرى براى ميّت ايشان و هر دو عادل بودند، نسب ثابت مى شود و محكوم به وارثيّت مى شود و محروم مى شوند برادرها از ارث، به جهت شهادت دو عادل، نه به جهت اقرار وارث به اَولىٰ از آنها به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دو فاسق باشند نسب ثابت نمى شود، لكن مستحق ارث نيستند و تسليم مى نمايند تركه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يد ايشان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آنكه اقرار به بنوّت نمودند، و او عمل به وظيفه مى نمايد</w:t>
      </w:r>
      <w:r>
        <w:rPr>
          <w:rFonts w:eastAsia="IRNazanin" w:cs="IRNazanin"/>
          <w:color w:val="111111"/>
          <w:sz w:val="28"/>
          <w:szCs w:val="28"/>
          <w:rtl w:val="true"/>
          <w:lang w:bidi="fa-IR"/>
        </w:rPr>
        <w:t>.</w:t>
      </w:r>
    </w:p>
    <w:p>
      <w:pPr>
        <w:pStyle w:val="Heading5"/>
        <w:numPr>
          <w:ilvl w:val="4"/>
          <w:numId w:val="1"/>
        </w:numPr>
        <w:rPr/>
      </w:pPr>
      <w:bookmarkStart w:id="2520" w:name="__RefHeading___Toc3809101_1067777946"/>
      <w:bookmarkStart w:id="2521" w:name="_Toc1063"/>
      <w:bookmarkEnd w:id="2520"/>
      <w:r>
        <w:rPr>
          <w:rtl w:val="true"/>
        </w:rPr>
        <w:t>اقرار واحد و تعدّد متعلّق</w:t>
      </w:r>
      <w:bookmarkEnd w:id="2521"/>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اقرار كرد برادر به دو وارث اَولىٰ از خودش در يك دفعه به يك كلام، لكن هر كدام تصديق او از ناحيه خودش نه از ناحيۀ هر دو نمود، نسب ثابت نمى شود، به واسطۀ عدم مطابقت اقرار با تصديق، لكن توريث آنها و تسليم به آنها به مقتضاى اقرار،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تصادق نمودند و هر كدام ديگرى را وارث در مرتبه اولىٰ از ارث مُقِرّ دانست و هر كدام با مُقِرّ عادل بودند، در دو عادل شهادت به ارث و مرتبه آن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تصديق اقرار از نسبت به هر دو، و داخل در اثبات نسب غير بنوّت با اقرار و تصديق مُقَرّ به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يكى تصديق كرد ديگرى را و عادل بود و مُقِرّ هم عادل بود، آنكه توافق بر او شده، نسب او ثابت و مخصوص به ارث مى شود</w:t>
      </w:r>
      <w:r>
        <w:rPr>
          <w:rFonts w:eastAsia="IRNazanin" w:cs="IRNazanin"/>
          <w:color w:val="111111"/>
          <w:sz w:val="28"/>
          <w:szCs w:val="28"/>
          <w:rtl w:val="true"/>
          <w:lang w:bidi="fa-IR"/>
        </w:rPr>
        <w:t>.</w:t>
      </w:r>
    </w:p>
    <w:p>
      <w:pPr>
        <w:pStyle w:val="Heading5"/>
        <w:numPr>
          <w:ilvl w:val="4"/>
          <w:numId w:val="1"/>
        </w:numPr>
        <w:rPr/>
      </w:pPr>
      <w:bookmarkStart w:id="2522" w:name="__RefHeading___Toc3809103_1067777946"/>
      <w:bookmarkStart w:id="2523" w:name="_Toc1064"/>
      <w:bookmarkEnd w:id="2522"/>
      <w:r>
        <w:rPr>
          <w:rtl w:val="true"/>
        </w:rPr>
        <w:t>تنافى و عدم تنافى بين دو اقرار</w:t>
      </w:r>
      <w:bookmarkEnd w:id="2523"/>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اقرار به بنوّت دو نفر در دو دفعه بود و در هر دفعه اقرار به بنوّت يكى نموده بود، آيا اقرار دوم به منافى اول نيست، پس مثل اقرار به دو نفر در يك دفعه است يا آنكه اقرار به منافى است بعد از حكم به انحصار به واسطۀ اقرار اول‌؟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تقدير دوم، مرافعه بين دو نفر قائم است، بلكه با مُقِرّ ايضاً اگر ادّعاى علم او به احد طرفين نمودند</w:t>
      </w:r>
      <w:r>
        <w:rPr>
          <w:rFonts w:eastAsia="IRNazanin" w:cs="IRNazanin"/>
          <w:color w:val="111111"/>
          <w:sz w:val="28"/>
          <w:szCs w:val="28"/>
          <w:rtl w:val="true"/>
          <w:lang w:bidi="fa-IR"/>
        </w:rPr>
        <w:t xml:space="preserve">. </w:t>
      </w:r>
      <w:bookmarkStart w:id="2524" w:name="pg10265_90195"/>
    </w:p>
    <w:p>
      <w:pPr>
        <w:pStyle w:val="Heading5"/>
        <w:numPr>
          <w:ilvl w:val="4"/>
          <w:numId w:val="1"/>
        </w:numPr>
        <w:rPr/>
      </w:pPr>
      <w:bookmarkStart w:id="2525" w:name="__RefHeading___Toc3809105_1067777946"/>
      <w:bookmarkStart w:id="2526" w:name="_Toc1065"/>
      <w:bookmarkEnd w:id="2524"/>
      <w:bookmarkEnd w:id="2525"/>
      <w:r>
        <w:rPr>
          <w:rtl w:val="true"/>
        </w:rPr>
        <w:t>حكم غرامت در تبدّل اقرار</w:t>
      </w:r>
      <w:bookmarkEnd w:id="2526"/>
    </w:p>
    <w:p>
      <w:pPr>
        <w:pStyle w:val="BookText"/>
        <w:rPr/>
      </w:pPr>
      <w:r>
        <w:rPr>
          <w:rFonts w:ascii="IRNazanin" w:hAnsi="IRNazanin" w:eastAsia="IRNazanin"/>
          <w:color w:val="111111"/>
          <w:sz w:val="28"/>
          <w:sz w:val="28"/>
          <w:szCs w:val="28"/>
          <w:rtl w:val="true"/>
          <w:lang w:bidi="fa-IR"/>
        </w:rPr>
        <w:t xml:space="preserve">اگر اقرار كرد وارث ظاهرى به اَولىٰ از خود در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عم ميّت نسبت به برادر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اقرار كرد به اولىٰ از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مُقَرّ له اول تصديق كرد مُقَرّ له دومى را، مال را دفع به دومى مى نمايد؛ و اگر تكذيب كرد در اقرار دوم، مال دفع مى شود به مُقَرّ له اول بعد از حلف او در مقابل دعواى به سبب اقرار دوم، چنانچه مقتضاى اقرار اول است و غرامت مى نمايد براى دومى قيمت مُقَرّ به را كه به واسطۀ اقرار اول حائل بين دومى و مال او به حسب اقرار دوم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اگر متساوى بودند در ارث، غرامت مى نمايد براى دومى مثل نصف آنچه را كه به اوّلى داده است در صورت استفاده ملك تمام از اقرار اول به انحصار برادر ميّت مثلاً در يكى، به سبب تصريح يا به سبب دفع تمام به اوّلى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ممكن است گفته شود در همه اقارير متقدّمه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چه اقرار به اَولىٰ و چه اقرار به مساوى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دفع تركه به حاكم شرع بشود يا آنكه با اذن او دفع شود، به واسطۀ احتمال عثور او به اَولىٰ از اَولىٰ و به مشارك در غير اَولىٰ‌، وگرنه ضامن است اگر به خلاف واقع منكشف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استيذان از حاكم و انكشاف خلاف، داخل در خطأ حاكم مى شود و به حكم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علم او به عدم اَولىٰ و به انحصار وارث، مجوّز تكليفى در دفع به معلوم الانحصار است، و اقرار نسبت به تعلّق آن به عدم اَولىٰ و به عدم مشارك، در حق غير است و غير نافذ است مگر در جهت اثباتى آن كه متعلّق به نفس است با تصديق مُقَرّ له؛ و اين مطلب رعايت مى شود در مسائل و فروع سابقه</w:t>
      </w:r>
      <w:r>
        <w:rPr>
          <w:rFonts w:eastAsia="IRNazanin" w:cs="IRNazanin"/>
          <w:color w:val="111111"/>
          <w:sz w:val="28"/>
          <w:szCs w:val="28"/>
          <w:rtl w:val="true"/>
          <w:lang w:bidi="fa-IR"/>
        </w:rPr>
        <w:t>.</w:t>
      </w:r>
    </w:p>
    <w:p>
      <w:pPr>
        <w:pStyle w:val="Heading5"/>
        <w:numPr>
          <w:ilvl w:val="4"/>
          <w:numId w:val="1"/>
        </w:numPr>
        <w:rPr/>
      </w:pPr>
      <w:bookmarkStart w:id="2527" w:name="__RefHeading___Toc3809107_1067777946"/>
      <w:bookmarkStart w:id="2528" w:name="_Toc1066"/>
      <w:bookmarkEnd w:id="2527"/>
      <w:r>
        <w:rPr>
          <w:rtl w:val="true"/>
        </w:rPr>
        <w:t>اقرار يكى از دو برادر و تكذيب ديگرى</w:t>
      </w:r>
      <w:bookmarkEnd w:id="2528"/>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يكى از اخوين اقرار كرد به ولدى براى ميّت و ديگرى تكذيب نمود، ولد مى تواند اخذ نمايد نصيب مُقِرّ را؛ پس اگر منكر اقرار نمود به برادرى براى ولد مذكور، تمام آنچه در يد همين منكر مُقِرّ است داده مى شود به مُقَرّ له دومى كه بر </w:t>
      </w:r>
      <w:bookmarkStart w:id="2529" w:name="pg10265_90196"/>
    </w:p>
    <w:p>
      <w:pPr>
        <w:pStyle w:val="BookText"/>
        <w:rPr/>
      </w:pPr>
      <w:bookmarkEnd w:id="2529"/>
      <w:r>
        <w:rPr>
          <w:rFonts w:ascii="IRNazanin" w:hAnsi="IRNazanin" w:eastAsia="IRNazanin"/>
          <w:color w:val="111111"/>
          <w:sz w:val="28"/>
          <w:sz w:val="28"/>
          <w:szCs w:val="28"/>
          <w:rtl w:val="true"/>
          <w:lang w:bidi="fa-IR"/>
        </w:rPr>
        <w:t>حسب اقرار وارث منحصر است؛ و ثانياً اگر مُقِرّ اول اقرار به اين اخ براى ولد مقر به اول نمود بر او چيزى نيست، زيرا هر دو ولد على الفرض به او حق او واصل شده است</w:t>
      </w:r>
      <w:r>
        <w:rPr>
          <w:rFonts w:eastAsia="IRNazanin" w:cs="IRNazanin"/>
          <w:color w:val="111111"/>
          <w:sz w:val="28"/>
          <w:szCs w:val="28"/>
          <w:rtl w:val="true"/>
          <w:lang w:bidi="fa-IR"/>
        </w:rPr>
        <w:t>.</w:t>
      </w:r>
    </w:p>
    <w:p>
      <w:pPr>
        <w:pStyle w:val="Heading5"/>
        <w:numPr>
          <w:ilvl w:val="4"/>
          <w:numId w:val="1"/>
        </w:numPr>
        <w:rPr/>
      </w:pPr>
      <w:bookmarkStart w:id="2530" w:name="__RefHeading___Toc3809109_1067777946"/>
      <w:bookmarkStart w:id="2531" w:name="_Toc1067"/>
      <w:bookmarkEnd w:id="2530"/>
      <w:r>
        <w:rPr>
          <w:rtl w:val="true"/>
        </w:rPr>
        <w:t>اقرار وارث به زوج براى ميّت</w:t>
      </w:r>
      <w:bookmarkEnd w:id="2531"/>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اقرار كرد وارث زن ميته به بودن زوجى براى آن زن، به او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مذكور در مسأله متقدّمه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نصيب آنچه را كه در دست او به وراثت است در صورتى كه براى زن، ولدى باشد، و مى دهد نصف نصيب خودش را در صورتى كه براى زن، ولدى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وارثِ فعلىِ مُقِرّ لو لا الاقرار برادر ميّته باشد، نصف آنچه دارد مى دهد به زوج مُقَرّ له؛ و اگر مقر، ولد آن زن باشد دفع مى نمايد به زوج مُقَرّ له ربع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اقرار كرد به زوج ديگرى پس از اقرار اول به نحو منفصل از آن و استفاده رجوع و تكذيبِ اقرار اول از آن شد پس تغريم مى شود براى دوم به مثل آنچه حاصل شد براى اول، و مقتضاى مرسلِ معمولٌ به اصحاب، عدم غرامت است در غير صورت مذكوره</w:t>
      </w:r>
      <w:r>
        <w:rPr>
          <w:rFonts w:eastAsia="IRNazanin" w:cs="IRNazanin"/>
          <w:color w:val="111111"/>
          <w:sz w:val="28"/>
          <w:szCs w:val="28"/>
          <w:rtl w:val="true"/>
          <w:lang w:bidi="fa-IR"/>
        </w:rPr>
        <w:t>.</w:t>
      </w:r>
    </w:p>
    <w:p>
      <w:pPr>
        <w:pStyle w:val="Heading5"/>
        <w:numPr>
          <w:ilvl w:val="4"/>
          <w:numId w:val="1"/>
        </w:numPr>
        <w:rPr/>
      </w:pPr>
      <w:bookmarkStart w:id="2532" w:name="__RefHeading___Toc3809111_1067777946"/>
      <w:bookmarkStart w:id="2533" w:name="_Toc1068"/>
      <w:bookmarkEnd w:id="2532"/>
      <w:r>
        <w:rPr>
          <w:rtl w:val="true"/>
        </w:rPr>
        <w:t>اقرار به زوجه و زوجۀ دوم</w:t>
      </w:r>
      <w:bookmarkEnd w:id="2533"/>
    </w:p>
    <w:p>
      <w:pPr>
        <w:pStyle w:val="BookText"/>
        <w:rPr/>
      </w:pPr>
      <w:r>
        <w:rPr>
          <w:rFonts w:ascii="IRNazanin" w:hAnsi="IRNazanin" w:eastAsia="IRNazanin"/>
          <w:color w:val="111111"/>
          <w:sz w:val="28"/>
          <w:sz w:val="28"/>
          <w:szCs w:val="28"/>
          <w:rtl w:val="true"/>
          <w:lang w:bidi="fa-IR"/>
        </w:rPr>
        <w:t>و اگر وارث، اقرار به زوجه براى ميّت كرد، پس در صورت بودن ولد براى ميّت، ثُمن به زوجه مى رسد؛ و در صورت عدم ولد براى ميّت، ربع به زوجه مى رسد به ترتيب متقدّم در تأديۀ وارث به مُقَرّ له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پس از آن، اقرار به زوجۀ دوم نمود، غرامت مى نمايد براى دومى مثل نصيب اوُلىٰ را در صورت عدم تصديق و استفادۀ انحصار و عدم كون تأديه با اذن حاكم؛ و اگر تصديق كرد اولى دومى را، تقسيم مى نمايند ثُمن يا ربع را كه به آنها مى رسد على السويه به نحو معلوم در صورت تعدّد 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استفاده انحصار </w:t>
      </w:r>
      <w:bookmarkStart w:id="2534" w:name="pg10265_90197"/>
    </w:p>
    <w:p>
      <w:pPr>
        <w:pStyle w:val="BookText"/>
        <w:rPr/>
      </w:pPr>
      <w:bookmarkEnd w:id="2534"/>
      <w:r>
        <w:rPr>
          <w:rFonts w:ascii="IRNazanin" w:hAnsi="IRNazanin" w:eastAsia="IRNazanin"/>
          <w:color w:val="111111"/>
          <w:sz w:val="28"/>
          <w:sz w:val="28"/>
          <w:szCs w:val="28"/>
          <w:rtl w:val="true"/>
          <w:lang w:bidi="fa-IR"/>
        </w:rPr>
        <w:t>و رجوع نشد و در دو اقرار، امكان تعدّد مراعات شد پس با عدم تصديق اولى غرامت مى نمايد براى دومى نصف نصيب اولى را كه به سبب اقرار دوم ملزَم به آن مى شود؛ و اگر تماماً دفع به اولى شده نصف آن استرجاع مى شود با بقاى عين، وگرنه نصف مدفوع در ضمان دافع يا حاكم است اگر با اذن او دفع شده است تماماً به اوّلى</w:t>
      </w:r>
      <w:r>
        <w:rPr>
          <w:rFonts w:eastAsia="IRNazanin" w:cs="IRNazanin"/>
          <w:color w:val="111111"/>
          <w:sz w:val="28"/>
          <w:szCs w:val="28"/>
          <w:rtl w:val="true"/>
          <w:lang w:bidi="fa-IR"/>
        </w:rPr>
        <w:t>.</w:t>
      </w:r>
    </w:p>
    <w:p>
      <w:pPr>
        <w:pStyle w:val="Heading5"/>
        <w:numPr>
          <w:ilvl w:val="4"/>
          <w:numId w:val="1"/>
        </w:numPr>
        <w:rPr/>
      </w:pPr>
      <w:bookmarkStart w:id="2535" w:name="__RefHeading___Toc3809113_1067777946"/>
      <w:bookmarkStart w:id="2536" w:name="_Toc1069"/>
      <w:bookmarkEnd w:id="2535"/>
      <w:r>
        <w:rPr>
          <w:rtl w:val="true"/>
        </w:rPr>
        <w:t>اقرار به زوجۀ سوم</w:t>
      </w:r>
      <w:bookmarkEnd w:id="2536"/>
    </w:p>
    <w:p>
      <w:pPr>
        <w:pStyle w:val="BookText"/>
        <w:rPr/>
      </w:pPr>
      <w:r>
        <w:rPr>
          <w:rFonts w:ascii="IRNazanin" w:hAnsi="IRNazanin" w:eastAsia="IRNazanin"/>
          <w:color w:val="111111"/>
          <w:sz w:val="28"/>
          <w:sz w:val="28"/>
          <w:szCs w:val="28"/>
          <w:rtl w:val="true"/>
          <w:lang w:bidi="fa-IR"/>
        </w:rPr>
        <w:t>و اگر اقرار به ثالثه نمود، پس در آن صورتى كه اعطاى نصف نصيب به ثانيه مى كرد، اعطاى ثلث نصيب به ثالثه مى نمايد، چنانكه همه تصديق مى كردند همديگر را، يعنى اولى هر دو را و ثانيه سومى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تصديق نكردند پس در صورت استفادۀ انحصار و رجوع يا معاملۀ حاكم به عمل انحصار و دفع تمام با اذن او به سابقه و غرامت مثل نصيب اوّلى، غرامت مى نمايد مثل نصيب اولى و دومى را براى سومى اگر دفع كرده بدون اذن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استفادۀ مذكوره و اقرار به غير منافى در ممكن الاجتماع، پس ثلث نصيب زوجه را به هر يك از سه زوجه مُقِرّ لهنّ دفع مى نمايد</w:t>
      </w:r>
      <w:r>
        <w:rPr>
          <w:rFonts w:eastAsia="IRNazanin" w:cs="IRNazanin"/>
          <w:color w:val="111111"/>
          <w:sz w:val="28"/>
          <w:szCs w:val="28"/>
          <w:rtl w:val="true"/>
          <w:lang w:bidi="fa-IR"/>
        </w:rPr>
        <w:t>.</w:t>
      </w:r>
    </w:p>
    <w:p>
      <w:pPr>
        <w:pStyle w:val="Heading5"/>
        <w:numPr>
          <w:ilvl w:val="4"/>
          <w:numId w:val="1"/>
        </w:numPr>
        <w:rPr/>
      </w:pPr>
      <w:bookmarkStart w:id="2537" w:name="__RefHeading___Toc3809115_1067777946"/>
      <w:bookmarkStart w:id="2538" w:name="_Toc1070"/>
      <w:bookmarkEnd w:id="2537"/>
      <w:r>
        <w:rPr>
          <w:rtl w:val="true"/>
        </w:rPr>
        <w:t>اقرار به رابعه و خامسه</w:t>
      </w:r>
      <w:bookmarkEnd w:id="2538"/>
    </w:p>
    <w:p>
      <w:pPr>
        <w:pStyle w:val="BookText"/>
        <w:rPr/>
      </w:pPr>
      <w:r>
        <w:rPr>
          <w:rFonts w:ascii="IRNazanin" w:hAnsi="IRNazanin" w:eastAsia="IRNazanin"/>
          <w:color w:val="111111"/>
          <w:sz w:val="28"/>
          <w:sz w:val="28"/>
          <w:szCs w:val="28"/>
          <w:rtl w:val="true"/>
          <w:lang w:bidi="fa-IR"/>
        </w:rPr>
        <w:t>و به همين ترتيب اگر اقرار به رابعه كرد، ربع نصيب زوجه را به چهارمى مى دهد با شروط و ترتيبات مذكور در سه زوجه متقدّمه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اقرار به خامسه دائميّه نمود و انكار يكى از چهار سابق كرد، مسموع نمى شود انكار او بعد از اقرار به چهار و غرامت مى نمايد براى خامسه مثل نصيب يكى از چهار سابق را كه ربع ربع يا ربع ثمن باشد به نحو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خامسه ممكن الارث بعد از طلاق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طلاق بعد از نكاح در مرض و دخول، كه موجب ارث است تا يك سال اگر چه وفات بعد از عده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جارى است در او آنچه </w:t>
      </w:r>
      <w:bookmarkStart w:id="2539" w:name="pg10265_90198"/>
    </w:p>
    <w:p>
      <w:pPr>
        <w:pStyle w:val="BookText"/>
        <w:rPr/>
      </w:pPr>
      <w:bookmarkEnd w:id="2539"/>
      <w:r>
        <w:rPr>
          <w:rFonts w:ascii="Amiri" w:hAnsi="Amiri" w:eastAsia="Amiri" w:cs="Amiri"/>
          <w:color w:val="111111"/>
          <w:sz w:val="28"/>
          <w:sz w:val="28"/>
          <w:szCs w:val="28"/>
          <w:rtl w:val="true"/>
          <w:lang w:bidi="ar-SA"/>
        </w:rPr>
        <w:t>ثابت است براى خامسه، يعنى نفس خامسه كه به حسب اقرار، وفات از زوجيّت او شده است با انكار يكى از موارد اقارير سابقه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اظهر احتياج حمل بر خامسه مذكوره به استفسار و تفسير مقبول است در جهت اقرار نه در جهت انكار به واسطۀ بُعد فرض مذكور؛ و تغريم مى شود به حسب اقرار، به مثل نصيب يكى از چهار زن كه خمس مجموع ارث زوجه است</w:t>
      </w:r>
      <w:r>
        <w:rPr>
          <w:rFonts w:eastAsia="IRNazanin" w:cs="IRNazanin"/>
          <w:color w:val="111111"/>
          <w:sz w:val="28"/>
          <w:szCs w:val="28"/>
          <w:rtl w:val="true"/>
          <w:lang w:bidi="fa-IR"/>
        </w:rPr>
        <w:t>.</w:t>
      </w:r>
    </w:p>
    <w:p>
      <w:pPr>
        <w:pStyle w:val="Heading5"/>
        <w:numPr>
          <w:ilvl w:val="4"/>
          <w:numId w:val="1"/>
        </w:numPr>
        <w:rPr/>
      </w:pPr>
      <w:bookmarkStart w:id="2540" w:name="__RefHeading___Toc3809117_1067777946"/>
      <w:bookmarkStart w:id="2541" w:name="_Toc1071"/>
      <w:bookmarkEnd w:id="2540"/>
      <w:r>
        <w:rPr>
          <w:rtl w:val="true"/>
        </w:rPr>
        <w:t>اقرار به خمس</w:t>
      </w:r>
      <w:bookmarkEnd w:id="2541"/>
    </w:p>
    <w:p>
      <w:pPr>
        <w:pStyle w:val="BookText"/>
        <w:rPr/>
      </w:pPr>
      <w:r>
        <w:rPr>
          <w:rFonts w:ascii="IRNazanin" w:hAnsi="IRNazanin" w:eastAsia="IRNazanin"/>
          <w:color w:val="111111"/>
          <w:sz w:val="28"/>
          <w:sz w:val="28"/>
          <w:szCs w:val="28"/>
          <w:rtl w:val="true"/>
          <w:lang w:bidi="fa-IR"/>
        </w:rPr>
        <w:t>و اگر بگويد در يك دفعه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خمس زوجات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استفصال مى شود و اگر خامسه را به مطلّقه در مرض بعد از دخول و قبل از سنۀ وفات تفسير كرد، قبول مى شود، چون اجتماع در زوجيّت در زمان واحد، مقصود نبوده، و حكم زوجيّت براى مجموع، مرتب مى شود به تخميس ارث زوجه بدون غرامتى بر مقِرّ به آنها؛ مثل اقرار به چهار زن در يك دفعه كه بدون استفصال قبول مى شود و تقسيم مى شود ارث زوجه بر آنها بالسويّه بدون تغريم بر مقِرّ</w:t>
      </w:r>
      <w:r>
        <w:rPr>
          <w:rFonts w:eastAsia="IRNazanin" w:cs="IRNazanin"/>
          <w:color w:val="111111"/>
          <w:sz w:val="28"/>
          <w:szCs w:val="28"/>
          <w:rtl w:val="true"/>
          <w:lang w:bidi="fa-IR"/>
        </w:rPr>
        <w:t>.</w:t>
      </w:r>
    </w:p>
    <w:p>
      <w:pPr>
        <w:pStyle w:val="Heading5"/>
        <w:numPr>
          <w:ilvl w:val="4"/>
          <w:numId w:val="1"/>
        </w:numPr>
        <w:rPr/>
      </w:pPr>
      <w:bookmarkStart w:id="2542" w:name="__RefHeading___Toc3809119_1067777946"/>
      <w:bookmarkStart w:id="2543" w:name="_Toc1072"/>
      <w:bookmarkEnd w:id="2542"/>
      <w:r>
        <w:rPr>
          <w:rtl w:val="true"/>
        </w:rPr>
        <w:t>دفع ثمن براى زوجۀ مُقِرّ لها</w:t>
      </w:r>
      <w:bookmarkEnd w:id="2543"/>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ولد ميّت، اقرار به زوجۀ او كرد، ثُمن را به او مى دهد به نحو متقدّم در استيذان حاكم؛ پس از آن اگر اقرار به دومى كرد بدون تصديق اولى، غرامت مى نمايد نصف ثُمن را براى دومى با دفع به مباشرت مُقِرّ بدون اذن حاكم؛ و اگر با تصديق اولى باشد، تقسيم مى نمايند ثمن را بدون غرامت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اگر اقرار به ثالثه كرد بدون توافق و تصادق مجموع زنها، پس اگر اعتراف كردند دو زن در اقرار سابق بر سومى و اعتراف كرد دومى به اوّلى، از اوّلى نصف ثمن را استعاده مى نمايد به جهت اعتراف اولى به ثالثه، و از دومى كه اعتراف به اولى و سومى كرده، سدس ثمن را استعاده مى نمايد؛ پس دو ثلث ثمن نزد مُقِرّ جمع مى شود، يك ثلث را به سومى مى دهد به سبب اقرارش، و ثلث ديگر باقى مى ماند براى مُقِرّ به عوض </w:t>
      </w:r>
      <w:bookmarkStart w:id="2544" w:name="pg10265_90199"/>
    </w:p>
    <w:p>
      <w:pPr>
        <w:pStyle w:val="BookText"/>
        <w:rPr/>
      </w:pPr>
      <w:bookmarkEnd w:id="2544"/>
      <w:r>
        <w:rPr>
          <w:rFonts w:ascii="Amiri" w:hAnsi="Amiri" w:eastAsia="Amiri" w:cs="Amiri"/>
          <w:color w:val="111111"/>
          <w:sz w:val="28"/>
          <w:sz w:val="28"/>
          <w:szCs w:val="28"/>
          <w:rtl w:val="true"/>
          <w:lang w:bidi="ar-SA"/>
        </w:rPr>
        <w:t xml:space="preserve">غرامت نصف ثمن براى دومى، و فوت مى شود از مُقِرّ، سدس ثمن به سبب غرامت مذكوره، يعنى واحد از شش قسمت ثمن، و مسأله از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مى شود</w:t>
      </w:r>
      <w:r>
        <w:rPr>
          <w:rFonts w:eastAsia="Amiri" w:cs="Amiri" w:ascii="Amiri" w:hAnsi="Amiri"/>
          <w:color w:val="111111"/>
          <w:sz w:val="28"/>
          <w:szCs w:val="28"/>
          <w:rtl w:val="true"/>
          <w:lang w:bidi="ar-SA"/>
        </w:rPr>
        <w:t>.</w:t>
      </w:r>
    </w:p>
    <w:p>
      <w:pPr>
        <w:pStyle w:val="Heading5"/>
        <w:numPr>
          <w:ilvl w:val="4"/>
          <w:numId w:val="1"/>
        </w:numPr>
        <w:rPr/>
      </w:pPr>
      <w:bookmarkStart w:id="2545" w:name="__RefHeading___Toc3809121_1067777946"/>
      <w:bookmarkStart w:id="2546" w:name="_Toc1073"/>
      <w:bookmarkEnd w:id="2545"/>
      <w:r>
        <w:rPr>
          <w:rtl w:val="true"/>
        </w:rPr>
        <w:t>اقرار برادر ابى به برادر امّى</w:t>
      </w:r>
      <w:bookmarkEnd w:id="2546"/>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اقرار كرد برادر ابى به برادر امّى، سدس تركه را به او مى دهد به ترتيب متقدّم؛ پس از آن اگر اقرار كرد برادر اُمّى ميّت به دو برادر اُمّى او و تصديق كرد برادر ابى او را در اين اقرار، برادر اُمّى تسليم مى نمايد به دو برادر اُمّى، ثلث سدس را كه بالسويّه تقسيم مى نمايد بين آن دو، چون فاضل از نصيب او همين قدر است، و ثلثين سدس براى خود او باقى مى ماند، و برادر ابى تسليم مى نمايد به آن دو برادر امى، سدس ديگرى را، و مسأله از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تخريج مى شود؛ و ثلث تركه، بين سه برادر امى على السويه تقسيم مى شود و ثلثين براى برادر ابى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تكذيب كرد برادر ابى برادر اُمّى را در اقرارش به دو برادر اُمّى، براى اولى دو ثلث سدس است و براى آن دو است ثلث سدس كه زائد از نصيب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اقرار كرد برادر اُمّى به برادرى از اب يا از اُمّ يا از هر دو و لكن برادر ابى تكذيب نمود اين اقرار را، پس در حصّۀ يك برادر اُمّى كه مُقِرّ است، هيچ زيادتى لازم نمى آيد از استحقاق او و تمام حقش به او واصل است بدون زيادتى در جميع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اقرار كرد به دو برادر ابى يا از اب و اُمّ‌، در عدم فرق در حصۀ مقر؛ به خلاف صورت اقرار به دو برادر اُمّى كه گذشت بيان استحقاق در آن صورت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اقرار كردند دو برادر اُمّى به برادرى از اُمّ براى ميّت، دفع مى نمايند به ثالث، هر كدام، ثلثِ آنچه را كه در يد او است؛ پس از دفع، سه نفر متساوى در حق واصل به آنها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بين تصديق برادر ابى و تكذيب او نيست، زيرا ثلث، مستحَق دو برادر اُمّى فما زاد است</w:t>
      </w:r>
      <w:r>
        <w:rPr>
          <w:rFonts w:eastAsia="IRNazanin" w:cs="IRNazanin"/>
          <w:color w:val="111111"/>
          <w:sz w:val="28"/>
          <w:szCs w:val="28"/>
          <w:rtl w:val="true"/>
          <w:lang w:bidi="fa-IR"/>
        </w:rPr>
        <w:t xml:space="preserve">. </w:t>
      </w:r>
      <w:bookmarkStart w:id="2547" w:name="pg10265_90200"/>
    </w:p>
    <w:p>
      <w:pPr>
        <w:pStyle w:val="BookText"/>
        <w:rPr/>
      </w:pPr>
      <w:bookmarkEnd w:id="2547"/>
      <w:r>
        <w:rPr>
          <w:rFonts w:ascii="IRNazanin" w:hAnsi="IRNazanin" w:eastAsia="IRNazanin"/>
          <w:color w:val="111111"/>
          <w:sz w:val="28"/>
          <w:sz w:val="28"/>
          <w:szCs w:val="28"/>
          <w:rtl w:val="true"/>
          <w:lang w:bidi="fa-IR"/>
        </w:rPr>
        <w:t xml:space="preserve">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فرق بين تصديق و تكذيب، اگر يكى از دو برادر اُمّى اقرار كرد و ديگرى نكرد، و خصوص مقر، ثلثِ آنچه را كه در دست او است دفع مى نمايد كه زائد از استحقاق او است، به خلاف غير 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تصديق كرد برادر ابى مُقِرّ را و عادل بود، شاهدى است كه با ضميمه 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ثابت مى شود به واسطۀ بيّنه؛ و با ثابت شدن نسب با بيّنه، ثلث آنچه را كه در يد منكر است اخذ مى نمايد، به خلاف صورت عدم عدالت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نص بر خلاف شركت در اعيان وسائل 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وصايا و 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اقرار</w:t>
      </w:r>
      <w:r>
        <w:rPr>
          <w:rFonts w:eastAsia="Amiri" w:cs="Amiri" w:ascii="Amiri" w:hAnsi="Amiri"/>
          <w:color w:val="111111"/>
          <w:sz w:val="28"/>
          <w:szCs w:val="28"/>
          <w:rtl w:val="true"/>
          <w:lang w:bidi="ar-SA"/>
        </w:rPr>
        <w:t>.</w:t>
      </w:r>
    </w:p>
    <w:p>
      <w:pPr>
        <w:pStyle w:val="Heading5"/>
        <w:numPr>
          <w:ilvl w:val="4"/>
          <w:numId w:val="1"/>
        </w:numPr>
        <w:rPr/>
      </w:pPr>
      <w:bookmarkStart w:id="2548" w:name="__RefHeading___Toc3809123_1067777946"/>
      <w:bookmarkStart w:id="2549" w:name="_Toc1074"/>
      <w:bookmarkEnd w:id="2548"/>
      <w:r>
        <w:rPr>
          <w:rtl w:val="true"/>
        </w:rPr>
        <w:t>عبد بودن يا كافر بودن يكى از دو ولد</w:t>
      </w:r>
      <w:bookmarkEnd w:id="2549"/>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يكى از دو ولد، عبد يا كافر بود و اِرث نمى برد، پس ولد وارث اقرار كرد به ولدى ديگر، پس از آن عبد عتق شد يا كافر مسلمان شد قبل از قسمت ميراث، با تصديق اقرار دومى شريك مى شوند در 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تكذيب كردند بعد از زوال مانع يا تكذيب كرد كافر اگر چه قبل از زوال مانع، پس ارث نمى برند، به جهت وحدت وارث در اعتقاد ايشان پس ميراث قسمتى نبوده تا شريك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يكى از دو ولد مكلّف نبود، نصف تركه معزول مى شود؛ پس اگر بعد از زوال مانع، تصديق كرد اقرار كامل را به ديگرى، فاضل از نصيب او را به مُقَرّ له كه تصديق كرد مى دهد؛ و اگر تكذيب كرد، مالك تمام نصف در ظاهر مى شود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وفات كرد قبل از كمال، پس اظهر و موافق با مبنى در فروع متقدّمه، محكوميّت جميع به ملك متوفى است، چون اقرار بدون تصديق كبير در سائر انساب غير از اقرار به ولد صغير يا مطلق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ندارد؛ پس اگر غير سدس نمانده است، شريك مى شود مُقِرّ و مُقَرّ له در ارث به حسب اعتقاد آن دو از ولد متوفى كه وارث والد بوده است؛ و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مقام، مبنى بر شركت در اعيان است</w:t>
      </w:r>
      <w:r>
        <w:rPr>
          <w:rFonts w:eastAsia="IRNazanin" w:cs="IRNazanin"/>
          <w:color w:val="111111"/>
          <w:sz w:val="28"/>
          <w:szCs w:val="28"/>
          <w:rtl w:val="true"/>
          <w:lang w:bidi="fa-IR"/>
        </w:rPr>
        <w:t xml:space="preserve">. </w:t>
      </w:r>
      <w:bookmarkStart w:id="2550" w:name="pg10265_90201"/>
    </w:p>
    <w:p>
      <w:pPr>
        <w:pStyle w:val="Heading5"/>
        <w:numPr>
          <w:ilvl w:val="4"/>
          <w:numId w:val="1"/>
        </w:numPr>
        <w:rPr/>
      </w:pPr>
      <w:bookmarkStart w:id="2551" w:name="__RefHeading___Toc3809125_1067777946"/>
      <w:bookmarkStart w:id="2552" w:name="_Toc1075"/>
      <w:bookmarkEnd w:id="2550"/>
      <w:bookmarkEnd w:id="2551"/>
      <w:r>
        <w:rPr>
          <w:rtl w:val="true"/>
        </w:rPr>
        <w:t>اقرار ولد به ولد و انكار ديگرى</w:t>
      </w:r>
      <w:bookmarkEnd w:id="2552"/>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اقرار كرد احد ولدين ميّت به پسرى براى ميّت و برادر دوم انكار كرد بنوّت را پس از آن منكر، وفات نمود و داراى پسرى بود كه تصديق نمود مُقِرّ را، اظهر ثبوت نسب مختلفٌ فيه براى عم ولد ميّت با ولد ميّت است در صورت عدالت مُقِرّ و مصدِّق، و لازمه اش عدم استحقاق پدر مصدّق است از تركه والد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ازيد از ثلث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عدم ثبوت نسب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صورت عدم عدالت مجموع دو شاهد كه فقط حكم اقرار نسبت به سدس اين عملى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موجَّه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عدم مسموعيّت شهادت بر اب، با آنكه شهادت در صورت اعتقاد شاهد ملازمه را ثبوتاً و اثباتاً خواهد بود، وگرنه شهادت بر ملزوم، شهادت بر لازم نيست، و شرط نيست در شهادت براى اجنبى عدم تكذيب اب شاهد او را اگر چه مستلزم نقص حقّ اب محل همين اشكال است اگر دفع نشود به آنچه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 در قبول اين شهادت بر نسب بر اب بعد از موت او، 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محل تحقيق آن در شهادات است، 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و الصلاة على محمّد و آله الطاهرين و اللعن علىٰ أعدائهم أجمعين</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تحرير شد 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bookmarkStart w:id="2553" w:name="pg10265_90202"/>
    </w:p>
    <w:p>
      <w:pPr>
        <w:pStyle w:val="Heading2"/>
        <w:numPr>
          <w:ilvl w:val="1"/>
          <w:numId w:val="1"/>
        </w:numPr>
        <w:rPr/>
      </w:pPr>
      <w:bookmarkStart w:id="2554" w:name="__RefHeading___Toc3809127_1067777946"/>
      <w:bookmarkStart w:id="2555" w:name="_Toc1076"/>
      <w:bookmarkEnd w:id="2553"/>
      <w:bookmarkEnd w:id="2554"/>
      <w:r>
        <w:rPr>
          <w:rtl w:val="true"/>
        </w:rPr>
        <w:t>كتاب جعاله</w:t>
      </w:r>
      <w:bookmarkEnd w:id="2555"/>
    </w:p>
    <w:p>
      <w:pPr>
        <w:pStyle w:val="Heading3"/>
        <w:numPr>
          <w:ilvl w:val="2"/>
          <w:numId w:val="1"/>
        </w:numPr>
        <w:rPr/>
      </w:pPr>
      <w:bookmarkStart w:id="2556" w:name="__RefHeading___Toc3809129_1067777946"/>
      <w:bookmarkStart w:id="2557" w:name="_Toc1077"/>
      <w:bookmarkEnd w:id="2556"/>
      <w:r>
        <w:rPr>
          <w:rtl w:val="true"/>
        </w:rPr>
        <w:t>اشاره</w:t>
      </w:r>
      <w:bookmarkEnd w:id="2557"/>
    </w:p>
    <w:p>
      <w:pPr>
        <w:pStyle w:val="BookText"/>
        <w:rPr/>
      </w:pPr>
      <w:r>
        <w:rPr>
          <w:rFonts w:ascii="Amiri" w:hAnsi="Amiri" w:eastAsia="Amiri" w:cs="Amiri"/>
          <w:color w:val="111111"/>
          <w:sz w:val="28"/>
          <w:sz w:val="28"/>
          <w:szCs w:val="28"/>
          <w:rtl w:val="true"/>
          <w:lang w:bidi="ar-SA"/>
        </w:rPr>
        <w:t>نحوۀ تحقّق جعاله و شرايط عامل</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جعاله و مسائل تنازع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58" w:name="pg10265_90204"/>
      <w:bookmarkStart w:id="2559" w:name="pg10265_90204"/>
      <w:bookmarkEnd w:id="2559"/>
    </w:p>
    <w:p>
      <w:pPr>
        <w:pStyle w:val="Heading3"/>
        <w:numPr>
          <w:ilvl w:val="2"/>
          <w:numId w:val="1"/>
        </w:numPr>
        <w:rPr/>
      </w:pPr>
      <w:bookmarkStart w:id="2560" w:name="pg10265_90204"/>
      <w:bookmarkStart w:id="2561" w:name="__RefHeading___Toc3809131_1067777946"/>
      <w:bookmarkStart w:id="2562" w:name="_Toc1078"/>
      <w:bookmarkEnd w:id="2560"/>
      <w:bookmarkEnd w:id="2561"/>
      <w:r>
        <w:rPr>
          <w:rtl w:val="true"/>
        </w:rPr>
        <w:t>فصل اوّل نحوۀ تحقّق جعاله و شرايط عامل</w:t>
      </w:r>
      <w:bookmarkEnd w:id="2562"/>
    </w:p>
    <w:p>
      <w:pPr>
        <w:pStyle w:val="Heading4"/>
        <w:numPr>
          <w:ilvl w:val="3"/>
          <w:numId w:val="1"/>
        </w:numPr>
        <w:rPr/>
      </w:pPr>
      <w:bookmarkStart w:id="2563" w:name="__RefHeading___Toc3809133_1067777946"/>
      <w:bookmarkStart w:id="2564" w:name="_Toc1079"/>
      <w:bookmarkEnd w:id="2563"/>
      <w:r>
        <w:rPr>
          <w:rtl w:val="true"/>
        </w:rPr>
        <w:t>اشاره</w:t>
      </w:r>
      <w:bookmarkEnd w:id="2564"/>
    </w:p>
    <w:p>
      <w:pPr>
        <w:pStyle w:val="BookText"/>
        <w:rPr/>
      </w:pPr>
      <w:r>
        <w:rPr>
          <w:rFonts w:ascii="Amiri" w:hAnsi="Amiri" w:eastAsia="Amiri" w:cs="Amiri"/>
          <w:color w:val="111111"/>
          <w:sz w:val="28"/>
          <w:sz w:val="28"/>
          <w:szCs w:val="28"/>
          <w:rtl w:val="true"/>
          <w:lang w:bidi="ar-SA"/>
        </w:rPr>
        <w:t>فصل اوّل نحوۀ تحقّق جعاله و شرايط عامل</w:t>
      </w:r>
      <w:r>
        <w:rPr>
          <w:rStyle w:val="FootnoteAnchor"/>
          <w:rtl w:val="true"/>
        </w:rPr>
        <w:footnoteReference w:id="15"/>
      </w:r>
    </w:p>
    <w:p>
      <w:pPr>
        <w:pStyle w:val="Heading4"/>
        <w:numPr>
          <w:ilvl w:val="3"/>
          <w:numId w:val="1"/>
        </w:numPr>
        <w:rPr/>
      </w:pPr>
      <w:bookmarkStart w:id="2565" w:name="__RefHeading___Toc3809135_1067777946"/>
      <w:bookmarkStart w:id="2566" w:name="_Toc1080"/>
      <w:bookmarkEnd w:id="2565"/>
      <w:r>
        <w:rPr>
          <w:rtl w:val="true"/>
        </w:rPr>
        <w:t>نحوۀ تحقق جعاله</w:t>
      </w:r>
      <w:bookmarkEnd w:id="2566"/>
    </w:p>
    <w:p>
      <w:pPr>
        <w:pStyle w:val="BookText"/>
        <w:rPr/>
      </w:pPr>
      <w:r>
        <w:rPr>
          <w:rFonts w:ascii="Amiri" w:hAnsi="Amiri" w:eastAsia="Amiri" w:cs="Amiri"/>
          <w:color w:val="111111"/>
          <w:sz w:val="28"/>
          <w:sz w:val="28"/>
          <w:szCs w:val="28"/>
          <w:rtl w:val="true"/>
          <w:lang w:bidi="ar-SA"/>
        </w:rPr>
        <w:t>محقّق مى شود جعاله به التزام انشائى به عوض بر عمل محلّل عقلايى با دالّ بر آن از صيغ، به نحوى كه جارى مجراى اجارة در عمل مجهول يا بدون تعيين مدت و نحو آن باشد</w:t>
      </w:r>
      <w:r>
        <w:rPr>
          <w:rFonts w:eastAsia="Amiri" w:cs="Amiri" w:ascii="Amiri" w:hAnsi="Amiri"/>
          <w:color w:val="111111"/>
          <w:sz w:val="28"/>
          <w:szCs w:val="28"/>
          <w:rtl w:val="true"/>
          <w:lang w:bidi="ar-SA"/>
        </w:rPr>
        <w:t>.</w:t>
      </w:r>
    </w:p>
    <w:p>
      <w:pPr>
        <w:pStyle w:val="Heading4"/>
        <w:numPr>
          <w:ilvl w:val="3"/>
          <w:numId w:val="1"/>
        </w:numPr>
        <w:rPr/>
      </w:pPr>
      <w:bookmarkStart w:id="2567" w:name="__RefHeading___Toc3809137_1067777946"/>
      <w:bookmarkStart w:id="2568" w:name="_Toc1081"/>
      <w:bookmarkEnd w:id="2567"/>
      <w:r>
        <w:rPr>
          <w:rtl w:val="true"/>
        </w:rPr>
        <w:t>تحقق جعاله به دلالت لفظ يا عمل بر مؤدّاى جعاله</w:t>
      </w:r>
      <w:bookmarkEnd w:id="2568"/>
    </w:p>
    <w:p>
      <w:pPr>
        <w:pStyle w:val="BookText"/>
        <w:rPr/>
      </w:pPr>
      <w:r>
        <w:rPr>
          <w:rFonts w:ascii="Amiri" w:hAnsi="Amiri" w:eastAsia="Amiri" w:cs="Amiri"/>
          <w:color w:val="111111"/>
          <w:sz w:val="28"/>
          <w:sz w:val="28"/>
          <w:szCs w:val="28"/>
          <w:rtl w:val="true"/>
          <w:lang w:bidi="ar-SA"/>
        </w:rPr>
        <w:t xml:space="preserve">و دلالت لفظ يا فعل بر اذن در عمل به عوض، كافى است در احكام و لزوم عوض؛ و فرقى بين مقيّد به زمان مخصوص يا مكان مخصوص و غير آن در لزوم و حكم بر طبق جَعل نيست؛ و بين تعليق عوض بر عمل به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ضالّتى فله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رددت ضالّتى فلك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نيست</w:t>
      </w:r>
      <w:r>
        <w:rPr>
          <w:rFonts w:eastAsia="Amiri" w:cs="Amiri" w:ascii="Amiri" w:hAnsi="Amiri"/>
          <w:color w:val="111111"/>
          <w:sz w:val="28"/>
          <w:szCs w:val="28"/>
          <w:rtl w:val="true"/>
          <w:lang w:bidi="ar-SA"/>
        </w:rPr>
        <w:t>.</w:t>
      </w:r>
    </w:p>
    <w:p>
      <w:pPr>
        <w:pStyle w:val="Heading4"/>
        <w:numPr>
          <w:ilvl w:val="3"/>
          <w:numId w:val="1"/>
        </w:numPr>
        <w:rPr/>
      </w:pPr>
      <w:bookmarkStart w:id="2569" w:name="__RefHeading___Toc3809139_1067777946"/>
      <w:bookmarkStart w:id="2570" w:name="_Toc1082"/>
      <w:bookmarkEnd w:id="2569"/>
      <w:r>
        <w:rPr>
          <w:rtl w:val="true"/>
        </w:rPr>
        <w:t>ايجاب و قبول در جعاله</w:t>
      </w:r>
      <w:bookmarkEnd w:id="2570"/>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معتبر است در جعاله،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فعل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عقود جائزه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نه‌؟ اظهر عدم اعتبار است؛ پس در صورتى كه عمل را نه به قصد تبرّع و نه به قصد عوض به جا آورده و مستحق اجرت آن نباشد يا آنكه اجرت كمتر از جُعل مقرر باشد، مستحق تمام جُعل است، مثل صورتى كه به صورت معاقده با ايجاب و </w:t>
      </w:r>
      <w:bookmarkStart w:id="2571" w:name="pg10265_90205"/>
    </w:p>
    <w:p>
      <w:pPr>
        <w:pStyle w:val="BookText"/>
        <w:rPr/>
      </w:pPr>
      <w:bookmarkEnd w:id="2571"/>
      <w:r>
        <w:rPr>
          <w:rFonts w:ascii="Amiri" w:hAnsi="Amiri" w:eastAsia="Amiri" w:cs="Amiri"/>
          <w:color w:val="111111"/>
          <w:sz w:val="28"/>
          <w:sz w:val="28"/>
          <w:szCs w:val="28"/>
          <w:rtl w:val="true"/>
          <w:lang w:bidi="ar-SA"/>
        </w:rPr>
        <w:t>قبول با شخص معينى انجام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ايجاب، عام باشد، قبول بعضى، موجب انحصار قرار جُعل با او نمى شود؛ بلكه اگر غير قابل، انجام عمل داد، مستحق جُعل مى شود</w:t>
      </w:r>
      <w:r>
        <w:rPr>
          <w:rFonts w:eastAsia="IRNazanin" w:cs="IRNazanin"/>
          <w:color w:val="111111"/>
          <w:sz w:val="28"/>
          <w:szCs w:val="28"/>
          <w:rtl w:val="true"/>
          <w:lang w:bidi="fa-IR"/>
        </w:rPr>
        <w:t>.</w:t>
      </w:r>
    </w:p>
    <w:p>
      <w:pPr>
        <w:pStyle w:val="Heading4"/>
        <w:numPr>
          <w:ilvl w:val="3"/>
          <w:numId w:val="1"/>
        </w:numPr>
        <w:rPr/>
      </w:pPr>
      <w:bookmarkStart w:id="2572" w:name="__RefHeading___Toc3809141_1067777946"/>
      <w:bookmarkStart w:id="2573" w:name="_Toc1083"/>
      <w:bookmarkEnd w:id="2572"/>
      <w:r>
        <w:rPr>
          <w:rtl w:val="true"/>
        </w:rPr>
        <w:t>آنچه جعاله بر آن صحيح است</w:t>
      </w:r>
      <w:bookmarkEnd w:id="2573"/>
    </w:p>
    <w:p>
      <w:pPr>
        <w:pStyle w:val="BookText"/>
        <w:rPr/>
      </w:pPr>
      <w:r>
        <w:rPr>
          <w:rFonts w:ascii="IRNazanin" w:hAnsi="IRNazanin" w:eastAsia="IRNazanin"/>
          <w:color w:val="111111"/>
          <w:sz w:val="28"/>
          <w:sz w:val="28"/>
          <w:szCs w:val="28"/>
          <w:rtl w:val="true"/>
          <w:lang w:bidi="fa-IR"/>
        </w:rPr>
        <w:t>صحيح است جعاله بر هر عمل مقصود عقلايى، كه سفهى نباشد عمل يا جَعل عوض بر آن، كه حرام نباشد، و هم چنين واجب نباشد بنا بر منافات وجوب با بعض اقسام آن، با استحقاق عوض از غير كه منتفع به آن است</w:t>
      </w:r>
      <w:r>
        <w:rPr>
          <w:rFonts w:eastAsia="IRNazanin" w:cs="IRNazanin"/>
          <w:color w:val="111111"/>
          <w:sz w:val="28"/>
          <w:szCs w:val="28"/>
          <w:rtl w:val="true"/>
          <w:lang w:bidi="fa-IR"/>
        </w:rPr>
        <w:t>.</w:t>
      </w:r>
    </w:p>
    <w:p>
      <w:pPr>
        <w:pStyle w:val="Heading4"/>
        <w:numPr>
          <w:ilvl w:val="3"/>
          <w:numId w:val="1"/>
        </w:numPr>
        <w:rPr/>
      </w:pPr>
      <w:bookmarkStart w:id="2574" w:name="__RefHeading___Toc3809143_1067777946"/>
      <w:bookmarkStart w:id="2575" w:name="_Toc1084"/>
      <w:bookmarkEnd w:id="2574"/>
      <w:r>
        <w:rPr>
          <w:rtl w:val="true"/>
        </w:rPr>
        <w:t>خصوصيت عمل در جعاله</w:t>
      </w:r>
      <w:bookmarkEnd w:id="2575"/>
    </w:p>
    <w:p>
      <w:pPr>
        <w:pStyle w:val="BookText"/>
        <w:rPr/>
      </w:pPr>
      <w:r>
        <w:rPr>
          <w:rFonts w:ascii="IRNazanin" w:hAnsi="IRNazanin" w:eastAsia="IRNazanin"/>
          <w:color w:val="111111"/>
          <w:sz w:val="28"/>
          <w:sz w:val="28"/>
          <w:szCs w:val="28"/>
          <w:rtl w:val="true"/>
          <w:lang w:bidi="fa-IR"/>
        </w:rPr>
        <w:t xml:space="preserve">عمل در جعاله بايد محتمل الوجود باشد اگر چه خصوصياتش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مقدار مسافت سير در رد آبق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باشد به نحوى كه عوض يا معوّض واقع نمى شود در معاوضاتى كه معلوميّت عوض و معوّض لازم است در آنها مثل اجاره</w:t>
      </w:r>
      <w:r>
        <w:rPr>
          <w:rFonts w:eastAsia="IRNazanin" w:cs="IRNazanin"/>
          <w:color w:val="111111"/>
          <w:sz w:val="28"/>
          <w:szCs w:val="28"/>
          <w:rtl w:val="true"/>
          <w:lang w:bidi="fa-IR"/>
        </w:rPr>
        <w:t>.</w:t>
      </w:r>
    </w:p>
    <w:p>
      <w:pPr>
        <w:pStyle w:val="Heading4"/>
        <w:numPr>
          <w:ilvl w:val="3"/>
          <w:numId w:val="1"/>
        </w:numPr>
        <w:rPr/>
      </w:pPr>
      <w:bookmarkStart w:id="2576" w:name="__RefHeading___Toc3809145_1067777946"/>
      <w:bookmarkStart w:id="2577" w:name="_Toc1085"/>
      <w:bookmarkEnd w:id="2576"/>
      <w:r>
        <w:rPr>
          <w:rtl w:val="true"/>
        </w:rPr>
        <w:t>معلوميّت عوض</w:t>
      </w:r>
      <w:bookmarkEnd w:id="2577"/>
    </w:p>
    <w:p>
      <w:pPr>
        <w:pStyle w:val="BookText"/>
        <w:rPr/>
      </w:pPr>
      <w:r>
        <w:rPr>
          <w:rFonts w:ascii="IRNazanin" w:hAnsi="IRNazanin" w:eastAsia="IRNazanin"/>
          <w:color w:val="111111"/>
          <w:sz w:val="28"/>
          <w:sz w:val="28"/>
          <w:szCs w:val="28"/>
          <w:rtl w:val="true"/>
          <w:lang w:bidi="fa-IR"/>
        </w:rPr>
        <w:t xml:space="preserve">اظهر در عوض جعاله،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معلوميّت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رافع غرر آن باشد در لزوم اداء آن و استحقاق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صحّت جعاله با مجهول بودن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در صورتى كه مؤدّى به تنازع نباشد،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عبدي فله 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معرضيّت تنازع نيست و منع از تسليم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مجهول بودن عوض، اجرت المثل عمل ثابت است در صورت عدم انتهاى امر به قصد عامل، مجّانيّت را</w:t>
      </w:r>
      <w:r>
        <w:rPr>
          <w:rFonts w:eastAsia="Amiri" w:cs="Amiri" w:ascii="Amiri" w:hAnsi="Amiri"/>
          <w:color w:val="111111"/>
          <w:sz w:val="28"/>
          <w:szCs w:val="28"/>
          <w:rtl w:val="true"/>
          <w:lang w:bidi="ar-SA"/>
        </w:rPr>
        <w:t>.</w:t>
      </w:r>
    </w:p>
    <w:p>
      <w:pPr>
        <w:pStyle w:val="Heading4"/>
        <w:numPr>
          <w:ilvl w:val="3"/>
          <w:numId w:val="1"/>
        </w:numPr>
        <w:rPr/>
      </w:pPr>
      <w:bookmarkStart w:id="2578" w:name="__RefHeading___Toc3809147_1067777946"/>
      <w:bookmarkStart w:id="2579" w:name="_Toc1086"/>
      <w:bookmarkEnd w:id="2578"/>
      <w:r>
        <w:rPr>
          <w:rtl w:val="true"/>
        </w:rPr>
        <w:t>جُعل غير مملوك</w:t>
      </w:r>
      <w:bookmarkEnd w:id="2579"/>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غير مملوك، تعيين آن به منزلۀ عدم است؛ و در صورت اعتقاد ملكيّت، مستحق اجرت المثل عمل است</w:t>
      </w:r>
      <w:r>
        <w:rPr>
          <w:rFonts w:eastAsia="Amiri" w:cs="Amiri" w:ascii="Amiri" w:hAnsi="Amiri"/>
          <w:color w:val="111111"/>
          <w:sz w:val="28"/>
          <w:szCs w:val="28"/>
          <w:rtl w:val="true"/>
          <w:lang w:bidi="ar-SA"/>
        </w:rPr>
        <w:t xml:space="preserve">. </w:t>
      </w:r>
      <w:bookmarkStart w:id="2580" w:name="pg10265_90206"/>
    </w:p>
    <w:p>
      <w:pPr>
        <w:pStyle w:val="BookText"/>
        <w:rPr/>
      </w:pPr>
      <w:bookmarkEnd w:id="2580"/>
      <w:r>
        <w:rPr>
          <w:rFonts w:ascii="Amiri" w:hAnsi="Amiri" w:eastAsia="Amiri" w:cs="Amiri"/>
          <w:color w:val="111111"/>
          <w:sz w:val="28"/>
          <w:sz w:val="28"/>
          <w:szCs w:val="28"/>
          <w:rtl w:val="true"/>
          <w:lang w:bidi="ar-SA"/>
        </w:rPr>
        <w:t>و ذمّى خمر را براى مثل خودش جُعل قرار مى دهد؛ و با اسلام قبل از قبض، قيمت، دفع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عمل را به صورت ترديد در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رد عبد يا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قرار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جمع بين مدت و عمل در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رد عبد از مِصر در ماه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w:t>
      </w:r>
      <w:r>
        <w:rPr>
          <w:rFonts w:eastAsia="Amiri" w:cs="Amiri" w:ascii="Amiri" w:hAnsi="Amiri"/>
          <w:color w:val="111111"/>
          <w:sz w:val="28"/>
          <w:szCs w:val="28"/>
          <w:rtl w:val="true"/>
          <w:lang w:bidi="ar-SA"/>
        </w:rPr>
        <w:t>.</w:t>
      </w:r>
    </w:p>
    <w:p>
      <w:pPr>
        <w:pStyle w:val="Heading4"/>
        <w:numPr>
          <w:ilvl w:val="3"/>
          <w:numId w:val="1"/>
        </w:numPr>
        <w:rPr/>
      </w:pPr>
      <w:bookmarkStart w:id="2581" w:name="__RefHeading___Toc3809149_1067777946"/>
      <w:bookmarkStart w:id="2582" w:name="_Toc1087"/>
      <w:bookmarkEnd w:id="2581"/>
      <w:r>
        <w:rPr>
          <w:rtl w:val="true"/>
        </w:rPr>
        <w:t>اشتراط اهليّت استيجار در جاعل</w:t>
      </w:r>
      <w:bookmarkEnd w:id="2582"/>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اهليّت استيجار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جاعل، معتبر است، پس غير كامل، قرار او نافذ نيست، مثل صبى و مجنون و سفيه و محجورٌ عليه براى افلاس و مكرَه و غير قاصد</w:t>
      </w:r>
      <w:r>
        <w:rPr>
          <w:rFonts w:eastAsia="IRNazanin" w:cs="IRNazanin"/>
          <w:color w:val="111111"/>
          <w:sz w:val="28"/>
          <w:szCs w:val="28"/>
          <w:rtl w:val="true"/>
          <w:lang w:bidi="fa-IR"/>
        </w:rPr>
        <w:t>.</w:t>
      </w:r>
    </w:p>
    <w:p>
      <w:pPr>
        <w:pStyle w:val="Heading4"/>
        <w:numPr>
          <w:ilvl w:val="3"/>
          <w:numId w:val="1"/>
        </w:numPr>
        <w:rPr/>
      </w:pPr>
      <w:bookmarkStart w:id="2583" w:name="__RefHeading___Toc3809151_1067777946"/>
      <w:bookmarkStart w:id="2584" w:name="_Toc1088"/>
      <w:bookmarkEnd w:id="2583"/>
      <w:r>
        <w:rPr>
          <w:rtl w:val="true"/>
        </w:rPr>
        <w:t>اعتبار امكان صدور از عامل</w:t>
      </w:r>
      <w:bookmarkEnd w:id="2584"/>
    </w:p>
    <w:p>
      <w:pPr>
        <w:pStyle w:val="BookText"/>
        <w:rPr/>
      </w:pPr>
      <w:r>
        <w:rPr>
          <w:rFonts w:ascii="Amiri" w:hAnsi="Amiri" w:eastAsia="Amiri" w:cs="Amiri"/>
          <w:color w:val="111111"/>
          <w:sz w:val="28"/>
          <w:sz w:val="28"/>
          <w:szCs w:val="28"/>
          <w:rtl w:val="true"/>
          <w:lang w:bidi="ar-SA"/>
        </w:rPr>
        <w:t xml:space="preserve">و معتبر است در 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امكان صدور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به نحو مشروع در مجعول از مباشرت يا تسبيب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اظهر استحقاق صبى مميّز است جُعل را با عمل بعد از قرار جاعل اگر چه بدون اذن ولىّ 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استحقاق غير مميز است</w:t>
      </w:r>
      <w:r>
        <w:rPr>
          <w:rFonts w:eastAsia="IRNazanin" w:cs="IRNazanin"/>
          <w:color w:val="111111"/>
          <w:sz w:val="28"/>
          <w:szCs w:val="28"/>
          <w:rtl w:val="true"/>
          <w:lang w:bidi="fa-IR"/>
        </w:rPr>
        <w:t>.</w:t>
      </w:r>
    </w:p>
    <w:p>
      <w:pPr>
        <w:pStyle w:val="Heading4"/>
        <w:numPr>
          <w:ilvl w:val="3"/>
          <w:numId w:val="1"/>
        </w:numPr>
        <w:rPr/>
      </w:pPr>
      <w:bookmarkStart w:id="2585" w:name="__RefHeading___Toc3809153_1067777946"/>
      <w:bookmarkStart w:id="2586" w:name="_Toc1089"/>
      <w:bookmarkEnd w:id="2585"/>
      <w:r>
        <w:rPr>
          <w:rtl w:val="true"/>
        </w:rPr>
        <w:t>عدم اعتبار تعيين عامل</w:t>
      </w:r>
      <w:bookmarkEnd w:id="2586"/>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نيست در صحّت جعاله و استحقاق جُعل به سبب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جعاله متعيّن بود در يكى، پس عمل از ديگرى صادر شد، مثل عمل بدون جعاله و بدون اذن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اجنبى اگر تبرّع به جُعل كرد، بر او است جُعل با تحقّق عمل؛ و در صورتى كه به قصد مالك، جَعل كرد و مالك اجازه كرد، محتمل است جريان فضولى در آن، و با آن بر مالك است جُعل</w:t>
      </w:r>
      <w:r>
        <w:rPr>
          <w:rFonts w:eastAsia="IRNazanin" w:cs="IRNazanin"/>
          <w:color w:val="111111"/>
          <w:sz w:val="28"/>
          <w:szCs w:val="28"/>
          <w:rtl w:val="true"/>
          <w:lang w:bidi="fa-IR"/>
        </w:rPr>
        <w:t>.</w:t>
      </w:r>
    </w:p>
    <w:p>
      <w:pPr>
        <w:pStyle w:val="Heading4"/>
        <w:numPr>
          <w:ilvl w:val="3"/>
          <w:numId w:val="1"/>
        </w:numPr>
        <w:rPr/>
      </w:pPr>
      <w:bookmarkStart w:id="2587" w:name="__RefHeading___Toc3809155_1067777946"/>
      <w:bookmarkStart w:id="2588" w:name="_Toc1090"/>
      <w:bookmarkEnd w:id="2587"/>
      <w:r>
        <w:rPr>
          <w:rtl w:val="true"/>
        </w:rPr>
        <w:t>اناطۀ استحقاق به تسليم به مالك</w:t>
      </w:r>
      <w:bookmarkEnd w:id="2588"/>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استحقاق جُعل، موقوف بر فعليّت تسليم به مالك است، پس اگر آبق را به محل </w:t>
      </w:r>
      <w:bookmarkStart w:id="2589" w:name="pg10265_90207"/>
    </w:p>
    <w:p>
      <w:pPr>
        <w:pStyle w:val="BookText"/>
        <w:rPr/>
      </w:pPr>
      <w:bookmarkEnd w:id="2589"/>
      <w:r>
        <w:rPr>
          <w:rFonts w:ascii="IRNazanin" w:hAnsi="IRNazanin" w:eastAsia="IRNazanin"/>
          <w:color w:val="111111"/>
          <w:sz w:val="28"/>
          <w:sz w:val="28"/>
          <w:szCs w:val="28"/>
          <w:rtl w:val="true"/>
          <w:lang w:bidi="fa-IR"/>
        </w:rPr>
        <w:t>مالك رسانيد و قبل از قبض او فرار كرد، مستحق جعل نيست، مگر با تصريح جاعل به كفايت همان مقدار از ايصال، در 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ذكر شد اگر چه مورد اتفاق محكىّ است لكن خالى از اشكال نيست، بلكه استحقاق به نسبت بعض رد از رد تامّ‌، خالى از 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خاط لي هذا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استحقاق جعل است بدون تسليم مگر با قرينه بر خلاف</w:t>
      </w:r>
      <w:r>
        <w:rPr>
          <w:rFonts w:eastAsia="IRNazanin" w:cs="IRNazanin"/>
          <w:color w:val="111111"/>
          <w:sz w:val="28"/>
          <w:szCs w:val="28"/>
          <w:rtl w:val="true"/>
          <w:lang w:bidi="fa-IR"/>
        </w:rPr>
        <w:t>.</w:t>
      </w:r>
    </w:p>
    <w:p>
      <w:pPr>
        <w:pStyle w:val="Heading4"/>
        <w:numPr>
          <w:ilvl w:val="3"/>
          <w:numId w:val="1"/>
        </w:numPr>
        <w:rPr/>
      </w:pPr>
      <w:bookmarkStart w:id="2590" w:name="__RefHeading___Toc3809157_1067777946"/>
      <w:bookmarkStart w:id="2591" w:name="_Toc1091"/>
      <w:bookmarkEnd w:id="2590"/>
      <w:r>
        <w:rPr>
          <w:rtl w:val="true"/>
        </w:rPr>
        <w:t>موت آبق قبل از تسليم</w:t>
      </w:r>
      <w:bookmarkEnd w:id="2591"/>
    </w:p>
    <w:p>
      <w:pPr>
        <w:pStyle w:val="BookText"/>
        <w:rPr/>
      </w:pPr>
      <w:r>
        <w:rPr>
          <w:rFonts w:ascii="Amiri" w:hAnsi="Amiri" w:eastAsia="Amiri" w:cs="Amiri"/>
          <w:color w:val="111111"/>
          <w:sz w:val="28"/>
          <w:sz w:val="28"/>
          <w:szCs w:val="28"/>
          <w:rtl w:val="true"/>
          <w:lang w:bidi="ar-SA"/>
        </w:rPr>
        <w:t>و با موت آبق قبل از تسليم، اظهر استحقاق اجرت است بالنسبه به عمل محقّق از مجموع معوّض به اجرت؛ و در اينكه مستحَق، بعض اجرت المثل رد تامّ يا بعض جعل رد به مالك است به نسبت به تمام، تأمّل است، و راجح در فرض مذكور، دوم است</w:t>
      </w:r>
      <w:r>
        <w:rPr>
          <w:rFonts w:eastAsia="Amiri" w:cs="Amiri" w:ascii="Amiri" w:hAnsi="Amiri"/>
          <w:color w:val="111111"/>
          <w:sz w:val="28"/>
          <w:szCs w:val="28"/>
          <w:rtl w:val="true"/>
          <w:lang w:bidi="ar-SA"/>
        </w:rPr>
        <w:t>.</w:t>
      </w:r>
    </w:p>
    <w:p>
      <w:pPr>
        <w:pStyle w:val="Heading4"/>
        <w:numPr>
          <w:ilvl w:val="3"/>
          <w:numId w:val="1"/>
        </w:numPr>
        <w:rPr/>
      </w:pPr>
      <w:bookmarkStart w:id="2592" w:name="__RefHeading___Toc3809159_1067777946"/>
      <w:bookmarkStart w:id="2593" w:name="_Toc1092"/>
      <w:bookmarkEnd w:id="2592"/>
      <w:r>
        <w:rPr>
          <w:rtl w:val="true"/>
        </w:rPr>
        <w:t>عدم لزومى بودن جعاله</w:t>
      </w:r>
      <w:bookmarkEnd w:id="2593"/>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جعاله جائز است، از طرف جاعل و عامل، قبل از شروع در عمل و بعد از آن، و معقد بودن آن به همان معنايى است كه به آن اشاره شد؛ و با فسخ، مستحق آنچه توزيع مى شود از جعل مسمّى به اعمال گذشته از مصداق عمل مورد جعاله است، نه از مقدّمات خارجه كه توزيع جعل بر آنها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مماثلت انفساخ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موت آبق يا عامل يا منع ظالم از عمل يا تعذّر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فسخ در حكم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است، و محتمل است استحقاق اجرت المثل عمل، يعنى آن بعضى كه تامّ آن مصداق عمل مورد جعاله است، و احوط مصالحه است اگر چه اول خالى از وجه نيست</w:t>
      </w:r>
      <w:r>
        <w:rPr>
          <w:rFonts w:eastAsia="IRNazanin" w:cs="IRNazanin"/>
          <w:color w:val="111111"/>
          <w:sz w:val="28"/>
          <w:szCs w:val="28"/>
          <w:rtl w:val="true"/>
          <w:lang w:bidi="fa-IR"/>
        </w:rPr>
        <w:t xml:space="preserve">. </w:t>
      </w:r>
      <w:bookmarkStart w:id="2594" w:name="pg10265_90208"/>
    </w:p>
    <w:p>
      <w:pPr>
        <w:pStyle w:val="Heading4"/>
        <w:numPr>
          <w:ilvl w:val="3"/>
          <w:numId w:val="1"/>
        </w:numPr>
        <w:rPr/>
      </w:pPr>
      <w:bookmarkStart w:id="2595" w:name="__RefHeading___Toc3809161_1067777946"/>
      <w:bookmarkStart w:id="2596" w:name="_Toc1093"/>
      <w:bookmarkEnd w:id="2594"/>
      <w:bookmarkEnd w:id="2595"/>
      <w:r>
        <w:rPr>
          <w:rtl w:val="true"/>
        </w:rPr>
        <w:t>فسخ عامل</w:t>
      </w:r>
      <w:bookmarkEnd w:id="2596"/>
    </w:p>
    <w:p>
      <w:pPr>
        <w:pStyle w:val="BookText"/>
        <w:rPr/>
      </w:pPr>
      <w:r>
        <w:rPr>
          <w:rFonts w:ascii="IRNazanin" w:hAnsi="IRNazanin" w:eastAsia="IRNazanin"/>
          <w:color w:val="111111"/>
          <w:sz w:val="28"/>
          <w:sz w:val="28"/>
          <w:szCs w:val="28"/>
          <w:rtl w:val="true"/>
          <w:lang w:bidi="fa-IR"/>
        </w:rPr>
        <w:t>اگر فسخ كرد عامل و رفع يد از عمل كرد، عقدى كه عبارت از ايجاب جاعل است، منفسخ نمى شود؛ و مرجع فسخ عامل، به عدم وجوب جرى عملى است در هر وقت كه بخواهد رفع يد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فسخ بعد از وصول در يد عامل قبل از ايصال به مالك، گذشت حكم توزيع جُعل به آنچه محقّق شده است؛ و بعد از آن غير از تكليف به اداء به ايصال يا اعلام مالك نيست، مگر آنكه عمل باقى مانده اجرت المثل داشته باشد و با شاهد حال، احراز اذن مالكى به ايصال نمايد</w:t>
      </w:r>
      <w:r>
        <w:rPr>
          <w:rFonts w:eastAsia="IRNazanin" w:cs="IRNazanin"/>
          <w:color w:val="111111"/>
          <w:sz w:val="28"/>
          <w:szCs w:val="28"/>
          <w:rtl w:val="true"/>
          <w:lang w:bidi="fa-IR"/>
        </w:rPr>
        <w:t>.</w:t>
      </w:r>
    </w:p>
    <w:p>
      <w:pPr>
        <w:pStyle w:val="Heading4"/>
        <w:numPr>
          <w:ilvl w:val="3"/>
          <w:numId w:val="1"/>
        </w:numPr>
        <w:rPr/>
      </w:pPr>
      <w:bookmarkStart w:id="2597" w:name="__RefHeading___Toc3809163_1067777946"/>
      <w:bookmarkStart w:id="2598" w:name="_Toc1094"/>
      <w:bookmarkEnd w:id="2597"/>
      <w:r>
        <w:rPr>
          <w:rtl w:val="true"/>
        </w:rPr>
        <w:t>تعقّب جعاله به جعالۀ ديگر</w:t>
      </w:r>
      <w:bookmarkEnd w:id="2598"/>
    </w:p>
    <w:p>
      <w:pPr>
        <w:pStyle w:val="BookText"/>
        <w:rPr/>
      </w:pPr>
      <w:r>
        <w:rPr>
          <w:rFonts w:ascii="IRNazanin" w:hAnsi="IRNazanin" w:eastAsia="IRNazanin"/>
          <w:color w:val="111111"/>
          <w:sz w:val="28"/>
          <w:sz w:val="28"/>
          <w:szCs w:val="28"/>
          <w:rtl w:val="true"/>
          <w:lang w:bidi="fa-IR"/>
        </w:rPr>
        <w:t>اگر تعقيب كرد جعاله را به جعالۀ ديگر در يك عمل با اختلاف در جُعل و قبل از عمل به اين دو واقع با شنيدن هر دو جعاله، عمل به دومى مى شود، و در واقع، استحقاق جعل دوم را دارد اگر چه كمتر از جعل اول باشد؛ مگر آنكه دوم را نشنيده و مغرور به اول شده باشد و اعلام نكرد جاعل با تمكّن از آن، كه دور نيست استحقاق 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حدوث جعالۀ ثانيه و اطلاع به آن، در اثناى عمل بود، پس براى هر كدام به نسبت توزيع جعل در جعالۀ باقيۀ در آن زمان، ثابت است استحقاق آن با صدق عمل بر آنچه محقّق شده است؛ وگرنه نسبت به اول، استحقاق اجرت المثل بر عمل مأذونٌ‌، فيه محتمل است با تعقّبِ به تحقّق رد از عامل 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سماع، در اثنا، و مسموع، سابق باشد، پس استحقاق فعلى مربوط به دوم است و به تمام جعل دوم، و براى اوّلى از جُعل چيزى در سابق نيست مگر در فرض غرور يا اجرت المثل عمل در مقدّمات خارجيّه</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دو جعاله به نسبت تقييد به زمان يا مكان، متعدّد باشد، هر دو صحيح است و استحقاق جعل براى هر كدام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عبدى من الشّام فله كذا و من ردّه من مصر فله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جُعلها متفاوت باشند يا متساوى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جعالۀ اول مطلق باشد و دومى مقيّد باشد و جعل در دومى اكثر است، عمل به هر دو مى شود به نحو مناسب؛ و اگر جعل در دومى اقلّ باشد به واسطۀ تقييد، اظهر رجوع است از اول</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اولى مقيّد و دومى مطلق و جعل در آن اكثر است، حكم رجوع اظهر است؛ و اگر دوّمى اقلّ باشد جعل آن، هر دو صحيح است</w:t>
      </w:r>
      <w:r>
        <w:rPr>
          <w:rFonts w:eastAsia="IRNazanin" w:cs="IRNazanin"/>
          <w:color w:val="111111"/>
          <w:sz w:val="28"/>
          <w:szCs w:val="28"/>
          <w:rtl w:val="true"/>
          <w:lang w:bidi="fa-IR"/>
        </w:rPr>
        <w:t xml:space="preserve">. </w:t>
      </w:r>
      <w:bookmarkStart w:id="2599" w:name="pg10265_90210"/>
    </w:p>
    <w:p>
      <w:pPr>
        <w:pStyle w:val="Heading3"/>
        <w:numPr>
          <w:ilvl w:val="2"/>
          <w:numId w:val="1"/>
        </w:numPr>
        <w:rPr/>
      </w:pPr>
      <w:bookmarkStart w:id="2600" w:name="__RefHeading___Toc3809165_1067777946"/>
      <w:bookmarkStart w:id="2601" w:name="_Toc1095"/>
      <w:bookmarkEnd w:id="2599"/>
      <w:bookmarkEnd w:id="2600"/>
      <w:r>
        <w:rPr>
          <w:rtl w:val="true"/>
        </w:rPr>
        <w:t>فصل دوّم احكام جعاله و مسائل تنازع</w:t>
      </w:r>
      <w:bookmarkEnd w:id="2601"/>
    </w:p>
    <w:p>
      <w:pPr>
        <w:pStyle w:val="Heading4"/>
        <w:numPr>
          <w:ilvl w:val="3"/>
          <w:numId w:val="1"/>
        </w:numPr>
        <w:rPr/>
      </w:pPr>
      <w:bookmarkStart w:id="2602" w:name="__RefHeading___Toc3809167_1067777946"/>
      <w:bookmarkStart w:id="2603" w:name="_Toc1096"/>
      <w:bookmarkEnd w:id="2602"/>
      <w:r>
        <w:rPr/>
        <w:t>1</w:t>
      </w:r>
      <w:r>
        <w:rPr>
          <w:rtl w:val="true"/>
        </w:rPr>
        <w:t xml:space="preserve">. </w:t>
      </w:r>
      <w:r>
        <w:rPr>
          <w:rtl w:val="true"/>
        </w:rPr>
        <w:t>احكام جعاله</w:t>
      </w:r>
      <w:bookmarkEnd w:id="2603"/>
    </w:p>
    <w:p>
      <w:pPr>
        <w:pStyle w:val="Heading5"/>
        <w:numPr>
          <w:ilvl w:val="4"/>
          <w:numId w:val="1"/>
        </w:numPr>
        <w:rPr/>
      </w:pPr>
      <w:bookmarkStart w:id="2604" w:name="__RefHeading___Toc3809169_1067777946"/>
      <w:bookmarkStart w:id="2605" w:name="_Toc1097"/>
      <w:bookmarkEnd w:id="2604"/>
      <w:r>
        <w:rPr>
          <w:rtl w:val="true"/>
        </w:rPr>
        <w:t>اشتراط تقدّم جعاله بر عمل در استحقاق</w:t>
      </w:r>
      <w:bookmarkEnd w:id="26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 مستحَق عامل نيست مگر با تقدم جعاله بر عمل پس اگر بدون جعاله مستولى شد بر آبق، مستحق اجرت نيست، و بر او است تسليم به مالك يا اعلام و تخليه؛ و اگر با شاهد حال احراز اذن مالك در تسليم بدون مجانيّت نمود براى او اجرت المثل مقدمات تسليم ثابت است، و اگر تبرّعاً تحصيل و تسليم نمود مستحق اجرت نيست</w:t>
      </w:r>
      <w:r>
        <w:rPr>
          <w:rFonts w:eastAsia="IRNazanin" w:cs="IRNazanin"/>
          <w:color w:val="111111"/>
          <w:sz w:val="28"/>
          <w:szCs w:val="28"/>
          <w:rtl w:val="true"/>
          <w:lang w:bidi="fa-IR"/>
        </w:rPr>
        <w:t>.</w:t>
      </w:r>
    </w:p>
    <w:p>
      <w:pPr>
        <w:pStyle w:val="Heading5"/>
        <w:numPr>
          <w:ilvl w:val="4"/>
          <w:numId w:val="1"/>
        </w:numPr>
        <w:rPr/>
      </w:pPr>
      <w:bookmarkStart w:id="2606" w:name="__RefHeading___Toc3809171_1067777946"/>
      <w:bookmarkStart w:id="2607" w:name="_Toc1098"/>
      <w:bookmarkEnd w:id="2606"/>
      <w:r>
        <w:rPr>
          <w:rtl w:val="true"/>
        </w:rPr>
        <w:t>تأثير تعيين و عدم تعيين جُعل در استحقاق</w:t>
      </w:r>
      <w:bookmarkEnd w:id="260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 اگر معيّن شده است با تسليم، استحقاق آن ثابت مى شود؛ و اگر غير معيّن است، اجرت المثل عمل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است كه اگر آبق را از شهر گرفت و تسليم كرد، يك دينار شرعى را مستحق است، و اگر از خارج شهر گرفت چهار دينار شرعى را مستحق، و فتواى مشهور موافق با آن است؛ و اظهر حمل بر موافقت با اجرت المثل است در شهرهاى معهوده، و آنچه موافق با اين تقدير است در ازمنۀ ديگر و شهرهاى ديگر با حفظ نسبت از حيث وسعت، مگر با اطمينان</w:t>
      </w:r>
      <w:bookmarkStart w:id="2608" w:name="pg10265_90211"/>
    </w:p>
    <w:p>
      <w:pPr>
        <w:pStyle w:val="BookText"/>
        <w:rPr/>
      </w:pPr>
      <w:bookmarkEnd w:id="2608"/>
      <w:r>
        <w:rPr>
          <w:rFonts w:ascii="IRNazanin" w:hAnsi="IRNazanin" w:eastAsia="IRNazanin"/>
          <w:color w:val="111111"/>
          <w:sz w:val="28"/>
          <w:sz w:val="28"/>
          <w:szCs w:val="28"/>
          <w:rtl w:val="true"/>
          <w:lang w:bidi="fa-IR"/>
        </w:rPr>
        <w:t xml:space="preserve">منتفع به زيادت يا نقص آن به حسب قرب مسافت و بُعد آن و نحو آن، و اللّٰه العالم؛ و افضل و احوط تبعيّت روايت است مطلقاً و فرقى بين صغير و كبير و مسلمان و كافر و سالم و معيب نيست، و اظهر عدم فرق بين كنيز و غلام است، و هم چنين فرقى بين نقصان قيمت آبق از مقدّر يا اجرت المثل نيست؛ و افضل و احوط ثبوت همين تقدير شرعى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شتر، و الحاق آن به آبق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ذكر شد، در صورت بذل جعل غير معيّن، ثابت است كه مقتضاى قاعده ثبوت اجرت المثل است، و كلام در استثناى آبق و شتر مذكور شد</w:t>
      </w:r>
      <w:r>
        <w:rPr>
          <w:rFonts w:eastAsia="IRNazanin" w:cs="IRNazanin"/>
          <w:color w:val="111111"/>
          <w:sz w:val="28"/>
          <w:szCs w:val="28"/>
          <w:rtl w:val="true"/>
          <w:lang w:bidi="fa-IR"/>
        </w:rPr>
        <w:t>.</w:t>
      </w:r>
    </w:p>
    <w:p>
      <w:pPr>
        <w:pStyle w:val="Heading5"/>
        <w:numPr>
          <w:ilvl w:val="4"/>
          <w:numId w:val="1"/>
        </w:numPr>
        <w:rPr/>
      </w:pPr>
      <w:bookmarkStart w:id="2609" w:name="__RefHeading___Toc3809173_1067777946"/>
      <w:bookmarkStart w:id="2610" w:name="_Toc1099"/>
      <w:bookmarkEnd w:id="2609"/>
      <w:r>
        <w:rPr>
          <w:rtl w:val="true"/>
        </w:rPr>
        <w:t>فرض عدم جَعلِ جُعل با استدعا</w:t>
      </w:r>
      <w:bookmarkEnd w:id="2610"/>
    </w:p>
    <w:p>
      <w:pPr>
        <w:pStyle w:val="BookText"/>
        <w:rPr/>
      </w:pPr>
      <w:r>
        <w:rPr>
          <w:rFonts w:ascii="IRNazanin" w:hAnsi="IRNazanin" w:eastAsia="IRNazanin"/>
          <w:color w:val="111111"/>
          <w:sz w:val="28"/>
          <w:sz w:val="28"/>
          <w:szCs w:val="28"/>
          <w:rtl w:val="true"/>
          <w:lang w:bidi="fa-IR"/>
        </w:rPr>
        <w:t>و اگر با استدعا، جعل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ظاهر عبارت، مجانيّت يا معوّض بودن است، معلوم است حكم آن؛ وگرنه اظهر معوّض بودن، يعنى استحقاق اجرت المثل است؛ و در صورت استحقاق، اظهر جريان تفصيل بين آبق و بعير و غير آنها است به نحو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استدعا، تحصيل و رد نمود، مستحق اجرت المثل نيست مگر با كشف اذن از شاهد حال و نحو آن از امارات</w:t>
      </w:r>
      <w:r>
        <w:rPr>
          <w:rFonts w:eastAsia="IRNazanin" w:cs="IRNazanin"/>
          <w:color w:val="111111"/>
          <w:sz w:val="28"/>
          <w:szCs w:val="28"/>
          <w:rtl w:val="true"/>
          <w:lang w:bidi="fa-IR"/>
        </w:rPr>
        <w:t>.</w:t>
      </w:r>
    </w:p>
    <w:p>
      <w:pPr>
        <w:pStyle w:val="Heading5"/>
        <w:numPr>
          <w:ilvl w:val="4"/>
          <w:numId w:val="1"/>
        </w:numPr>
        <w:rPr/>
      </w:pPr>
      <w:bookmarkStart w:id="2611" w:name="__RefHeading___Toc3809175_1067777946"/>
      <w:bookmarkStart w:id="2612" w:name="_Toc1100"/>
      <w:bookmarkEnd w:id="2611"/>
      <w:r>
        <w:rPr>
          <w:rtl w:val="true"/>
        </w:rPr>
        <w:t>اشتراك جماعتى در اتيان، و نحوۀ استحقاق</w:t>
      </w:r>
      <w:bookmarkEnd w:id="261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رد عبدي فله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جماعتى با هم رد نمودند، مجموع، مستحق يك دينار مى شود و بالسويه تقسيم بر آنها مى شود؛ و اگر تفاوتى در عمل آنها فرض مى شود، در توزيع، به نسبت تفاوت، تقسيم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 به جماعتى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رد عبداً من عبيدي فله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يك عبدى را رد نمودند، هر كدام مستحق يك دينار مى شوند، چه در يك زمان رد نمايند يا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داري، فله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دخول دار، عملِ نافع براى جاعل باشد كه مقابلۀ آن با جُعل، عقلايى باشد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داري فله هذا الدينار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آن دينار تقسيم بر آنها </w:t>
      </w:r>
      <w:bookmarkStart w:id="2613" w:name="pg10265_90212"/>
    </w:p>
    <w:p>
      <w:pPr>
        <w:pStyle w:val="BookText"/>
        <w:rPr/>
      </w:pPr>
      <w:bookmarkEnd w:id="2613"/>
      <w:r>
        <w:rPr>
          <w:rFonts w:ascii="IRNazanin" w:hAnsi="IRNazanin" w:eastAsia="IRNazanin"/>
          <w:color w:val="111111"/>
          <w:sz w:val="28"/>
          <w:sz w:val="28"/>
          <w:szCs w:val="28"/>
          <w:rtl w:val="true"/>
          <w:lang w:bidi="fa-IR"/>
        </w:rPr>
        <w:t>مى شود به نحو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در مسألۀ رد يكى از عبيد اگر جُعل، مشخص باشد در خارج و همه با هم رد نمودند هر كدام يك عبد را؛ و اگر مختلف باشد زمان ردّها، اظهر مراعى بودن استحقاق رادّ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دينار را به عدم رد بقيه در زمان مترقّب مفهوم از كلام جاعل</w:t>
      </w:r>
      <w:r>
        <w:rPr>
          <w:rFonts w:eastAsia="IRNazanin" w:cs="IRNazanin"/>
          <w:color w:val="111111"/>
          <w:sz w:val="28"/>
          <w:szCs w:val="28"/>
          <w:rtl w:val="true"/>
          <w:lang w:bidi="fa-IR"/>
        </w:rPr>
        <w:t>.</w:t>
      </w:r>
    </w:p>
    <w:p>
      <w:pPr>
        <w:pStyle w:val="Heading5"/>
        <w:numPr>
          <w:ilvl w:val="4"/>
          <w:numId w:val="1"/>
        </w:numPr>
        <w:rPr/>
      </w:pPr>
      <w:bookmarkStart w:id="2614" w:name="__RefHeading___Toc3809177_1067777946"/>
      <w:bookmarkStart w:id="2615" w:name="_Toc1101"/>
      <w:bookmarkEnd w:id="2614"/>
      <w:r>
        <w:rPr>
          <w:rtl w:val="true"/>
        </w:rPr>
        <w:t>جعل براى سه نفر</w:t>
      </w:r>
      <w:bookmarkEnd w:id="261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براى هر يك از سه نفر جعلى قرار داد با تفاوت، و با اجتماع انجام دادند بدون تفاوت در عمل، براى هر كدام ثلث جعل مخصوص به او است</w:t>
      </w:r>
      <w:r>
        <w:rPr>
          <w:rFonts w:eastAsia="IRNazanin" w:cs="IRNazanin"/>
          <w:color w:val="111111"/>
          <w:sz w:val="28"/>
          <w:szCs w:val="28"/>
          <w:rtl w:val="true"/>
          <w:lang w:bidi="fa-IR"/>
        </w:rPr>
        <w:t>.</w:t>
      </w:r>
    </w:p>
    <w:p>
      <w:pPr>
        <w:pStyle w:val="Heading5"/>
        <w:numPr>
          <w:ilvl w:val="4"/>
          <w:numId w:val="1"/>
        </w:numPr>
        <w:rPr/>
      </w:pPr>
      <w:bookmarkStart w:id="2616" w:name="__RefHeading___Toc3809179_1067777946"/>
      <w:bookmarkStart w:id="2617" w:name="_Toc1102"/>
      <w:bookmarkEnd w:id="2616"/>
      <w:r>
        <w:rPr>
          <w:rtl w:val="true"/>
        </w:rPr>
        <w:t>جعل معلوم براى بعضى از سه نفر و جعل مجهول براى بعضى ديگر</w:t>
      </w:r>
      <w:bookmarkEnd w:id="261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براى بعضى از سه نفر جعل معلومى قرار داد و براى بعض ديگر جعل مجهول قرار داد، براى آنكه معيّن كرده است ثلث جعل و براى آنكه معيّن نكرده ثلث اجرت المثل ثابت است؛ و اگر تفاوتى در عمل هر كدام باشد لحاظ مى شود آن تفاوت در نسبت از جعل يا اجرت المثل، و مأخوذ مى شود براى صاحبش</w:t>
      </w:r>
      <w:r>
        <w:rPr>
          <w:rFonts w:eastAsia="IRNazanin" w:cs="IRNazanin"/>
          <w:color w:val="111111"/>
          <w:sz w:val="28"/>
          <w:szCs w:val="28"/>
          <w:rtl w:val="true"/>
          <w:lang w:bidi="fa-IR"/>
        </w:rPr>
        <w:t>.</w:t>
      </w:r>
    </w:p>
    <w:p>
      <w:pPr>
        <w:pStyle w:val="Heading5"/>
        <w:numPr>
          <w:ilvl w:val="4"/>
          <w:numId w:val="1"/>
        </w:numPr>
        <w:rPr/>
      </w:pPr>
      <w:bookmarkStart w:id="2618" w:name="__RefHeading___Toc3809181_1067777946"/>
      <w:bookmarkStart w:id="2619" w:name="_Toc1103"/>
      <w:bookmarkEnd w:id="2618"/>
      <w:r>
        <w:rPr>
          <w:rtl w:val="true"/>
        </w:rPr>
        <w:t>اشتراك شخصى با عامل تبرعاً يا غير تبرعى</w:t>
      </w:r>
      <w:bookmarkEnd w:id="2619"/>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براى يكىِ معيّن، جعلِ معيّن قرار داد، و ديگرى با او شركت در انجام عمل كرد به قصد تبرّع، براى معيّن نصف جعل است بنا بر اظهر و براى متبرّع چيزى نيست؛ و اگر به قصد مساعدت با عامل و براى او با اذن او شركت كرد، عامل تمام جعل را مستحق است، و شريك با عدم قصد تبرّع، از عامل، مستحق اجرت المثل يا نسبت عمل از جعل است؛ و اصل، استحقاق اجرت است در اين صورت، و استحقاق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نسبت عمل از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اعلام است، و اگر قرينه در جَعل مسمّى بر ارادۀ مباشرت باشد عامل مستحق تمام جُعل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در عمل اگر فرض بشود ملحوظ مى شود</w:t>
      </w:r>
      <w:r>
        <w:rPr>
          <w:rFonts w:eastAsia="IRNazanin" w:cs="IRNazanin"/>
          <w:color w:val="111111"/>
          <w:sz w:val="28"/>
          <w:szCs w:val="28"/>
          <w:rtl w:val="true"/>
          <w:lang w:bidi="fa-IR"/>
        </w:rPr>
        <w:t>.</w:t>
      </w:r>
      <w:bookmarkStart w:id="2620" w:name="pg10265_90213"/>
    </w:p>
    <w:p>
      <w:pPr>
        <w:pStyle w:val="Heading5"/>
        <w:numPr>
          <w:ilvl w:val="4"/>
          <w:numId w:val="1"/>
        </w:numPr>
        <w:rPr/>
      </w:pPr>
      <w:bookmarkStart w:id="2621" w:name="__RefHeading___Toc3809183_1067777946"/>
      <w:bookmarkStart w:id="2622" w:name="_Toc1104"/>
      <w:bookmarkEnd w:id="2620"/>
      <w:bookmarkEnd w:id="2621"/>
      <w:r>
        <w:rPr>
          <w:rtl w:val="true"/>
        </w:rPr>
        <w:t>اقرار يكى از سه عامل به تبرعى بودن عمل او</w:t>
      </w:r>
      <w:bookmarkEnd w:id="2622"/>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مسأله جَعل براى سه نفر، اگر يكى از سه عامل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اعانت رفيق خودم اين عمل را و با اذن او به جا آوردم براى او بدون عوض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توزيع مى شود جعل به دو نفر با تفاوت عمل مُعان با عمل غير مُعان بنا بر اظهر در تقدير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منافى قصد براى جاعل بلا واسطه با استحقاق 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جعل عامّ بود و رابعى براى مالك كمك كرد به سه نفر، هر كدام مستحق يك چهارم جُعل مى باشند</w:t>
      </w:r>
      <w:r>
        <w:rPr>
          <w:rFonts w:eastAsia="IRNazanin" w:cs="IRNazanin"/>
          <w:color w:val="111111"/>
          <w:sz w:val="28"/>
          <w:szCs w:val="28"/>
          <w:rtl w:val="true"/>
          <w:lang w:bidi="fa-IR"/>
        </w:rPr>
        <w:t>.</w:t>
      </w:r>
    </w:p>
    <w:p>
      <w:pPr>
        <w:pStyle w:val="Heading5"/>
        <w:numPr>
          <w:ilvl w:val="4"/>
          <w:numId w:val="1"/>
        </w:numPr>
        <w:rPr/>
      </w:pPr>
      <w:bookmarkStart w:id="2623" w:name="__RefHeading___Toc3809185_1067777946"/>
      <w:bookmarkStart w:id="2624" w:name="_Toc1105"/>
      <w:bookmarkEnd w:id="2623"/>
      <w:r>
        <w:rPr>
          <w:rtl w:val="true"/>
        </w:rPr>
        <w:t>تبعّض اجرت با تبعّض در شروط</w:t>
      </w:r>
      <w:bookmarkEnd w:id="2624"/>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جعل معيّنى قرار داد براى رد از طريق معين پس رد كرد از بعض آن طريق، براى او است از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نسبتِ جعل در بعض مسافت از جعل در تمام مسافت در قدر؛ و اظهر در بقيه، ثبوت اجرت المثل بقيۀ عمل است اگر مأذون باشد يعنى تقييد در جعل باشد نه در اذن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معين نبود، مستحق جعل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استفادۀ اذن در فحص بشود، مستحق اجرت المثل تفحّص است</w:t>
      </w:r>
      <w:r>
        <w:rPr>
          <w:rFonts w:eastAsia="IRNazanin" w:cs="IRNazanin"/>
          <w:color w:val="111111"/>
          <w:sz w:val="28"/>
          <w:szCs w:val="28"/>
          <w:rtl w:val="true"/>
          <w:lang w:bidi="fa-IR"/>
        </w:rPr>
        <w:t>.</w:t>
      </w:r>
    </w:p>
    <w:p>
      <w:pPr>
        <w:pStyle w:val="Heading4"/>
        <w:numPr>
          <w:ilvl w:val="3"/>
          <w:numId w:val="1"/>
        </w:numPr>
        <w:rPr/>
      </w:pPr>
      <w:bookmarkStart w:id="2625" w:name="__RefHeading___Toc3809187_1067777946"/>
      <w:bookmarkStart w:id="2626" w:name="_Toc1106"/>
      <w:bookmarkEnd w:id="2625"/>
      <w:r>
        <w:rPr/>
        <w:t>2</w:t>
      </w:r>
      <w:r>
        <w:rPr>
          <w:rtl w:val="true"/>
        </w:rPr>
        <w:t xml:space="preserve">. </w:t>
      </w:r>
      <w:r>
        <w:rPr>
          <w:rtl w:val="true"/>
        </w:rPr>
        <w:t>مسائل تنازع</w:t>
      </w:r>
      <w:bookmarkEnd w:id="2626"/>
    </w:p>
    <w:p>
      <w:pPr>
        <w:pStyle w:val="Heading5"/>
        <w:numPr>
          <w:ilvl w:val="4"/>
          <w:numId w:val="1"/>
        </w:numPr>
        <w:rPr/>
      </w:pPr>
      <w:bookmarkStart w:id="2627" w:name="__RefHeading___Toc3809189_1067777946"/>
      <w:bookmarkStart w:id="2628" w:name="_Toc1107"/>
      <w:bookmarkEnd w:id="2627"/>
      <w:r>
        <w:rPr>
          <w:rtl w:val="true"/>
        </w:rPr>
        <w:t>تنازع بر سه اصل جعاله يا مقدار جعل يا اجرت المثل و</w:t>
      </w:r>
      <w:r>
        <w:rPr>
          <w:rtl w:val="true"/>
        </w:rPr>
        <w:t>...</w:t>
      </w:r>
      <w:bookmarkEnd w:id="26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بگويد جعاله محقّق شده و مالك انكار كرد، قول مالك با يمين او مسموع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اختلاف در تعيّن و اجرت المثل بود قول مالك كه مدّعى اقلّ است با يمين او مسموع است؛ و هم چنين در اختلاف در مقدار مجعول يا موزّع بر مردود، و مقدار متفقٌ عليه را مستحق است مگر با قرينۀ اعتبار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مقتضى عدم توزيع بر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 چنين اگر اتفاق بر جعل بر مجموع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رد نمايد، تقسيط مى شود جعل مگر با قرينۀ مشار اليها</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چنين اگر رد يكى از چند آبق نمايد و مالك بگويد غير او مراد من بوده بدون محل استظهار يكى از آن دو قول، مالك قول او مسموع است با يمين او</w:t>
      </w:r>
      <w:r>
        <w:rPr>
          <w:rFonts w:eastAsia="IRNazanin" w:cs="IRNazanin"/>
          <w:color w:val="111111"/>
          <w:sz w:val="28"/>
          <w:szCs w:val="28"/>
          <w:rtl w:val="true"/>
          <w:lang w:bidi="fa-IR"/>
        </w:rPr>
        <w:t xml:space="preserve">. </w:t>
      </w:r>
      <w:bookmarkStart w:id="2629" w:name="pg10265_90214"/>
    </w:p>
    <w:p>
      <w:pPr>
        <w:pStyle w:val="Heading5"/>
        <w:numPr>
          <w:ilvl w:val="4"/>
          <w:numId w:val="1"/>
        </w:numPr>
        <w:rPr/>
      </w:pPr>
      <w:bookmarkStart w:id="2630" w:name="__RefHeading___Toc3809191_1067777946"/>
      <w:bookmarkStart w:id="2631" w:name="_Toc1108"/>
      <w:bookmarkEnd w:id="2629"/>
      <w:bookmarkEnd w:id="2630"/>
      <w:r>
        <w:rPr>
          <w:rtl w:val="true"/>
        </w:rPr>
        <w:t>اختلاف در جنس يا قد جُعل</w:t>
      </w:r>
      <w:bookmarkEnd w:id="263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اختلاف در جنس يا قدر جعل باشد قول جاعل با يمين او مقدّم است؛ و پس از نفى مدّعاى عامل، محتمل است ثابت باشد براى او استحقاق اقلّ از مدّعاى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اجرت المثل، چنانچه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فاضلين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آنكه اقلّ امرين از مدّعاى عامل و اجرت المثل و اكثر امرين از مدعاى جاعل و اجرت المثل با حفظ اقلّيّت يا موافقت ماليّه فقط با مدعاى عامل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آنكه يمين نفى زائد بر مدّعاى جاعل مى نمايد و اثبات مدّعاى او هم مى نمايد، و زائد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مدّعاى عامل باشد يا اجرت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منتفى مى شود، به واسطۀ اتفاق بر احد امرين و عوضين، و نفى يكى اثبات ديگرى را مستلزم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تفصيل بين اختلاف در قدر و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اول با يمين مالك نفى زيادتى مى شود و مشترك، متفقٌ عليه است، و در دوم تحالف مى نمايند و بعد از سقوط دو دعوى، مصالحه به تنصيف هر دو مى نمايند، يا آنكه اجرت المثل ثابت است به واسطۀ الحاق مجهول ظاهرى به جُعل مجهول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زيادتى يا نقص از مدعاى جاعل و عامل، اثرى ندارد بعد از آنكه اختلاف در ماليّت جُعل نيست بلكه در مالى است كه جعل واقع شده است، پس مخير است مالك بين جُعل مورد ادعاى عامل يا تمام اجرت المثل اگر چه زائد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ماليّت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جعل، و جائز است قبول آن از عامل بنا بر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موافقت جنس اجرت با مدعاى مالك اگر زائد از اجرت المثل باشد يا با مدعاى عامل اگر ناقص از قدر اجرت باشد، اكتفاى به اجرت در اوّلى و جواز آن در دومى محلّ تأمّل است</w:t>
      </w:r>
      <w:r>
        <w:rPr>
          <w:rFonts w:eastAsia="IRNazanin" w:cs="IRNazanin"/>
          <w:color w:val="111111"/>
          <w:sz w:val="28"/>
          <w:szCs w:val="28"/>
          <w:rtl w:val="true"/>
          <w:lang w:bidi="fa-IR"/>
        </w:rPr>
        <w:t>.</w:t>
      </w:r>
    </w:p>
    <w:p>
      <w:pPr>
        <w:pStyle w:val="Heading5"/>
        <w:numPr>
          <w:ilvl w:val="4"/>
          <w:numId w:val="1"/>
        </w:numPr>
        <w:rPr/>
      </w:pPr>
      <w:bookmarkStart w:id="2632" w:name="__RefHeading___Toc3809193_1067777946"/>
      <w:bookmarkStart w:id="2633" w:name="_Toc1109"/>
      <w:bookmarkEnd w:id="2632"/>
      <w:r>
        <w:rPr>
          <w:rtl w:val="true"/>
        </w:rPr>
        <w:t>اختلاف در سعى و در تعدى و تفريط</w:t>
      </w:r>
      <w:bookmarkEnd w:id="263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اختلاف در سعى و اينكه قبل از جَعل بوده يا بعد از آن، قول مالك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زمان جَعل بالخصوص معلوم باشد بنا بر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است</w:t>
      </w:r>
      <w:bookmarkStart w:id="2634" w:name="pg10265_90215"/>
    </w:p>
    <w:p>
      <w:pPr>
        <w:pStyle w:val="BookText"/>
        <w:rPr/>
      </w:pPr>
      <w:bookmarkEnd w:id="2634"/>
      <w:r>
        <w:rPr>
          <w:rFonts w:ascii="IRNazanin" w:hAnsi="IRNazanin" w:eastAsia="IRNazanin"/>
          <w:color w:val="111111"/>
          <w:sz w:val="28"/>
          <w:sz w:val="28"/>
          <w:szCs w:val="28"/>
          <w:rtl w:val="true"/>
          <w:lang w:bidi="fa-IR"/>
        </w:rPr>
        <w:t xml:space="preserve">اختلاف در زمان علم به جعل بنا بر عدم استحقاق قبل از علم،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عدم اعتبار است با عدم قصد تبرّع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اختلاف در تعدّى و تفريط در مورد عمل بعد از تحصيل آن، قول عامل مقدّم است، و لوازم آنچه تحصيل شده مثل نفقۀ عبد و علف دابّه بر مالك است</w:t>
      </w:r>
      <w:r>
        <w:rPr>
          <w:rFonts w:eastAsia="IRNazanin" w:cs="IRNazanin"/>
          <w:color w:val="111111"/>
          <w:sz w:val="28"/>
          <w:szCs w:val="28"/>
          <w:rtl w:val="true"/>
          <w:lang w:bidi="fa-IR"/>
        </w:rPr>
        <w:t>.</w:t>
      </w:r>
    </w:p>
    <w:p>
      <w:pPr>
        <w:pStyle w:val="Heading5"/>
        <w:numPr>
          <w:ilvl w:val="4"/>
          <w:numId w:val="1"/>
        </w:numPr>
        <w:rPr/>
      </w:pPr>
      <w:bookmarkStart w:id="2635" w:name="__RefHeading___Toc3809195_1067777946"/>
      <w:bookmarkStart w:id="2636" w:name="_Toc1110"/>
      <w:bookmarkEnd w:id="2635"/>
      <w:r>
        <w:rPr>
          <w:rtl w:val="true"/>
        </w:rPr>
        <w:t>جعاله در امورى كه داراى مراتب است</w:t>
      </w:r>
      <w:bookmarkEnd w:id="2636"/>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جَعل بر تعليم قرآن كرد پس بعضى را تعليم كرد و امتناع از بقيه كرد، اظهر استحقاق موزّع بر مقدار تعليم است، مثل صورت امتناع صبىّ از تعلّم يا موت صبىّ يا عذر غير اختيارى يا وقوع تعليم بقيه از عامل ديگر يا منع پدر كه فسخ جَعل نسبت به عامل اول است؛ يا آنكه استحقاق اجرت المثل دارد اگر فسخ كرد از روى اختيار، مگر با قرينۀ بر خلاف مقتضى توزيع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فوق العاده بليد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نگرفت هيچ را، اجرت المثل محتمل است با احراز اذن مطلق در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است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خطت لي هذا القميص فلك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بعضى را كه خياطت كرد به نحو قابل از براى تكميل ديگرى، مستحق تكميل يا اجرت المثل است، و دوم با احراز اطلاق و استظهار آن از كلام، اقرب است؛ و با عدم آن كه شايد غالب باشد، عدم استحقاقِ چيزى، محتمل است بلكه خالى از وجه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و الصلاة علىٰ سيّد أنبيائه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المقام بحمده تعالى يوم الأربعاء، العشرين من شهر صفر الخير من سنة</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 و أربعمائة هجرية، علىٰ مهاجرها ألف سلام و تحيّة</w:t>
      </w:r>
      <w:r>
        <w:rPr>
          <w:rFonts w:eastAsia="Amiri" w:cs="Amiri" w:ascii="Amiri" w:hAnsi="Amiri"/>
          <w:color w:val="111111"/>
          <w:sz w:val="28"/>
          <w:szCs w:val="28"/>
          <w:rtl w:val="true"/>
          <w:lang w:bidi="ar-SA"/>
        </w:rPr>
        <w:t xml:space="preserve">. </w:t>
      </w:r>
      <w:bookmarkStart w:id="2637" w:name="pg10265_90216"/>
    </w:p>
    <w:p>
      <w:pPr>
        <w:pStyle w:val="Heading2"/>
        <w:numPr>
          <w:ilvl w:val="1"/>
          <w:numId w:val="1"/>
        </w:numPr>
        <w:rPr/>
      </w:pPr>
      <w:bookmarkStart w:id="2638" w:name="__RefHeading___Toc3809197_1067777946"/>
      <w:bookmarkStart w:id="2639" w:name="_Toc1111"/>
      <w:bookmarkEnd w:id="2637"/>
      <w:bookmarkEnd w:id="2638"/>
      <w:r>
        <w:rPr>
          <w:rtl w:val="true"/>
        </w:rPr>
        <w:t>كتاب يمين</w:t>
      </w:r>
      <w:bookmarkEnd w:id="2639"/>
    </w:p>
    <w:p>
      <w:pPr>
        <w:pStyle w:val="Heading3"/>
        <w:numPr>
          <w:ilvl w:val="2"/>
          <w:numId w:val="1"/>
        </w:numPr>
        <w:rPr/>
      </w:pPr>
      <w:bookmarkStart w:id="2640" w:name="__RefHeading___Toc3809199_1067777946"/>
      <w:bookmarkStart w:id="2641" w:name="_Toc1112"/>
      <w:bookmarkEnd w:id="2640"/>
      <w:r>
        <w:rPr>
          <w:rtl w:val="true"/>
        </w:rPr>
        <w:t>اشاره</w:t>
      </w:r>
      <w:bookmarkEnd w:id="2641"/>
    </w:p>
    <w:p>
      <w:pPr>
        <w:pStyle w:val="BookText"/>
        <w:rPr/>
      </w:pPr>
      <w:r>
        <w:rPr>
          <w:rFonts w:ascii="Amiri" w:hAnsi="Amiri" w:eastAsia="Amiri" w:cs="Amiri"/>
          <w:color w:val="111111"/>
          <w:sz w:val="28"/>
          <w:sz w:val="28"/>
          <w:szCs w:val="28"/>
          <w:rtl w:val="true"/>
          <w:lang w:bidi="ar-SA"/>
        </w:rPr>
        <w:t>اقسام يمين و نحوۀ انعقاد آن</w:t>
      </w:r>
    </w:p>
    <w:p>
      <w:pPr>
        <w:pStyle w:val="BookText"/>
        <w:rPr/>
      </w:pPr>
      <w:r>
        <w:rPr>
          <w:rFonts w:ascii="Amiri" w:hAnsi="Amiri" w:eastAsia="Amiri" w:cs="Amiri"/>
          <w:color w:val="111111"/>
          <w:sz w:val="28"/>
          <w:sz w:val="28"/>
          <w:szCs w:val="28"/>
          <w:rtl w:val="true"/>
          <w:lang w:bidi="ar-SA"/>
        </w:rPr>
        <w:t>شرايط و احكام حالف</w:t>
      </w:r>
    </w:p>
    <w:p>
      <w:pPr>
        <w:pStyle w:val="BookText"/>
        <w:rPr/>
      </w:pPr>
      <w:r>
        <w:rPr>
          <w:rFonts w:ascii="Amiri" w:hAnsi="Amiri" w:eastAsia="Amiri" w:cs="Amiri"/>
          <w:color w:val="111111"/>
          <w:sz w:val="28"/>
          <w:sz w:val="28"/>
          <w:szCs w:val="28"/>
          <w:rtl w:val="true"/>
          <w:lang w:bidi="ar-SA"/>
        </w:rPr>
        <w:t>متعلَّق يمين</w:t>
      </w:r>
    </w:p>
    <w:p>
      <w:pPr>
        <w:pStyle w:val="BookText"/>
        <w:rPr/>
      </w:pPr>
      <w:r>
        <w:rPr>
          <w:rFonts w:ascii="Amiri" w:hAnsi="Amiri" w:eastAsia="Amiri" w:cs="Amiri"/>
          <w:color w:val="111111"/>
          <w:sz w:val="28"/>
          <w:sz w:val="28"/>
          <w:szCs w:val="28"/>
          <w:rtl w:val="true"/>
          <w:lang w:bidi="ar-SA"/>
        </w:rPr>
        <w:t>حنث يمين</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لواحق أيمان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42" w:name="pg10265_90218"/>
      <w:bookmarkStart w:id="2643" w:name="pg10265_90218"/>
      <w:bookmarkEnd w:id="2643"/>
    </w:p>
    <w:p>
      <w:pPr>
        <w:pStyle w:val="Heading3"/>
        <w:numPr>
          <w:ilvl w:val="2"/>
          <w:numId w:val="1"/>
        </w:numPr>
        <w:rPr/>
      </w:pPr>
      <w:bookmarkStart w:id="2644" w:name="pg10265_90218"/>
      <w:bookmarkStart w:id="2645" w:name="__RefHeading___Toc3809201_1067777946"/>
      <w:bookmarkStart w:id="2646" w:name="_Toc1113"/>
      <w:bookmarkEnd w:id="2644"/>
      <w:bookmarkEnd w:id="2645"/>
      <w:r>
        <w:rPr>
          <w:rtl w:val="true"/>
        </w:rPr>
        <w:t>فصل اوّل اقسام يمين و نحوۀ انعقاد آن</w:t>
      </w:r>
      <w:bookmarkEnd w:id="2646"/>
    </w:p>
    <w:p>
      <w:pPr>
        <w:pStyle w:val="Heading4"/>
        <w:numPr>
          <w:ilvl w:val="3"/>
          <w:numId w:val="1"/>
        </w:numPr>
        <w:rPr/>
      </w:pPr>
      <w:bookmarkStart w:id="2647" w:name="__RefHeading___Toc3809203_1067777946"/>
      <w:bookmarkStart w:id="2648" w:name="_Toc1114"/>
      <w:bookmarkEnd w:id="2647"/>
      <w:r>
        <w:rPr>
          <w:rtl w:val="true"/>
        </w:rPr>
        <w:t>اشاره</w:t>
      </w:r>
      <w:bookmarkEnd w:id="2648"/>
    </w:p>
    <w:p>
      <w:pPr>
        <w:pStyle w:val="BookText"/>
        <w:rPr/>
      </w:pPr>
      <w:r>
        <w:rPr>
          <w:rFonts w:ascii="Amiri" w:hAnsi="Amiri" w:eastAsia="Amiri" w:cs="Amiri"/>
          <w:color w:val="111111"/>
          <w:sz w:val="28"/>
          <w:sz w:val="28"/>
          <w:szCs w:val="28"/>
          <w:rtl w:val="true"/>
          <w:lang w:bidi="ar-SA"/>
        </w:rPr>
        <w:t>فصل اوّل اقسام يمين و نحوۀ انعقاد آن</w:t>
      </w:r>
      <w:r>
        <w:rPr>
          <w:rStyle w:val="FootnoteAnchor"/>
          <w:rtl w:val="true"/>
        </w:rPr>
        <w:footnoteReference w:id="16"/>
      </w:r>
    </w:p>
    <w:p>
      <w:pPr>
        <w:pStyle w:val="Heading4"/>
        <w:numPr>
          <w:ilvl w:val="3"/>
          <w:numId w:val="1"/>
        </w:numPr>
        <w:rPr/>
      </w:pPr>
      <w:bookmarkStart w:id="2649" w:name="__RefHeading___Toc3809205_1067777946"/>
      <w:bookmarkStart w:id="2650" w:name="_Toc1115"/>
      <w:bookmarkEnd w:id="2649"/>
      <w:r>
        <w:rPr/>
        <w:t>1</w:t>
      </w:r>
      <w:r>
        <w:rPr>
          <w:rtl w:val="true"/>
        </w:rPr>
        <w:t xml:space="preserve">. </w:t>
      </w:r>
      <w:r>
        <w:rPr>
          <w:rtl w:val="true"/>
        </w:rPr>
        <w:t>تعريف و اقسام يمين</w:t>
      </w:r>
      <w:bookmarkEnd w:id="2650"/>
    </w:p>
    <w:p>
      <w:pPr>
        <w:pStyle w:val="Heading5"/>
        <w:numPr>
          <w:ilvl w:val="4"/>
          <w:numId w:val="1"/>
        </w:numPr>
        <w:rPr/>
      </w:pPr>
      <w:bookmarkStart w:id="2651" w:name="__RefHeading___Toc3809207_1067777946"/>
      <w:bookmarkStart w:id="2652" w:name="_Toc1116"/>
      <w:bookmarkEnd w:id="2651"/>
      <w:r>
        <w:rPr>
          <w:rtl w:val="true"/>
        </w:rPr>
        <w:t>تعريف شرعى يمين</w:t>
      </w:r>
      <w:bookmarkEnd w:id="26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شرع، به نحوى كه كفّاره بر حنث آن مترتّب مى شود فى الجمله،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خوردن به خداى تعالى به اسم معهود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يا اسماى مختصۀ به او، براى آنكه محقّق شود چيزى كه قابل موافقت و مخالفت است عقلاً در آينده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جائز است بر مورد تكليف مثل فعل واجب و ترك حرام و غير آن</w:t>
      </w:r>
      <w:r>
        <w:rPr>
          <w:rFonts w:eastAsia="IRNazanin" w:cs="IRNazanin"/>
          <w:color w:val="111111"/>
          <w:sz w:val="28"/>
          <w:szCs w:val="28"/>
          <w:rtl w:val="true"/>
          <w:lang w:bidi="fa-IR"/>
        </w:rPr>
        <w:t>.</w:t>
      </w:r>
    </w:p>
    <w:p>
      <w:pPr>
        <w:pStyle w:val="Heading5"/>
        <w:numPr>
          <w:ilvl w:val="4"/>
          <w:numId w:val="1"/>
        </w:numPr>
        <w:rPr/>
      </w:pPr>
      <w:bookmarkStart w:id="2653" w:name="__RefHeading___Toc3809209_1067777946"/>
      <w:bookmarkStart w:id="2654" w:name="_Toc1117"/>
      <w:bookmarkEnd w:id="2653"/>
      <w:r>
        <w:rPr>
          <w:rtl w:val="true"/>
        </w:rPr>
        <w:t>يمين لغو</w:t>
      </w:r>
      <w:bookmarkEnd w:id="2654"/>
    </w:p>
    <w:p>
      <w:pPr>
        <w:pStyle w:val="BookText"/>
        <w:rPr/>
      </w:pPr>
      <w:r>
        <w:rPr>
          <w:rFonts w:ascii="IRNazanin" w:hAnsi="IRNazanin" w:eastAsia="IRNazanin"/>
          <w:color w:val="111111"/>
          <w:sz w:val="28"/>
          <w:sz w:val="28"/>
          <w:szCs w:val="28"/>
          <w:rtl w:val="true"/>
          <w:lang w:bidi="fa-IR"/>
        </w:rPr>
        <w:t xml:space="preserve">يمين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مؤاخذه ندارد، يمين غير مقصود است كه عقد قلب از روى التفات و اختيار بر چيزى نمى نمايد، مثل آنكه در مكالمات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اگر تحريم نمايد از روى اختيار بر خود آنچه را كه اباحۀ آن قابل تغيير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آنكه قسم بخورد كه اصلاً نكاح ننمايد، يا افطار در روز ننمايد، يا آنكه اصلاً در شب نخوابد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در مخالفت يمين نيست، به نحوى كه مذكور مى شود</w:t>
      </w:r>
      <w:r>
        <w:rPr>
          <w:rFonts w:eastAsia="IRNazanin" w:cs="IRNazanin"/>
          <w:color w:val="111111"/>
          <w:sz w:val="28"/>
          <w:szCs w:val="28"/>
          <w:rtl w:val="true"/>
          <w:lang w:bidi="fa-IR"/>
        </w:rPr>
        <w:t>.</w:t>
      </w:r>
    </w:p>
    <w:p>
      <w:pPr>
        <w:pStyle w:val="Heading5"/>
        <w:numPr>
          <w:ilvl w:val="4"/>
          <w:numId w:val="1"/>
        </w:numPr>
        <w:rPr/>
      </w:pPr>
      <w:bookmarkStart w:id="2655" w:name="__RefHeading___Toc3809211_1067777946"/>
      <w:bookmarkStart w:id="2656" w:name="_Toc1118"/>
      <w:bookmarkEnd w:id="2655"/>
      <w:r>
        <w:rPr>
          <w:rtl w:val="true"/>
        </w:rPr>
        <w:t>يمين غموس</w:t>
      </w:r>
      <w:bookmarkEnd w:id="2656"/>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 غموس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حسب مستفاد از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 در قسم است براى اذهاب حق </w:t>
      </w:r>
      <w:bookmarkStart w:id="2657" w:name="pg10265_90219"/>
    </w:p>
    <w:p>
      <w:pPr>
        <w:pStyle w:val="BookText"/>
        <w:rPr/>
      </w:pPr>
      <w:bookmarkEnd w:id="2657"/>
      <w:r>
        <w:rPr>
          <w:rFonts w:ascii="IRNazanin" w:hAnsi="IRNazanin" w:eastAsia="IRNazanin"/>
          <w:color w:val="111111"/>
          <w:sz w:val="28"/>
          <w:sz w:val="28"/>
          <w:szCs w:val="28"/>
          <w:rtl w:val="true"/>
          <w:lang w:bidi="fa-IR"/>
        </w:rPr>
        <w:t>مسلمان در مال و نحو آن، متعلّق به امر ماضى يا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ابن حديد است كه يمين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يمينى كه در آن كفّاره نيست يمينى است كه قسم ميخورد كار نيكى را به جا نياورد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كفّاره اش به جا آوردن آن است؛ و يمينى كه در آن كفّاره است قسم خوردن بر ترك معصيت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جا آورد، واجب مى شود در آن كفّارۀ معهوده؛ و يمين غموس كه موجب دخول در جهنم است، قسم خوردن بر حق مسلمانى كه حبس شود حقّ او</w:t>
      </w:r>
      <w:r>
        <w:rPr>
          <w:rFonts w:eastAsia="IRNazanin" w:cs="IRNazanin"/>
          <w:color w:val="111111"/>
          <w:sz w:val="28"/>
          <w:szCs w:val="28"/>
          <w:rtl w:val="true"/>
          <w:lang w:bidi="fa-IR"/>
        </w:rPr>
        <w:t>.</w:t>
      </w:r>
    </w:p>
    <w:p>
      <w:pPr>
        <w:pStyle w:val="Heading5"/>
        <w:numPr>
          <w:ilvl w:val="4"/>
          <w:numId w:val="1"/>
        </w:numPr>
        <w:rPr/>
      </w:pPr>
      <w:bookmarkStart w:id="2658" w:name="__RefHeading___Toc3809213_1067777946"/>
      <w:bookmarkStart w:id="2659" w:name="_Toc1119"/>
      <w:bookmarkEnd w:id="2658"/>
      <w:r>
        <w:rPr>
          <w:rtl w:val="true"/>
        </w:rPr>
        <w:t>يمين عقد</w:t>
      </w:r>
      <w:bookmarkEnd w:id="2659"/>
    </w:p>
    <w:p>
      <w:pPr>
        <w:pStyle w:val="BookText"/>
        <w:rPr/>
      </w:pPr>
      <w:r>
        <w:rPr>
          <w:rFonts w:ascii="IRNazanin" w:hAnsi="IRNazanin" w:eastAsia="IRNazanin"/>
          <w:color w:val="111111"/>
          <w:sz w:val="28"/>
          <w:sz w:val="28"/>
          <w:szCs w:val="28"/>
          <w:rtl w:val="true"/>
          <w:lang w:bidi="fa-IR"/>
        </w:rPr>
        <w:t>و آنچه متعلّق مى شود به آن حنث و كفّاره، يمين عقد است كه حلف بر فعل يا ترك در مستقبل است، و محلّ بحث در اين كتاب است</w:t>
      </w:r>
      <w:r>
        <w:rPr>
          <w:rFonts w:eastAsia="IRNazanin" w:cs="IRNazanin"/>
          <w:color w:val="111111"/>
          <w:sz w:val="28"/>
          <w:szCs w:val="28"/>
          <w:rtl w:val="true"/>
          <w:lang w:bidi="fa-IR"/>
        </w:rPr>
        <w:t>.</w:t>
      </w:r>
    </w:p>
    <w:p>
      <w:pPr>
        <w:pStyle w:val="Heading4"/>
        <w:numPr>
          <w:ilvl w:val="3"/>
          <w:numId w:val="1"/>
        </w:numPr>
        <w:rPr/>
      </w:pPr>
      <w:bookmarkStart w:id="2660" w:name="__RefHeading___Toc3809215_1067777946"/>
      <w:bookmarkStart w:id="2661" w:name="_Toc1120"/>
      <w:bookmarkEnd w:id="2660"/>
      <w:r>
        <w:rPr/>
        <w:t>2</w:t>
      </w:r>
      <w:r>
        <w:rPr>
          <w:rtl w:val="true"/>
        </w:rPr>
        <w:t xml:space="preserve">. </w:t>
      </w:r>
      <w:r>
        <w:rPr>
          <w:rtl w:val="true"/>
        </w:rPr>
        <w:t>آنچه با آن، يمين منعقد مى شود</w:t>
      </w:r>
      <w:bookmarkEnd w:id="2661"/>
    </w:p>
    <w:p>
      <w:pPr>
        <w:pStyle w:val="Heading5"/>
        <w:numPr>
          <w:ilvl w:val="4"/>
          <w:numId w:val="1"/>
        </w:numPr>
        <w:rPr/>
      </w:pPr>
      <w:bookmarkStart w:id="2662" w:name="__RefHeading___Toc3809217_1067777946"/>
      <w:bookmarkStart w:id="2663" w:name="_Toc1121"/>
      <w:bookmarkEnd w:id="2662"/>
      <w:r>
        <w:rPr>
          <w:rtl w:val="true"/>
        </w:rPr>
        <w:t>اشاره</w:t>
      </w:r>
      <w:bookmarkEnd w:id="2663"/>
    </w:p>
    <w:p>
      <w:pPr>
        <w:pStyle w:val="BookText"/>
        <w:rPr/>
      </w:pPr>
      <w:r>
        <w:rPr>
          <w:rFonts w:ascii="IRNazanin" w:hAnsi="IRNazanin" w:eastAsia="IRNazanin"/>
          <w:color w:val="111111"/>
          <w:sz w:val="28"/>
          <w:sz w:val="28"/>
          <w:szCs w:val="28"/>
          <w:rtl w:val="true"/>
          <w:lang w:bidi="fa-IR"/>
        </w:rPr>
        <w:t xml:space="preserve">منعقد نمى شود قسم به نحوى كه مورد حنث و كفّاره باشد مگر به ذات احديّت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ذكر ضمائم و خصوصيّات دالّۀ بر ذات مقدس او از غير اسماى ذات يا صفات،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 فلق الحبة و برأ النسمة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مقلّب القلوب و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 نفسي بيده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به اسماى مختصۀ به او مثل اللّٰه، و الرّحمن، و ربّ العالمين، و مالك يوم الدين، و الأوّل الّذي ليس قبله شيء، و خالق الخلق، و الحىّ الّذي لا يموت، و الواحد الّذي ليس كمثله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فرق بين غير دو اسم مقدس اول و قِس، م اوّل، نظر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غالبۀ در او مثل و الرّب، و الخالق، و الرازق، و البارئ، و الرّحيم، و المتكبّر، و القاهر</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حلف به غير آنچه ذكر شد تأثير در كفّاره ندارد، و اظهر جواز تكليفى آن است بدون تحقّق كذب، و كفّاره در آن نيست در مواردى كه به اسم خداى تعالى كفّاره لازم مى شود، اين است حكم حلف به مخلوق</w:t>
      </w:r>
      <w:r>
        <w:rPr>
          <w:rFonts w:eastAsia="IRNazanin" w:cs="IRNazanin"/>
          <w:color w:val="111111"/>
          <w:sz w:val="28"/>
          <w:szCs w:val="28"/>
          <w:rtl w:val="true"/>
          <w:lang w:bidi="fa-IR"/>
        </w:rPr>
        <w:t xml:space="preserve">. </w:t>
      </w:r>
      <w:bookmarkStart w:id="2664" w:name="pg10265_90220"/>
    </w:p>
    <w:p>
      <w:pPr>
        <w:pStyle w:val="Heading5"/>
        <w:numPr>
          <w:ilvl w:val="4"/>
          <w:numId w:val="1"/>
        </w:numPr>
        <w:rPr/>
      </w:pPr>
      <w:bookmarkStart w:id="2665" w:name="__RefHeading___Toc3809219_1067777946"/>
      <w:bookmarkStart w:id="2666" w:name="_Toc1122"/>
      <w:bookmarkEnd w:id="2664"/>
      <w:bookmarkEnd w:id="2665"/>
      <w:r>
        <w:rPr>
          <w:rtl w:val="true"/>
        </w:rPr>
        <w:t>قسم به اسماى غير غالبه</w:t>
      </w:r>
      <w:bookmarkEnd w:id="2666"/>
    </w:p>
    <w:p>
      <w:pPr>
        <w:pStyle w:val="BookText"/>
        <w:rPr/>
      </w:pPr>
      <w:r>
        <w:rPr>
          <w:rFonts w:ascii="IRNazanin" w:hAnsi="IRNazanin" w:eastAsia="IRNazanin"/>
          <w:color w:val="111111"/>
          <w:sz w:val="28"/>
          <w:sz w:val="28"/>
          <w:szCs w:val="28"/>
          <w:rtl w:val="true"/>
          <w:lang w:bidi="fa-IR"/>
        </w:rPr>
        <w:t xml:space="preserve">و احوط در اسماى غير غالبه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موجود و حىّ و سميع 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يمين و لزوم كفّاره بر حنث است با نيّت ذات مقدسه، و همين اظهر است اگر قرينۀ حاليّه يا مقاليّه بر منوىّ تعالى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 قبيل است حلف به علم اللّٰه تعالى يا به قدرت اللّٰه تعالى اگر راجع به حلف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بشود با قرينيّت اضافه بر منوىّ‌؛ و اگر مراد حلف به مقدور يا معلوم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موجبۀ حال و صفت زائدۀ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لفظ، قابل هر دو است اگر از عدليّه صادر بشود پس در صورت تعلّق نيّت به أوّل، احتياط متقدّم رعايت شود در صورت عدم قرينۀ ديگر بر يكى از دو احتمال 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اظهر انعقاد است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قرينه بر ارادۀ آثار عظمت خداى تعالى نباشد</w:t>
      </w:r>
      <w:r>
        <w:rPr>
          <w:rFonts w:eastAsia="IRNazanin" w:cs="IRNazanin"/>
          <w:color w:val="111111"/>
          <w:sz w:val="28"/>
          <w:szCs w:val="28"/>
          <w:rtl w:val="true"/>
          <w:lang w:bidi="fa-IR"/>
        </w:rPr>
        <w:t>.</w:t>
      </w:r>
    </w:p>
    <w:p>
      <w:pPr>
        <w:pStyle w:val="Heading5"/>
        <w:numPr>
          <w:ilvl w:val="4"/>
          <w:numId w:val="1"/>
        </w:numPr>
        <w:rPr/>
      </w:pPr>
      <w:bookmarkStart w:id="2667" w:name="__RefHeading___Toc3809221_1067777946"/>
      <w:bookmarkStart w:id="2668" w:name="_Toc1123"/>
      <w:bookmarkEnd w:id="2667"/>
      <w:r>
        <w:rPr>
          <w:rtl w:val="true"/>
        </w:rPr>
        <w:t>ذكر لفظ قسم يا حلف</w:t>
      </w:r>
      <w:bookmarkEnd w:id="2668"/>
    </w:p>
    <w:p>
      <w:pPr>
        <w:pStyle w:val="BookText"/>
        <w:rPr/>
      </w:pPr>
      <w:r>
        <w:rPr>
          <w:rFonts w:ascii="IRNazanin" w:hAnsi="IRNazanin" w:eastAsia="IRNazanin"/>
          <w:color w:val="111111"/>
          <w:sz w:val="28"/>
          <w:sz w:val="28"/>
          <w:szCs w:val="28"/>
          <w:rtl w:val="true"/>
          <w:lang w:bidi="fa-IR"/>
        </w:rPr>
        <w:t xml:space="preserve">و اگر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احلف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انشاى يمين، منعقد مى شود؛ و حكم به آن موقوف بر قرينۀ بر انشا است اگر چه حاليّه باشد؛ و اگر بدون قرينۀ انشا، انكار كرد و گفت قصد انشاى يمين نداشتم بلكه قصد اخبار يا انشاى وعد داشتم قبول مى شود، مثل قبول اين ادّعاى در سائر مشتركات بين انشا و اخبار به حسب دلالت لفظ؛ و اگر قرينه بر انشاى يمين بود، انكار متأخّر در حق غير، قبول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مجرّد باشد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ضميمۀ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يمين منعقد نمى شود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اظهر كفايت ضمّ هرچه قسم به آنها منعقد مى شود با ضميمۀ مثل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است</w:t>
      </w:r>
      <w:r>
        <w:rPr>
          <w:rFonts w:eastAsia="IRNazanin" w:cs="IRNazanin"/>
          <w:color w:val="111111"/>
          <w:sz w:val="28"/>
          <w:szCs w:val="28"/>
          <w:rtl w:val="true"/>
          <w:lang w:bidi="fa-IR"/>
        </w:rPr>
        <w:t xml:space="preserve">. </w:t>
      </w:r>
      <w:bookmarkStart w:id="2669" w:name="pg10265_90221"/>
    </w:p>
    <w:p>
      <w:pPr>
        <w:pStyle w:val="BookText"/>
        <w:rPr/>
      </w:pPr>
      <w:bookmarkEnd w:id="2669"/>
      <w:r>
        <w:rPr>
          <w:rFonts w:ascii="IRNazanin" w:hAnsi="IRNazanin" w:eastAsia="IRNazanin"/>
          <w:color w:val="111111"/>
          <w:sz w:val="28"/>
          <w:sz w:val="28"/>
          <w:szCs w:val="28"/>
          <w:rtl w:val="true"/>
          <w:lang w:bidi="fa-IR"/>
        </w:rPr>
        <w:t xml:space="preserve">و هم چنين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آن با ارادۀ انشاى قَسَم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لزوم قرينۀ بر انشاى در حكم و يمين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اخبار خودش به ارادۀ 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است، و در حكم واقعىِ آن، معتبر نيست بنا بر اظهر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عزمت باللّٰه لافعلنّ‌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مذكور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است، و اقتصار بر الفاظ شائعۀ در قَسَم، موافق احتياط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آنچه منعقد نمى شود به آن، يمين، اگر ذكر شود در مقام اخبار كاذب مثل آنكه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غير واقع و كذب، يا بعضى از مذكورات بدون انشاى يمين، پس موجب تشديد حرمت كذب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عين با حذف خبر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حكم به انعقاد يمين با آن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احلف بالطلاق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سائر انبيا و اوصيا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نمى شود يمين؛ اگر چه رجحان وفا، به اعتبار تعنون به تعظيم مقدّسات، خالى از وجه نيست، اگر چه كفّاره واجب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انعقاد به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واسطۀ اشتراك بين ارادۀ ذات مقدّسه و بين تكاليف او، بدون قرينۀ بر اول، تأمّل است، مثل سائر مشتركات به نحوى كه در سميع و بصير مذكور است، و احاله به عرفِ حالف، متعين است، و در عرف، در مقام قَسَم، غالب است لكن مثل غلبۀ حلف به انبيا و اوصيا، تعيّن قسم به ذات ثابته يا مستحقۀ الوهيّت يا عبادت را نمى 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اقرب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انعقاد است به جهت غالبيّت اطلاق بر ذات مقدّسه با احراز مقام قسم و نيّت آن</w:t>
      </w:r>
      <w:r>
        <w:rPr>
          <w:rFonts w:eastAsia="Amiri" w:cs="Amiri" w:ascii="Amiri" w:hAnsi="Amiri"/>
          <w:color w:val="111111"/>
          <w:sz w:val="28"/>
          <w:szCs w:val="28"/>
          <w:rtl w:val="true"/>
          <w:lang w:bidi="ar-SA"/>
        </w:rPr>
        <w:t>.</w:t>
      </w:r>
    </w:p>
    <w:p>
      <w:pPr>
        <w:pStyle w:val="Heading5"/>
        <w:numPr>
          <w:ilvl w:val="4"/>
          <w:numId w:val="1"/>
        </w:numPr>
        <w:rPr/>
      </w:pPr>
      <w:bookmarkStart w:id="2670" w:name="__RefHeading___Toc3809223_1067777946"/>
      <w:bookmarkStart w:id="2671" w:name="_Toc1124"/>
      <w:bookmarkEnd w:id="2670"/>
      <w:r>
        <w:rPr>
          <w:rtl w:val="true"/>
        </w:rPr>
        <w:t>تعليق يمين بر مشيّت خداوند متعال</w:t>
      </w:r>
      <w:bookmarkEnd w:id="2671"/>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استثناى به مشيّت خداى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تعليق مورد حلف بر مشيّت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و </w:t>
      </w:r>
      <w:bookmarkStart w:id="2672" w:name="pg10265_90222"/>
    </w:p>
    <w:p>
      <w:pPr>
        <w:pStyle w:val="BookText"/>
        <w:rPr/>
      </w:pPr>
      <w:bookmarkEnd w:id="2672"/>
      <w:r>
        <w:rPr>
          <w:rFonts w:ascii="IRNazanin" w:hAnsi="IRNazanin" w:eastAsia="IRNazanin"/>
          <w:color w:val="111111"/>
          <w:sz w:val="28"/>
          <w:sz w:val="28"/>
          <w:szCs w:val="28"/>
          <w:rtl w:val="true"/>
          <w:lang w:bidi="fa-IR"/>
        </w:rPr>
        <w:t xml:space="preserve">موجب ايقاف يمين و عدم وجوب كفّاره به حنث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فرقى بين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يشاء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مگر در اينكه معمول مقدر در اول، خلاف محلوفٌ عليه است و در دوم، وفاق آن است؛ و هم چنين فرقى بين تقديم و تأخير و توسط استثنا نيست با تقييد عزم در محلّ لزوم عزم در يمين؛ و تأخير آن با حدوث قصد تقييد بعد از تمام صيغۀ يمين، مشكل است مانعيّت آن در واقع، اگر چه در ظاهر حكم به تقييد و عدم وقوع بشود، و محتمل است فرق به حسب واقع بين صورت تبدّل نظر و نسيان تقييد عزمى در حين ايقاع صيغۀ يمين، كه غالب است نسيان قيود و متعلّقات عقود و ايقاع در زمان مقارن انجام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عمل، به حكم واقعى اولى خود باقى مى شود با اين 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در استثنا مشيّت به قصد تبرّك، انعقاد يمين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مانع از انعقاد مى شود، شرطش اتّصال عرفى و عدم انفصال از كلام مشتمل بر يمين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عذرى مثل تنفس و سعال و نحو اينها كه مخلّ به متابعت عرفيّه نيست؛ پس اگر منفصل شد به مخلّ به متابعت عرفيّه، اثرى ندارد و يمين منعقد است؛ و روايات تجويز تأخير، محمول بر تبرّك به استثنا است تا وقت تذكر، در مقابل استثناى تعليقى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اظهر در تعليق به مشيّت و مانعيّت آن از انعقاد يمين، عدم اعتبار نطق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اقتران نيّت كافى است؛ و در مانعيّت نيّت بعد از صيغۀ يمين، به نحوى كه اگر منطوق بود مانع بود، تأمّل است، اظهر عدم مانعيّت است نظر به اينكه قصد يمين تعليقى نمى شود</w:t>
      </w:r>
      <w:r>
        <w:rPr>
          <w:rFonts w:eastAsia="IRNazanin" w:cs="IRNazanin"/>
          <w:color w:val="111111"/>
          <w:sz w:val="28"/>
          <w:szCs w:val="28"/>
          <w:rtl w:val="true"/>
          <w:lang w:bidi="fa-IR"/>
        </w:rPr>
        <w:t>.</w:t>
      </w:r>
    </w:p>
    <w:p>
      <w:pPr>
        <w:pStyle w:val="Heading5"/>
        <w:numPr>
          <w:ilvl w:val="4"/>
          <w:numId w:val="1"/>
        </w:numPr>
        <w:rPr/>
      </w:pPr>
      <w:bookmarkStart w:id="2673" w:name="__RefHeading___Toc3809225_1067777946"/>
      <w:bookmarkStart w:id="2674" w:name="_Toc1125"/>
      <w:bookmarkEnd w:id="2673"/>
      <w:r>
        <w:rPr>
          <w:rtl w:val="true"/>
        </w:rPr>
        <w:t>تعليق يمين بر مشيت غير خدا</w:t>
      </w:r>
      <w:bookmarkEnd w:id="2674"/>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تعليق به مشيّت غير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مخلوقى كه ممكن است مشيّت او يمين را و عدم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است؛ پس اگر طرف، مشيّت وفاق كرد منعقد مى شود؛ و اگر مشيّت خلاف كرد منعقد نمى شود، و هم چنين اگر مشيّت وفاق تا زمان امكان </w:t>
      </w:r>
    </w:p>
    <w:p>
      <w:pPr>
        <w:pStyle w:val="BookText"/>
        <w:rPr/>
      </w:pPr>
      <w:r>
        <w:rPr>
          <w:rFonts w:ascii="Amiri" w:hAnsi="Amiri" w:eastAsia="Amiri" w:cs="Amiri"/>
          <w:color w:val="111111"/>
          <w:sz w:val="28"/>
          <w:sz w:val="28"/>
          <w:szCs w:val="28"/>
          <w:rtl w:val="true"/>
          <w:lang w:bidi="ar-SA"/>
        </w:rPr>
        <w:t>نكرد، يا آنكه غائب شد در آن زمان، يا وفات كرد، يا مجهول الحال بود تا انقضاى محل 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لأدخلنّ الدّار الّا أن يشاء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منعقد مى شود يمين؛ و به دخول قبل از مشيّت زيد، و به مشيّت زيد عدم دخول را قبل از دخول، منحلّ مى شود يمين، و حنث واقع نمى شود به ترك دخول بعد از اين مشيّت؛ و با مشيّت دخول كه ضد مستثنى است، يمين به حال خود باقى و التزام او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مجهول بود مشيّت در فرض مذكور، انعقاد يمين باقى است تا زمان علم به مشيّت عدم 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حكم تعليق حلف بر عدم دخول بر مشيّت عدم دخول با تعقّب آن به مشيّت عدم دخول يا مشيّت دخول يا جهل به مشيّت، مثل حكم تعليق حلف بر دخول بر مشيّت زيد مثلاً دخول را است با خصوصيّات معلومۀ در آن فرض، چون هر دو مندرج در تعليق بر مشيّت وفاق حلف است و در حكم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تقييد حَلّ يمين كرد، مثل اينكه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دخلت الدار الّا أن يشاء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دخول دار را، پس اگر فلان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شئت ان تدخل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يمين ساقط است و دخول بعد از اين مشيت، حنث نيست، مثل عدم دخول قبل از اين مشيت؛ و اگر بعد از مشيّت عدم دخول، داخل شد، حنث كرده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مشيّت دخول بعد از اين اثرى نيست؛ و اگر مجهول شد مشيّت، يمين باقى است چنانچه گذشت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به استثنا، قصد مخالفت با فلان نمايد، يعنى حلف بر دخول نمايد مگر آنكه فلان، مشيّتِ دخول نمايد، يا حلف بر عدم دخول نمايد مگر آنكه او مشيّت عدم دخول نمايد، پس با مشيّت دخول در اول قبل از دخول، منحلّ مى شود يمين، و لزوم دخول ندارد بعد از مشيّت دخول؛ و اگر مشيّت عدم دخول كرد در فرض دوم، منحلّ مى شود، و لازم نيست ترك دخول بعد از اين مشيّت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bookmarkStart w:id="2675" w:name="pg10265_90224"/>
    </w:p>
    <w:p>
      <w:pPr>
        <w:pStyle w:val="BookText"/>
        <w:rPr/>
      </w:pPr>
      <w:bookmarkEnd w:id="2675"/>
      <w:r>
        <w:rPr>
          <w:rFonts w:ascii="Amiri" w:hAnsi="Amiri" w:eastAsia="Amiri" w:cs="Amiri"/>
          <w:color w:val="111111"/>
          <w:sz w:val="28"/>
          <w:sz w:val="28"/>
          <w:szCs w:val="28"/>
          <w:rtl w:val="true"/>
          <w:lang w:bidi="ar-SA"/>
        </w:rPr>
        <w:t>مجهول باقى است حكم يمين، يعنى جهل به مشيّت يا جهل به متعلّق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التزام به هر كدام از مستثنى منه و مستثنى باشد، ملزم به نيّت خودش است، و با تعيّن مشيّت، متعيّن مى شود ملتزمٌ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جهل به مشيّتِ مانع از انعقاد يمين، مجهول مى شود و آنچه منعقد شده باقى است بر انعقاد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جهل به مراد از اطلاق استثنا، ظاهر، استثناى مشيّت عدم دخول در حلف بر دخول، و استثناى مشيّت دخول در حلف به عدم دخول است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جهل در تعدّد التزام يعنى در وقوع به مستثنى، اصل التزام دوم مشكوك مى شود و التزام اول با خصوصيّت استثنا، معلوم،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جهل به تعلّق استثنا به مشيّت دخول يا عدم دخول، محتمل است مشيّت احدهما مشكوك الايقاف باشد و يمين باقى باشد</w:t>
      </w:r>
      <w:r>
        <w:rPr>
          <w:rFonts w:eastAsia="IRNazanin" w:cs="IRNazanin"/>
          <w:color w:val="111111"/>
          <w:sz w:val="28"/>
          <w:szCs w:val="28"/>
          <w:rtl w:val="true"/>
          <w:lang w:bidi="fa-IR"/>
        </w:rPr>
        <w:t>.</w:t>
      </w:r>
    </w:p>
    <w:p>
      <w:pPr>
        <w:pStyle w:val="Heading5"/>
        <w:numPr>
          <w:ilvl w:val="4"/>
          <w:numId w:val="1"/>
        </w:numPr>
        <w:rPr/>
      </w:pPr>
      <w:bookmarkStart w:id="2676" w:name="__RefHeading___Toc3809227_1067777946"/>
      <w:bookmarkStart w:id="2677" w:name="_Toc1126"/>
      <w:bookmarkEnd w:id="2676"/>
      <w:r>
        <w:rPr>
          <w:rtl w:val="true"/>
        </w:rPr>
        <w:t>مبطليت تعليق بر مشيت خداى متعال نسبت خدا عقود تنجيزيه</w:t>
      </w:r>
      <w:bookmarkEnd w:id="2677"/>
    </w:p>
    <w:p>
      <w:pPr>
        <w:pStyle w:val="BookText"/>
        <w:rPr/>
      </w:pPr>
      <w:r>
        <w:rPr>
          <w:rFonts w:ascii="IRNazanin" w:hAnsi="IRNazanin" w:eastAsia="IRNazanin"/>
          <w:color w:val="111111"/>
          <w:sz w:val="28"/>
          <w:sz w:val="28"/>
          <w:szCs w:val="28"/>
          <w:rtl w:val="true"/>
          <w:lang w:bidi="fa-IR"/>
        </w:rPr>
        <w:t xml:space="preserve">هرچه از عقود و ايقاعات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تنجيز معتبر است تعليق بر مشيّت اللّٰه تعالى به نحو استثنا يا غير آن مبطل آن است، و حكم استثناى مشيّت خداى تعالى با مشيّت ديگرى بر طبق قاعده است؛ و هرچه در آن تنجيز لازم نيست پس تعليق به مشيّت غير كه ممكن و غير معلوم است مضر نيست، و استثناى مشيّت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تقدير معقوليّت آن سبب با اين استثنا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استثناى مشيّت غير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اظهر عدم دخول استثنا است در اقرار، يعنى مبطل اقرار است تعقّب آن به نحو اتّصال بر استثناى منافى با جزم لازم در اقرار، مثل منع آن در طلاق و عتق</w:t>
      </w:r>
      <w:r>
        <w:rPr>
          <w:rFonts w:eastAsia="Amiri" w:cs="Amiri" w:ascii="Amiri" w:hAnsi="Amiri"/>
          <w:color w:val="111111"/>
          <w:sz w:val="28"/>
          <w:szCs w:val="28"/>
          <w:rtl w:val="true"/>
          <w:lang w:bidi="ar-SA"/>
        </w:rPr>
        <w:t>.</w:t>
      </w:r>
    </w:p>
    <w:p>
      <w:pPr>
        <w:pStyle w:val="Heading5"/>
        <w:numPr>
          <w:ilvl w:val="4"/>
          <w:numId w:val="1"/>
        </w:numPr>
        <w:rPr/>
      </w:pPr>
      <w:bookmarkStart w:id="2678" w:name="__RefHeading___Toc3809229_1067777946"/>
      <w:bookmarkStart w:id="2679" w:name="_Toc1127"/>
      <w:bookmarkEnd w:id="2678"/>
      <w:r>
        <w:rPr>
          <w:rtl w:val="true"/>
        </w:rPr>
        <w:t>حروف قسم</w:t>
      </w:r>
      <w:bookmarkEnd w:id="2679"/>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حروف قسم در لغت عرب سه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بر ظاهر و مضمر داخل مى شود،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بر جميع اسماى ظاهره داخل مى شود،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فقط به لفظ جلاله داخل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اظهر عدم قبول ادعاى عدم ارادۀ يمين است در مذكورات؛ و در حكم </w:t>
      </w:r>
    </w:p>
    <w:p>
      <w:pPr>
        <w:pStyle w:val="BookText"/>
        <w:rPr/>
      </w:pPr>
      <w:r>
        <w:rPr>
          <w:rFonts w:ascii="Amiri" w:hAnsi="Amiri" w:eastAsia="Amiri" w:cs="Amiri"/>
          <w:color w:val="111111"/>
          <w:sz w:val="28"/>
          <w:sz w:val="28"/>
          <w:szCs w:val="28"/>
          <w:rtl w:val="true"/>
          <w:lang w:bidi="ar-SA"/>
        </w:rPr>
        <w:t>واقعى، دوران مدار نيّت واقعاً محتمل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حذف اين حروف با قرينۀ بر محذوفِ متعيّن و خفض مذكور، جائز است و مانع از انعقاد يمين نيست؛ به خلاف رفع مذكور يا نصب آن بنا بر احوط</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جائز است حلف به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تقدير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 اللّٰه قَسَمى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تخفيف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نحوى كه در لغت متفقه ثابت باشد</w:t>
      </w:r>
      <w:r>
        <w:rPr>
          <w:rFonts w:eastAsia="Amiri" w:cs="Amiri" w:ascii="Amiri" w:hAnsi="Amiri"/>
          <w:color w:val="111111"/>
          <w:sz w:val="28"/>
          <w:szCs w:val="28"/>
          <w:rtl w:val="true"/>
          <w:lang w:bidi="ar-SA"/>
        </w:rPr>
        <w:t xml:space="preserve">. </w:t>
      </w:r>
      <w:bookmarkStart w:id="2680" w:name="pg10265_90226"/>
    </w:p>
    <w:p>
      <w:pPr>
        <w:pStyle w:val="Heading3"/>
        <w:numPr>
          <w:ilvl w:val="2"/>
          <w:numId w:val="1"/>
        </w:numPr>
        <w:rPr/>
      </w:pPr>
      <w:bookmarkStart w:id="2681" w:name="__RefHeading___Toc3809231_1067777946"/>
      <w:bookmarkStart w:id="2682" w:name="_Toc1128"/>
      <w:bookmarkEnd w:id="2680"/>
      <w:bookmarkEnd w:id="2681"/>
      <w:r>
        <w:rPr>
          <w:rtl w:val="true"/>
        </w:rPr>
        <w:t>فصل دوّم شرايط و احكام حالف</w:t>
      </w:r>
      <w:bookmarkEnd w:id="2682"/>
    </w:p>
    <w:p>
      <w:pPr>
        <w:pStyle w:val="Heading4"/>
        <w:numPr>
          <w:ilvl w:val="3"/>
          <w:numId w:val="1"/>
        </w:numPr>
        <w:rPr/>
      </w:pPr>
      <w:bookmarkStart w:id="2683" w:name="__RefHeading___Toc3809233_1067777946"/>
      <w:bookmarkStart w:id="2684" w:name="_Toc1129"/>
      <w:bookmarkEnd w:id="2683"/>
      <w:r>
        <w:rPr>
          <w:rtl w:val="true"/>
        </w:rPr>
        <w:t>شرايط حالف</w:t>
      </w:r>
      <w:bookmarkEnd w:id="2684"/>
    </w:p>
    <w:p>
      <w:pPr>
        <w:pStyle w:val="BookText"/>
        <w:rPr/>
      </w:pPr>
      <w:r>
        <w:rPr>
          <w:rFonts w:ascii="IRNazanin" w:hAnsi="IRNazanin" w:eastAsia="IRNazanin"/>
          <w:color w:val="111111"/>
          <w:sz w:val="28"/>
          <w:sz w:val="28"/>
          <w:szCs w:val="28"/>
          <w:rtl w:val="true"/>
          <w:lang w:bidi="fa-IR"/>
        </w:rPr>
        <w:t>معتبر است در انعقاد حلف، در حالف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و كمال عقل و اختيار و قصد؛ پس منعقد نمى شود يمين غير بالغ، اگر چه مميّز باشد و در آنچه باشد كه وصيّت او نافذ است به قولى؛ و هم چنين يمين مُكرَه كه به داعى تخلّص از اضرار تهديدى به جا آورده شود؛ و مجنون مطبق، و ادوارى در غير زمان اِفاقه؛ و در حال غضب به نحوى كه مالك خود نباشد نه مطلق غضب، و از كسى كه قاصد نيست بلكه غافل يا جاهل به موضوع است يا هازل است يا از روى غلط اداء صيغۀ يمين كرد</w:t>
      </w:r>
      <w:r>
        <w:rPr>
          <w:rFonts w:eastAsia="IRNazanin" w:cs="IRNazanin"/>
          <w:color w:val="111111"/>
          <w:sz w:val="28"/>
          <w:szCs w:val="28"/>
          <w:rtl w:val="true"/>
          <w:lang w:bidi="fa-IR"/>
        </w:rPr>
        <w:t>.</w:t>
      </w:r>
    </w:p>
    <w:p>
      <w:pPr>
        <w:pStyle w:val="Heading4"/>
        <w:numPr>
          <w:ilvl w:val="3"/>
          <w:numId w:val="1"/>
        </w:numPr>
        <w:rPr/>
      </w:pPr>
      <w:bookmarkStart w:id="2685" w:name="__RefHeading___Toc3809235_1067777946"/>
      <w:bookmarkStart w:id="2686" w:name="_Toc1130"/>
      <w:bookmarkEnd w:id="2685"/>
      <w:r>
        <w:rPr>
          <w:rtl w:val="true"/>
        </w:rPr>
        <w:t>يمين كافر</w:t>
      </w:r>
      <w:bookmarkEnd w:id="2686"/>
    </w:p>
    <w:p>
      <w:pPr>
        <w:pStyle w:val="BookText"/>
        <w:rPr/>
      </w:pPr>
      <w:r>
        <w:rPr>
          <w:rFonts w:ascii="IRNazanin" w:hAnsi="IRNazanin" w:eastAsia="IRNazanin"/>
          <w:color w:val="111111"/>
          <w:sz w:val="28"/>
          <w:sz w:val="28"/>
          <w:szCs w:val="28"/>
          <w:rtl w:val="true"/>
          <w:lang w:bidi="fa-IR"/>
        </w:rPr>
        <w:t>يمين از كافر منعقد است با تمشّى قصد لازم در انعقاد آن؛ و كفّارۀ حنث از او صحيح نيست چون عبادت است، و با اسلام، صحيح و ساقط مى شود؛ بلكه معاقَب است اگر در حال كفر وفات نمايد، بر ترك تكفير صحيح و ترك اسلام</w:t>
      </w:r>
      <w:r>
        <w:rPr>
          <w:rFonts w:eastAsia="IRNazanin" w:cs="IRNazanin"/>
          <w:color w:val="111111"/>
          <w:sz w:val="28"/>
          <w:szCs w:val="28"/>
          <w:rtl w:val="true"/>
          <w:lang w:bidi="fa-IR"/>
        </w:rPr>
        <w:t>.</w:t>
      </w:r>
    </w:p>
    <w:p>
      <w:pPr>
        <w:pStyle w:val="Heading4"/>
        <w:numPr>
          <w:ilvl w:val="3"/>
          <w:numId w:val="1"/>
        </w:numPr>
        <w:rPr/>
      </w:pPr>
      <w:bookmarkStart w:id="2687" w:name="__RefHeading___Toc3809237_1067777946"/>
      <w:bookmarkStart w:id="2688" w:name="_Toc1131"/>
      <w:bookmarkEnd w:id="2687"/>
      <w:r>
        <w:rPr>
          <w:rtl w:val="true"/>
        </w:rPr>
        <w:t>شرطيت اذن در عين در مورد زوجه و ولد و مملوك</w:t>
      </w:r>
      <w:bookmarkEnd w:id="2688"/>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اظهر عدم انعقاد يمين ولد با والد او است، و هم چنين زوجه با زوج، و مملوك با مالك؛ بلكه انعقاد، متوقف بر اذن است، حتى آنكه در فعل واجب و ترك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متعلّق يمين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كفاره، متوقف بر انعقادِ متوقف بر اذن است، نه آنكه </w:t>
      </w:r>
      <w:bookmarkStart w:id="2689" w:name="pg10265_90227"/>
    </w:p>
    <w:p>
      <w:pPr>
        <w:pStyle w:val="BookText"/>
        <w:rPr/>
      </w:pPr>
      <w:bookmarkEnd w:id="2689"/>
      <w:r>
        <w:rPr>
          <w:rFonts w:ascii="IRNazanin" w:hAnsi="IRNazanin" w:eastAsia="IRNazanin"/>
          <w:color w:val="111111"/>
          <w:sz w:val="28"/>
          <w:sz w:val="28"/>
          <w:szCs w:val="28"/>
          <w:rtl w:val="true"/>
          <w:lang w:bidi="fa-IR"/>
        </w:rPr>
        <w:t>محكوم به صحّت و تزلزل و مراعى بودن به عدم حلّ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قول دوم منسوب به مشهور، استثنا مى نمايند يمين بر واجب و ترك حرام را، يعنى منعقد است و نمى توانند حل نمايند؛ و به قول اول در همۀ موارد اگر حلّ نكردند با اطلاع يا بدون آن، منعقد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عموم والد به جدّ ابى است، به خلاف مادر و جدّه، و در جدّ اُمّى تأمّل است؛ و هم چنين عموم به زوجۀ غير دائميّه اظهر است؛ و احتياط در اين فروع مطلوبست</w:t>
      </w:r>
      <w:r>
        <w:rPr>
          <w:rFonts w:eastAsia="IRNazanin" w:cs="IRNazanin"/>
          <w:color w:val="111111"/>
          <w:sz w:val="28"/>
          <w:szCs w:val="28"/>
          <w:rtl w:val="true"/>
          <w:lang w:bidi="fa-IR"/>
        </w:rPr>
        <w:t>.</w:t>
      </w:r>
    </w:p>
    <w:p>
      <w:pPr>
        <w:pStyle w:val="Heading4"/>
        <w:numPr>
          <w:ilvl w:val="3"/>
          <w:numId w:val="1"/>
        </w:numPr>
        <w:rPr/>
      </w:pPr>
      <w:bookmarkStart w:id="2690" w:name="__RefHeading___Toc3809239_1067777946"/>
      <w:bookmarkStart w:id="2691" w:name="_Toc1132"/>
      <w:bookmarkEnd w:id="2690"/>
      <w:r>
        <w:rPr>
          <w:rtl w:val="true"/>
        </w:rPr>
        <w:t>ادعاى غير يمين با صراحت لفظ</w:t>
      </w:r>
      <w:bookmarkEnd w:id="2691"/>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ادعاى غير يمين نمود با صراحت لفظ، قبول مى شود در غير آنچه متعلّق به حقوق غير اللّٰه تعالى است يا آنكه مقرون به قرينۀ قطعيّه بر ارادۀ يمين معهود باشد؛ و حكم واقعى تابع نيّت در واقع است</w:t>
      </w:r>
      <w:r>
        <w:rPr>
          <w:rFonts w:eastAsia="IRNazanin" w:cs="IRNazanin"/>
          <w:color w:val="111111"/>
          <w:sz w:val="28"/>
          <w:szCs w:val="28"/>
          <w:rtl w:val="true"/>
          <w:lang w:bidi="fa-IR"/>
        </w:rPr>
        <w:t xml:space="preserve">. </w:t>
      </w:r>
      <w:bookmarkStart w:id="2692" w:name="pg10265_90228"/>
    </w:p>
    <w:p>
      <w:pPr>
        <w:pStyle w:val="Heading3"/>
        <w:numPr>
          <w:ilvl w:val="2"/>
          <w:numId w:val="1"/>
        </w:numPr>
        <w:rPr/>
      </w:pPr>
      <w:bookmarkStart w:id="2693" w:name="__RefHeading___Toc3809241_1067777946"/>
      <w:bookmarkStart w:id="2694" w:name="_Toc1133"/>
      <w:bookmarkEnd w:id="2692"/>
      <w:bookmarkEnd w:id="2693"/>
      <w:r>
        <w:rPr>
          <w:rtl w:val="true"/>
        </w:rPr>
        <w:t>فصل سوّم متعلَّق يمين</w:t>
      </w:r>
      <w:bookmarkEnd w:id="2694"/>
    </w:p>
    <w:p>
      <w:pPr>
        <w:pStyle w:val="Heading4"/>
        <w:numPr>
          <w:ilvl w:val="3"/>
          <w:numId w:val="1"/>
        </w:numPr>
        <w:rPr/>
      </w:pPr>
      <w:bookmarkStart w:id="2695" w:name="__RefHeading___Toc3809243_1067777946"/>
      <w:bookmarkStart w:id="2696" w:name="_Toc1134"/>
      <w:bookmarkEnd w:id="2695"/>
      <w:r>
        <w:rPr/>
        <w:t>1</w:t>
      </w:r>
      <w:r>
        <w:rPr>
          <w:rtl w:val="true"/>
        </w:rPr>
        <w:t xml:space="preserve">. </w:t>
      </w:r>
      <w:r>
        <w:rPr>
          <w:rtl w:val="true"/>
        </w:rPr>
        <w:t>شرايط متعلق يمين</w:t>
      </w:r>
      <w:bookmarkEnd w:id="2696"/>
    </w:p>
    <w:p>
      <w:pPr>
        <w:pStyle w:val="Heading5"/>
        <w:numPr>
          <w:ilvl w:val="4"/>
          <w:numId w:val="1"/>
        </w:numPr>
        <w:rPr/>
      </w:pPr>
      <w:bookmarkStart w:id="2697" w:name="__RefHeading___Toc3809245_1067777946"/>
      <w:bookmarkStart w:id="2698" w:name="_Toc1135"/>
      <w:bookmarkEnd w:id="2697"/>
      <w:r>
        <w:rPr>
          <w:rtl w:val="true"/>
        </w:rPr>
        <w:t>عدم انعقاد يمين بر ماضى و حال</w:t>
      </w:r>
      <w:bookmarkEnd w:id="2698"/>
    </w:p>
    <w:p>
      <w:pPr>
        <w:pStyle w:val="BookText"/>
        <w:rPr/>
      </w:pPr>
      <w:r>
        <w:rPr>
          <w:rFonts w:ascii="IRNazanin" w:hAnsi="IRNazanin" w:eastAsia="IRNazanin"/>
          <w:color w:val="111111"/>
          <w:sz w:val="28"/>
          <w:sz w:val="28"/>
          <w:szCs w:val="28"/>
          <w:rtl w:val="true"/>
          <w:lang w:bidi="fa-IR"/>
        </w:rPr>
        <w:t xml:space="preserve">يمين بر ماضى و حال منعقد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حرام است اگر تعمّد كذب براى از بين بردن حق ثابت مسلمانى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كفاره ندارد؛ و بر مستقبل از فعل واجب و مندوب منعقد مى شود، و هم چنين بر ترك حرام و مكروه يا ترك مباح متساوى الطرفين يا آنكه ترك، راجح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انعقاد يمين، مخالفت كننده گناه كرده و بر او كفارۀ حنث يمين واجب مى شود</w:t>
      </w:r>
      <w:r>
        <w:rPr>
          <w:rFonts w:eastAsia="IRNazanin" w:cs="IRNazanin"/>
          <w:color w:val="111111"/>
          <w:sz w:val="28"/>
          <w:szCs w:val="28"/>
          <w:rtl w:val="true"/>
          <w:lang w:bidi="fa-IR"/>
        </w:rPr>
        <w:t>.</w:t>
      </w:r>
    </w:p>
    <w:p>
      <w:pPr>
        <w:pStyle w:val="Heading5"/>
        <w:numPr>
          <w:ilvl w:val="4"/>
          <w:numId w:val="1"/>
        </w:numPr>
        <w:rPr/>
      </w:pPr>
      <w:bookmarkStart w:id="2699" w:name="__RefHeading___Toc3809247_1067777946"/>
      <w:bookmarkStart w:id="2700" w:name="_Toc1136"/>
      <w:bookmarkEnd w:id="2699"/>
      <w:r>
        <w:rPr>
          <w:rtl w:val="true"/>
        </w:rPr>
        <w:t>اعتبار عدم مرجوحيت در متعلق يمين</w:t>
      </w:r>
      <w:bookmarkEnd w:id="2700"/>
    </w:p>
    <w:p>
      <w:pPr>
        <w:pStyle w:val="BookText"/>
        <w:rPr/>
      </w:pPr>
      <w:r>
        <w:rPr>
          <w:rFonts w:ascii="IRNazanin" w:hAnsi="IRNazanin" w:eastAsia="IRNazanin"/>
          <w:color w:val="111111"/>
          <w:sz w:val="28"/>
          <w:sz w:val="28"/>
          <w:szCs w:val="28"/>
          <w:rtl w:val="true"/>
          <w:lang w:bidi="fa-IR"/>
        </w:rPr>
        <w:t>و اگر حلف واقع كرد بر ترك فعلى كه آن راجح است براى دين يا دنيا منعقد نمى شود و كفاره ندارد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راجح در حال يمين منعقد، به حسب عوارض متجدّده مرجوح شد، ايجاد آن حنث نيست و كفاره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تبادل عوارض از حيث راجحيّت و مرجوحيّت، عود يمين و عدم آن، مبنىّ بر انعقاد و عدم انعقاد است؛ و در صورت انعقاد، به رجحان طارى منحلّ مى شود در بعض فروض، و باقى است در غير مورد رجحان در بعض فروض؛ و مدار بر انعقاد اصل يمين يا حكم آن است</w:t>
      </w:r>
      <w:r>
        <w:rPr>
          <w:rFonts w:eastAsia="IRNazanin" w:cs="IRNazanin"/>
          <w:color w:val="111111"/>
          <w:sz w:val="28"/>
          <w:szCs w:val="28"/>
          <w:rtl w:val="true"/>
          <w:lang w:bidi="fa-IR"/>
        </w:rPr>
        <w:t xml:space="preserve">. </w:t>
      </w:r>
      <w:bookmarkStart w:id="2701" w:name="pg10265_90229"/>
    </w:p>
    <w:p>
      <w:pPr>
        <w:pStyle w:val="BookText"/>
        <w:rPr/>
      </w:pPr>
      <w:bookmarkEnd w:id="2701"/>
      <w:r>
        <w:rPr>
          <w:rFonts w:ascii="IRNazanin" w:hAnsi="IRNazanin" w:eastAsia="IRNazanin"/>
          <w:color w:val="111111"/>
          <w:sz w:val="28"/>
          <w:sz w:val="28"/>
          <w:szCs w:val="28"/>
          <w:rtl w:val="true"/>
          <w:lang w:bidi="fa-IR"/>
        </w:rPr>
        <w:t>و اگر حلف بر ترك تزويج كرد با راجحيّت تزويج براى دين يا دنيا، منعقد نمى شود، و جائز است بنا بر اين تزويج متعدّد</w:t>
      </w:r>
      <w:r>
        <w:rPr>
          <w:rFonts w:eastAsia="IRNazanin" w:cs="IRNazanin"/>
          <w:color w:val="111111"/>
          <w:sz w:val="28"/>
          <w:szCs w:val="28"/>
          <w:rtl w:val="true"/>
          <w:lang w:bidi="fa-IR"/>
        </w:rPr>
        <w:t>.</w:t>
      </w:r>
    </w:p>
    <w:p>
      <w:pPr>
        <w:pStyle w:val="Heading5"/>
        <w:numPr>
          <w:ilvl w:val="4"/>
          <w:numId w:val="1"/>
        </w:numPr>
        <w:rPr/>
      </w:pPr>
      <w:bookmarkStart w:id="2702" w:name="__RefHeading___Toc3809249_1067777946"/>
      <w:bookmarkStart w:id="2703" w:name="_Toc1137"/>
      <w:bookmarkEnd w:id="2702"/>
      <w:r>
        <w:rPr>
          <w:rtl w:val="true"/>
        </w:rPr>
        <w:t>اعتبار رجحان دينى يا دنيوى يا تساوى در متعلق قسم</w:t>
      </w:r>
      <w:bookmarkEnd w:id="2703"/>
    </w:p>
    <w:p>
      <w:pPr>
        <w:pStyle w:val="BookText"/>
        <w:rPr/>
      </w:pPr>
      <w:r>
        <w:rPr>
          <w:rFonts w:ascii="IRNazanin" w:hAnsi="IRNazanin" w:eastAsia="IRNazanin"/>
          <w:color w:val="111111"/>
          <w:sz w:val="28"/>
          <w:sz w:val="28"/>
          <w:szCs w:val="28"/>
          <w:rtl w:val="true"/>
          <w:lang w:bidi="fa-IR"/>
        </w:rPr>
        <w:t>و در انعقاد حلف بر فعل، رجحان در دين يا دنيا يا تساوى فعل و ترك در آنها معتبر است؛ و در انعقاد حلف بر ترك، عدم مرجح دينى يا دنيوى در فعل، معتبر است؛ لكن انعقاد در متساوى الطرفين مبنىّ بر احتياط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فرقى نيست در عارض، تجدّد آن به نحوى كه موجب خيريت خلاف متعلّق يمين است، يا معلوميّت آن كه اگر در حين يمين معلوم بود منعقد نمى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سبب جواز عدول و عدم حنث و كفاره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اظهر عدم فرق بين رجحان خلاف است يا خلاف خاص، مثل ترك اعطاى زيد كه مقرون به اعطاى عمرو باشد كه جائز است عدول از فعل به ترك مخصوص نه مطلقاً</w:t>
      </w:r>
      <w:r>
        <w:rPr>
          <w:rFonts w:eastAsia="Amiri" w:cs="Amiri" w:ascii="Amiri" w:hAnsi="Amiri"/>
          <w:color w:val="111111"/>
          <w:sz w:val="28"/>
          <w:szCs w:val="28"/>
          <w:rtl w:val="true"/>
          <w:lang w:bidi="ar-SA"/>
        </w:rPr>
        <w:t>.</w:t>
      </w:r>
    </w:p>
    <w:p>
      <w:pPr>
        <w:pStyle w:val="Heading5"/>
        <w:numPr>
          <w:ilvl w:val="4"/>
          <w:numId w:val="1"/>
        </w:numPr>
        <w:rPr/>
      </w:pPr>
      <w:bookmarkStart w:id="2704" w:name="__RefHeading___Toc3809251_1067777946"/>
      <w:bookmarkStart w:id="2705" w:name="_Toc1138"/>
      <w:bookmarkEnd w:id="2704"/>
      <w:r>
        <w:rPr>
          <w:rtl w:val="true"/>
        </w:rPr>
        <w:t>بى اثر بودن يمين بر فعل غير و بر فعل و بر فعل ممتنع</w:t>
      </w:r>
      <w:bookmarkEnd w:id="2705"/>
    </w:p>
    <w:p>
      <w:pPr>
        <w:pStyle w:val="BookText"/>
        <w:rPr/>
      </w:pPr>
      <w:r>
        <w:rPr>
          <w:rFonts w:ascii="Amiri" w:hAnsi="Amiri" w:eastAsia="Amiri" w:cs="Amiri"/>
          <w:color w:val="111111"/>
          <w:sz w:val="28"/>
          <w:sz w:val="28"/>
          <w:szCs w:val="28"/>
          <w:rtl w:val="true"/>
          <w:lang w:bidi="ar-SA"/>
        </w:rPr>
        <w:t xml:space="preserve">يمين بر فعل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مستقل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اثر است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منعقد نمى شود يمين بر ممتنع اگر معلوم نباشد امتناع آن و قصد، متمشى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حين يمين، ممكن بود، بعد در وقت عمل، عجز متجدّد شد در تمام وقت موقت يا هميشگى در غير موقت، منحلّ مى شود يمين؛ و اگر بعد از عجز، قدرت 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بقاى وقت آن، واجب است وفاى به يمين</w:t>
      </w:r>
      <w:r>
        <w:rPr>
          <w:rFonts w:eastAsia="IRNazanin" w:cs="IRNazanin"/>
          <w:color w:val="111111"/>
          <w:sz w:val="28"/>
          <w:szCs w:val="28"/>
          <w:rtl w:val="true"/>
          <w:lang w:bidi="fa-IR"/>
        </w:rPr>
        <w:t>.</w:t>
      </w:r>
    </w:p>
    <w:p>
      <w:pPr>
        <w:pStyle w:val="Heading4"/>
        <w:numPr>
          <w:ilvl w:val="3"/>
          <w:numId w:val="1"/>
        </w:numPr>
        <w:rPr/>
      </w:pPr>
      <w:bookmarkStart w:id="2706" w:name="__RefHeading___Toc3809253_1067777946"/>
      <w:bookmarkStart w:id="2707" w:name="_Toc1139"/>
      <w:bookmarkEnd w:id="2706"/>
      <w:r>
        <w:rPr/>
        <w:t>2</w:t>
      </w:r>
      <w:r>
        <w:rPr>
          <w:rtl w:val="true"/>
        </w:rPr>
        <w:t xml:space="preserve">. </w:t>
      </w:r>
      <w:r>
        <w:rPr>
          <w:rtl w:val="true"/>
        </w:rPr>
        <w:t>اَيمان متعلقۀ به مأكل و مشرب</w:t>
      </w:r>
      <w:bookmarkEnd w:id="2707"/>
    </w:p>
    <w:p>
      <w:pPr>
        <w:pStyle w:val="Heading5"/>
        <w:numPr>
          <w:ilvl w:val="4"/>
          <w:numId w:val="1"/>
        </w:numPr>
        <w:rPr/>
      </w:pPr>
      <w:bookmarkStart w:id="2708" w:name="__RefHeading___Toc3809255_1067777946"/>
      <w:bookmarkStart w:id="2709" w:name="_Toc1140"/>
      <w:bookmarkEnd w:id="2708"/>
      <w:r>
        <w:rPr>
          <w:rtl w:val="true"/>
        </w:rPr>
        <w:t>اشاره</w:t>
      </w:r>
      <w:bookmarkEnd w:id="27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قسم خورد بر اينكه نياشامد از شير گاوى از خودش و نخورد از گوشت آن، منعقد مى شود با رجحان آنچه مورد قسم است يا مساوات به نحو مذكور؛ و اگر محتاج بود و مرجوح بود مورد حلف، منعقد نمى شود؛ و در اثنا اگر محتاج شد،</w:t>
      </w:r>
      <w:bookmarkStart w:id="2710" w:name="pg10265_90230"/>
    </w:p>
    <w:p>
      <w:pPr>
        <w:pStyle w:val="BookText"/>
        <w:rPr/>
      </w:pPr>
      <w:bookmarkEnd w:id="2710"/>
      <w:r>
        <w:rPr>
          <w:rFonts w:ascii="IRNazanin" w:hAnsi="IRNazanin" w:eastAsia="IRNazanin"/>
          <w:color w:val="111111"/>
          <w:sz w:val="28"/>
          <w:sz w:val="28"/>
          <w:szCs w:val="28"/>
          <w:rtl w:val="true"/>
          <w:lang w:bidi="fa-IR"/>
        </w:rPr>
        <w:t>جائز است مخالفت به نحو 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فرض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سرايت نمى كند تحريم يمين به نسل و اولاد آن گاو مگر با قصد عموم در زمان حلف؛ بلكه به غير گوشت و شير مثل كره و كشك كه مسمّاى شير نيست، متعدّى نمى شود، مگر با تعميم در قصد، با قرينه براى حكم، و مطلقاً در حكم واقعى، مثل سائر موارد نيّت عامّ با خصوص لفظ يا نيّت خاص با عموم لفظ در مقام يمين</w:t>
      </w:r>
      <w:r>
        <w:rPr>
          <w:rFonts w:eastAsia="IRNazanin" w:cs="IRNazanin"/>
          <w:color w:val="111111"/>
          <w:sz w:val="28"/>
          <w:szCs w:val="28"/>
          <w:rtl w:val="true"/>
          <w:lang w:bidi="fa-IR"/>
        </w:rPr>
        <w:t>.</w:t>
      </w:r>
    </w:p>
    <w:p>
      <w:pPr>
        <w:pStyle w:val="Heading5"/>
        <w:numPr>
          <w:ilvl w:val="4"/>
          <w:numId w:val="1"/>
        </w:numPr>
        <w:rPr/>
      </w:pPr>
      <w:bookmarkStart w:id="2711" w:name="__RefHeading___Toc3809257_1067777946"/>
      <w:bookmarkStart w:id="2712" w:name="_Toc1141"/>
      <w:bookmarkEnd w:id="2711"/>
      <w:r>
        <w:rPr>
          <w:rtl w:val="true"/>
        </w:rPr>
        <w:t>غلط در صيغۀ يمين</w:t>
      </w:r>
      <w:bookmarkEnd w:id="271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غلط كرد و قصد صلات از صوم كرد، اظهر عدم انعقاد يمين است به حسب واقع؛ و اگر غلط اعرابى باشد از غير متمكّن از صحيح اظهر انعقاد است، و اللّٰه العالم؛ و هم چنين غلط در مادۀ كلمه اى كه واقع شود از غير عربى در لغت عربى</w:t>
      </w:r>
      <w:r>
        <w:rPr>
          <w:rFonts w:eastAsia="IRNazanin" w:cs="IRNazanin"/>
          <w:color w:val="111111"/>
          <w:sz w:val="28"/>
          <w:szCs w:val="28"/>
          <w:rtl w:val="true"/>
          <w:lang w:bidi="fa-IR"/>
        </w:rPr>
        <w:t>.</w:t>
      </w:r>
    </w:p>
    <w:p>
      <w:pPr>
        <w:pStyle w:val="Heading5"/>
        <w:numPr>
          <w:ilvl w:val="4"/>
          <w:numId w:val="1"/>
        </w:numPr>
        <w:rPr/>
      </w:pPr>
      <w:bookmarkStart w:id="2713" w:name="__RefHeading___Toc3809259_1067777946"/>
      <w:bookmarkStart w:id="2714" w:name="_Toc1142"/>
      <w:bookmarkEnd w:id="2713"/>
      <w:r>
        <w:rPr>
          <w:rtl w:val="true"/>
        </w:rPr>
        <w:t>تعدّى از خصوصيت ملحوظۀ در قسم</w:t>
      </w:r>
      <w:bookmarkEnd w:id="271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حلف كرد بر اينكه طعامى را كه زيد خريده باشد تناول نكند، پس خريد زيد با عمرو آن طعام را، اظهر حنث و لزوم كفاره است به اكل اين طعام، مگر قصد انفراد در شراء نمايد با قرينه يا بدون آن به نحو متقدّم؛ به خلاف آنكه حلف بر عدم لبس قميصى كه اشتراء يا نسج يا غزل آن را زيد كرده باشد پس زيد با عمرو انجام داد يكى از اينها را، كه مشترى قميص يا ناسج آن يا غازل آن مجموع است نه هر يكى، بلكه هر يكى بعض قميص را اشتراء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هر كدام از زيد و عمرو به نحو انفراد طعامى را خريدند و خلطِ موجبِ شركت، محقّق شد، اظهر حنث است به مجرد اكل با علم اجمالى به اشتمال خصوص مأكول بر آنچه زيد خريده است؛ و اگر چنين مزجى محقّق نشده بود در مقدار مأكول خاص، حنث واقع نمى شود و كفاره لازم نمى شود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حلف كرد بر اينكه يك خرماى معيّنى را تناول نكند، پس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bookmarkStart w:id="2715" w:name="pg10265_90231"/>
    </w:p>
    <w:p>
      <w:pPr>
        <w:pStyle w:val="BookText"/>
        <w:rPr/>
      </w:pPr>
      <w:bookmarkEnd w:id="2715"/>
      <w:r>
        <w:rPr>
          <w:rFonts w:ascii="IRNazanin" w:hAnsi="IRNazanin" w:eastAsia="IRNazanin"/>
          <w:color w:val="111111"/>
          <w:sz w:val="28"/>
          <w:sz w:val="28"/>
          <w:szCs w:val="28"/>
          <w:rtl w:val="true"/>
          <w:lang w:bidi="fa-IR"/>
        </w:rPr>
        <w:t xml:space="preserve">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خرمايى كه با او بود، حنث متوقف بر اكل مقدار مشتمل بر آن يكى معين است به نحو يقين، اگر چه هيچ كدام از آنها را نمى تواند تناول نمايد در شبهۀ محصوره از باب علم اجمالى؛ و در غير محصور جائز است تناول، و حنث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اتفاق علم به وقوع در مخالفت 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 كفاره، مماثل است با اكراه بر خلاف حلف</w:t>
      </w:r>
      <w:r>
        <w:rPr>
          <w:rFonts w:eastAsia="IRNazanin" w:cs="IRNazanin"/>
          <w:color w:val="111111"/>
          <w:sz w:val="28"/>
          <w:szCs w:val="28"/>
          <w:rtl w:val="true"/>
          <w:lang w:bidi="fa-IR"/>
        </w:rPr>
        <w:t>.</w:t>
      </w:r>
    </w:p>
    <w:p>
      <w:pPr>
        <w:pStyle w:val="Heading5"/>
        <w:numPr>
          <w:ilvl w:val="4"/>
          <w:numId w:val="1"/>
        </w:numPr>
        <w:rPr/>
      </w:pPr>
      <w:bookmarkStart w:id="2716" w:name="__RefHeading___Toc3809261_1067777946"/>
      <w:bookmarkStart w:id="2717" w:name="_Toc1143"/>
      <w:bookmarkEnd w:id="2716"/>
      <w:r>
        <w:rPr>
          <w:rtl w:val="true"/>
        </w:rPr>
        <w:t>تقديم و تأخير بر موقّت در قسم</w:t>
      </w:r>
      <w:bookmarkEnd w:id="271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حلف كرد بر اينكه اين طعام را فردا تناول نمايد، پس تأخير از فردا موجب حنث است؛ و اكل در فردا برّ و وفا است؛ و تقديم بر فردا آيا موجب حنث است يا نه‌؟ خلاف است، اظهر تبعيّت قصد است از حيث تعلّق آن به اكل مطلق يا مشروط به بقاى آن كه اگر باقى نماند تا فردا به هر سببى باشد مخالفت نكرده است؛ و هم چنين در سائر افعال خاصه موقّتۀ به زمان است از حيث تقديم به نحوى كه موضوع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تقدير قصد مطلق، ظاهر، اناطۀ وجوب كفاره بر تحقّق شروط فعليّت تكليف در فردا است، نه آنكه معجّلاً واجب است قبل از رسيدن فردا و مديون است اگر وفات نمايد بعد از اكل و قبل از رسيدن زمان اكل در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ذكر شد معلوم مى شود حكم تلف قبل از فردا يا در فردا قبل از تمكّن از أكل، به اختيار حالف، كه مثل اكل قبل از فردا است؛ و اگر قبل از تمكّن از اكل در فردا، بدون اختيار حالف تلف شد، عدم حنث، واضح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تلف شد در اثناى فردا بعد از تمكّن از اكل و قبل از اكل، بدون اختيار حالف، اظهر عدم حنث است، به واسطۀ عدم تقصير با وسعت وقت؛ و اگر مطلق بود متعلّق حلف و موسّع بود، تقصير و حنث نيست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بوفات قريب به عمل نداشته باشد، و مطلق وفات، كاشف از تقصير و حنث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تلف به اختيار حالف باشد در فرض مذكور، حنث و كفاره ثابت است</w:t>
      </w:r>
      <w:r>
        <w:rPr>
          <w:rFonts w:eastAsia="IRNazanin" w:cs="IRNazanin"/>
          <w:color w:val="111111"/>
          <w:sz w:val="28"/>
          <w:szCs w:val="28"/>
          <w:rtl w:val="true"/>
          <w:lang w:bidi="fa-IR"/>
        </w:rPr>
        <w:t xml:space="preserve">). </w:t>
      </w:r>
      <w:bookmarkStart w:id="2718" w:name="pg10265_90232"/>
    </w:p>
    <w:p>
      <w:pPr>
        <w:pStyle w:val="BookText"/>
        <w:rPr/>
      </w:pPr>
      <w:bookmarkEnd w:id="2718"/>
      <w:r>
        <w:rPr>
          <w:rFonts w:ascii="Amiri" w:hAnsi="Amiri" w:eastAsia="Amiri" w:cs="Amiri"/>
          <w:color w:val="111111"/>
          <w:sz w:val="28"/>
          <w:sz w:val="28"/>
          <w:szCs w:val="28"/>
          <w:rtl w:val="true"/>
          <w:lang w:bidi="ar-SA"/>
        </w:rPr>
        <w:t>لكن بر تقدير اختيار حنث، يا در صورت تقصير به واسطۀ ظن وفات يا ظن تلف مورد حلف، اظهر فعليّت وجوب كفاره است، نه انتظار مقارب غروب آن روز؛ و موت در بين دو وقت، تأثيرى در انتفاى كفاره ندارد</w:t>
      </w:r>
      <w:r>
        <w:rPr>
          <w:rFonts w:eastAsia="Amiri" w:cs="Amiri" w:ascii="Amiri" w:hAnsi="Amiri"/>
          <w:color w:val="111111"/>
          <w:sz w:val="28"/>
          <w:szCs w:val="28"/>
          <w:rtl w:val="true"/>
          <w:lang w:bidi="ar-SA"/>
        </w:rPr>
        <w:t>.</w:t>
      </w:r>
    </w:p>
    <w:p>
      <w:pPr>
        <w:pStyle w:val="Heading5"/>
        <w:numPr>
          <w:ilvl w:val="4"/>
          <w:numId w:val="1"/>
        </w:numPr>
        <w:rPr/>
      </w:pPr>
      <w:bookmarkStart w:id="2719" w:name="__RefHeading___Toc3809263_1067777946"/>
      <w:bookmarkStart w:id="2720" w:name="_Toc1144"/>
      <w:bookmarkEnd w:id="2719"/>
      <w:r>
        <w:rPr>
          <w:rtl w:val="true"/>
        </w:rPr>
        <w:t>اختصاص حنث به اصل متعلّق قسم</w:t>
      </w:r>
      <w:bookmarkEnd w:id="272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حلف كرد به عدم شرب از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نهر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آب فرات، اظهر عدم اخلال وسائط است مگر با قرينه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شرب از كوزه بنا بر اظهر</w:t>
      </w:r>
      <w:r>
        <w:rPr>
          <w:rFonts w:eastAsia="IRNazanin" w:cs="IRNazanin"/>
          <w:color w:val="111111"/>
          <w:sz w:val="28"/>
          <w:szCs w:val="28"/>
          <w:rtl w:val="true"/>
          <w:lang w:bidi="fa-IR"/>
        </w:rPr>
        <w:t>.</w:t>
      </w:r>
    </w:p>
    <w:p>
      <w:pPr>
        <w:pStyle w:val="Heading5"/>
        <w:numPr>
          <w:ilvl w:val="4"/>
          <w:numId w:val="1"/>
        </w:numPr>
        <w:rPr/>
      </w:pPr>
      <w:bookmarkStart w:id="2721" w:name="__RefHeading___Toc3809265_1067777946"/>
      <w:bookmarkStart w:id="2722" w:name="_Toc1145"/>
      <w:bookmarkEnd w:id="2721"/>
      <w:r>
        <w:rPr>
          <w:rtl w:val="true"/>
        </w:rPr>
        <w:t>حمل قسم بر مصاديق متعارفه</w:t>
      </w:r>
      <w:bookmarkEnd w:id="272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حلف كرد بر ترك اكل رءوس، محمول مى شود بر رءوس مستقلّۀ در اكل و بيع، مثل رءوس انعام و اشباه آنها، نه طيور و ماهى و ملخ</w:t>
      </w:r>
      <w:r>
        <w:rPr>
          <w:rFonts w:eastAsia="IRNazanin" w:cs="IRNazanin"/>
          <w:color w:val="111111"/>
          <w:sz w:val="28"/>
          <w:szCs w:val="28"/>
          <w:rtl w:val="true"/>
          <w:lang w:bidi="fa-IR"/>
        </w:rPr>
        <w:t>.</w:t>
      </w:r>
    </w:p>
    <w:p>
      <w:pPr>
        <w:pStyle w:val="Heading5"/>
        <w:numPr>
          <w:ilvl w:val="4"/>
          <w:numId w:val="1"/>
        </w:numPr>
        <w:rPr/>
      </w:pPr>
      <w:bookmarkStart w:id="2723" w:name="__RefHeading___Toc3809267_1067777946"/>
      <w:bookmarkStart w:id="2724" w:name="_Toc1146"/>
      <w:bookmarkEnd w:id="2723"/>
      <w:r>
        <w:rPr>
          <w:rtl w:val="true"/>
        </w:rPr>
        <w:t>حلف بر گوشت نخوردن</w:t>
      </w:r>
      <w:bookmarkEnd w:id="2724"/>
    </w:p>
    <w:p>
      <w:pPr>
        <w:pStyle w:val="BookText"/>
        <w:rPr/>
      </w:pPr>
      <w:r>
        <w:rPr>
          <w:rFonts w:ascii="IRNazanin" w:hAnsi="IRNazanin" w:eastAsia="IRNazanin"/>
          <w:color w:val="111111"/>
          <w:sz w:val="28"/>
          <w:sz w:val="28"/>
          <w:szCs w:val="28"/>
          <w:rtl w:val="true"/>
          <w:lang w:bidi="fa-IR"/>
        </w:rPr>
        <w:t xml:space="preserve">اگر حلف كرد گوشت نخورد، گوشت طيور و ماهى و ملخ داخل مى شوند بنا بر اظهر؛ و اگر حلف كرد شحم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نخورد، به هرچه صدق نمايد و صدق لحم ننمايد شامل است بنا بر اظهر</w:t>
      </w:r>
      <w:r>
        <w:rPr>
          <w:rFonts w:eastAsia="IRNazanin" w:cs="IRNazanin"/>
          <w:color w:val="111111"/>
          <w:sz w:val="28"/>
          <w:szCs w:val="28"/>
          <w:rtl w:val="true"/>
          <w:lang w:bidi="fa-IR"/>
        </w:rPr>
        <w:t>.</w:t>
      </w:r>
    </w:p>
    <w:p>
      <w:pPr>
        <w:pStyle w:val="Heading5"/>
        <w:numPr>
          <w:ilvl w:val="4"/>
          <w:numId w:val="1"/>
        </w:numPr>
        <w:rPr/>
      </w:pPr>
      <w:bookmarkStart w:id="2725" w:name="__RefHeading___Toc3809269_1067777946"/>
      <w:bookmarkStart w:id="2726" w:name="_Toc1147"/>
      <w:bookmarkEnd w:id="2725"/>
      <w:r>
        <w:rPr>
          <w:rtl w:val="true"/>
        </w:rPr>
        <w:t>لزوم اخذ به آنچه قسم كنايه از آن است</w:t>
      </w:r>
      <w:bookmarkEnd w:id="272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بگويد در حلف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ذقتُ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كنايه بودن از اكل است، و به مجرّد مضغ و دور انداختن حنث نمى كند</w:t>
      </w:r>
      <w:r>
        <w:rPr>
          <w:rFonts w:eastAsia="IRNazanin" w:cs="IRNazanin"/>
          <w:color w:val="111111"/>
          <w:sz w:val="28"/>
          <w:szCs w:val="28"/>
          <w:rtl w:val="true"/>
          <w:lang w:bidi="fa-IR"/>
        </w:rPr>
        <w:t>.</w:t>
      </w:r>
    </w:p>
    <w:p>
      <w:pPr>
        <w:pStyle w:val="Heading5"/>
        <w:numPr>
          <w:ilvl w:val="4"/>
          <w:numId w:val="1"/>
        </w:numPr>
        <w:rPr/>
      </w:pPr>
      <w:bookmarkStart w:id="2727" w:name="__RefHeading___Toc3809271_1067777946"/>
      <w:bookmarkStart w:id="2728" w:name="_Toc1148"/>
      <w:bookmarkEnd w:id="2727"/>
      <w:r>
        <w:rPr>
          <w:rtl w:val="true"/>
        </w:rPr>
        <w:t>فرض استهلاك و عدم استهلاك متعلق قسم</w:t>
      </w:r>
      <w:bookmarkEnd w:id="2728"/>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گفت در حلف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أكلتُ سمناً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روغن را، به هر كيفيّتى تناول نمايد حنث واقع مى شود مگر آنكه مستهلك عرفى در طعام بشود و متميز نباشد، و فرقى بين جامد و آب كرده اش نيست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 را نمى خورم، منجمد و غير آن داخل است، و روغن و پنير و </w:t>
      </w:r>
      <w:bookmarkStart w:id="2729" w:name="pg10265_90233"/>
    </w:p>
    <w:p>
      <w:pPr>
        <w:pStyle w:val="BookText"/>
        <w:rPr/>
      </w:pPr>
      <w:bookmarkEnd w:id="2729"/>
      <w:r>
        <w:rPr>
          <w:rFonts w:ascii="Amiri" w:hAnsi="Amiri" w:eastAsia="Amiri" w:cs="Amiri"/>
          <w:color w:val="111111"/>
          <w:sz w:val="28"/>
          <w:sz w:val="28"/>
          <w:szCs w:val="28"/>
          <w:rtl w:val="true"/>
          <w:lang w:bidi="ar-SA"/>
        </w:rPr>
        <w:t>كره خارج است؛ و فرقى در داخل، بين حليب و لباء و رائب و مخيض نيست</w:t>
      </w:r>
      <w:r>
        <w:rPr>
          <w:rFonts w:eastAsia="Amiri" w:cs="Amiri" w:ascii="Amiri" w:hAnsi="Amiri"/>
          <w:color w:val="111111"/>
          <w:sz w:val="28"/>
          <w:szCs w:val="28"/>
          <w:rtl w:val="true"/>
          <w:lang w:bidi="ar-SA"/>
        </w:rPr>
        <w:t>.</w:t>
      </w:r>
    </w:p>
    <w:p>
      <w:pPr>
        <w:pStyle w:val="Heading5"/>
        <w:numPr>
          <w:ilvl w:val="4"/>
          <w:numId w:val="1"/>
        </w:numPr>
        <w:rPr/>
      </w:pPr>
      <w:bookmarkStart w:id="2730" w:name="__RefHeading___Toc3809273_1067777946"/>
      <w:bookmarkStart w:id="2731" w:name="_Toc1149"/>
      <w:bookmarkEnd w:id="2730"/>
      <w:r>
        <w:rPr>
          <w:rtl w:val="true"/>
        </w:rPr>
        <w:t>تبديل متعلق قسم، مثل گندم به آرد</w:t>
      </w:r>
      <w:bookmarkEnd w:id="2731"/>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حلف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گندم را نمى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آرد آن را حنث نمى شود؛ و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گندم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تقديم توصيف بر اشاره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اظهر حنث است مطلقاً يعنى با اشاره و بدون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 رطب و اين 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قرينۀ بر خلاف يا قصد خلاف آنچه استظهار شد؛ و تغييرات صفتى بلكه ذاتى به استحاله، كليّت ندارد حكم صورت اشتمال بر اشاره و عدم آن، بلكه تابع استظهار و وجود قرائن است، مثل آنكه متعارف در اكل حنطه غالباً خبز است، يا غرض قائم در رفع جسمى به اعم از صورت نوعيّه متعلّق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بين تغييرات، فرق باشد مثل تخم مرغ و جوجه كه شبيه به رطب و خرما است، و دانه و زرع كه شبيه به آرد و نان نيست مگر با قرينۀ بر خلاف يا قصد خلاف، و هم چنين گوسفند و مذبوح و مطبوخ كه مثل گندم و نان است در آنچه اشاره به آن شد؛ و زوال اسم اثرى ندارد به حسب آنچه استظهار مى شود از تعلّق اكل به حنطه، و غلبۀ اكل آن در اكل نان شدۀ از آن است؛ و اشاره و توصيف يا جمع بين آنها تأثير در تعميم و تخصيص به حسب وجودات عَرْضيّه يا يك وجود دارد، و محل بحث، تبدّلات طوليَه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آرد را نمى 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نان درست شد از آن حنث نيست؛ مگر قصد عام نمايد به نحوى كه گذشت در اشتمال بر قرينه و عدم آن، يا تقديم اشاره بشود بر توصيف با قرينۀ بر تقديم</w:t>
      </w:r>
      <w:r>
        <w:rPr>
          <w:rFonts w:eastAsia="IRNazanin" w:cs="IRNazanin"/>
          <w:color w:val="111111"/>
          <w:sz w:val="28"/>
          <w:szCs w:val="28"/>
          <w:rtl w:val="true"/>
          <w:lang w:bidi="fa-IR"/>
        </w:rPr>
        <w:t>.</w:t>
      </w:r>
    </w:p>
    <w:p>
      <w:pPr>
        <w:pStyle w:val="Heading5"/>
        <w:numPr>
          <w:ilvl w:val="4"/>
          <w:numId w:val="1"/>
        </w:numPr>
        <w:rPr/>
      </w:pPr>
      <w:bookmarkStart w:id="2732" w:name="__RefHeading___Toc3809275_1067777946"/>
      <w:bookmarkStart w:id="2733" w:name="_Toc1150"/>
      <w:bookmarkEnd w:id="2732"/>
      <w:r>
        <w:rPr>
          <w:rtl w:val="true"/>
        </w:rPr>
        <w:t>اقتصار بر آنچه قسم بر آن صادق است</w:t>
      </w:r>
      <w:bookmarkEnd w:id="2733"/>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 در 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خورم گوشتى را، با خوردن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حنث واقع نمى شود، كه صدق پيه و گوشت بر آن نمى كند؛ و هم به خوردن پيه اگر چه پيه</w:t>
      </w:r>
      <w:bookmarkStart w:id="2734" w:name="pg10265_90234"/>
    </w:p>
    <w:p>
      <w:pPr>
        <w:pStyle w:val="BookText"/>
        <w:rPr/>
      </w:pPr>
      <w:bookmarkEnd w:id="2734"/>
      <w:r>
        <w:rPr>
          <w:rFonts w:ascii="IRNazanin" w:hAnsi="IRNazanin" w:eastAsia="IRNazanin"/>
          <w:color w:val="111111"/>
          <w:sz w:val="28"/>
          <w:sz w:val="28"/>
          <w:szCs w:val="28"/>
          <w:rtl w:val="true"/>
          <w:lang w:bidi="fa-IR"/>
        </w:rPr>
        <w:t>پشت حيوان باشد حنث نمى شود؛ و مجرّد اختلاط مجوّز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شده موافقت سنام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كوهان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اَليه در فرض 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قرينه اى نباشد اظهر عدم حنث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جگر و قلب و آنچه در داخل معده است و مغز سر يا استخوانها و هرچه مسمّاى گوشت نباشد و قرينه بر ادخال آنها يا تعلّق قصد به اعم نباشد، بر حسب آنچه متقدّم شد</w:t>
      </w:r>
      <w:r>
        <w:rPr>
          <w:rFonts w:eastAsia="IRNazanin" w:cs="IRNazanin"/>
          <w:color w:val="111111"/>
          <w:sz w:val="28"/>
          <w:szCs w:val="28"/>
          <w:rtl w:val="true"/>
          <w:lang w:bidi="fa-IR"/>
        </w:rPr>
        <w:t>.</w:t>
      </w:r>
    </w:p>
    <w:p>
      <w:pPr>
        <w:pStyle w:val="Heading5"/>
        <w:numPr>
          <w:ilvl w:val="4"/>
          <w:numId w:val="1"/>
        </w:numPr>
        <w:rPr/>
      </w:pPr>
      <w:bookmarkStart w:id="2735" w:name="__RefHeading___Toc3809277_1067777946"/>
      <w:bookmarkStart w:id="2736" w:name="_Toc1151"/>
      <w:bookmarkEnd w:id="2735"/>
      <w:r>
        <w:rPr>
          <w:rtl w:val="true"/>
        </w:rPr>
        <w:t>خوردن نصف متعلق قسم</w:t>
      </w:r>
      <w:bookmarkEnd w:id="2736"/>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حلف گفت بُسر يا رطب را نخورَد، به خوردن ديگرى حنث نمى نمايد؛ و اگر منصّف را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هر دو نصف يا خصوص آن نصف را كه حلف بر ترك اكل آن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فرض حنث واقع مى شود بنا بر اظهر مگر با قرينه يا قصد خلاف؛ و خوردن نصف مخالف حلف، حنث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متّصل كرد و رطبة يا بُسرة گفت، اظهر عدم حنث به نصف است اگر چه نصف رطب تام باشد</w:t>
      </w:r>
      <w:r>
        <w:rPr>
          <w:rFonts w:eastAsia="IRNazanin" w:cs="IRNazanin"/>
          <w:color w:val="111111"/>
          <w:sz w:val="28"/>
          <w:szCs w:val="28"/>
          <w:rtl w:val="true"/>
          <w:lang w:bidi="fa-IR"/>
        </w:rPr>
        <w:t>.</w:t>
      </w:r>
    </w:p>
    <w:p>
      <w:pPr>
        <w:pStyle w:val="Heading5"/>
        <w:numPr>
          <w:ilvl w:val="4"/>
          <w:numId w:val="1"/>
        </w:numPr>
        <w:rPr/>
      </w:pPr>
      <w:bookmarkStart w:id="2737" w:name="__RefHeading___Toc3809279_1067777946"/>
      <w:bookmarkStart w:id="2738" w:name="_Toc1152"/>
      <w:bookmarkEnd w:id="2737"/>
      <w:r>
        <w:rPr>
          <w:rtl w:val="true"/>
        </w:rPr>
        <w:t>آنچه ميوه و إدام بر آن صادق است</w:t>
      </w:r>
      <w:bookmarkEnd w:id="2738"/>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اظهر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حلف باشد داخل است انگور و رطب و انار و بطيخ و خيار و جزر و سبزيجات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حلف باشد گوشت و شيره و روغن و پنير و خرما و امثال اينها داخل است، بلكه نمك هم ادام است با نان كم نمك يا بى نمك</w:t>
      </w:r>
      <w:r>
        <w:rPr>
          <w:rFonts w:eastAsia="IRNazanin" w:cs="IRNazanin"/>
          <w:color w:val="111111"/>
          <w:sz w:val="28"/>
          <w:szCs w:val="28"/>
          <w:rtl w:val="true"/>
          <w:lang w:bidi="fa-IR"/>
        </w:rPr>
        <w:t>.</w:t>
      </w:r>
    </w:p>
    <w:p>
      <w:pPr>
        <w:pStyle w:val="Heading5"/>
        <w:numPr>
          <w:ilvl w:val="4"/>
          <w:numId w:val="1"/>
        </w:numPr>
        <w:rPr/>
      </w:pPr>
      <w:bookmarkStart w:id="2739" w:name="__RefHeading___Toc3809281_1067777946"/>
      <w:bookmarkStart w:id="2740" w:name="_Toc1153"/>
      <w:bookmarkEnd w:id="2739"/>
      <w:r>
        <w:rPr>
          <w:rtl w:val="true"/>
        </w:rPr>
        <w:t>حلف بر نياشاميدن يا آشاميدن آب يك كوزه</w:t>
      </w:r>
      <w:bookmarkEnd w:id="2740"/>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بگويد نمى آشامم آب اين كوزه را، حنث مى شود به آشاميدن بعضى از آن؛ و اگر بگويد مى آشامم آب اين كوزه را، برّ و وفا مى شود به آشاميدن بعض بنا بر اظهر مگر با قرينۀ خلاف يا قصد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اضافه آب به چاهى يا نهرى</w:t>
      </w:r>
      <w:r>
        <w:rPr>
          <w:rFonts w:eastAsia="IRNazanin" w:cs="IRNazanin"/>
          <w:color w:val="111111"/>
          <w:sz w:val="28"/>
          <w:szCs w:val="28"/>
          <w:rtl w:val="true"/>
          <w:lang w:bidi="fa-IR"/>
        </w:rPr>
        <w:t>.</w:t>
      </w:r>
      <w:bookmarkStart w:id="2741" w:name="pg10265_90235"/>
    </w:p>
    <w:p>
      <w:pPr>
        <w:pStyle w:val="Heading5"/>
        <w:numPr>
          <w:ilvl w:val="4"/>
          <w:numId w:val="1"/>
        </w:numPr>
        <w:rPr/>
      </w:pPr>
      <w:bookmarkStart w:id="2742" w:name="__RefHeading___Toc3809283_1067777946"/>
      <w:bookmarkStart w:id="2743" w:name="_Toc1154"/>
      <w:bookmarkEnd w:id="2741"/>
      <w:bookmarkEnd w:id="2742"/>
      <w:r>
        <w:rPr>
          <w:rtl w:val="true"/>
        </w:rPr>
        <w:t>تثنيه و جمع در قسم و نحوۀ حنث آن</w:t>
      </w:r>
      <w:bookmarkEnd w:id="2743"/>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گفت در حلف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آكل هذين الطعامين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قرينه يا قصد، معلوم و متبوع مى شود؛ وگرنه اظهر حنث به اكل يكى از آنها، و برّ به اكل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منزلۀ دو حلف است و براى هر كدام حنث و برّ مستقل است، و جمع در تعبير به عبارت تثنيه و جمع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كاشف از ارادۀ مجموع نيست كه حنث به اكل هر دو و برّ آن به اكل هر دو باشد</w:t>
      </w:r>
      <w:r>
        <w:rPr>
          <w:rFonts w:eastAsia="IRNazanin" w:cs="IRNazanin"/>
          <w:color w:val="111111"/>
          <w:sz w:val="28"/>
          <w:szCs w:val="28"/>
          <w:rtl w:val="true"/>
          <w:lang w:bidi="fa-IR"/>
        </w:rPr>
        <w:t>.</w:t>
      </w:r>
    </w:p>
    <w:p>
      <w:pPr>
        <w:pStyle w:val="Heading5"/>
        <w:numPr>
          <w:ilvl w:val="4"/>
          <w:numId w:val="1"/>
        </w:numPr>
        <w:rPr/>
      </w:pPr>
      <w:bookmarkStart w:id="2744" w:name="__RefHeading___Toc3809285_1067777946"/>
      <w:bookmarkStart w:id="2745" w:name="_Toc1155"/>
      <w:bookmarkEnd w:id="2744"/>
      <w:r>
        <w:rPr>
          <w:rtl w:val="true"/>
        </w:rPr>
        <w:t>حلف بر ترك تكلم با دو نفر</w:t>
      </w:r>
      <w:bookmarkEnd w:id="2745"/>
    </w:p>
    <w:p>
      <w:pPr>
        <w:pStyle w:val="BookText"/>
        <w:rPr/>
      </w:pPr>
      <w:r>
        <w:rPr>
          <w:rFonts w:ascii="IRNazanin" w:hAnsi="IRNazanin" w:eastAsia="IRNazanin"/>
          <w:color w:val="111111"/>
          <w:sz w:val="28"/>
          <w:sz w:val="28"/>
          <w:szCs w:val="28"/>
          <w:rtl w:val="true"/>
          <w:lang w:bidi="fa-IR"/>
        </w:rPr>
        <w:t xml:space="preserve">و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لٰاكلّمت زيداً و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است در حنث به تكلّم با يكى از آن دو، به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به عاطف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تكرار حرف نفى به اينكه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است در تعدّد يمين و حكم آنها حتى آنكه حنث يكى موجب انحلال ديگر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أكلّم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تعيين يا ارادۀ آن،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حنث به تكلّم با يكى مى شود و منحلّ مى شود، و برّ با ترك تكلّم با هر دو ميشود</w:t>
      </w:r>
      <w:r>
        <w:rPr>
          <w:rFonts w:eastAsia="IRNazanin" w:cs="IRNazanin"/>
          <w:color w:val="111111"/>
          <w:sz w:val="28"/>
          <w:szCs w:val="28"/>
          <w:rtl w:val="true"/>
          <w:lang w:bidi="fa-IR"/>
        </w:rPr>
        <w:t>.</w:t>
      </w:r>
    </w:p>
    <w:p>
      <w:pPr>
        <w:pStyle w:val="Heading5"/>
        <w:numPr>
          <w:ilvl w:val="4"/>
          <w:numId w:val="1"/>
        </w:numPr>
        <w:rPr/>
      </w:pPr>
      <w:bookmarkStart w:id="2746" w:name="__RefHeading___Toc3809287_1067777946"/>
      <w:bookmarkStart w:id="2747" w:name="_Toc1156"/>
      <w:bookmarkEnd w:id="2746"/>
      <w:r>
        <w:rPr>
          <w:rtl w:val="true"/>
        </w:rPr>
        <w:t>جواز اكل سركۀ مستهلك كه قسم بر ترك آن محقق شده</w:t>
      </w:r>
      <w:bookmarkEnd w:id="2747"/>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گفت در حلف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آكل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خورد حنث كرده؛ مگر آنكه مستهلك عرفى در ضمن طعامى باشد كه حنث نيست چون اسم آن صادق نيست با عدم تمييز، و وجود خاصيّت كافى نيست</w:t>
      </w:r>
      <w:r>
        <w:rPr>
          <w:rFonts w:eastAsia="IRNazanin" w:cs="IRNazanin"/>
          <w:color w:val="111111"/>
          <w:sz w:val="28"/>
          <w:szCs w:val="28"/>
          <w:rtl w:val="true"/>
          <w:lang w:bidi="fa-IR"/>
        </w:rPr>
        <w:t>.</w:t>
      </w:r>
    </w:p>
    <w:p>
      <w:pPr>
        <w:pStyle w:val="Heading5"/>
        <w:numPr>
          <w:ilvl w:val="4"/>
          <w:numId w:val="1"/>
        </w:numPr>
        <w:rPr/>
      </w:pPr>
      <w:bookmarkStart w:id="2748" w:name="__RefHeading___Toc3809289_1067777946"/>
      <w:bookmarkStart w:id="2749" w:name="_Toc1157"/>
      <w:bookmarkEnd w:id="2748"/>
      <w:r>
        <w:rPr>
          <w:rtl w:val="true"/>
        </w:rPr>
        <w:t>اتباع قيود قسم</w:t>
      </w:r>
      <w:bookmarkEnd w:id="2749"/>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بگويد در مقام حلف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شربت لك ماءً من 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آب كرده است بر خودش؛ و تعدّى به غير آب از طعام نمى كند، بلكه به سائر مايعات رافعۀ عطش، بلكه به آب براى دفع عطش، بلكه به آب كمى يا گرمى كه رافع عطش نباشد؛ مگر آنكه قاصد عموم باشد به حسب حكم واقعى، يا قرينه اى بر تعميم باشد به حسب حكم بر عموم</w:t>
      </w:r>
      <w:r>
        <w:rPr>
          <w:rFonts w:eastAsia="IRNazanin" w:cs="IRNazanin"/>
          <w:color w:val="111111"/>
          <w:sz w:val="28"/>
          <w:szCs w:val="28"/>
          <w:rtl w:val="true"/>
          <w:lang w:bidi="fa-IR"/>
        </w:rPr>
        <w:t>.</w:t>
      </w:r>
      <w:bookmarkStart w:id="2750" w:name="pg10265_90236"/>
    </w:p>
    <w:p>
      <w:pPr>
        <w:pStyle w:val="Heading4"/>
        <w:numPr>
          <w:ilvl w:val="3"/>
          <w:numId w:val="1"/>
        </w:numPr>
        <w:rPr/>
      </w:pPr>
      <w:bookmarkStart w:id="2751" w:name="__RefHeading___Toc3809291_1067777946"/>
      <w:bookmarkStart w:id="2752" w:name="_Toc1158"/>
      <w:bookmarkEnd w:id="2750"/>
      <w:bookmarkEnd w:id="2751"/>
      <w:r>
        <w:rPr/>
        <w:t>3</w:t>
      </w:r>
      <w:r>
        <w:rPr>
          <w:rtl w:val="true"/>
        </w:rPr>
        <w:t xml:space="preserve">. </w:t>
      </w:r>
      <w:r>
        <w:rPr>
          <w:rtl w:val="true"/>
        </w:rPr>
        <w:t>مسائل يمينِ مربوط به بيت و خانه</w:t>
      </w:r>
      <w:bookmarkEnd w:id="2752"/>
    </w:p>
    <w:p>
      <w:pPr>
        <w:pStyle w:val="Heading5"/>
        <w:numPr>
          <w:ilvl w:val="4"/>
          <w:numId w:val="1"/>
        </w:numPr>
        <w:rPr/>
      </w:pPr>
      <w:bookmarkStart w:id="2753" w:name="__RefHeading___Toc3809293_1067777946"/>
      <w:bookmarkStart w:id="2754" w:name="_Toc1159"/>
      <w:bookmarkEnd w:id="2753"/>
      <w:r>
        <w:rPr>
          <w:rtl w:val="true"/>
        </w:rPr>
        <w:t>تفضيل بين افعال زمان دار و غير آن</w:t>
      </w:r>
      <w:bookmarkEnd w:id="27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افعالى كه منسوب به ابتدا و استدامه مى شوند مثل آنچه منسوب به مدّت مى شود مثل سكنى و اسكان و مساكنه، حنث به هر كدام از ابتدا و ادامۀ آنها مى شود، پس اگر حلف كرد بر عدم سكناى خانه اى و او در آنجا است، لازم است خروج و انتقال از آنجا؛ به خلاف افعالى كه تقييد به مدت نمى شوند مثل دخول و بيع، كه صدق بر ادامۀ آنها على الحقيقه نمى كنند، پس اگر حلف بر عدم دخول يا بيع كرد در حالى كه داخل يا بايع است خروج يا فسخ، واجب نمى شود، و دخول بر ادامۀ مكث صادق نيست و در حكم آن نيست؛ مگر با قرينۀ بر اراده در حكم ظاهرى، يا مجرّد قصد در حكم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مشكوك در صدق، در حكم دوم است</w:t>
      </w:r>
      <w:r>
        <w:rPr>
          <w:rFonts w:eastAsia="IRNazanin" w:cs="IRNazanin"/>
          <w:color w:val="111111"/>
          <w:sz w:val="28"/>
          <w:szCs w:val="28"/>
          <w:rtl w:val="true"/>
          <w:lang w:bidi="fa-IR"/>
        </w:rPr>
        <w:t>.</w:t>
      </w:r>
    </w:p>
    <w:p>
      <w:pPr>
        <w:pStyle w:val="Heading5"/>
        <w:numPr>
          <w:ilvl w:val="4"/>
          <w:numId w:val="1"/>
        </w:numPr>
        <w:rPr/>
      </w:pPr>
      <w:bookmarkStart w:id="2755" w:name="__RefHeading___Toc3809295_1067777946"/>
      <w:bookmarkStart w:id="2756" w:name="_Toc1160"/>
      <w:bookmarkEnd w:id="2755"/>
      <w:r>
        <w:rPr>
          <w:rtl w:val="true"/>
        </w:rPr>
        <w:t>فوريت عمل به قسم در فرض تحقق متعلّق</w:t>
      </w:r>
      <w:bookmarkEnd w:id="2756"/>
    </w:p>
    <w:p>
      <w:pPr>
        <w:pStyle w:val="BookText"/>
        <w:rPr/>
      </w:pPr>
      <w:r>
        <w:rPr>
          <w:rFonts w:ascii="IRNazanin" w:hAnsi="IRNazanin" w:eastAsia="IRNazanin"/>
          <w:color w:val="111111"/>
          <w:sz w:val="28"/>
          <w:sz w:val="28"/>
          <w:szCs w:val="28"/>
          <w:rtl w:val="true"/>
          <w:lang w:bidi="fa-IR"/>
        </w:rPr>
        <w:t>و در حلف بر ترك سكناى شخص حالف، وفا، به خروج فورىِ حالف است بعد از حلف، اگر چه اثاث و اهل او در آنجا بمانند؛ چنانكه حنث محقّق مى شود با مكث خودش بعد از حلف اگر چه اهلش را اخراج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عود در آن خانه براى نقل اثاث و عيادت مريض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 آن مثل حفظ متاع حتى اگر متوقف بر بيتوته باشد اگر چه سكنى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براى سكنى در آنجا، حنث نمى كند اگر چه مكثى حاصل شود و زياد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اجتياز اگر چه متعدّد باشد، صدق سكنى بر آن نمى كند؛ به خلاف مشى در بيت بدون خروج لازم فورى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لبس و ركوب مثل سكنى است در حنث و برّ در جهات متناسبه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اظهر در تطيّب اين است كه مثل دخول است در صدق و در حنث و برّ؛ و خروج تطيّب محرم، به دليل يا وجود قرينه در مقام حلف يا قصد اعمّ‌، غير محل بحث است</w:t>
      </w:r>
      <w:r>
        <w:rPr>
          <w:rFonts w:eastAsia="Amiri" w:cs="Amiri" w:ascii="Amiri" w:hAnsi="Amiri"/>
          <w:color w:val="111111"/>
          <w:sz w:val="28"/>
          <w:szCs w:val="28"/>
          <w:rtl w:val="true"/>
          <w:lang w:bidi="ar-SA"/>
        </w:rPr>
        <w:t xml:space="preserve">. </w:t>
      </w:r>
      <w:bookmarkStart w:id="2757" w:name="pg10265_90237"/>
    </w:p>
    <w:p>
      <w:pPr>
        <w:pStyle w:val="BookText"/>
        <w:rPr/>
      </w:pPr>
      <w:bookmarkEnd w:id="2757"/>
      <w:r>
        <w:rPr>
          <w:rFonts w:ascii="Amiri" w:hAnsi="Amiri" w:eastAsia="Amiri" w:cs="Amiri"/>
          <w:color w:val="111111"/>
          <w:sz w:val="28"/>
          <w:sz w:val="28"/>
          <w:szCs w:val="28"/>
          <w:rtl w:val="true"/>
          <w:lang w:bidi="ar-SA"/>
        </w:rPr>
        <w:t>و در وطى تأمّل است، و اعتبار به قصد، خالى از وجه نيست؛ و با شك در صدق بر استدامه عرفاً، حنث نمى شود</w:t>
      </w:r>
      <w:r>
        <w:rPr>
          <w:rFonts w:eastAsia="Amiri" w:cs="Amiri" w:ascii="Amiri" w:hAnsi="Amiri"/>
          <w:color w:val="111111"/>
          <w:sz w:val="28"/>
          <w:szCs w:val="28"/>
          <w:rtl w:val="true"/>
          <w:lang w:bidi="ar-SA"/>
        </w:rPr>
        <w:t>.</w:t>
      </w:r>
    </w:p>
    <w:p>
      <w:pPr>
        <w:pStyle w:val="Heading5"/>
        <w:numPr>
          <w:ilvl w:val="4"/>
          <w:numId w:val="1"/>
        </w:numPr>
        <w:rPr/>
      </w:pPr>
      <w:bookmarkStart w:id="2758" w:name="__RefHeading___Toc3809297_1067777946"/>
      <w:bookmarkStart w:id="2759" w:name="_Toc1161"/>
      <w:bookmarkEnd w:id="2758"/>
      <w:r>
        <w:rPr>
          <w:rtl w:val="true"/>
        </w:rPr>
        <w:t>نحوۀ حصول حنث در حلف بر عدم دخول خانه</w:t>
      </w:r>
      <w:bookmarkEnd w:id="275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حلف كرد بر عدم دخول دار، حنث حاصل مى شود به تجاوز از درب خانه، اگر در دهليز خانه يا بين دو درب باشد، نه به وصول به عتبۀ درب خانه يا زير طاق بيرون خانه؛ و فرقى بين دخول از درب يا از سطح خانه از خانه همسايه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اختيار داخل سفينه اى شد كه او را قهراً برد به خانه، يا خود را در آبى افكند كه قهراً به داخل خانه واقع شد، حنث مى شود، مگر آنكه از اوّل قاصد دخول نبوده و بعد از ورود سفينه يا فرو رفتن در آب، سببى براى قهريت دخول خانه حادث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به شاخۀ درختى كه در خانه بود استعانت كرد و در درخت قرار گرفت در محلى از آن كه اعلى از محيط خانه نبود، حنث نموده؛ و اگر اعلى بود آن موضع، حنث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اظهر در وصول به سطح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مسكن است، مثل غرفه در بعض فصول و در بعض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حنث است اگر چه محوّط به ديوار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حلف كرد بر عدم دخول بيتى از خانه، حنث به دخول عرصه يا غرفۀ بالاى بيت يا در بالاى غير بيت از بقيۀ خانه حاصل نمى شود، و در غرفه تأمّل است منشأ آن، احتمال آنكه با بيت عموم و خصوص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دخول، به بودن تمام بدن است در داخل خانه، و خروج، به بودن تمام در خارج خانه،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دست به تنهايى، كافى در دخول و مضرّ به خروج نيست</w:t>
      </w:r>
      <w:r>
        <w:rPr>
          <w:rFonts w:eastAsia="Amiri" w:cs="Amiri" w:ascii="Amiri" w:hAnsi="Amiri"/>
          <w:color w:val="111111"/>
          <w:sz w:val="28"/>
          <w:szCs w:val="28"/>
          <w:rtl w:val="true"/>
          <w:lang w:bidi="ar-SA"/>
        </w:rPr>
        <w:t>.</w:t>
      </w:r>
    </w:p>
    <w:p>
      <w:pPr>
        <w:pStyle w:val="Heading5"/>
        <w:numPr>
          <w:ilvl w:val="4"/>
          <w:numId w:val="1"/>
        </w:numPr>
        <w:rPr/>
      </w:pPr>
      <w:bookmarkStart w:id="2760" w:name="__RefHeading___Toc3809299_1067777946"/>
      <w:bookmarkStart w:id="2761" w:name="_Toc1162"/>
      <w:bookmarkEnd w:id="2760"/>
      <w:r>
        <w:rPr>
          <w:rtl w:val="true"/>
        </w:rPr>
        <w:t>قسم با لفظ عام</w:t>
      </w:r>
      <w:bookmarkEnd w:id="276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حلف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دخلت بيتاً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عدم اختصاص به بيت حضرى از حالف</w:t>
      </w:r>
      <w:bookmarkStart w:id="2762" w:name="pg10265_90238"/>
    </w:p>
    <w:p>
      <w:pPr>
        <w:pStyle w:val="BookText"/>
        <w:rPr/>
      </w:pPr>
      <w:bookmarkEnd w:id="2762"/>
      <w:r>
        <w:rPr>
          <w:rFonts w:ascii="IRNazanin" w:hAnsi="IRNazanin" w:eastAsia="IRNazanin"/>
          <w:color w:val="111111"/>
          <w:sz w:val="28"/>
          <w:sz w:val="28"/>
          <w:szCs w:val="28"/>
          <w:rtl w:val="true"/>
          <w:lang w:bidi="fa-IR"/>
        </w:rPr>
        <w:t>حضرى و تعميم در قروى است، بل مطلقاً عام است، مگر با قرينۀ بر تخصيص يا نيّت خاصّه چنانچه مذكور شد</w:t>
      </w:r>
      <w:r>
        <w:rPr>
          <w:rFonts w:eastAsia="IRNazanin" w:cs="IRNazanin"/>
          <w:color w:val="111111"/>
          <w:sz w:val="28"/>
          <w:szCs w:val="28"/>
          <w:rtl w:val="true"/>
          <w:lang w:bidi="fa-IR"/>
        </w:rPr>
        <w:t>.</w:t>
      </w:r>
    </w:p>
    <w:p>
      <w:pPr>
        <w:pStyle w:val="Heading5"/>
        <w:numPr>
          <w:ilvl w:val="4"/>
          <w:numId w:val="1"/>
        </w:numPr>
        <w:rPr/>
      </w:pPr>
      <w:bookmarkStart w:id="2763" w:name="__RefHeading___Toc3809301_1067777946"/>
      <w:bookmarkStart w:id="2764" w:name="_Toc1163"/>
      <w:bookmarkEnd w:id="2763"/>
      <w:r>
        <w:rPr>
          <w:rtl w:val="true"/>
        </w:rPr>
        <w:t>مدخليّت اوصاف و اضافات قسم</w:t>
      </w:r>
      <w:bookmarkEnd w:id="2764"/>
    </w:p>
    <w:p>
      <w:pPr>
        <w:pStyle w:val="BookText"/>
        <w:rPr/>
      </w:pPr>
      <w:r>
        <w:rPr>
          <w:rFonts w:ascii="IRNazanin" w:hAnsi="IRNazanin" w:eastAsia="IRNazanin"/>
          <w:color w:val="111111"/>
          <w:sz w:val="28"/>
          <w:sz w:val="28"/>
          <w:szCs w:val="28"/>
          <w:rtl w:val="true"/>
          <w:lang w:bidi="fa-IR"/>
        </w:rPr>
        <w:t xml:space="preserve">اگر در حلف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لادخلت دار زيد و لا كلّمت زوجته و لا استخدمت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اضافۀ ملكيّت و زوجيّت هست حنث محقّق مى شود، و بعد از خروج از ملكيّت و زوجيّت تحريم زائل مى شود؛ و در مورد ثبوت، براى متعدّد از مماليك و زوجات و مملوكات ثابت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زيد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سائر مملوكات تحريم تعدّى نمى نمايد، و در شخص هم اضافۀ ملكيّت در ثبوت و بقاى تحريم معتبر است بنا بر اظهر</w:t>
      </w:r>
      <w:r>
        <w:rPr>
          <w:rFonts w:eastAsia="IRNazanin" w:cs="IRNazanin"/>
          <w:color w:val="111111"/>
          <w:sz w:val="28"/>
          <w:szCs w:val="28"/>
          <w:rtl w:val="true"/>
          <w:lang w:bidi="fa-IR"/>
        </w:rPr>
        <w:t>.</w:t>
      </w:r>
    </w:p>
    <w:p>
      <w:pPr>
        <w:pStyle w:val="Heading5"/>
        <w:numPr>
          <w:ilvl w:val="4"/>
          <w:numId w:val="1"/>
        </w:numPr>
        <w:rPr/>
      </w:pPr>
      <w:bookmarkStart w:id="2765" w:name="__RefHeading___Toc3809303_1067777946"/>
      <w:bookmarkStart w:id="2766" w:name="_Toc1164"/>
      <w:bookmarkEnd w:id="2765"/>
      <w:r>
        <w:rPr>
          <w:rtl w:val="true"/>
        </w:rPr>
        <w:t>عدم صدق لفظ بر من قضى</w:t>
      </w:r>
      <w:bookmarkEnd w:id="276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خانه نمى شوم، داخل زمينى شد كه خانه بوده حنث نكرده است؛ و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دخلت هذه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منهدم شد، اظهر عدم حنث است به زوال عنوان و اسم خانه</w:t>
      </w:r>
      <w:r>
        <w:rPr>
          <w:rFonts w:eastAsia="IRNazanin" w:cs="IRNazanin"/>
          <w:color w:val="111111"/>
          <w:sz w:val="28"/>
          <w:szCs w:val="28"/>
          <w:rtl w:val="true"/>
          <w:lang w:bidi="fa-IR"/>
        </w:rPr>
        <w:t>.</w:t>
      </w:r>
    </w:p>
    <w:p>
      <w:pPr>
        <w:pStyle w:val="Heading5"/>
        <w:numPr>
          <w:ilvl w:val="4"/>
          <w:numId w:val="1"/>
        </w:numPr>
        <w:rPr/>
      </w:pPr>
      <w:bookmarkStart w:id="2767" w:name="__RefHeading___Toc3809305_1067777946"/>
      <w:bookmarkStart w:id="2768" w:name="_Toc1165"/>
      <w:bookmarkEnd w:id="2767"/>
      <w:r>
        <w:rPr>
          <w:rtl w:val="true"/>
        </w:rPr>
        <w:t>اتباع قيد خاص</w:t>
      </w:r>
      <w:bookmarkEnd w:id="2768"/>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درب، داخل اين خانه نمى شوم، پس تحويل شد درب به موضع ديگر، به دخول از دوم حنث نمى شود؛ و به دخول اوّلى حنث واقع شدن مبنى است بر بقاى اسم به بقاى مَدخَليّت اگر چه نادر باشد</w:t>
      </w:r>
      <w:r>
        <w:rPr>
          <w:rFonts w:eastAsia="IRNazanin" w:cs="IRNazanin"/>
          <w:color w:val="111111"/>
          <w:sz w:val="28"/>
          <w:szCs w:val="28"/>
          <w:rtl w:val="true"/>
          <w:lang w:bidi="fa-IR"/>
        </w:rPr>
        <w:t>.</w:t>
      </w:r>
    </w:p>
    <w:p>
      <w:pPr>
        <w:pStyle w:val="Heading5"/>
        <w:numPr>
          <w:ilvl w:val="4"/>
          <w:numId w:val="1"/>
        </w:numPr>
        <w:rPr/>
      </w:pPr>
      <w:bookmarkStart w:id="2769" w:name="__RefHeading___Toc3809307_1067777946"/>
      <w:bookmarkStart w:id="2770" w:name="_Toc1166"/>
      <w:bookmarkEnd w:id="2769"/>
      <w:r>
        <w:rPr>
          <w:rtl w:val="true"/>
        </w:rPr>
        <w:t>تغيير متعلّق</w:t>
      </w:r>
      <w:bookmarkEnd w:id="2770"/>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درب را ازاله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منفذ داخل شد، مثل دار و عرصه است در حكم؛ و اگر به خانه ديگر تحويل كرد حنث حاصل نمى شود با اشارۀ به خانه در عبارت حلف، مگر با قصد هر خانه نسبت به حكم واقعى</w:t>
      </w:r>
      <w:r>
        <w:rPr>
          <w:rFonts w:eastAsia="IRNazanin" w:cs="IRNazanin"/>
          <w:color w:val="111111"/>
          <w:sz w:val="28"/>
          <w:szCs w:val="28"/>
          <w:rtl w:val="true"/>
          <w:lang w:bidi="fa-IR"/>
        </w:rPr>
        <w:t xml:space="preserve">. </w:t>
      </w:r>
      <w:bookmarkStart w:id="2771" w:name="pg10265_90239"/>
    </w:p>
    <w:p>
      <w:pPr>
        <w:pStyle w:val="BookText"/>
        <w:rPr/>
      </w:pPr>
      <w:bookmarkEnd w:id="2771"/>
      <w:r>
        <w:rPr>
          <w:rFonts w:ascii="IRNazanin" w:hAnsi="IRNazanin" w:eastAsia="IRNazanin"/>
          <w:color w:val="111111"/>
          <w:sz w:val="28"/>
          <w:sz w:val="28"/>
          <w:szCs w:val="28"/>
          <w:rtl w:val="true"/>
          <w:lang w:bidi="fa-IR"/>
        </w:rPr>
        <w:t xml:space="preserve">و اگر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الدار من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تبديل باب به باب ديگر شد، حنث مى شود به دومى؛ و اگر متعدّد بود يا آنكه متعدّد شد، به همه حنث مى شود</w:t>
      </w:r>
      <w:r>
        <w:rPr>
          <w:rFonts w:eastAsia="IRNazanin" w:cs="IRNazanin"/>
          <w:color w:val="111111"/>
          <w:sz w:val="28"/>
          <w:szCs w:val="28"/>
          <w:rtl w:val="true"/>
          <w:lang w:bidi="fa-IR"/>
        </w:rPr>
        <w:t>.</w:t>
      </w:r>
    </w:p>
    <w:p>
      <w:pPr>
        <w:pStyle w:val="Heading5"/>
        <w:numPr>
          <w:ilvl w:val="4"/>
          <w:numId w:val="1"/>
        </w:numPr>
        <w:rPr/>
      </w:pPr>
      <w:bookmarkStart w:id="2772" w:name="__RefHeading___Toc3809309_1067777946"/>
      <w:bookmarkStart w:id="2773" w:name="_Toc1167"/>
      <w:bookmarkEnd w:id="2772"/>
      <w:r>
        <w:rPr>
          <w:rtl w:val="true"/>
        </w:rPr>
        <w:t>تفصيل بين فعل و ترك در اقتضاى تأبيد</w:t>
      </w:r>
      <w:bookmarkEnd w:id="277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حلف بر ترك فعلى، اقتضاى تأبيد و نفى تمام اصناف و افراد طبيعت را مى نمايد، به خلاف حلف بر ايجاد 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نيّت بعض اصناف طبيعت را نمايد، در واقع نيّت مؤثّر است نه عبارت</w:t>
      </w:r>
      <w:r>
        <w:rPr>
          <w:rFonts w:eastAsia="IRNazanin" w:cs="IRNazanin"/>
          <w:color w:val="111111"/>
          <w:sz w:val="28"/>
          <w:szCs w:val="28"/>
          <w:rtl w:val="true"/>
          <w:lang w:bidi="fa-IR"/>
        </w:rPr>
        <w:t>.</w:t>
      </w:r>
    </w:p>
    <w:p>
      <w:pPr>
        <w:pStyle w:val="Heading5"/>
        <w:numPr>
          <w:ilvl w:val="4"/>
          <w:numId w:val="1"/>
        </w:numPr>
        <w:rPr/>
      </w:pPr>
      <w:bookmarkStart w:id="2774" w:name="__RefHeading___Toc3809311_1067777946"/>
      <w:bookmarkStart w:id="2775" w:name="_Toc1168"/>
      <w:bookmarkEnd w:id="2774"/>
      <w:r>
        <w:rPr>
          <w:rtl w:val="true"/>
        </w:rPr>
        <w:t>عدم تحقق حنث با نسيان يا جهل به موضوع</w:t>
      </w:r>
      <w:bookmarkEnd w:id="2775"/>
    </w:p>
    <w:p>
      <w:pPr>
        <w:pStyle w:val="BookText"/>
        <w:rPr/>
      </w:pPr>
      <w:r>
        <w:rPr>
          <w:rFonts w:ascii="IRNazanin" w:hAnsi="IRNazanin" w:eastAsia="IRNazanin"/>
          <w:color w:val="111111"/>
          <w:sz w:val="28"/>
          <w:sz w:val="28"/>
          <w:szCs w:val="28"/>
          <w:rtl w:val="true"/>
          <w:lang w:bidi="fa-IR"/>
        </w:rPr>
        <w:t>اگر با نسيان يا جهل موضوع، مخالفت يمين كرد، حنث و كفاره ثابت نمى شود</w:t>
      </w:r>
      <w:r>
        <w:rPr>
          <w:rFonts w:eastAsia="IRNazanin" w:cs="IRNazanin"/>
          <w:color w:val="111111"/>
          <w:sz w:val="28"/>
          <w:szCs w:val="28"/>
          <w:rtl w:val="true"/>
          <w:lang w:bidi="fa-IR"/>
        </w:rPr>
        <w:t>.</w:t>
      </w:r>
    </w:p>
    <w:p>
      <w:pPr>
        <w:pStyle w:val="Heading5"/>
        <w:numPr>
          <w:ilvl w:val="4"/>
          <w:numId w:val="1"/>
        </w:numPr>
        <w:rPr/>
      </w:pPr>
      <w:bookmarkStart w:id="2776" w:name="__RefHeading___Toc3809313_1067777946"/>
      <w:bookmarkStart w:id="2777" w:name="_Toc1169"/>
      <w:bookmarkEnd w:id="2776"/>
      <w:r>
        <w:rPr>
          <w:rtl w:val="true"/>
        </w:rPr>
        <w:t>الغاىِ خصوصيت در قسم</w:t>
      </w:r>
      <w:bookmarkEnd w:id="2777"/>
    </w:p>
    <w:p>
      <w:pPr>
        <w:pStyle w:val="BookText"/>
        <w:rPr/>
      </w:pPr>
      <w:r>
        <w:rPr>
          <w:rFonts w:ascii="IRNazanin" w:hAnsi="IRNazanin" w:eastAsia="IRNazanin"/>
          <w:color w:val="111111"/>
          <w:sz w:val="28"/>
          <w:sz w:val="28"/>
          <w:szCs w:val="28"/>
          <w:rtl w:val="true"/>
          <w:lang w:bidi="fa-IR"/>
        </w:rPr>
        <w:t xml:space="preserve">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زيد در خانه داخل نمى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حنث مى نمايد به دخول مسجد مسقّف و محوّط و كعبه و امثال آنها بنا بر اظهر</w:t>
      </w:r>
      <w:r>
        <w:rPr>
          <w:rFonts w:eastAsia="IRNazanin" w:cs="IRNazanin"/>
          <w:color w:val="111111"/>
          <w:sz w:val="28"/>
          <w:szCs w:val="28"/>
          <w:rtl w:val="true"/>
          <w:lang w:bidi="fa-IR"/>
        </w:rPr>
        <w:t>.</w:t>
      </w:r>
    </w:p>
    <w:p>
      <w:pPr>
        <w:pStyle w:val="Heading5"/>
        <w:numPr>
          <w:ilvl w:val="4"/>
          <w:numId w:val="1"/>
        </w:numPr>
        <w:rPr/>
      </w:pPr>
      <w:bookmarkStart w:id="2778" w:name="__RefHeading___Toc3809315_1067777946"/>
      <w:bookmarkStart w:id="2779" w:name="_Toc1170"/>
      <w:bookmarkEnd w:id="2778"/>
      <w:r>
        <w:rPr>
          <w:rtl w:val="true"/>
        </w:rPr>
        <w:t>تفصيل ديگرى بين فعل و ترك</w:t>
      </w:r>
      <w:bookmarkEnd w:id="2779"/>
    </w:p>
    <w:p>
      <w:pPr>
        <w:pStyle w:val="BookText"/>
        <w:rPr/>
      </w:pP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يا سلام به زيد نمى كنم، پس تكلّم يا تسليم نمود با جماعتى كه در آنها زيد است، با قرينۀ تخصيص به غير زيد يا مجرد تخصيص قلبى ظاهراً يا واقعاً، حنث نكرده؛ به خلاف ترك دخول بر زيد پس داخل شد بر جماعتى كه در آنها زيد است كه هيچ گونه تخصيص پذير نيست با علم و التفات؛ و اگر در سلام قصد همه كرد معلوم است كه حنث، حاصل است</w:t>
      </w:r>
      <w:r>
        <w:rPr>
          <w:rFonts w:eastAsia="IRNazanin" w:cs="IRNazanin"/>
          <w:color w:val="111111"/>
          <w:sz w:val="28"/>
          <w:szCs w:val="28"/>
          <w:rtl w:val="true"/>
          <w:lang w:bidi="fa-IR"/>
        </w:rPr>
        <w:t>.</w:t>
      </w:r>
    </w:p>
    <w:p>
      <w:pPr>
        <w:pStyle w:val="Heading5"/>
        <w:numPr>
          <w:ilvl w:val="4"/>
          <w:numId w:val="1"/>
        </w:numPr>
        <w:rPr/>
      </w:pPr>
      <w:bookmarkStart w:id="2780" w:name="__RefHeading___Toc3809317_1067777946"/>
      <w:bookmarkStart w:id="2781" w:name="_Toc1171"/>
      <w:bookmarkEnd w:id="2780"/>
      <w:r>
        <w:rPr>
          <w:rtl w:val="true"/>
        </w:rPr>
        <w:t xml:space="preserve">ظاهر از كلمۀ </w:t>
      </w:r>
      <w:r>
        <w:rPr>
          <w:rtl w:val="true"/>
        </w:rPr>
        <w:t>«</w:t>
      </w:r>
      <w:r>
        <w:rPr>
          <w:rtl w:val="true"/>
        </w:rPr>
        <w:t>بيت</w:t>
      </w:r>
      <w:r>
        <w:rPr>
          <w:rtl w:val="true"/>
        </w:rPr>
        <w:t>»</w:t>
      </w:r>
      <w:bookmarkEnd w:id="278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حلف واقع شد واقع مى شود بر جايى كه معرضيّت براى سكنى در همۀ فصل، دارد پس مثل كعبه و مساجدى كه سقف و حائط دارند و بعض بيوت حمّام بلكه غُرَف هم به احتمال سابق، واقع مى شود مگر با قرينه بر خلاف يا نيّت خلاف چنانچه گذشت</w:t>
      </w:r>
      <w:r>
        <w:rPr>
          <w:rFonts w:eastAsia="IRNazanin" w:cs="IRNazanin"/>
          <w:color w:val="111111"/>
          <w:sz w:val="28"/>
          <w:szCs w:val="28"/>
          <w:rtl w:val="true"/>
          <w:lang w:bidi="fa-IR"/>
        </w:rPr>
        <w:t>.</w:t>
      </w:r>
      <w:bookmarkStart w:id="2782" w:name="pg10265_90240"/>
    </w:p>
    <w:p>
      <w:pPr>
        <w:pStyle w:val="Heading4"/>
        <w:numPr>
          <w:ilvl w:val="3"/>
          <w:numId w:val="1"/>
        </w:numPr>
        <w:rPr/>
      </w:pPr>
      <w:bookmarkStart w:id="2783" w:name="__RefHeading___Toc3809319_1067777946"/>
      <w:bookmarkStart w:id="2784" w:name="_Toc1172"/>
      <w:bookmarkEnd w:id="2782"/>
      <w:bookmarkEnd w:id="2783"/>
      <w:r>
        <w:rPr/>
        <w:t>4</w:t>
      </w:r>
      <w:r>
        <w:rPr>
          <w:rtl w:val="true"/>
        </w:rPr>
        <w:t xml:space="preserve">. </w:t>
      </w:r>
      <w:r>
        <w:rPr>
          <w:rtl w:val="true"/>
        </w:rPr>
        <w:t>يمين متعلّق به عقود يا ايقاعات</w:t>
      </w:r>
      <w:bookmarkEnd w:id="2784"/>
    </w:p>
    <w:p>
      <w:pPr>
        <w:pStyle w:val="Heading5"/>
        <w:numPr>
          <w:ilvl w:val="4"/>
          <w:numId w:val="1"/>
        </w:numPr>
        <w:rPr/>
      </w:pPr>
      <w:bookmarkStart w:id="2785" w:name="__RefHeading___Toc3809321_1067777946"/>
      <w:bookmarkStart w:id="2786" w:name="_Toc1173"/>
      <w:bookmarkEnd w:id="2785"/>
      <w:r>
        <w:rPr>
          <w:rtl w:val="true"/>
        </w:rPr>
        <w:t>اعتبار تحقق تام متعلّق در حنث</w:t>
      </w:r>
      <w:bookmarkEnd w:id="27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بيع يا هبه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حلف، اظهر عدم حنث به مجرّد ايجاب است مگر با تعقّب به قبول، مگر با قرينه يا قصد حالف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وصيّت، محتمل است كفايت ايجاب موصى، و اظهر اناطۀ به قبول است اگر چه بعد از موت باشد</w:t>
      </w:r>
      <w:r>
        <w:rPr>
          <w:rFonts w:eastAsia="IRNazanin" w:cs="IRNazanin"/>
          <w:color w:val="111111"/>
          <w:sz w:val="28"/>
          <w:szCs w:val="28"/>
          <w:rtl w:val="true"/>
          <w:lang w:bidi="fa-IR"/>
        </w:rPr>
        <w:t>.</w:t>
      </w:r>
    </w:p>
    <w:p>
      <w:pPr>
        <w:pStyle w:val="Heading5"/>
        <w:numPr>
          <w:ilvl w:val="4"/>
          <w:numId w:val="1"/>
        </w:numPr>
        <w:rPr/>
      </w:pPr>
      <w:bookmarkStart w:id="2787" w:name="__RefHeading___Toc3809323_1067777946"/>
      <w:bookmarkStart w:id="2788" w:name="_Toc1174"/>
      <w:bookmarkEnd w:id="2787"/>
      <w:r>
        <w:rPr>
          <w:rtl w:val="true"/>
        </w:rPr>
        <w:t>عدم حنث بر تكر عقد، به عقد فاسد</w:t>
      </w:r>
      <w:bookmarkEnd w:id="278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عقدى در حلف واقع شد، به فاسد آن حنث واقع نمى شود، مگر با قرينه يا قصد حالف</w:t>
      </w:r>
      <w:r>
        <w:rPr>
          <w:rFonts w:eastAsia="IRNazanin" w:cs="IRNazanin"/>
          <w:color w:val="111111"/>
          <w:sz w:val="28"/>
          <w:szCs w:val="28"/>
          <w:rtl w:val="true"/>
          <w:lang w:bidi="fa-IR"/>
        </w:rPr>
        <w:t>.</w:t>
      </w:r>
    </w:p>
    <w:p>
      <w:pPr>
        <w:pStyle w:val="Heading5"/>
        <w:numPr>
          <w:ilvl w:val="4"/>
          <w:numId w:val="1"/>
        </w:numPr>
        <w:rPr/>
      </w:pPr>
      <w:bookmarkStart w:id="2789" w:name="__RefHeading___Toc3809325_1067777946"/>
      <w:bookmarkStart w:id="2790" w:name="_Toc1175"/>
      <w:bookmarkEnd w:id="2789"/>
      <w:r>
        <w:rPr>
          <w:rtl w:val="true"/>
        </w:rPr>
        <w:t>حلف بر هبه</w:t>
      </w:r>
      <w:bookmarkEnd w:id="279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حلف بر هبه واقع بود، شامل هديّه و نحله و عطيّه مى شود؛ و اظهر عدم شمول به وقف و عُمرىٰ و زكاة واجبه و مندوبه و صدقات واجبه مثل كفارات و مندوبه است، مگر با قرينه يا قصد عموم</w:t>
      </w:r>
      <w:r>
        <w:rPr>
          <w:rFonts w:eastAsia="IRNazanin" w:cs="IRNazanin"/>
          <w:color w:val="111111"/>
          <w:sz w:val="28"/>
          <w:szCs w:val="28"/>
          <w:rtl w:val="true"/>
          <w:lang w:bidi="fa-IR"/>
        </w:rPr>
        <w:t>.</w:t>
      </w:r>
    </w:p>
    <w:p>
      <w:pPr>
        <w:pStyle w:val="Heading5"/>
        <w:numPr>
          <w:ilvl w:val="4"/>
          <w:numId w:val="1"/>
        </w:numPr>
        <w:rPr/>
      </w:pPr>
      <w:bookmarkStart w:id="2791" w:name="__RefHeading___Toc3809327_1067777946"/>
      <w:bookmarkStart w:id="2792" w:name="_Toc1176"/>
      <w:bookmarkEnd w:id="2791"/>
      <w:r>
        <w:rPr>
          <w:rtl w:val="true"/>
        </w:rPr>
        <w:t>تحقق تصميم و تخصيص به وسيلۀ قرينه و نيّت</w:t>
      </w:r>
      <w:bookmarkEnd w:id="279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قرينۀ بر عموم يا خصوص آنچه مورد حلف به غير مباشرت يا به مباشرت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آن مى شود؛ و با نيّت، حكم واقعى مطابق آن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نيّت، معلوم نشد يا متعلّق به مفاد لفظ بود و قرينه تعيين نكرد، حتى خصوصيّات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حلف بر بناء از بنّاء و از غير او، و بر استحمام، و اكل طعام خاص و شرب آب مخصوص، و تكلّم يا عدم آن با زوجه در وقت خاص، و صناعات خاصه از اهل و غير اهل، و حلف سلطان به امورى كه غالب، تسبيب او است و به امورى كه غالب، مباشرت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در عبادات، مباشرت، و در </w:t>
      </w:r>
      <w:bookmarkStart w:id="2793" w:name="pg10265_90241"/>
    </w:p>
    <w:p>
      <w:pPr>
        <w:pStyle w:val="BookText"/>
        <w:rPr/>
      </w:pPr>
      <w:bookmarkEnd w:id="2793"/>
      <w:r>
        <w:rPr>
          <w:rFonts w:ascii="Amiri" w:hAnsi="Amiri" w:eastAsia="Amiri" w:cs="Amiri"/>
          <w:color w:val="111111"/>
          <w:sz w:val="28"/>
          <w:sz w:val="28"/>
          <w:szCs w:val="28"/>
          <w:rtl w:val="true"/>
          <w:lang w:bidi="ar-SA"/>
        </w:rPr>
        <w:t>توصليّات، عموم به تسبيب از ناحيۀ تشخيص سبب به واسطۀ غرض ملحوظ از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بيع و شراء و امثال آنها محمول بر اعمّ‌، و تصدّق و نحو آن محمول بر مباشرت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مباحات و مكروهات و مستحبّات غير عباديه از قبيل اوّل ميباشند، و عبادات مستحبه از قبيل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غير امور معلوم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ميباشند</w:t>
      </w:r>
      <w:r>
        <w:rPr>
          <w:rFonts w:eastAsia="IRNazanin" w:cs="IRNazanin"/>
          <w:color w:val="111111"/>
          <w:sz w:val="28"/>
          <w:szCs w:val="28"/>
          <w:rtl w:val="true"/>
          <w:lang w:bidi="fa-IR"/>
        </w:rPr>
        <w:t>.</w:t>
      </w:r>
    </w:p>
    <w:p>
      <w:pPr>
        <w:pStyle w:val="Heading5"/>
        <w:numPr>
          <w:ilvl w:val="4"/>
          <w:numId w:val="1"/>
        </w:numPr>
        <w:rPr/>
      </w:pPr>
      <w:bookmarkStart w:id="2794" w:name="__RefHeading___Toc3809329_1067777946"/>
      <w:bookmarkStart w:id="2795" w:name="_Toc1177"/>
      <w:bookmarkEnd w:id="2794"/>
      <w:r>
        <w:rPr>
          <w:rtl w:val="true"/>
        </w:rPr>
        <w:t>صحت بيعى كه حلف بر ترك آن ايقاع كرده است</w:t>
      </w:r>
      <w:bookmarkEnd w:id="279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حلف كرد بر ترك بيع مثلاً، پس مخالفت كرد، اظهر صحّت بيع است اگر چه حنث به آن حاصل مى شود، يعنى به صحيح آن از غير جهت حلف بنا بر بطلان، و مطلقاً بنا بر صحّت كه اختيار شد؛ و هم چنين به هر سببى كه بيع، حرام مولوى باشد و متعلّق حق غير شود منهىّ عنه و صحيح است</w:t>
      </w:r>
      <w:r>
        <w:rPr>
          <w:rFonts w:eastAsia="IRNazanin" w:cs="IRNazanin"/>
          <w:color w:val="111111"/>
          <w:sz w:val="28"/>
          <w:szCs w:val="28"/>
          <w:rtl w:val="true"/>
          <w:lang w:bidi="fa-IR"/>
        </w:rPr>
        <w:t>.</w:t>
      </w:r>
    </w:p>
    <w:p>
      <w:pPr>
        <w:pStyle w:val="Heading5"/>
        <w:numPr>
          <w:ilvl w:val="4"/>
          <w:numId w:val="1"/>
        </w:numPr>
        <w:rPr/>
      </w:pPr>
      <w:bookmarkStart w:id="2796" w:name="__RefHeading___Toc3809331_1067777946"/>
      <w:bookmarkStart w:id="2797" w:name="_Toc1178"/>
      <w:bookmarkEnd w:id="2796"/>
      <w:r>
        <w:rPr>
          <w:rtl w:val="true"/>
        </w:rPr>
        <w:t>حلف بر عدم استخدام شخص</w:t>
      </w:r>
      <w:bookmarkEnd w:id="279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حلف به عدم استخدام شخصى باشد، خدمت بدون اذن، حنث نيست اگر چه نهى از آن ننمايد</w:t>
      </w:r>
      <w:r>
        <w:rPr>
          <w:rFonts w:eastAsia="IRNazanin" w:cs="IRNazanin"/>
          <w:color w:val="111111"/>
          <w:sz w:val="28"/>
          <w:szCs w:val="28"/>
          <w:rtl w:val="true"/>
          <w:lang w:bidi="fa-IR"/>
        </w:rPr>
        <w:t>.</w:t>
      </w:r>
    </w:p>
    <w:p>
      <w:pPr>
        <w:pStyle w:val="Heading5"/>
        <w:numPr>
          <w:ilvl w:val="4"/>
          <w:numId w:val="1"/>
        </w:numPr>
        <w:rPr/>
      </w:pPr>
      <w:bookmarkStart w:id="2798" w:name="__RefHeading___Toc3809333_1067777946"/>
      <w:bookmarkStart w:id="2799" w:name="_Toc1179"/>
      <w:bookmarkEnd w:id="2798"/>
      <w:r>
        <w:rPr>
          <w:rtl w:val="true"/>
        </w:rPr>
        <w:t>تحقق و عدم تحقق حنث به وسيلۀ فعل غير مباشرى</w:t>
      </w:r>
      <w:bookmarkEnd w:id="2799"/>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حلف بر ترك 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واسطه، محمول بر اعمّ از سببيّت مى شود؛ و در غير، تأمّل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بدون قرينه و تعيّن با قصد،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فعل وكيل، او و موكّل هر دو حنث مى نمايند اگر هر دو حلف كرده اند بر ترك 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5"/>
        <w:numPr>
          <w:ilvl w:val="4"/>
          <w:numId w:val="1"/>
        </w:numPr>
        <w:rPr/>
      </w:pPr>
      <w:bookmarkStart w:id="2800" w:name="__RefHeading___Toc3809335_1067777946"/>
      <w:bookmarkStart w:id="2801" w:name="_Toc1180"/>
      <w:bookmarkEnd w:id="2800"/>
      <w:r>
        <w:rPr>
          <w:rtl w:val="true"/>
        </w:rPr>
        <w:t>حلف بر عدم بيع ممنوع المعاملة</w:t>
      </w:r>
      <w:bookmarkEnd w:id="2801"/>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بگويد در حلف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بعت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بيع كرد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حلف از عالم به فساد، محمول است بر بيع عرفى؛ و از مسلمان غير عالم، محمول است بر صحيح</w:t>
      </w:r>
      <w:bookmarkStart w:id="2802" w:name="pg10265_90242"/>
    </w:p>
    <w:p>
      <w:pPr>
        <w:pStyle w:val="BookText"/>
        <w:rPr/>
      </w:pPr>
      <w:bookmarkEnd w:id="2802"/>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بيع، حنث است در تقدير اوّل، و نيست در تقدير دوم، مگر با قرينه يا قصد، تغييرى حاصل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اظهر اجتماع شروط صحّت است با قطع نظر از جهات معلومه، مثل خمريت و نهى ناشى از حلف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در مقام حلف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ليبيعنّ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به فساد، محمول بر صورت و بيع عرفى است، و حلف منعقد نمى شود و بيع حنث نيست و كفاره ندارد</w:t>
      </w:r>
      <w:r>
        <w:rPr>
          <w:rFonts w:eastAsia="IRNazanin" w:cs="IRNazanin"/>
          <w:color w:val="111111"/>
          <w:sz w:val="28"/>
          <w:szCs w:val="28"/>
          <w:rtl w:val="true"/>
          <w:lang w:bidi="fa-IR"/>
        </w:rPr>
        <w:t>.</w:t>
      </w:r>
    </w:p>
    <w:p>
      <w:pPr>
        <w:pStyle w:val="Heading4"/>
        <w:numPr>
          <w:ilvl w:val="3"/>
          <w:numId w:val="1"/>
        </w:numPr>
        <w:rPr/>
      </w:pPr>
      <w:bookmarkStart w:id="2803" w:name="__RefHeading___Toc3809337_1067777946"/>
      <w:bookmarkStart w:id="2804" w:name="_Toc1181"/>
      <w:bookmarkEnd w:id="2803"/>
      <w:r>
        <w:rPr/>
        <w:t>5</w:t>
      </w:r>
      <w:r>
        <w:rPr>
          <w:rtl w:val="true"/>
        </w:rPr>
        <w:t xml:space="preserve">. </w:t>
      </w:r>
      <w:r>
        <w:rPr>
          <w:rtl w:val="true"/>
        </w:rPr>
        <w:t>مسائل متفرّقۀ متعلَّق يمين</w:t>
      </w:r>
      <w:bookmarkEnd w:id="2804"/>
    </w:p>
    <w:p>
      <w:pPr>
        <w:pStyle w:val="Heading5"/>
        <w:numPr>
          <w:ilvl w:val="4"/>
          <w:numId w:val="1"/>
        </w:numPr>
        <w:rPr/>
      </w:pPr>
      <w:bookmarkStart w:id="2805" w:name="__RefHeading___Toc3809339_1067777946"/>
      <w:bookmarkStart w:id="2806" w:name="_Toc1182"/>
      <w:bookmarkEnd w:id="2805"/>
      <w:r>
        <w:rPr>
          <w:rtl w:val="true"/>
        </w:rPr>
        <w:t>عدم تعيين وقت در قسم و فرض تأخير و فوت</w:t>
      </w:r>
      <w:bookmarkEnd w:id="28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حلف، براى متعلّق، وقتى معين نكرد، موسّع است و مادام العمر توسعه دارد و مضيّق نمى شود مگر به ظن تعذّر بعد از وقتى كه مى تواند آن عمل را به جا آورد؛ پس اگر وفات كرد اثمِ تأخير، ثابت، و اگر آن عمل قضا دارد به جا آورده مى شود از جانب او، وگرنه فوت شده؛ و منكشف مى شود حنث از زمان ظن متّصل به وفات در هر دو قسم بنا بر اظهر، به واسطۀ عدم اقتضاى تكليف ناشى از يمين، قضا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ظنّ او مخالف واقع شد، باقى است يمين تا عمل شود يا حنث نمايد، به واسطۀ توسعۀ وقت معيّن در يمين يا معيّن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ظنّ به ضيق وقت موسّع پس معلوم شد قبل از فعل، عدم ضيق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با صدق تهاون و استخفاف، لازم مى شود مبادرت اگر چه ظنّ به تعذّر به تأخير نباشد</w:t>
      </w:r>
      <w:r>
        <w:rPr>
          <w:rFonts w:eastAsia="IRNazanin" w:cs="IRNazanin"/>
          <w:color w:val="111111"/>
          <w:sz w:val="28"/>
          <w:szCs w:val="28"/>
          <w:rtl w:val="true"/>
          <w:lang w:bidi="fa-IR"/>
        </w:rPr>
        <w:t>.</w:t>
      </w:r>
    </w:p>
    <w:p>
      <w:pPr>
        <w:pStyle w:val="Heading5"/>
        <w:numPr>
          <w:ilvl w:val="4"/>
          <w:numId w:val="1"/>
        </w:numPr>
        <w:rPr/>
      </w:pPr>
      <w:bookmarkStart w:id="2807" w:name="__RefHeading___Toc3809341_1067777946"/>
      <w:bookmarkStart w:id="2808" w:name="_Toc1183"/>
      <w:bookmarkEnd w:id="2807"/>
      <w:r>
        <w:rPr>
          <w:rtl w:val="true"/>
        </w:rPr>
        <w:t>اضطرار و اختيار در متعلّق قسم</w:t>
      </w:r>
      <w:bookmarkEnd w:id="280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حلف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ليضربنّ عبده مائة 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در حال اختيار، لزوم عدد معيّن از اسواط متعارفۀ متّخذۀ از پوست و نحو آن است به دفعاتى كه عدد را اتمام</w:t>
      </w:r>
      <w:bookmarkStart w:id="2809" w:name="pg10265_90243"/>
    </w:p>
    <w:p>
      <w:pPr>
        <w:pStyle w:val="BookText"/>
        <w:rPr/>
      </w:pPr>
      <w:bookmarkEnd w:id="2809"/>
      <w:r>
        <w:rPr>
          <w:rFonts w:ascii="IRNazanin" w:hAnsi="IRNazanin" w:eastAsia="IRNazanin"/>
          <w:color w:val="111111"/>
          <w:sz w:val="28"/>
          <w:sz w:val="28"/>
          <w:szCs w:val="28"/>
          <w:rtl w:val="true"/>
          <w:lang w:bidi="fa-IR"/>
        </w:rPr>
        <w:t>نمايد؛ و در حال اضطرار، دور نيست كفايت ضرب ضغث يك دفعه از همين تازيانه؛ و با اضطرار در آن، اكتفاى به ضغث شمراخ كه چوبهاى خوشه خرما است و نحو آن مى شود به يك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اضطرار در اينجا همان اضطرار مذكور در حدود است از قبيل مرضى كه خوف فوت مضروب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ضرب، مسمّاى عرفى آن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لزوم ايلام است اگر چه مختصر مُخرِج از لغويت باشد، و مجرد وضع،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يمين مذكور، در امور راجحۀ دينيّه مثل اقامۀ حدود و تعزيرات باشد جارى است در آن آنچه مذكور شد؛ و اگر در مقام تأديب براى امور دنيويه باشد و رجحان دينى در ترك ضرب باشد، منعقد نمى شود و عفو اولى است و كفاره ندارد، بلكه با عدم انعقاد از اول، جائز نيست فعلى كه جائز نباشد بدون حلف</w:t>
      </w:r>
      <w:r>
        <w:rPr>
          <w:rFonts w:eastAsia="IRNazanin" w:cs="IRNazanin"/>
          <w:color w:val="111111"/>
          <w:sz w:val="28"/>
          <w:szCs w:val="28"/>
          <w:rtl w:val="true"/>
          <w:lang w:bidi="fa-IR"/>
        </w:rPr>
        <w:t>.</w:t>
      </w:r>
    </w:p>
    <w:p>
      <w:pPr>
        <w:pStyle w:val="Heading5"/>
        <w:numPr>
          <w:ilvl w:val="4"/>
          <w:numId w:val="1"/>
        </w:numPr>
        <w:rPr/>
      </w:pPr>
      <w:bookmarkStart w:id="2810" w:name="__RefHeading___Toc3809343_1067777946"/>
      <w:bookmarkStart w:id="2811" w:name="_Toc1184"/>
      <w:bookmarkEnd w:id="2810"/>
      <w:r>
        <w:rPr>
          <w:rtl w:val="true"/>
        </w:rPr>
        <w:t>حلف بر تكر ركوب دابۀ عبد</w:t>
      </w:r>
      <w:bookmarkEnd w:id="281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ركبت دابّة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قرينه و قصد مخالف، اظهر حنث به ركوب دابّۀ مختصّ به آن بنده است، اگر چه مملوك او نيست يا آنكه عبد، مالك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بين قنّ و مكاتب مطلق و مشروط نيست</w:t>
      </w:r>
      <w:r>
        <w:rPr>
          <w:rFonts w:eastAsia="IRNazanin" w:cs="IRNazanin"/>
          <w:color w:val="111111"/>
          <w:sz w:val="28"/>
          <w:szCs w:val="28"/>
          <w:rtl w:val="true"/>
          <w:lang w:bidi="fa-IR"/>
        </w:rPr>
        <w:t>.</w:t>
      </w:r>
    </w:p>
    <w:p>
      <w:pPr>
        <w:pStyle w:val="Heading5"/>
        <w:numPr>
          <w:ilvl w:val="4"/>
          <w:numId w:val="1"/>
        </w:numPr>
        <w:rPr/>
      </w:pPr>
      <w:bookmarkStart w:id="2812" w:name="__RefHeading___Toc3809345_1067777946"/>
      <w:bookmarkStart w:id="2813" w:name="_Toc1185"/>
      <w:bookmarkEnd w:id="2812"/>
      <w:r>
        <w:rPr>
          <w:rtl w:val="true"/>
        </w:rPr>
        <w:t>صدق عرفى بشارت و اخبار</w:t>
      </w:r>
      <w:bookmarkEnd w:id="281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بشارت، صادق است به اخبار اوّل مُخبِر از امرى كه موجب سرور است، اگر چه جماعتى باشند؛ و اگر پى درپى اخبار نمودند، بشارت بر اخبار اوّلى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بر قول همه</w:t>
      </w:r>
      <w:r>
        <w:rPr>
          <w:rFonts w:eastAsia="IRNazanin" w:cs="IRNazanin"/>
          <w:color w:val="111111"/>
          <w:sz w:val="28"/>
          <w:szCs w:val="28"/>
          <w:rtl w:val="true"/>
          <w:lang w:bidi="fa-IR"/>
        </w:rPr>
        <w:t>.</w:t>
      </w:r>
    </w:p>
    <w:p>
      <w:pPr>
        <w:pStyle w:val="Heading5"/>
        <w:numPr>
          <w:ilvl w:val="4"/>
          <w:numId w:val="1"/>
        </w:numPr>
        <w:rPr/>
      </w:pPr>
      <w:bookmarkStart w:id="2814" w:name="__RefHeading___Toc3809347_1067777946"/>
      <w:bookmarkStart w:id="2815" w:name="_Toc1186"/>
      <w:bookmarkEnd w:id="2814"/>
      <w:r>
        <w:rPr>
          <w:rtl w:val="true"/>
        </w:rPr>
        <w:t>مراد از اول داخل و آخر آن</w:t>
      </w:r>
      <w:bookmarkEnd w:id="281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داخل يا اول مولود، صادق است به غير مسبوق چه آنكه واحد باشد يا متعدّد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چنين آخر داخل،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غير ملحوق، چه يكى باشد چه </w:t>
      </w:r>
      <w:bookmarkStart w:id="2816" w:name="pg10265_90244"/>
    </w:p>
    <w:p>
      <w:pPr>
        <w:pStyle w:val="BookText"/>
        <w:rPr/>
      </w:pPr>
      <w:bookmarkEnd w:id="2816"/>
      <w:r>
        <w:rPr>
          <w:rFonts w:ascii="Amiri" w:hAnsi="Amiri" w:eastAsia="Amiri" w:cs="Amiri"/>
          <w:color w:val="111111"/>
          <w:sz w:val="28"/>
          <w:sz w:val="28"/>
          <w:szCs w:val="28"/>
          <w:rtl w:val="true"/>
          <w:lang w:bidi="ar-SA"/>
        </w:rPr>
        <w:t>متعدّد كه با هم داخل شوند و كسى بعد از ايشان داخل نشود، و حالف در حيات باشد در زمان دخول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كسى غير از يكى داخل نشد، جُعل اول براى او است، چون مسبوق نيست؛ نه آخر كه بايد مسبوق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حلف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داخل وحده له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نيست بر هيچ كدام از دو نفر كه با هم داخل شده اند، و صادق است بر ثالثى اگر بعد از آنها به تنهايى داخل شد</w:t>
      </w:r>
      <w:r>
        <w:rPr>
          <w:rFonts w:eastAsia="IRNazanin" w:cs="IRNazanin"/>
          <w:color w:val="111111"/>
          <w:sz w:val="28"/>
          <w:szCs w:val="28"/>
          <w:rtl w:val="true"/>
          <w:lang w:bidi="fa-IR"/>
        </w:rPr>
        <w:t>.</w:t>
      </w:r>
    </w:p>
    <w:p>
      <w:pPr>
        <w:pStyle w:val="Heading5"/>
        <w:numPr>
          <w:ilvl w:val="4"/>
          <w:numId w:val="1"/>
        </w:numPr>
        <w:rPr/>
      </w:pPr>
      <w:bookmarkStart w:id="2817" w:name="__RefHeading___Toc3809349_1067777946"/>
      <w:bookmarkStart w:id="2818" w:name="_Toc1187"/>
      <w:bookmarkEnd w:id="2817"/>
      <w:r>
        <w:rPr>
          <w:rtl w:val="true"/>
        </w:rPr>
        <w:t>حلف بر ترك شرب آب و ترك كلام با مردم</w:t>
      </w:r>
      <w:bookmarkEnd w:id="281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حلف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شربت الماء و لا كلّمت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حنث واقع مى شود به آشاميدن هر مقدار و هر قسم از آب و مكالمه با يك فرد از مردم و زائد بر او</w:t>
      </w:r>
      <w:r>
        <w:rPr>
          <w:rFonts w:eastAsia="IRNazanin" w:cs="IRNazanin"/>
          <w:color w:val="111111"/>
          <w:sz w:val="28"/>
          <w:szCs w:val="28"/>
          <w:rtl w:val="true"/>
          <w:lang w:bidi="fa-IR"/>
        </w:rPr>
        <w:t>.</w:t>
      </w:r>
    </w:p>
    <w:p>
      <w:pPr>
        <w:pStyle w:val="Heading5"/>
        <w:numPr>
          <w:ilvl w:val="4"/>
          <w:numId w:val="1"/>
        </w:numPr>
        <w:rPr/>
      </w:pPr>
      <w:bookmarkStart w:id="2819" w:name="__RefHeading___Toc3809351_1067777946"/>
      <w:bookmarkStart w:id="2820" w:name="_Toc1188"/>
      <w:bookmarkEnd w:id="2819"/>
      <w:r>
        <w:rPr>
          <w:rtl w:val="true"/>
        </w:rPr>
        <w:t>مراد از مال مضاف به نفس</w:t>
      </w:r>
      <w:bookmarkEnd w:id="2820"/>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حلف، اضافه داد مال را به خودش، شامل عين و دين حالّ و مؤجّل و قليل و كثير مى شود؛ پس تصدّق به جميع مال، شامل جميع مملوكات قابلۀ براى تصدّق مى شود، و در دو قسم مكاتب تأمّل است</w:t>
      </w:r>
      <w:r>
        <w:rPr>
          <w:rFonts w:eastAsia="IRNazanin" w:cs="IRNazanin"/>
          <w:color w:val="111111"/>
          <w:sz w:val="28"/>
          <w:szCs w:val="28"/>
          <w:rtl w:val="true"/>
          <w:lang w:bidi="fa-IR"/>
        </w:rPr>
        <w:t>.</w:t>
      </w:r>
    </w:p>
    <w:p>
      <w:pPr>
        <w:pStyle w:val="Heading5"/>
        <w:numPr>
          <w:ilvl w:val="4"/>
          <w:numId w:val="1"/>
        </w:numPr>
        <w:rPr/>
      </w:pPr>
      <w:bookmarkStart w:id="2821" w:name="__RefHeading___Toc3809353_1067777946"/>
      <w:bookmarkStart w:id="2822" w:name="_Toc1189"/>
      <w:bookmarkEnd w:id="2821"/>
      <w:r>
        <w:rPr>
          <w:rtl w:val="true"/>
        </w:rPr>
        <w:t>افراد و جمع در متعلّق</w:t>
      </w:r>
      <w:bookmarkEnd w:id="2822"/>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گفت در حلف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يلبس الحَلْى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 انگشتر و مرواريد و گردنبند و خلخال را شامل است و حنث به هر كدام مى شود؛ و هم چنين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و در جمع منكّر احتمال عدم شمول مگر به دو يا ازيد هست</w:t>
      </w:r>
      <w:r>
        <w:rPr>
          <w:rFonts w:eastAsia="IRNazanin" w:cs="IRNazanin"/>
          <w:color w:val="111111"/>
          <w:sz w:val="28"/>
          <w:szCs w:val="28"/>
          <w:rtl w:val="true"/>
          <w:lang w:bidi="fa-IR"/>
        </w:rPr>
        <w:t>.</w:t>
      </w:r>
    </w:p>
    <w:p>
      <w:pPr>
        <w:pStyle w:val="Heading5"/>
        <w:numPr>
          <w:ilvl w:val="4"/>
          <w:numId w:val="1"/>
        </w:numPr>
        <w:rPr/>
      </w:pPr>
      <w:bookmarkStart w:id="2823" w:name="__RefHeading___Toc3809355_1067777946"/>
      <w:bookmarkStart w:id="2824" w:name="_Toc1190"/>
      <w:bookmarkEnd w:id="2823"/>
      <w:r>
        <w:rPr>
          <w:rtl w:val="true"/>
        </w:rPr>
        <w:t>حلف بر ترك تكلم و موارد آن</w:t>
      </w:r>
      <w:bookmarkEnd w:id="2824"/>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حلف كرد بر ترك تكلّم، داخل مى شود تلاوت قرآن كريم، و با آن حنث</w:t>
      </w:r>
      <w:bookmarkStart w:id="2825" w:name="pg10265_90245"/>
    </w:p>
    <w:p>
      <w:pPr>
        <w:pStyle w:val="BookText"/>
        <w:rPr/>
      </w:pPr>
      <w:bookmarkEnd w:id="2825"/>
      <w:r>
        <w:rPr>
          <w:rFonts w:ascii="IRNazanin" w:hAnsi="IRNazanin" w:eastAsia="IRNazanin"/>
          <w:color w:val="111111"/>
          <w:sz w:val="28"/>
          <w:sz w:val="28"/>
          <w:szCs w:val="28"/>
          <w:rtl w:val="true"/>
          <w:lang w:bidi="fa-IR"/>
        </w:rPr>
        <w:t>مى شود با قطع نظر از مرجوحيّت اطلاق مگر براى جنب فى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اكلّم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نمى شود قرائت قرآن و نقل كلام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با قصد معنى در موارد مناسبه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كلمه مهمله حنث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اظهر، در صورت عدم قصد خلاف با قرينه يا بدون آن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دو قسم از حلف، با كتابت و اشاره حنث واقع نمى شود مگر در صورت استثناى 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اشارۀ اخرسِ بعد از نطق، حنث نمى شود اگر چه سائر احكام كلام بر آن مرتّب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كلّمتك فتنحّ 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حنث واقع مى شود؛ مگر با قرينه يا قصد كلام خارج از اين مجلس فعلى؛ به خلاف تقييد يا توضيح متعلّق يمين،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آن يا تعليل به حاسد بودن و نحو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شتم، مثل تحيّت و تسليم، كلام است و حنث است مگر با قرينه يا قصد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حلف بر ترك مهاجرت، حنث نمى شود به مكاتبه و مراسله مگر با قرينه و يا قصد 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حلف بر ترك تكلّم با كسى كرد، پس تكلّم با ديگرى كرد به قصد اسماع اوّلى، حنث نمى شود مگر در صورت استثناى متقدّم؛ و اگر تكلّم با او كرد 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شد از شنيدن آن، اظهر حنث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نوم و مثل آن تكلّم كرد با او، حنث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نماز به قصد مأمومى كه مورد حلف باشد، حنث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آنكه اگر تحيّت، مقصود باشد، مجزى است</w:t>
      </w:r>
      <w:r>
        <w:rPr>
          <w:rFonts w:eastAsia="IRNazanin" w:cs="IRNazanin"/>
          <w:color w:val="111111"/>
          <w:sz w:val="28"/>
          <w:szCs w:val="28"/>
          <w:rtl w:val="true"/>
          <w:lang w:bidi="fa-IR"/>
        </w:rPr>
        <w:t>).</w:t>
      </w:r>
    </w:p>
    <w:p>
      <w:pPr>
        <w:pStyle w:val="Heading5"/>
        <w:numPr>
          <w:ilvl w:val="4"/>
          <w:numId w:val="1"/>
        </w:numPr>
        <w:rPr/>
      </w:pPr>
      <w:bookmarkStart w:id="2826" w:name="__RefHeading___Toc3809357_1067777946"/>
      <w:bookmarkStart w:id="2827" w:name="_Toc1191"/>
      <w:bookmarkEnd w:id="2826"/>
      <w:r>
        <w:rPr>
          <w:rtl w:val="true"/>
        </w:rPr>
        <w:t>حلف بر تسرّى</w:t>
      </w:r>
      <w:bookmarkEnd w:id="2827"/>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تسرّى، به ستر مملوكۀ خود از چشم مردم و وطى و انزال، حاصل مى شود؛ و محتمل است كفايت وطى در صدق، اگر چه به اختلاف عرف ازمنه و امكنه مختلف است</w:t>
      </w:r>
      <w:r>
        <w:rPr>
          <w:rFonts w:eastAsia="IRNazanin" w:cs="IRNazanin"/>
          <w:color w:val="111111"/>
          <w:sz w:val="28"/>
          <w:szCs w:val="28"/>
          <w:rtl w:val="true"/>
          <w:lang w:bidi="fa-IR"/>
        </w:rPr>
        <w:t>.</w:t>
      </w:r>
      <w:bookmarkStart w:id="2828" w:name="pg10265_90246"/>
    </w:p>
    <w:p>
      <w:pPr>
        <w:pStyle w:val="Heading5"/>
        <w:numPr>
          <w:ilvl w:val="4"/>
          <w:numId w:val="1"/>
        </w:numPr>
        <w:rPr/>
      </w:pPr>
      <w:bookmarkStart w:id="2829" w:name="__RefHeading___Toc3809359_1067777946"/>
      <w:bookmarkStart w:id="2830" w:name="_Toc1192"/>
      <w:bookmarkEnd w:id="2828"/>
      <w:bookmarkEnd w:id="2829"/>
      <w:r>
        <w:rPr>
          <w:rtl w:val="true"/>
        </w:rPr>
        <w:t>عدم و عدم دخول غاية</w:t>
      </w:r>
      <w:bookmarkEnd w:id="2830"/>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يك ماه دين فلان را اداء مى نمايم، قبل از خروج ماه بايد اداء نمايد مگر با قرينه يا قصد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هلال، مقارنت عرفيّه لازم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محمول بر تأخير تا حين مناسب با عمل است؛ و اگر متساوى بود ازمنه، الغاى خصوصيّت از منقول در صوم كه شش ماه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 ماه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خالى از وجه نيست، چون كه امر تعبّدى نيست و مبنىّ بر كشف شارع است از مثل استعمال قرآن و نحو آن كه مفصلاً معلوم ما نيست، و بر اين كشف، تعبّد افزوده نمى شود خصوصاً اگر مراد، تعبّد در تقيّد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بلى قرينۀ تخصيص يا قصد آن، متّبع است چنانچه گذشت</w:t>
      </w:r>
      <w:r>
        <w:rPr>
          <w:rFonts w:eastAsia="IRNazanin" w:cs="IRNazanin"/>
          <w:color w:val="111111"/>
          <w:sz w:val="28"/>
          <w:szCs w:val="28"/>
          <w:rtl w:val="true"/>
          <w:lang w:bidi="fa-IR"/>
        </w:rPr>
        <w:t xml:space="preserve">. </w:t>
      </w:r>
      <w:bookmarkStart w:id="2831" w:name="pg10265_90247"/>
    </w:p>
    <w:p>
      <w:pPr>
        <w:pStyle w:val="Heading3"/>
        <w:numPr>
          <w:ilvl w:val="2"/>
          <w:numId w:val="1"/>
        </w:numPr>
        <w:rPr/>
      </w:pPr>
      <w:bookmarkStart w:id="2832" w:name="__RefHeading___Toc3809361_1067777946"/>
      <w:bookmarkStart w:id="2833" w:name="_Toc1193"/>
      <w:bookmarkEnd w:id="2831"/>
      <w:bookmarkEnd w:id="2832"/>
      <w:r>
        <w:rPr>
          <w:rtl w:val="true"/>
        </w:rPr>
        <w:t>فصل چهارم حنث يمين</w:t>
      </w:r>
      <w:bookmarkEnd w:id="2833"/>
    </w:p>
    <w:p>
      <w:pPr>
        <w:pStyle w:val="Heading4"/>
        <w:numPr>
          <w:ilvl w:val="3"/>
          <w:numId w:val="1"/>
        </w:numPr>
        <w:rPr/>
      </w:pPr>
      <w:bookmarkStart w:id="2834" w:name="__RefHeading___Toc3809363_1067777946"/>
      <w:bookmarkStart w:id="2835" w:name="_Toc1194"/>
      <w:bookmarkEnd w:id="2834"/>
      <w:r>
        <w:rPr>
          <w:rtl w:val="true"/>
        </w:rPr>
        <w:t>تحقّق حنث به اختيار سبب</w:t>
      </w:r>
      <w:bookmarkEnd w:id="2835"/>
    </w:p>
    <w:p>
      <w:pPr>
        <w:pStyle w:val="BookText"/>
        <w:rPr/>
      </w:pPr>
      <w:r>
        <w:rPr>
          <w:rFonts w:ascii="IRNazanin" w:hAnsi="IRNazanin" w:eastAsia="IRNazanin"/>
          <w:color w:val="111111"/>
          <w:sz w:val="28"/>
          <w:sz w:val="28"/>
          <w:szCs w:val="28"/>
          <w:rtl w:val="true"/>
          <w:lang w:bidi="fa-IR"/>
        </w:rPr>
        <w:t>حنث، به اختيار خلاف حلف، محقّق مى شود اگر چه به سبب اختيار سبب باشد، مثل ركوب سفينه و دخول بلدى، يا ركوب دابّه اى و وصول به مكانى، يا حمل انسانى او را با اذن او و بردن به جايى؛ و بدون اذن اگر محمول شد با تمكّن از امتناع، پس حمل، حنث مى شود، چون كه دخول اختيارى كه مصحّح يمين است، اعم است از تسليمى كه در ترك امتناع، حاصل است و اذن در آن لازم نيست در اختيارى بودن</w:t>
      </w:r>
      <w:r>
        <w:rPr>
          <w:rFonts w:eastAsia="IRNazanin" w:cs="IRNazanin"/>
          <w:color w:val="111111"/>
          <w:sz w:val="28"/>
          <w:szCs w:val="28"/>
          <w:rtl w:val="true"/>
          <w:lang w:bidi="fa-IR"/>
        </w:rPr>
        <w:t>.</w:t>
      </w:r>
    </w:p>
    <w:p>
      <w:pPr>
        <w:pStyle w:val="Heading4"/>
        <w:numPr>
          <w:ilvl w:val="3"/>
          <w:numId w:val="1"/>
        </w:numPr>
        <w:rPr/>
      </w:pPr>
      <w:bookmarkStart w:id="2836" w:name="__RefHeading___Toc3809365_1067777946"/>
      <w:bookmarkStart w:id="2837" w:name="_Toc1195"/>
      <w:bookmarkEnd w:id="2836"/>
      <w:r>
        <w:rPr>
          <w:rtl w:val="true"/>
        </w:rPr>
        <w:t>عدم تحقّق حنث با اكراه</w:t>
      </w:r>
      <w:bookmarkEnd w:id="2837"/>
    </w:p>
    <w:p>
      <w:pPr>
        <w:pStyle w:val="BookText"/>
        <w:rPr/>
      </w:pPr>
      <w:r>
        <w:rPr>
          <w:rFonts w:ascii="IRNazanin" w:hAnsi="IRNazanin" w:eastAsia="IRNazanin"/>
          <w:color w:val="111111"/>
          <w:sz w:val="28"/>
          <w:sz w:val="28"/>
          <w:szCs w:val="28"/>
          <w:rtl w:val="true"/>
          <w:lang w:bidi="fa-IR"/>
        </w:rPr>
        <w:t>و با اكراه، حنث محقّق نمى شود و كفّاره لازم نمى شود؛ و هم چنين با فراموشى حلف، و جهل به محلوفٌ عليه بدون علم اجمالى و بدون حالت سابقه حلف و شك در انقضاى مدت در حلف</w:t>
      </w:r>
      <w:r>
        <w:rPr>
          <w:rFonts w:eastAsia="IRNazanin" w:cs="IRNazanin"/>
          <w:color w:val="111111"/>
          <w:sz w:val="28"/>
          <w:szCs w:val="28"/>
          <w:rtl w:val="true"/>
          <w:lang w:bidi="fa-IR"/>
        </w:rPr>
        <w:t>.</w:t>
      </w:r>
    </w:p>
    <w:p>
      <w:pPr>
        <w:pStyle w:val="Heading4"/>
        <w:numPr>
          <w:ilvl w:val="3"/>
          <w:numId w:val="1"/>
        </w:numPr>
        <w:rPr/>
      </w:pPr>
      <w:bookmarkStart w:id="2838" w:name="__RefHeading___Toc3809367_1067777946"/>
      <w:bookmarkStart w:id="2839" w:name="_Toc1196"/>
      <w:bookmarkEnd w:id="2838"/>
      <w:r>
        <w:rPr>
          <w:rtl w:val="true"/>
        </w:rPr>
        <w:t>انحلال و بقاى قسم با فعل و ترك</w:t>
      </w:r>
      <w:bookmarkEnd w:id="2839"/>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موارد عدم حنث و عدم لزوم كفاره به واسطۀ اعذار متقدّمه، اظهر عدم انحلال يمين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متعلَّق آن، فعل اختيارى با التفات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اكراه؛ و حتى اگر متعلّق يمين، ترك طبيعت بود و ايجاد كرد آن را به عذرى، باقى است بالنسبه به موارد انتفاى عذر؛ اما اگر حلف بر صوم هر پنجشنبه مثلاً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پنجشنبه معذور شد، عدم انحلال در سائر پنجشنبه ها واضح است</w:t>
      </w:r>
      <w:r>
        <w:rPr>
          <w:rFonts w:eastAsia="IRNazanin" w:cs="IRNazanin"/>
          <w:color w:val="111111"/>
          <w:sz w:val="28"/>
          <w:szCs w:val="28"/>
          <w:rtl w:val="true"/>
          <w:lang w:bidi="fa-IR"/>
        </w:rPr>
        <w:t xml:space="preserve">. </w:t>
      </w:r>
      <w:bookmarkStart w:id="2840" w:name="pg10265_90248"/>
    </w:p>
    <w:p>
      <w:pPr>
        <w:pStyle w:val="Heading3"/>
        <w:numPr>
          <w:ilvl w:val="2"/>
          <w:numId w:val="1"/>
        </w:numPr>
        <w:rPr/>
      </w:pPr>
      <w:bookmarkStart w:id="2841" w:name="__RefHeading___Toc3809369_1067777946"/>
      <w:bookmarkStart w:id="2842" w:name="_Toc1197"/>
      <w:bookmarkEnd w:id="2840"/>
      <w:bookmarkEnd w:id="2841"/>
      <w:r>
        <w:rPr>
          <w:rtl w:val="true"/>
        </w:rPr>
        <w:t>فصل پنجم لواحق أيمان</w:t>
      </w:r>
      <w:bookmarkEnd w:id="2842"/>
    </w:p>
    <w:p>
      <w:pPr>
        <w:pStyle w:val="Heading4"/>
        <w:numPr>
          <w:ilvl w:val="3"/>
          <w:numId w:val="1"/>
        </w:numPr>
        <w:rPr/>
      </w:pPr>
      <w:bookmarkStart w:id="2843" w:name="__RefHeading___Toc3809371_1067777946"/>
      <w:bookmarkStart w:id="2844" w:name="_Toc1198"/>
      <w:bookmarkEnd w:id="2843"/>
      <w:r>
        <w:rPr>
          <w:rtl w:val="true"/>
        </w:rPr>
        <w:t>قسم مكروه، راجح و واجب</w:t>
      </w:r>
      <w:bookmarkEnd w:id="28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أيمان صادقه، مكروه مى باشند به آن جهت كه يمين است، و به ملاحظۀ عوارض، راجح بلكه واجب هم مى شوند؛ و متأكّد است كراهت يمين در مال كم، و در روايت، تحديد به سى درهم شده است؛ و در مال كثير هم كراهت دارد و اختيار ضررِ غير مُجحِف، اَولىٰ است؛ و براى دفع ظالم از نفس يا عِرْض يا مال خود يا مؤمنى ديگر جائز است، و اولى و دومى واجب و سومى كراهت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گاهى واجب مى شود دروغ گفتن و قسم دروغ خوردن در بعض مواقع، و براى دفع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راجح است مطلقاً، بلكه دور نيست كذب و حلف در رجحان و وجوب، تابع حفظ مال باشد</w:t>
      </w:r>
      <w:r>
        <w:rPr>
          <w:rFonts w:eastAsia="IRNazanin" w:cs="IRNazanin"/>
          <w:color w:val="111111"/>
          <w:sz w:val="28"/>
          <w:szCs w:val="28"/>
          <w:rtl w:val="true"/>
          <w:lang w:bidi="fa-IR"/>
        </w:rPr>
        <w:t>.</w:t>
      </w:r>
    </w:p>
    <w:p>
      <w:pPr>
        <w:pStyle w:val="Heading4"/>
        <w:numPr>
          <w:ilvl w:val="3"/>
          <w:numId w:val="1"/>
        </w:numPr>
        <w:rPr/>
      </w:pPr>
      <w:bookmarkStart w:id="2845" w:name="__RefHeading___Toc3809373_1067777946"/>
      <w:bookmarkStart w:id="2846" w:name="_Toc1199"/>
      <w:bookmarkEnd w:id="2845"/>
      <w:r>
        <w:rPr>
          <w:rtl w:val="true"/>
        </w:rPr>
        <w:t>تخلّص از كذب به وسيلۀ توريه</w:t>
      </w:r>
      <w:bookmarkEnd w:id="2846"/>
    </w:p>
    <w:p>
      <w:pPr>
        <w:pStyle w:val="BookText"/>
        <w:rPr/>
      </w:pPr>
      <w:r>
        <w:rPr>
          <w:rFonts w:ascii="Amiri" w:hAnsi="Amiri" w:eastAsia="Amiri" w:cs="Amiri"/>
          <w:color w:val="111111"/>
          <w:sz w:val="28"/>
          <w:sz w:val="28"/>
          <w:szCs w:val="28"/>
          <w:rtl w:val="true"/>
          <w:lang w:bidi="ar-SA"/>
        </w:rPr>
        <w:t>و دور نيست وجوب توريه بر ملتفت عالم به آن، براى تخلّص از كذب حرام و حلف بر كذب</w:t>
      </w:r>
      <w:r>
        <w:rPr>
          <w:rFonts w:eastAsia="Amiri" w:cs="Amiri" w:ascii="Amiri" w:hAnsi="Amiri"/>
          <w:color w:val="111111"/>
          <w:sz w:val="28"/>
          <w:szCs w:val="28"/>
          <w:rtl w:val="true"/>
          <w:lang w:bidi="ar-SA"/>
        </w:rPr>
        <w:t>.</w:t>
      </w:r>
    </w:p>
    <w:p>
      <w:pPr>
        <w:pStyle w:val="Heading4"/>
        <w:numPr>
          <w:ilvl w:val="3"/>
          <w:numId w:val="1"/>
        </w:numPr>
        <w:rPr/>
      </w:pPr>
      <w:bookmarkStart w:id="2847" w:name="__RefHeading___Toc3809375_1067777946"/>
      <w:bookmarkStart w:id="2848" w:name="_Toc1200"/>
      <w:bookmarkEnd w:id="2847"/>
      <w:r>
        <w:rPr>
          <w:rtl w:val="true"/>
        </w:rPr>
        <w:t>حلف به برائت</w:t>
      </w:r>
      <w:bookmarkEnd w:id="284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حلف به برائت از حول و قوّۀ خداى تعالى از روى كذب، حرام مغلّظ است؛ و از روى صدق هم محتمل است حرمت آن، و مقتضاى احتياط در جميع آنچه</w:t>
      </w:r>
      <w:bookmarkStart w:id="2849" w:name="pg10265_90249"/>
    </w:p>
    <w:p>
      <w:pPr>
        <w:pStyle w:val="BookText"/>
        <w:rPr/>
      </w:pPr>
      <w:bookmarkEnd w:id="2849"/>
      <w:r>
        <w:rPr>
          <w:rFonts w:ascii="Amiri" w:hAnsi="Amiri" w:eastAsia="Amiri" w:cs="Amiri"/>
          <w:color w:val="111111"/>
          <w:sz w:val="28"/>
          <w:sz w:val="28"/>
          <w:szCs w:val="28"/>
          <w:rtl w:val="true"/>
          <w:lang w:bidi="ar-SA"/>
        </w:rPr>
        <w:t>مرجع آن به اين حلف است ترك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هر تقدير منعقد نمى شود يمين بر آن، و كفّاره اى غير استغفار ندارد</w:t>
      </w:r>
      <w:r>
        <w:rPr>
          <w:rFonts w:eastAsia="Amiri" w:cs="Amiri" w:ascii="Amiri" w:hAnsi="Amiri"/>
          <w:color w:val="111111"/>
          <w:sz w:val="28"/>
          <w:szCs w:val="28"/>
          <w:rtl w:val="true"/>
          <w:lang w:bidi="ar-SA"/>
        </w:rPr>
        <w:t>.</w:t>
      </w:r>
    </w:p>
    <w:p>
      <w:pPr>
        <w:pStyle w:val="Heading4"/>
        <w:numPr>
          <w:ilvl w:val="3"/>
          <w:numId w:val="1"/>
        </w:numPr>
        <w:rPr/>
      </w:pPr>
      <w:bookmarkStart w:id="2850" w:name="__RefHeading___Toc3809377_1067777946"/>
      <w:bookmarkStart w:id="2851" w:name="_Toc1201"/>
      <w:bookmarkEnd w:id="2850"/>
      <w:r>
        <w:rPr>
          <w:rtl w:val="true"/>
        </w:rPr>
        <w:t>عدم اجزاى تقديم كفارۀ حنث بر حنث</w:t>
      </w:r>
      <w:bookmarkEnd w:id="285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كفّارۀ يمين قبل از حنث واجب نمى شود، بلكه مجزى نيست تقديم آن بر حنث حاصل به مخالفت يمين</w:t>
      </w:r>
      <w:r>
        <w:rPr>
          <w:rFonts w:eastAsia="Amiri" w:cs="Amiri" w:ascii="Amiri" w:hAnsi="Amiri"/>
          <w:color w:val="111111"/>
          <w:sz w:val="28"/>
          <w:szCs w:val="28"/>
          <w:rtl w:val="true"/>
          <w:lang w:bidi="ar-SA"/>
        </w:rPr>
        <w:t>.</w:t>
      </w:r>
    </w:p>
    <w:p>
      <w:pPr>
        <w:pStyle w:val="Heading4"/>
        <w:numPr>
          <w:ilvl w:val="3"/>
          <w:numId w:val="1"/>
        </w:numPr>
        <w:rPr/>
      </w:pPr>
      <w:bookmarkStart w:id="2852" w:name="__RefHeading___Toc3809379_1067777946"/>
      <w:bookmarkStart w:id="2853" w:name="_Toc1202"/>
      <w:bookmarkEnd w:id="2852"/>
      <w:r>
        <w:rPr>
          <w:rtl w:val="true"/>
        </w:rPr>
        <w:t>اعطاى كفاره به غير واجد شرائط</w:t>
      </w:r>
      <w:bookmarkEnd w:id="285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كفّاره را به كافر يا واجب النفقۀ معطى يا غنىّ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علم به حال، مجزى نيست؛ و بدون آن و با ظنّ به وجود شرط، اجزاء منسوب به مشهور است، و احوط عدم اجزاء است</w:t>
      </w:r>
      <w:r>
        <w:rPr>
          <w:rFonts w:eastAsia="IRNazanin" w:cs="IRNazanin"/>
          <w:color w:val="111111"/>
          <w:sz w:val="28"/>
          <w:szCs w:val="28"/>
          <w:rtl w:val="true"/>
          <w:lang w:bidi="fa-IR"/>
        </w:rPr>
        <w:t>.</w:t>
      </w:r>
    </w:p>
    <w:p>
      <w:pPr>
        <w:pStyle w:val="Heading4"/>
        <w:numPr>
          <w:ilvl w:val="3"/>
          <w:numId w:val="1"/>
        </w:numPr>
        <w:rPr/>
      </w:pPr>
      <w:bookmarkStart w:id="2854" w:name="__RefHeading___Toc3809381_1067777946"/>
      <w:bookmarkStart w:id="2855" w:name="_Toc1203"/>
      <w:bookmarkEnd w:id="2854"/>
      <w:r>
        <w:rPr>
          <w:rtl w:val="true"/>
        </w:rPr>
        <w:t>حكم اخراج كفاره از مال ميت</w:t>
      </w:r>
      <w:bookmarkEnd w:id="285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وفات كرد و بر او كفارۀ مرتّبه بود، واجب است اخراج آن از اصل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سائر حقوق ماليۀ واجبه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وصيّت نكند؛ و اقتصار مى شود بر اقلّ رقبات از حيث ماليّت مگر با اذن وارث؛ و اظهر عدم فرق بين اعسار در حال حيات و عدم آن است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متأخّر به جا آورده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وصيّت كرد و مطلق نگذاشت بلكه قيمتى معين كرد كه ازيد از قيمت اقلّ رقبات باشد و ورثه اجازه نكردند، قيمت اقلّ مجزى از اصل مال اخراج مى شود و زيادتى قيمت، از ثلث اخراج مى شود، مثل آنكه وصيّت به حج واجب از بلد نمود كه ميقاتى آن از اصل و زائد، از ثلثِ تركه اخراج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مال، وسعت به اقلّ رقبه نكرد و لكن ممكن شد صرف در بقيۀ خصال كه ترتيب در آنها ملاحظه مى شود، صرف در آن مى شود اگر چه وصيّت نكرده باشد بنا بر احوط</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وصيّت به زيادتى از قيمت اقلّ مجزى كرد و پيدا نشد مگر به اقلّ مجزى از </w:t>
      </w:r>
      <w:bookmarkStart w:id="2856" w:name="pg10265_90250"/>
    </w:p>
    <w:p>
      <w:pPr>
        <w:pStyle w:val="BookText"/>
        <w:rPr/>
      </w:pPr>
      <w:bookmarkEnd w:id="2856"/>
      <w:r>
        <w:rPr>
          <w:rFonts w:ascii="IRNazanin" w:hAnsi="IRNazanin" w:eastAsia="IRNazanin"/>
          <w:color w:val="111111"/>
          <w:sz w:val="28"/>
          <w:sz w:val="28"/>
          <w:szCs w:val="28"/>
          <w:rtl w:val="true"/>
          <w:lang w:bidi="fa-IR"/>
        </w:rPr>
        <w:t>حيث قيمت، زيادتى، ميراث مى شود اگر در زمان وفات هم، چنين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حسب آنچه ذكر شد در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مخيّره بود و وصيّت نكرد، اقلّ خصال و أقلّ افراد يك خصلت از اصل تركه اخراج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وصيّت كرد به اعلى از حيث قيمت و ورثه اجازه نكردند، پس تفاوت اگر ثلث به آن وسعت داشت كه اخراج مى شود از ثلث؛ و اگر وسعت نداشت، قيمت خصلت پائين تر، از اصل اخراج مى شود و زائد، از ثلث باقى، يعنى با تبعيض در اخراج از اصل و ثلث كه منافات با عدم وفاى ثلث به وصيّت ندارد، وگرنه وصيّت به زائد، باطل در زائد مى شود و اقتصار بر پايين تر از حيث قيمت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مقدارى وصيّت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كافى براى غير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پايين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قيمت است صرف در آن مى شود؛ و اگر ضميمه مى شود به قيمت نازلترى كه خارج از اصل است تا آنكه برسد به قيمت وسطى، صرف در آن مى شود</w:t>
      </w:r>
      <w:r>
        <w:rPr>
          <w:rFonts w:eastAsia="IRNazanin" w:cs="IRNazanin"/>
          <w:color w:val="111111"/>
          <w:sz w:val="28"/>
          <w:szCs w:val="28"/>
          <w:rtl w:val="true"/>
          <w:lang w:bidi="fa-IR"/>
        </w:rPr>
        <w:t>.</w:t>
      </w:r>
    </w:p>
    <w:p>
      <w:pPr>
        <w:pStyle w:val="Heading4"/>
        <w:numPr>
          <w:ilvl w:val="3"/>
          <w:numId w:val="1"/>
        </w:numPr>
        <w:rPr/>
      </w:pPr>
      <w:bookmarkStart w:id="2857" w:name="__RefHeading___Toc3809383_1067777946"/>
      <w:bookmarkStart w:id="2858" w:name="_Toc1204"/>
      <w:bookmarkEnd w:id="2857"/>
      <w:r>
        <w:rPr>
          <w:rtl w:val="true"/>
        </w:rPr>
        <w:t>حكم حنث يمين عبد</w:t>
      </w:r>
      <w:bookmarkEnd w:id="285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يمين عبد منعقد شد و حنث كرد، كفّارۀ او صوم است اگر چه مرتّبه بوده است؛ و اگر تكفير به غير آن نمود با اذن مولى، مجزى است و بدون اذن او مجزى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مجزى است عتق مولى از جانب او با اذن او؛ و در صورت عدم اذن بلكه تبرّع غير بدون اذن، تأمّل است</w:t>
      </w:r>
      <w:r>
        <w:rPr>
          <w:rFonts w:eastAsia="IRNazanin" w:cs="IRNazanin"/>
          <w:color w:val="111111"/>
          <w:sz w:val="28"/>
          <w:szCs w:val="28"/>
          <w:rtl w:val="true"/>
          <w:lang w:bidi="fa-IR"/>
        </w:rPr>
        <w:t>.</w:t>
      </w:r>
    </w:p>
    <w:p>
      <w:pPr>
        <w:pStyle w:val="Heading4"/>
        <w:numPr>
          <w:ilvl w:val="3"/>
          <w:numId w:val="1"/>
        </w:numPr>
        <w:rPr/>
      </w:pPr>
      <w:bookmarkStart w:id="2859" w:name="__RefHeading___Toc3809385_1067777946"/>
      <w:bookmarkStart w:id="2860" w:name="_Toc1205"/>
      <w:bookmarkEnd w:id="2859"/>
      <w:r>
        <w:rPr>
          <w:rtl w:val="true"/>
        </w:rPr>
        <w:t>يمين و حنث و كفارۀ آن در مملوك</w:t>
      </w:r>
      <w:bookmarkEnd w:id="2860"/>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 بر عدم انعقاد يمين مملوك بدون اذن مالك، حنث و كفّاره در مخالفت مملوك با يمين نيست، اذن در حنث داده باشد يا نه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اذن در يمين داد، منعقد است قطعاً و بر او است تكفير به صوم با مخالفت، و مالك نمى تواند منع از صوم نمايد بعد از اذن در يمين؛ پس اگر حنث با اذن مالك بوده، تأثير تكوينى او در حنث و لوازم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 جمله تكفير به 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خود است</w:t>
      </w:r>
      <w:r>
        <w:rPr>
          <w:rFonts w:eastAsia="IRNazanin" w:cs="IRNazanin"/>
          <w:color w:val="111111"/>
          <w:sz w:val="28"/>
          <w:szCs w:val="28"/>
          <w:rtl w:val="true"/>
          <w:lang w:bidi="fa-IR"/>
        </w:rPr>
        <w:t xml:space="preserve">. </w:t>
      </w:r>
      <w:bookmarkStart w:id="2861" w:name="pg10265_90251"/>
    </w:p>
    <w:p>
      <w:pPr>
        <w:pStyle w:val="BookText"/>
        <w:rPr/>
      </w:pPr>
      <w:bookmarkEnd w:id="2861"/>
      <w:r>
        <w:rPr>
          <w:rFonts w:ascii="IRNazanin" w:hAnsi="IRNazanin" w:eastAsia="IRNazanin"/>
          <w:color w:val="111111"/>
          <w:sz w:val="28"/>
          <w:sz w:val="28"/>
          <w:szCs w:val="28"/>
          <w:rtl w:val="true"/>
          <w:lang w:bidi="fa-IR"/>
        </w:rPr>
        <w:t xml:space="preserve">و اگر اذن نداد در حنث، آيا حق منع از صوم دارد يا نه‌؟ اظهر عدم استحقاق است در مقابل حق اللّٰه، مثل سائر صلوات و صيام واجب بر عبد، و چون اذن در يمين، اذن در تكفيرِ بعد از حنث است از ملتفت و مؤمن به ملازمه اگر چه حنث، مأذون نباشد بلكه ممنوع او هم باشد؛ بلكه اذن در حنث، اذن در تكفير نيست چون ملازمه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عرفى و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عدم فرق بين صوم مضرّ و غير آن است با حفظ صحّت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 كه يمين، مراعى به اذن مولى است پس آزاد شد با عدم اذن مولى، اظهر انعقاد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فقط مالك، حق حلّ داشته پس قبل از حق آزاد شد، بر او حقى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فوريّت وجوب تكفير ممكن، مولى نمى تواند منع از مبادرت نمايد</w:t>
      </w:r>
      <w:r>
        <w:rPr>
          <w:rFonts w:eastAsia="IRNazanin" w:cs="IRNazanin"/>
          <w:color w:val="111111"/>
          <w:sz w:val="28"/>
          <w:szCs w:val="28"/>
          <w:rtl w:val="true"/>
          <w:lang w:bidi="fa-IR"/>
        </w:rPr>
        <w:t>.</w:t>
      </w:r>
    </w:p>
    <w:p>
      <w:pPr>
        <w:pStyle w:val="Heading4"/>
        <w:numPr>
          <w:ilvl w:val="3"/>
          <w:numId w:val="1"/>
        </w:numPr>
        <w:rPr/>
      </w:pPr>
      <w:bookmarkStart w:id="2862" w:name="__RefHeading___Toc3809387_1067777946"/>
      <w:bookmarkStart w:id="2863" w:name="_Toc1206"/>
      <w:bookmarkEnd w:id="2862"/>
      <w:r>
        <w:rPr>
          <w:rtl w:val="true"/>
        </w:rPr>
        <w:t>كفاره در صورت حريت لاحقه</w:t>
      </w:r>
      <w:bookmarkEnd w:id="2863"/>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سبب حرّيت لاحقه، يمين سابق منعقد شد پس از آن حنث نمود، كفاره مثل حرِّ در حال يمين، لازم است، پس در مرتّبه، موسر منتقل به صوم نمى شود مگر با عجز، به خلاف مخيّره؛ و هم چنين اگر حنث كرد و بعد آزاد شد بنا بر بقاى محل انعقاد به لحوق آنچه مثل اذن مالك است، وگرنه باطل است و كفاره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موقوف باشد و اذن در حنث به اين عنوان داد يعنى اجازه نمود، اظهر كفايت آن است در انعقاد و كفاره بر تقدير موقوف بودن و كاشفيّت اجازه، پس بنا بر كفايت، مى تواند روزه بگيرد بدون اذن چنانچه گذشت اگر چه اذن در حنث، اذن در تكفير نباشد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تقدير عدم انعقاد يمين به هيچ مبنى از مبانى متقدّمه، كفّاره واجب نخواهد بود</w:t>
      </w:r>
      <w:r>
        <w:rPr>
          <w:rFonts w:eastAsia="IRNazanin" w:cs="IRNazanin"/>
          <w:color w:val="111111"/>
          <w:sz w:val="28"/>
          <w:szCs w:val="28"/>
          <w:rtl w:val="true"/>
          <w:lang w:bidi="fa-IR"/>
        </w:rPr>
        <w:t xml:space="preserve">. </w:t>
      </w:r>
      <w:bookmarkStart w:id="2864" w:name="pg10265_90252"/>
    </w:p>
    <w:p>
      <w:pPr>
        <w:pStyle w:val="Heading2"/>
        <w:numPr>
          <w:ilvl w:val="1"/>
          <w:numId w:val="1"/>
        </w:numPr>
        <w:rPr/>
      </w:pPr>
      <w:bookmarkStart w:id="2865" w:name="__RefHeading___Toc3809389_1067777946"/>
      <w:bookmarkStart w:id="2866" w:name="_Toc1207"/>
      <w:bookmarkEnd w:id="2864"/>
      <w:bookmarkEnd w:id="2865"/>
      <w:r>
        <w:rPr>
          <w:rtl w:val="true"/>
        </w:rPr>
        <w:t>كتاب نذر</w:t>
      </w:r>
      <w:bookmarkEnd w:id="2866"/>
    </w:p>
    <w:p>
      <w:pPr>
        <w:pStyle w:val="Heading3"/>
        <w:numPr>
          <w:ilvl w:val="2"/>
          <w:numId w:val="1"/>
        </w:numPr>
        <w:rPr/>
      </w:pPr>
      <w:bookmarkStart w:id="2867" w:name="__RefHeading___Toc3809391_1067777946"/>
      <w:bookmarkStart w:id="2868" w:name="_Toc1208"/>
      <w:bookmarkEnd w:id="2867"/>
      <w:r>
        <w:rPr>
          <w:rtl w:val="true"/>
        </w:rPr>
        <w:t>اشاره</w:t>
      </w:r>
      <w:bookmarkEnd w:id="2868"/>
    </w:p>
    <w:p>
      <w:pPr>
        <w:pStyle w:val="BookText"/>
        <w:rPr/>
      </w:pPr>
      <w:r>
        <w:rPr>
          <w:rFonts w:ascii="Amiri" w:hAnsi="Amiri" w:eastAsia="Amiri" w:cs="Amiri"/>
          <w:color w:val="111111"/>
          <w:sz w:val="28"/>
          <w:sz w:val="28"/>
          <w:szCs w:val="28"/>
          <w:rtl w:val="true"/>
          <w:lang w:bidi="ar-SA"/>
        </w:rPr>
        <w:t>شرايط نذركننده، صيغۀ نذر</w:t>
      </w:r>
    </w:p>
    <w:p>
      <w:pPr>
        <w:pStyle w:val="BookText"/>
        <w:rPr/>
      </w:pPr>
      <w:r>
        <w:rPr>
          <w:rFonts w:ascii="Amiri" w:hAnsi="Amiri" w:eastAsia="Amiri" w:cs="Amiri"/>
          <w:color w:val="111111"/>
          <w:sz w:val="28"/>
          <w:sz w:val="28"/>
          <w:szCs w:val="28"/>
          <w:rtl w:val="true"/>
          <w:lang w:bidi="ar-SA"/>
        </w:rPr>
        <w:t>متعلَّق نذر</w:t>
      </w:r>
    </w:p>
    <w:p>
      <w:pPr>
        <w:pStyle w:val="BookText"/>
        <w:rPr/>
      </w:pPr>
      <w:r>
        <w:rPr>
          <w:rFonts w:ascii="Amiri" w:hAnsi="Amiri" w:eastAsia="Amiri" w:cs="Amiri"/>
          <w:color w:val="111111"/>
          <w:sz w:val="28"/>
          <w:sz w:val="28"/>
          <w:szCs w:val="28"/>
          <w:rtl w:val="true"/>
          <w:lang w:bidi="ar-SA"/>
        </w:rPr>
        <w:t>احكام نذر</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عهد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69" w:name="pg10265_90254"/>
      <w:bookmarkStart w:id="2870" w:name="pg10265_90254"/>
      <w:bookmarkEnd w:id="2870"/>
    </w:p>
    <w:p>
      <w:pPr>
        <w:pStyle w:val="Heading3"/>
        <w:numPr>
          <w:ilvl w:val="2"/>
          <w:numId w:val="1"/>
        </w:numPr>
        <w:rPr/>
      </w:pPr>
      <w:bookmarkStart w:id="2871" w:name="pg10265_90254"/>
      <w:bookmarkStart w:id="2872" w:name="__RefHeading___Toc3809393_1067777946"/>
      <w:bookmarkStart w:id="2873" w:name="_Toc1209"/>
      <w:bookmarkEnd w:id="2871"/>
      <w:bookmarkEnd w:id="2872"/>
      <w:r>
        <w:rPr>
          <w:rtl w:val="true"/>
        </w:rPr>
        <w:t>فصل اوّل شرايط نذركننده، صيغۀ نذر</w:t>
      </w:r>
      <w:bookmarkEnd w:id="2873"/>
    </w:p>
    <w:p>
      <w:pPr>
        <w:pStyle w:val="Heading4"/>
        <w:numPr>
          <w:ilvl w:val="3"/>
          <w:numId w:val="1"/>
        </w:numPr>
        <w:rPr/>
      </w:pPr>
      <w:bookmarkStart w:id="2874" w:name="__RefHeading___Toc3809395_1067777946"/>
      <w:bookmarkStart w:id="2875" w:name="_Toc1210"/>
      <w:bookmarkEnd w:id="2874"/>
      <w:r>
        <w:rPr>
          <w:rtl w:val="true"/>
        </w:rPr>
        <w:t>تعريف نذر</w:t>
      </w:r>
      <w:bookmarkEnd w:id="2875"/>
    </w:p>
    <w:p>
      <w:pPr>
        <w:pStyle w:val="BookText"/>
        <w:rPr/>
      </w:pPr>
      <w:r>
        <w:rPr>
          <w:rFonts w:ascii="Amiri" w:hAnsi="Amiri" w:eastAsia="Amiri" w:cs="Amiri"/>
          <w:color w:val="111111"/>
          <w:sz w:val="28"/>
          <w:sz w:val="28"/>
          <w:szCs w:val="28"/>
          <w:rtl w:val="true"/>
          <w:lang w:bidi="ar-SA"/>
        </w:rPr>
        <w:t xml:space="preserve">و آن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اصطلاح متشرعه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التزام به فعل يا ترك، به قصد قربت، به نحو ممتاز از يمين و عهد</w:t>
      </w:r>
      <w:r>
        <w:rPr>
          <w:rFonts w:eastAsia="Amiri" w:cs="Amiri" w:ascii="Amiri" w:hAnsi="Amiri"/>
          <w:color w:val="111111"/>
          <w:sz w:val="28"/>
          <w:szCs w:val="28"/>
          <w:rtl w:val="true"/>
          <w:lang w:bidi="ar-SA"/>
        </w:rPr>
        <w:t>».</w:t>
      </w:r>
    </w:p>
    <w:p>
      <w:pPr>
        <w:pStyle w:val="Heading4"/>
        <w:numPr>
          <w:ilvl w:val="3"/>
          <w:numId w:val="1"/>
        </w:numPr>
        <w:rPr/>
      </w:pPr>
      <w:bookmarkStart w:id="2876" w:name="__RefHeading___Toc3809397_1067777946"/>
      <w:bookmarkStart w:id="2877" w:name="_Toc1211"/>
      <w:bookmarkEnd w:id="2876"/>
      <w:r>
        <w:rPr/>
        <w:t>1</w:t>
      </w:r>
      <w:r>
        <w:rPr>
          <w:rtl w:val="true"/>
        </w:rPr>
        <w:t xml:space="preserve">. </w:t>
      </w:r>
      <w:r>
        <w:rPr>
          <w:rtl w:val="true"/>
        </w:rPr>
        <w:t>شرائط نذركننده</w:t>
      </w:r>
      <w:bookmarkEnd w:id="2877"/>
    </w:p>
    <w:p>
      <w:pPr>
        <w:pStyle w:val="Heading5"/>
        <w:numPr>
          <w:ilvl w:val="4"/>
          <w:numId w:val="1"/>
        </w:numPr>
        <w:rPr/>
      </w:pPr>
      <w:bookmarkStart w:id="2878" w:name="__RefHeading___Toc3809399_1067777946"/>
      <w:bookmarkStart w:id="2879" w:name="_Toc1212"/>
      <w:bookmarkEnd w:id="2878"/>
      <w:r>
        <w:rPr>
          <w:rtl w:val="true"/>
        </w:rPr>
        <w:t>اشتراط عقل و بلوغ و اسلام</w:t>
      </w:r>
      <w:bookmarkEnd w:id="2879"/>
    </w:p>
    <w:p>
      <w:pPr>
        <w:pStyle w:val="BookText"/>
        <w:rPr/>
      </w:pPr>
      <w:r>
        <w:rPr>
          <w:rFonts w:ascii="IRNazanin" w:hAnsi="IRNazanin" w:eastAsia="IRNazanin"/>
          <w:color w:val="111111"/>
          <w:sz w:val="28"/>
          <w:sz w:val="28"/>
          <w:szCs w:val="28"/>
          <w:rtl w:val="true"/>
          <w:lang w:bidi="fa-IR"/>
        </w:rPr>
        <w:t>و صحيح است نذر از عاقل بالغ مسلم؛ پس صحيح نيست از صبىّ مميّز و بالغ به ده سال به نحوى كه وصيّت به آن را صحيح بدانند، اگر چه قائل به شرعيّت عبادات او باشند، به خلاف عقود و ايقاعات به نحوى كه احكام شرعيّه مترتّب بر آنها بشود اگر چه داخل عبادات باشند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صحيح نيست از مجنون در غير حال افاقۀ او اگر ادوارى است، و از كافر در جميع اقسام بلكه غير فرقۀ اثنا عشريه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فرق مسلمين و اماميّه؛ و رعايت احتياط مناسب، در نذور همه مذكورات از غير مؤمنين، ترك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عدم انعقاد، مستحب است وفاى مسلم به نذر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جاهليّت و حال كفر كرده باشد</w:t>
      </w:r>
      <w:r>
        <w:rPr>
          <w:rFonts w:eastAsia="IRNazanin" w:cs="IRNazanin"/>
          <w:color w:val="111111"/>
          <w:sz w:val="28"/>
          <w:szCs w:val="28"/>
          <w:rtl w:val="true"/>
          <w:lang w:bidi="fa-IR"/>
        </w:rPr>
        <w:t xml:space="preserve">. </w:t>
      </w:r>
      <w:bookmarkStart w:id="2880" w:name="pg10265_90255"/>
    </w:p>
    <w:p>
      <w:pPr>
        <w:pStyle w:val="Heading5"/>
        <w:numPr>
          <w:ilvl w:val="4"/>
          <w:numId w:val="1"/>
        </w:numPr>
        <w:rPr/>
      </w:pPr>
      <w:bookmarkStart w:id="2881" w:name="__RefHeading___Toc3809401_1067777946"/>
      <w:bookmarkStart w:id="2882" w:name="_Toc1213"/>
      <w:bookmarkEnd w:id="2880"/>
      <w:bookmarkEnd w:id="2881"/>
      <w:r>
        <w:rPr>
          <w:rtl w:val="true"/>
        </w:rPr>
        <w:t>اذن مالك و زوج و والد</w:t>
      </w:r>
      <w:bookmarkEnd w:id="2882"/>
    </w:p>
    <w:p>
      <w:pPr>
        <w:pStyle w:val="BookText"/>
        <w:rPr/>
      </w:pPr>
      <w:r>
        <w:rPr>
          <w:rFonts w:ascii="IRNazanin" w:hAnsi="IRNazanin" w:eastAsia="IRNazanin"/>
          <w:color w:val="111111"/>
          <w:sz w:val="28"/>
          <w:sz w:val="28"/>
          <w:szCs w:val="28"/>
          <w:rtl w:val="true"/>
          <w:lang w:bidi="fa-IR"/>
        </w:rPr>
        <w:t>اظهر عدم انعقاد نذر مملوك است بدون اذن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نذر زوجه بدون اذن زوج تأمّل است و احوط به حسب وضع، انعقاد است؛ و ظاهر، عدم اتفاق بر اختيار حلّ نذر مثل يمين است كه فقط انعقاد در يمين محل خلاف بوده، اگر چه اختيار حلّ‌، منسوب به اكثر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الحاق ولد با والد به زوج، محل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تمشّى قربت، دور نيست لحوق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مالك و زوج و هم چنين والد بنا بر إلحاق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نذر كافى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لحوق انعتاق مملوك با اجازه او به نحو لحوق رضاى مكرَه، خالى از تأمّل نيست</w:t>
      </w:r>
      <w:r>
        <w:rPr>
          <w:rFonts w:eastAsia="IRNazanin" w:cs="IRNazanin"/>
          <w:color w:val="111111"/>
          <w:sz w:val="28"/>
          <w:szCs w:val="28"/>
          <w:rtl w:val="true"/>
          <w:lang w:bidi="fa-IR"/>
        </w:rPr>
        <w:t>.</w:t>
      </w:r>
    </w:p>
    <w:p>
      <w:pPr>
        <w:pStyle w:val="Heading5"/>
        <w:numPr>
          <w:ilvl w:val="4"/>
          <w:numId w:val="1"/>
        </w:numPr>
        <w:rPr/>
      </w:pPr>
      <w:bookmarkStart w:id="2883" w:name="__RefHeading___Toc3809403_1067777946"/>
      <w:bookmarkStart w:id="2884" w:name="_Toc1214"/>
      <w:bookmarkEnd w:id="2883"/>
      <w:r>
        <w:rPr>
          <w:rtl w:val="true"/>
        </w:rPr>
        <w:t>اشتراط قصد و اختيار</w:t>
      </w:r>
      <w:bookmarkEnd w:id="2884"/>
    </w:p>
    <w:p>
      <w:pPr>
        <w:pStyle w:val="BookText"/>
        <w:rPr/>
      </w:pPr>
      <w:r>
        <w:rPr>
          <w:rFonts w:ascii="IRNazanin" w:hAnsi="IRNazanin" w:eastAsia="IRNazanin"/>
          <w:color w:val="111111"/>
          <w:sz w:val="28"/>
          <w:sz w:val="28"/>
          <w:szCs w:val="28"/>
          <w:rtl w:val="true"/>
          <w:lang w:bidi="fa-IR"/>
        </w:rPr>
        <w:t>معتبر است در حقيقت نذر و صحّت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 اختيار؛ پس از مكره و غافل و ساهى و سكران و غضبان غير مالك خود و مغمى عليه و نائم، صحيح واقع نمى شود؛ و هم چنين از سفيه در ماليات نه عبادات بدنيّه</w:t>
      </w:r>
      <w:r>
        <w:rPr>
          <w:rFonts w:eastAsia="IRNazanin" w:cs="IRNazanin"/>
          <w:color w:val="111111"/>
          <w:sz w:val="28"/>
          <w:szCs w:val="28"/>
          <w:rtl w:val="true"/>
          <w:lang w:bidi="fa-IR"/>
        </w:rPr>
        <w:t>.</w:t>
      </w:r>
    </w:p>
    <w:p>
      <w:pPr>
        <w:pStyle w:val="Heading5"/>
        <w:numPr>
          <w:ilvl w:val="4"/>
          <w:numId w:val="1"/>
        </w:numPr>
        <w:rPr/>
      </w:pPr>
      <w:bookmarkStart w:id="2885" w:name="__RefHeading___Toc3809405_1067777946"/>
      <w:bookmarkStart w:id="2886" w:name="_Toc1215"/>
      <w:bookmarkEnd w:id="2885"/>
      <w:r>
        <w:rPr>
          <w:rtl w:val="true"/>
        </w:rPr>
        <w:t>نذر مفلّس</w:t>
      </w:r>
      <w:bookmarkEnd w:id="2886"/>
    </w:p>
    <w:p>
      <w:pPr>
        <w:pStyle w:val="BookText"/>
        <w:rPr/>
      </w:pPr>
      <w:r>
        <w:rPr>
          <w:rFonts w:ascii="IRNazanin" w:hAnsi="IRNazanin" w:eastAsia="IRNazanin"/>
          <w:color w:val="111111"/>
          <w:sz w:val="28"/>
          <w:sz w:val="28"/>
          <w:szCs w:val="28"/>
          <w:rtl w:val="true"/>
          <w:lang w:bidi="fa-IR"/>
        </w:rPr>
        <w:t xml:space="preserve">و از مفلّس در آنچه به مال تعلّق ندارد يا آنكه به عين تعلّق ندارد اگر مال است بلكه در ذمّه ثابت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از فراغ از حق غرما، بر او است اداء مال منذور؛ و در عينِ متعلّقِ حقوق غرما، نفوذِ فعلى ندارد، و نفوذ مراعى به تخلص اعيان از حقوق غرما، مانعى ندارد</w:t>
      </w:r>
      <w:r>
        <w:rPr>
          <w:rFonts w:eastAsia="IRNazanin" w:cs="IRNazanin"/>
          <w:color w:val="111111"/>
          <w:sz w:val="28"/>
          <w:szCs w:val="28"/>
          <w:rtl w:val="true"/>
          <w:lang w:bidi="fa-IR"/>
        </w:rPr>
        <w:t>.</w:t>
      </w:r>
    </w:p>
    <w:p>
      <w:pPr>
        <w:pStyle w:val="Heading4"/>
        <w:numPr>
          <w:ilvl w:val="3"/>
          <w:numId w:val="1"/>
        </w:numPr>
        <w:rPr/>
      </w:pPr>
      <w:bookmarkStart w:id="2887" w:name="__RefHeading___Toc3809407_1067777946"/>
      <w:bookmarkStart w:id="2888" w:name="_Toc1216"/>
      <w:bookmarkEnd w:id="2887"/>
      <w:r>
        <w:rPr/>
        <w:t>2</w:t>
      </w:r>
      <w:r>
        <w:rPr>
          <w:rtl w:val="true"/>
        </w:rPr>
        <w:t xml:space="preserve">. </w:t>
      </w:r>
      <w:r>
        <w:rPr>
          <w:rtl w:val="true"/>
        </w:rPr>
        <w:t>صيغۀ نذر</w:t>
      </w:r>
      <w:bookmarkEnd w:id="2888"/>
    </w:p>
    <w:p>
      <w:pPr>
        <w:pStyle w:val="Heading5"/>
        <w:numPr>
          <w:ilvl w:val="4"/>
          <w:numId w:val="1"/>
        </w:numPr>
        <w:rPr/>
      </w:pPr>
      <w:bookmarkStart w:id="2889" w:name="__RefHeading___Toc3809409_1067777946"/>
      <w:bookmarkStart w:id="2890" w:name="_Toc1217"/>
      <w:bookmarkEnd w:id="2889"/>
      <w:r>
        <w:rPr>
          <w:rtl w:val="true"/>
        </w:rPr>
        <w:t>نحوۀ تعليق در نذر</w:t>
      </w:r>
      <w:bookmarkEnd w:id="2890"/>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صيغۀ نذر اگر معلّق است بر شرطى، و مقصود به نذر، شكر بر نعمت يا بر دفع بلاء يا زجر از مكروه كه در حيّز شرط واقع شده اند باشد، منعقد مى شود؛ و اگر تعليق بر </w:t>
      </w:r>
      <w:bookmarkStart w:id="2891" w:name="pg10265_90256"/>
    </w:p>
    <w:p>
      <w:pPr>
        <w:pStyle w:val="BookText"/>
        <w:rPr/>
      </w:pPr>
      <w:bookmarkEnd w:id="2891"/>
      <w:r>
        <w:rPr>
          <w:rFonts w:ascii="Amiri" w:hAnsi="Amiri" w:eastAsia="Amiri" w:cs="Amiri"/>
          <w:color w:val="111111"/>
          <w:sz w:val="28"/>
          <w:sz w:val="28"/>
          <w:szCs w:val="28"/>
          <w:rtl w:val="true"/>
          <w:lang w:bidi="ar-SA"/>
        </w:rPr>
        <w:t>واقع حال نذر كرد و نمى دانست وقوع آن را، منعقد نمى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 معلّق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نذر تبرّعى بدون شرط است و شكر، بر او صادق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انعقاد آن خلاف است، و انعقاد كه منسوب به مشهور است خالى از وجه نيست</w:t>
      </w:r>
      <w:r>
        <w:rPr>
          <w:rFonts w:eastAsia="Amiri" w:cs="Amiri" w:ascii="Amiri" w:hAnsi="Amiri"/>
          <w:color w:val="111111"/>
          <w:sz w:val="28"/>
          <w:szCs w:val="28"/>
          <w:rtl w:val="true"/>
          <w:lang w:bidi="ar-SA"/>
        </w:rPr>
        <w:t>.</w:t>
      </w:r>
    </w:p>
    <w:p>
      <w:pPr>
        <w:pStyle w:val="Heading5"/>
        <w:numPr>
          <w:ilvl w:val="4"/>
          <w:numId w:val="1"/>
        </w:numPr>
        <w:rPr/>
      </w:pPr>
      <w:bookmarkStart w:id="2892" w:name="__RefHeading___Toc3809411_1067777946"/>
      <w:bookmarkStart w:id="2893" w:name="_Toc1218"/>
      <w:bookmarkEnd w:id="2892"/>
      <w:r>
        <w:rPr>
          <w:rtl w:val="true"/>
        </w:rPr>
        <w:t>اعتبار قصد قربت و كيفيّت صيغه</w:t>
      </w:r>
      <w:bookmarkEnd w:id="2893"/>
    </w:p>
    <w:p>
      <w:pPr>
        <w:pStyle w:val="BookText"/>
        <w:rPr/>
      </w:pPr>
      <w:r>
        <w:rPr>
          <w:rFonts w:ascii="IRNazanin" w:hAnsi="IRNazanin" w:eastAsia="IRNazanin"/>
          <w:color w:val="111111"/>
          <w:sz w:val="28"/>
          <w:sz w:val="28"/>
          <w:szCs w:val="28"/>
          <w:rtl w:val="true"/>
          <w:lang w:bidi="fa-IR"/>
        </w:rPr>
        <w:t xml:space="preserve">معتبر است در صحّت 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سائر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اظهر كفايت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امور راجحۀ 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قربى بودن نذر است، زيرا التزام در رجحان و عدم، تابع ملتزم به است، و اظهر اين است كه ملتزم له اگر خداى تعالى باشد بايد ملتزم به راجح شرعى باشد نه متساوى الطرفين، پس عباديّت التزام و ملتزم به از تعلّق التزام به خداى تعالى به تعلّق صله منفك نمى شود؛ و آن منافات با كراهيّت نذر ندارد، زيرا تسبيب به ايجاب غير واجب كراهت دارد نه اصل التزام، و خالى از كراهت، التزام قصدى غير انشائى است، و انشا، اقلّ ثواباً از تسبيب به راجح، به مجرّد قصد است</w:t>
      </w:r>
      <w:r>
        <w:rPr>
          <w:rFonts w:eastAsia="IRNazanin" w:cs="IRNazanin"/>
          <w:color w:val="111111"/>
          <w:sz w:val="28"/>
          <w:szCs w:val="28"/>
          <w:rtl w:val="true"/>
          <w:lang w:bidi="fa-IR"/>
        </w:rPr>
        <w:t>.</w:t>
      </w:r>
    </w:p>
    <w:p>
      <w:pPr>
        <w:pStyle w:val="Heading5"/>
        <w:numPr>
          <w:ilvl w:val="4"/>
          <w:numId w:val="1"/>
        </w:numPr>
        <w:rPr/>
      </w:pPr>
      <w:bookmarkStart w:id="2894" w:name="__RefHeading___Toc3809413_1067777946"/>
      <w:bookmarkStart w:id="2895" w:name="_Toc1219"/>
      <w:bookmarkEnd w:id="2894"/>
      <w:r>
        <w:rPr>
          <w:rtl w:val="true"/>
        </w:rPr>
        <w:t>كفايت ذكر دالّ بر ذات مقدّسه و</w:t>
      </w:r>
      <w:r>
        <w:rPr>
          <w:rtl w:val="true"/>
        </w:rPr>
        <w:t>...</w:t>
      </w:r>
      <w:bookmarkEnd w:id="2895"/>
    </w:p>
    <w:p>
      <w:pPr>
        <w:pStyle w:val="BookText"/>
        <w:rPr/>
      </w:pPr>
      <w:r>
        <w:rPr>
          <w:rFonts w:ascii="IRNazanin" w:hAnsi="IRNazanin" w:eastAsia="IRNazanin"/>
          <w:color w:val="111111"/>
          <w:sz w:val="28"/>
          <w:sz w:val="28"/>
          <w:szCs w:val="28"/>
          <w:rtl w:val="true"/>
          <w:lang w:bidi="fa-IR"/>
        </w:rPr>
        <w:t xml:space="preserve">و اظهر كفايت ذكر دالّ بر ذات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غير لفظ جلاله از سائر اسماى مختصه بلكه دالّۀ بر ذات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انعقاد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كفايت مرادف در سائر لغات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غير متمكّن از عربيّت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كفايت اشاره از غير متمكّنِ از نطق 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شرط در نذر مشروط بايد مناسب باشد با شكر يا زجر كه مقصود به 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bookmarkStart w:id="2896" w:name="pg10265_90257"/>
    </w:p>
    <w:p>
      <w:pPr>
        <w:pStyle w:val="Heading3"/>
        <w:numPr>
          <w:ilvl w:val="2"/>
          <w:numId w:val="1"/>
        </w:numPr>
        <w:rPr/>
      </w:pPr>
      <w:bookmarkStart w:id="2897" w:name="__RefHeading___Toc3809415_1067777946"/>
      <w:bookmarkStart w:id="2898" w:name="_Toc1220"/>
      <w:bookmarkEnd w:id="2896"/>
      <w:bookmarkEnd w:id="2897"/>
      <w:r>
        <w:rPr>
          <w:rtl w:val="true"/>
        </w:rPr>
        <w:t>فصل دوّم متعلَّق نذر</w:t>
      </w:r>
      <w:bookmarkEnd w:id="2898"/>
    </w:p>
    <w:p>
      <w:pPr>
        <w:pStyle w:val="Heading4"/>
        <w:numPr>
          <w:ilvl w:val="3"/>
          <w:numId w:val="1"/>
        </w:numPr>
        <w:rPr/>
      </w:pPr>
      <w:bookmarkStart w:id="2899" w:name="__RefHeading___Toc3809417_1067777946"/>
      <w:bookmarkStart w:id="2900" w:name="_Toc1221"/>
      <w:bookmarkEnd w:id="2899"/>
      <w:r>
        <w:rPr>
          <w:rtl w:val="true"/>
        </w:rPr>
        <w:t>اعتبار رجحان در متعلّق نذر</w:t>
      </w:r>
      <w:bookmarkEnd w:id="2900"/>
    </w:p>
    <w:p>
      <w:pPr>
        <w:pStyle w:val="BookText"/>
        <w:rPr/>
      </w:pPr>
      <w:r>
        <w:rPr>
          <w:rFonts w:ascii="IRNazanin" w:hAnsi="IRNazanin" w:eastAsia="IRNazanin"/>
          <w:color w:val="111111"/>
          <w:sz w:val="28"/>
          <w:sz w:val="28"/>
          <w:szCs w:val="28"/>
          <w:rtl w:val="true"/>
          <w:lang w:bidi="fa-IR"/>
        </w:rPr>
        <w:t>و اما متعلّق نذر، پس بايد واجب يا مندوب باشد كه طاعت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مباح خلاف است و مشهور، اعتبارِ رجحان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اقرب اعتبار رجحان يا تعنون به عنوان راجح شرعى است، يا آنكه منذور از مصاديق راجح شرعى باشد اگر چه مشخصاتش رجحان نداشته باشد؛ و عدول به افضل از مشخصات، اظهر جواز آن است، به واسطۀ الغاى خصوصيّت در آنچه وارد است در يمين و به واسطۀ عدم اطلاق قصد ناذر، پس حنث نيست در افضل، نه در مغاير اگر چه افضل باشد مثل صلات با صوم، و عدول جائز، حنث نيست و كفّاره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متعلّق نذر كه مستتبع تكليف است بايد مقدور ناذر باشد؛ و غير مقدور عقلى و عادى، نذر آن منعقد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نذر كرد حج يا صوم هزار سال را، اظهر ارادۀ مدت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زائد بر اين مقدار ممكن نشود؛ پس هرچه عمر او بود و قادر بود، وفا مى نمايد، نه آنكه اصلاً باطل باشد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منذور، مقدور در حال نذر بود پس عجز حاصل شد در حال اداء، پس با وحدت و توقيت و فوت متعلّق، نذر رأساً منحل مى شود، و اگر تأخير انداخته با ظن عجز و تمكّن از اداء در بعض وقت، كفّاره بر او است؛ و با تعدّد، عجز از بعضى </w:t>
      </w:r>
      <w:bookmarkStart w:id="2901" w:name="pg10265_90258"/>
    </w:p>
    <w:p>
      <w:pPr>
        <w:pStyle w:val="BookText"/>
        <w:rPr/>
      </w:pPr>
      <w:bookmarkEnd w:id="2901"/>
      <w:r>
        <w:rPr>
          <w:rFonts w:ascii="IRNazanin" w:hAnsi="IRNazanin" w:eastAsia="IRNazanin"/>
          <w:color w:val="111111"/>
          <w:sz w:val="28"/>
          <w:sz w:val="28"/>
          <w:szCs w:val="28"/>
          <w:rtl w:val="true"/>
          <w:lang w:bidi="fa-IR"/>
        </w:rPr>
        <w:t>موجب انحلال بقيه نمى شود، و هم چنين كفّاره در خصوص آنچه فوت شده با تفويت او ثابت است</w:t>
      </w:r>
      <w:r>
        <w:rPr>
          <w:rFonts w:eastAsia="IRNazanin" w:cs="IRNazanin"/>
          <w:color w:val="111111"/>
          <w:sz w:val="28"/>
          <w:szCs w:val="28"/>
          <w:rtl w:val="true"/>
          <w:lang w:bidi="fa-IR"/>
        </w:rPr>
        <w:t>.</w:t>
      </w:r>
    </w:p>
    <w:p>
      <w:pPr>
        <w:pStyle w:val="Heading4"/>
        <w:numPr>
          <w:ilvl w:val="3"/>
          <w:numId w:val="1"/>
        </w:numPr>
        <w:rPr/>
      </w:pPr>
      <w:bookmarkStart w:id="2902" w:name="__RefHeading___Toc3809419_1067777946"/>
      <w:bookmarkStart w:id="2903" w:name="_Toc1222"/>
      <w:bookmarkEnd w:id="2902"/>
      <w:r>
        <w:rPr/>
        <w:t>1</w:t>
      </w:r>
      <w:r>
        <w:rPr>
          <w:rtl w:val="true"/>
        </w:rPr>
        <w:t xml:space="preserve">. </w:t>
      </w:r>
      <w:r>
        <w:rPr>
          <w:rtl w:val="true"/>
        </w:rPr>
        <w:t>مسائل نذر حجّ‌</w:t>
      </w:r>
      <w:bookmarkEnd w:id="2903"/>
    </w:p>
    <w:p>
      <w:pPr>
        <w:pStyle w:val="Heading5"/>
        <w:numPr>
          <w:ilvl w:val="4"/>
          <w:numId w:val="1"/>
        </w:numPr>
        <w:rPr/>
      </w:pPr>
      <w:bookmarkStart w:id="2904" w:name="__RefHeading___Toc3809421_1067777946"/>
      <w:bookmarkStart w:id="2905" w:name="_Toc1223"/>
      <w:bookmarkEnd w:id="2904"/>
      <w:r>
        <w:rPr>
          <w:rtl w:val="true"/>
        </w:rPr>
        <w:t>نذر حج يا زيارت پياده</w:t>
      </w:r>
      <w:bookmarkEnd w:id="2905"/>
    </w:p>
    <w:p>
      <w:pPr>
        <w:pStyle w:val="BookText"/>
        <w:rPr/>
      </w:pPr>
      <w:r>
        <w:rPr>
          <w:rFonts w:ascii="IRNazanin" w:hAnsi="IRNazanin" w:eastAsia="IRNazanin"/>
          <w:color w:val="111111"/>
          <w:sz w:val="28"/>
          <w:sz w:val="28"/>
          <w:szCs w:val="28"/>
          <w:rtl w:val="true"/>
          <w:lang w:bidi="fa-IR"/>
        </w:rPr>
        <w:t>اگر نذر كرد ماشياً حج نمايد لازم مى شود، و افضليّت ركوب احياناً، مانع از انعقاد نذر نمى شود، و رجحان فى نفسه كافى در صحّت آن است به نحوى كه اشاره به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وفاى به نذر مذكور، مشى از ميقات تا آخر حج، مگر قرينه يا قصدى معيّن مشى از بلد نذر يا ناذر يا اقرب آنها به ميقات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مثل نذر زيارت 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ماشياً كه محل متعيّنى مناسب آن نيست، اظهر مشى از بلد نذر يا ناذر است مگر با قرينه يا قصد تعيين ديگر، و تعيين يكى از دو بلد در موارد مختلف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آخرش در غير صورت تعيّن به قرينه يا قصد، خلاف است، مشهور طواف نساء را آخر قرار داده اند؛ پس اگر بر او است عود براى رمى جمرات، ركوب در عود مانعى ندارد بر حسب اين قول؛ و مقتضاى روايت صحيحه، رمى جمرات است اگر چه بعد از تحلّل واقع شود، و زيارت بيت براى طواف وداع در حال ركوب مانعى ندارد؛ بنا بر اين براى عود به منىٰ براى رمى سائر جمرات، نبايد ركوب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دوم احوط است</w:t>
      </w:r>
      <w:r>
        <w:rPr>
          <w:rFonts w:eastAsia="IRNazanin" w:cs="IRNazanin"/>
          <w:color w:val="111111"/>
          <w:sz w:val="28"/>
          <w:szCs w:val="28"/>
          <w:rtl w:val="true"/>
          <w:lang w:bidi="fa-IR"/>
        </w:rPr>
        <w:t>.</w:t>
      </w:r>
    </w:p>
    <w:p>
      <w:pPr>
        <w:pStyle w:val="Heading5"/>
        <w:numPr>
          <w:ilvl w:val="4"/>
          <w:numId w:val="1"/>
        </w:numPr>
        <w:rPr/>
      </w:pPr>
      <w:bookmarkStart w:id="2906" w:name="__RefHeading___Toc3809423_1067777946"/>
      <w:bookmarkStart w:id="2907" w:name="_Toc1224"/>
      <w:bookmarkEnd w:id="2906"/>
      <w:r>
        <w:rPr>
          <w:rtl w:val="true"/>
        </w:rPr>
        <w:t>فوت حج منذور و قضاى آن</w:t>
      </w:r>
      <w:bookmarkEnd w:id="2907"/>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فوت شد از او منذور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حج در حال مشى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فوت حج در آن سال، قضاى اين واجب، لازم است، و در اتمام فاسد يا عمره اى كه براى تحلّل به جا مى آورد لازم نيست مشى</w:t>
      </w:r>
      <w:r>
        <w:rPr>
          <w:rFonts w:eastAsia="IRNazanin" w:cs="IRNazanin"/>
          <w:color w:val="111111"/>
          <w:sz w:val="28"/>
          <w:szCs w:val="28"/>
          <w:rtl w:val="true"/>
          <w:lang w:bidi="fa-IR"/>
        </w:rPr>
        <w:t xml:space="preserve">. </w:t>
      </w:r>
      <w:bookmarkStart w:id="2908" w:name="pg10265_90259"/>
    </w:p>
    <w:p>
      <w:pPr>
        <w:pStyle w:val="BookText"/>
        <w:rPr/>
      </w:pPr>
      <w:bookmarkEnd w:id="2908"/>
      <w:r>
        <w:rPr>
          <w:rFonts w:ascii="IRNazanin" w:hAnsi="IRNazanin" w:eastAsia="IRNazanin"/>
          <w:color w:val="111111"/>
          <w:sz w:val="28"/>
          <w:sz w:val="28"/>
          <w:szCs w:val="28"/>
          <w:rtl w:val="true"/>
          <w:lang w:bidi="fa-IR"/>
        </w:rPr>
        <w:t>و اگر نذر مطلق بود و در سالى متعين نبود، پس حج كرد با قدرت بر مشى بدون مشى، لازم است اعادۀ حج در حال مشى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تعيين سال و مخالفت با قدرت، احوط قضاى آن است در سال ديگر و اعادۀ حج است در حال مشى؛ و كلام در صحّت آنچه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نذر موالات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حج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لزوم كفّاره است در موارد مخالفت عمديه با تعيين سال و قدرت اگر چه إعادۀ حجّ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ركوب در بعض كرد با قدرت و اعاده نمود، مشى در جميع مى نمايد، نه در خصوص مقدار ركوب اول اگر قائل به صحّت اول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عاجز شد از حج منذور در حال مشى، ساقط مى شود و اكتفاى به حج در حال ركوب مى نمايد؛ و وجوب سياق بدنه و استحباب آن در كتاب حج مذكور است</w:t>
      </w:r>
      <w:r>
        <w:rPr>
          <w:rFonts w:eastAsia="IRNazanin" w:cs="IRNazanin"/>
          <w:color w:val="111111"/>
          <w:sz w:val="28"/>
          <w:szCs w:val="28"/>
          <w:rtl w:val="true"/>
          <w:lang w:bidi="fa-IR"/>
        </w:rPr>
        <w:t>.</w:t>
      </w:r>
    </w:p>
    <w:p>
      <w:pPr>
        <w:pStyle w:val="Heading5"/>
        <w:numPr>
          <w:ilvl w:val="4"/>
          <w:numId w:val="1"/>
        </w:numPr>
        <w:rPr/>
      </w:pPr>
      <w:bookmarkStart w:id="2909" w:name="__RefHeading___Toc3809425_1067777946"/>
      <w:bookmarkStart w:id="2910" w:name="_Toc1225"/>
      <w:bookmarkEnd w:id="2909"/>
      <w:r>
        <w:rPr>
          <w:rtl w:val="true"/>
        </w:rPr>
        <w:t>نذر حج به صورت سواره</w:t>
      </w:r>
      <w:bookmarkEnd w:id="2910"/>
    </w:p>
    <w:p>
      <w:pPr>
        <w:pStyle w:val="BookText"/>
        <w:rPr/>
      </w:pPr>
      <w:r>
        <w:rPr>
          <w:rFonts w:ascii="IRNazanin" w:hAnsi="IRNazanin" w:eastAsia="IRNazanin"/>
          <w:color w:val="111111"/>
          <w:sz w:val="28"/>
          <w:sz w:val="28"/>
          <w:szCs w:val="28"/>
          <w:rtl w:val="true"/>
          <w:lang w:bidi="fa-IR"/>
        </w:rPr>
        <w:t xml:space="preserve">اگر نذر كرد حج در حال ركوب را، حنث حاصل مى شود به مشى در حال حج، و دور نيست با تبدّل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 حادث شد افضليّت مشى در حال حج به سبب عوارضى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حنث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وجوب وقوف است بر كسى كه ناچار از ركوب كشتى است در حج با آنكه نذر حج در حال مشى كرده بوده اگر چه اظهر عدم وجوب است؛ و اگر متمكّن از مشى در بعض بشود، اظهر وجوب همان قدر از مشى در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تمام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طواف نساء يا رمى جمرات به نحوى 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مشى ساقط است از كسى كه نذر مشى در حج كرده بوده است</w:t>
      </w:r>
      <w:r>
        <w:rPr>
          <w:rFonts w:eastAsia="IRNazanin" w:cs="IRNazanin"/>
          <w:color w:val="111111"/>
          <w:sz w:val="28"/>
          <w:szCs w:val="28"/>
          <w:rtl w:val="true"/>
          <w:lang w:bidi="fa-IR"/>
        </w:rPr>
        <w:t>.</w:t>
      </w:r>
    </w:p>
    <w:p>
      <w:pPr>
        <w:pStyle w:val="Heading5"/>
        <w:numPr>
          <w:ilvl w:val="4"/>
          <w:numId w:val="1"/>
        </w:numPr>
        <w:rPr/>
      </w:pPr>
      <w:bookmarkStart w:id="2911" w:name="__RefHeading___Toc3809427_1067777946"/>
      <w:bookmarkStart w:id="2912" w:name="_Toc1226"/>
      <w:bookmarkEnd w:id="2911"/>
      <w:r>
        <w:rPr>
          <w:rtl w:val="true"/>
        </w:rPr>
        <w:t>نذر راه رفتن به سوى بيت اللّٰه الحرام</w:t>
      </w:r>
      <w:bookmarkEnd w:id="2912"/>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كسى كه نذر كند مشى به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اللّٰه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منصرف و متعيّن در خانه خداى </w:t>
      </w:r>
      <w:bookmarkStart w:id="2913" w:name="pg10265_90260"/>
    </w:p>
    <w:p>
      <w:pPr>
        <w:pStyle w:val="BookText"/>
        <w:rPr/>
      </w:pPr>
      <w:bookmarkEnd w:id="2913"/>
      <w:r>
        <w:rPr>
          <w:rFonts w:ascii="Amiri" w:hAnsi="Amiri" w:eastAsia="Amiri" w:cs="Amiri"/>
          <w:color w:val="111111"/>
          <w:sz w:val="28"/>
          <w:sz w:val="28"/>
          <w:szCs w:val="28"/>
          <w:rtl w:val="true"/>
          <w:lang w:bidi="ar-SA"/>
        </w:rPr>
        <w:t xml:space="preserve">تعالى كه معروف در مكه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قرينه و قصدى، اظهر كفايت مشى به سوى هر مسجدى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دخول بعيد از ميقات به مسجد حرام، موقوف بر احرام از ميقات است براى حج يا عمره، پس مقدمۀ واجبه مى شود احرام، مگر در حق كسانى كه مستثنى از اين تكليف هستند؛ و اگر مخالفت تكليف شد و دخول مسجد حرام بدون احرام كرد، در تحقّق حنث تأمّل است، و به مجرد دخول، وفا نموده است اگر چه نماز يا طواف به جا نياورده است</w:t>
      </w:r>
      <w:r>
        <w:rPr>
          <w:rFonts w:eastAsia="IRNazanin" w:cs="IRNazanin"/>
          <w:color w:val="111111"/>
          <w:sz w:val="28"/>
          <w:szCs w:val="28"/>
          <w:rtl w:val="true"/>
          <w:lang w:bidi="fa-IR"/>
        </w:rPr>
        <w:t>.</w:t>
      </w:r>
    </w:p>
    <w:p>
      <w:pPr>
        <w:pStyle w:val="Heading5"/>
        <w:numPr>
          <w:ilvl w:val="4"/>
          <w:numId w:val="1"/>
        </w:numPr>
        <w:rPr/>
      </w:pPr>
      <w:bookmarkStart w:id="2914" w:name="__RefHeading___Toc3809429_1067777946"/>
      <w:bookmarkStart w:id="2915" w:name="_Toc1227"/>
      <w:bookmarkEnd w:id="2914"/>
      <w:r>
        <w:rPr>
          <w:rtl w:val="true"/>
        </w:rPr>
        <w:t>نذر مشى لا حاجّاً و لا معتمراً</w:t>
      </w:r>
      <w:bookmarkEnd w:id="2915"/>
    </w:p>
    <w:p>
      <w:pPr>
        <w:pStyle w:val="BookText"/>
        <w:rPr/>
      </w:pPr>
      <w:r>
        <w:rPr>
          <w:rFonts w:ascii="IRNazanin" w:hAnsi="IRNazanin" w:eastAsia="IRNazanin"/>
          <w:color w:val="111111"/>
          <w:sz w:val="28"/>
          <w:sz w:val="28"/>
          <w:szCs w:val="28"/>
          <w:rtl w:val="true"/>
          <w:lang w:bidi="fa-IR"/>
        </w:rPr>
        <w:t>اگر نذر كرد مشى به سوى بيت اللّٰه حرام لٰا حاجّاً أو معتمراً، در واقع، انعقاد موقوف بر تعدّد قصد است كه لازم آن لغويت زياده است؛ و در تقدير انعقاد، لازم است احرام به واسطۀ تكليف داخل نه به واسطۀ نذر؛ و اظهر تقيد مقصود است از عبارت، پس منعقد نمى شود غير طاعت منذوره</w:t>
      </w:r>
      <w:r>
        <w:rPr>
          <w:rFonts w:eastAsia="IRNazanin" w:cs="IRNazanin"/>
          <w:color w:val="111111"/>
          <w:sz w:val="28"/>
          <w:szCs w:val="28"/>
          <w:rtl w:val="true"/>
          <w:lang w:bidi="fa-IR"/>
        </w:rPr>
        <w:t>.</w:t>
      </w:r>
    </w:p>
    <w:p>
      <w:pPr>
        <w:pStyle w:val="Heading5"/>
        <w:numPr>
          <w:ilvl w:val="4"/>
          <w:numId w:val="1"/>
        </w:numPr>
        <w:rPr/>
      </w:pPr>
      <w:bookmarkStart w:id="2916" w:name="__RefHeading___Toc3809431_1067777946"/>
      <w:bookmarkStart w:id="2917" w:name="_Toc1228"/>
      <w:bookmarkEnd w:id="2916"/>
      <w:r>
        <w:rPr>
          <w:rtl w:val="true"/>
        </w:rPr>
        <w:t>نذر مشى بدون قرينه يا قصد موضع</w:t>
      </w:r>
      <w:bookmarkEnd w:id="2917"/>
    </w:p>
    <w:p>
      <w:pPr>
        <w:pStyle w:val="BookText"/>
        <w:rPr/>
      </w:pPr>
      <w:r>
        <w:rPr>
          <w:rFonts w:ascii="Amiri" w:hAnsi="Amiri" w:eastAsia="Amiri" w:cs="Amiri"/>
          <w:color w:val="111111"/>
          <w:sz w:val="28"/>
          <w:sz w:val="28"/>
          <w:szCs w:val="28"/>
          <w:rtl w:val="true"/>
          <w:lang w:bidi="ar-SA"/>
        </w:rPr>
        <w:t xml:space="preserve">و نذر مشى، بدون قرينه يا قصد موضعى كه مشى به سوى آن عبادت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مشى براى عيادت مريض و نحو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منعقد نمى شود</w:t>
      </w:r>
      <w:r>
        <w:rPr>
          <w:rFonts w:eastAsia="Amiri" w:cs="Amiri" w:ascii="Amiri" w:hAnsi="Amiri"/>
          <w:color w:val="111111"/>
          <w:sz w:val="28"/>
          <w:szCs w:val="28"/>
          <w:rtl w:val="true"/>
          <w:lang w:bidi="ar-SA"/>
        </w:rPr>
        <w:t>.</w:t>
      </w:r>
    </w:p>
    <w:p>
      <w:pPr>
        <w:pStyle w:val="Heading5"/>
        <w:numPr>
          <w:ilvl w:val="4"/>
          <w:numId w:val="1"/>
        </w:numPr>
        <w:rPr/>
      </w:pPr>
      <w:bookmarkStart w:id="2918" w:name="__RefHeading___Toc3809433_1067777946"/>
      <w:bookmarkStart w:id="2919" w:name="_Toc1229"/>
      <w:bookmarkEnd w:id="2918"/>
      <w:r>
        <w:rPr>
          <w:rtl w:val="true"/>
        </w:rPr>
        <w:t>نذر احجاج ولد يا استنابه از او</w:t>
      </w:r>
      <w:bookmarkEnd w:id="2919"/>
    </w:p>
    <w:p>
      <w:pPr>
        <w:pStyle w:val="BookText"/>
        <w:rPr/>
      </w:pPr>
      <w:r>
        <w:rPr>
          <w:rFonts w:ascii="IRNazanin" w:hAnsi="IRNazanin" w:eastAsia="IRNazanin"/>
          <w:color w:val="111111"/>
          <w:sz w:val="28"/>
          <w:sz w:val="28"/>
          <w:szCs w:val="28"/>
          <w:rtl w:val="true"/>
          <w:lang w:bidi="fa-IR"/>
        </w:rPr>
        <w:t xml:space="preserve">اگر نذر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ولدى را مرزوق شد او را براى حج ببرد، يا از جانب او حج نمايد، پس وفات كرد ناذر، يكى از آن دو را از اصل تركۀ ميّت انجام مى دهند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احوط اختصاص اين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تمكّن والد از عمل منذور به نحوى كه در احجاج ولد يا از او معتبر است قبل از وفات؛ پس صورت ولادت بعد از وفات والد، داخل نيست بنا بر اظهر</w:t>
      </w:r>
      <w:r>
        <w:rPr>
          <w:rFonts w:eastAsia="IRNazanin" w:cs="IRNazanin"/>
          <w:color w:val="111111"/>
          <w:sz w:val="28"/>
          <w:szCs w:val="28"/>
          <w:rtl w:val="true"/>
          <w:lang w:bidi="fa-IR"/>
        </w:rPr>
        <w:t xml:space="preserve">. </w:t>
      </w:r>
      <w:bookmarkStart w:id="2920" w:name="pg10265_90261"/>
    </w:p>
    <w:p>
      <w:pPr>
        <w:pStyle w:val="BookText"/>
        <w:rPr/>
      </w:pPr>
      <w:bookmarkEnd w:id="2920"/>
      <w:r>
        <w:rPr>
          <w:rFonts w:ascii="IRNazanin" w:hAnsi="IRNazanin" w:eastAsia="IRNazanin"/>
          <w:color w:val="111111"/>
          <w:sz w:val="28"/>
          <w:sz w:val="28"/>
          <w:szCs w:val="28"/>
          <w:rtl w:val="true"/>
          <w:lang w:bidi="fa-IR"/>
        </w:rPr>
        <w:t>و اگر اختيار كرد استنابه را، نائب قصد حج از ولد مى كند اگر چه صغير باشد؛ و اگر ولد را فرستاد، پس اگر مميز بود خودش قصد مى كند، وگرنه به ترتيب حج طفل به جا آورده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تأخير افتاد تا وقت بلوغ ولد، پس اگر استنابه را اختيار كرد مجزى از حجة الاسلام نيست؛ و اگر اختيار كرد مباشرت ولد را مجزى است، مثل استطاعت بذليّه اگر چه بذل به سبب نذر،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والد قبل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منذور وفات كرد، وصىّ مخيّر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إخراج اقلّ از دو كيفيّت به حسب قيمت يا تحصيل رضاى همۀ ورثه در زائد از اجرت حج؛ و اگر ولد وفات كرد قبل از انجام يكى از دو امر، متعيّن مى شود استنابه از جانب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ولد وفات كرد بعد از تمكّن والد و عدم اتيان به احد امرين، متعيّن مى شود حج از جانب ولد؛ و در صورت وفات قبل از تمكّن والد از احد الامرين، اظهر فعليّت نذر است به تمكّن از استنابه</w:t>
      </w:r>
      <w:r>
        <w:rPr>
          <w:rFonts w:eastAsia="IRNazanin" w:cs="IRNazanin"/>
          <w:color w:val="111111"/>
          <w:sz w:val="28"/>
          <w:szCs w:val="28"/>
          <w:rtl w:val="true"/>
          <w:lang w:bidi="fa-IR"/>
        </w:rPr>
        <w:t>.</w:t>
      </w:r>
    </w:p>
    <w:p>
      <w:pPr>
        <w:pStyle w:val="Heading5"/>
        <w:numPr>
          <w:ilvl w:val="4"/>
          <w:numId w:val="1"/>
        </w:numPr>
        <w:rPr/>
      </w:pPr>
      <w:bookmarkStart w:id="2921" w:name="__RefHeading___Toc3809435_1067777946"/>
      <w:bookmarkStart w:id="2922" w:name="_Toc1230"/>
      <w:bookmarkEnd w:id="2921"/>
      <w:r>
        <w:rPr>
          <w:rtl w:val="true"/>
        </w:rPr>
        <w:t>عجز از يكى از دو شق منذور</w:t>
      </w:r>
      <w:bookmarkEnd w:id="2922"/>
    </w:p>
    <w:p>
      <w:pPr>
        <w:pStyle w:val="BookText"/>
        <w:rPr/>
      </w:pPr>
      <w:r>
        <w:rPr>
          <w:rFonts w:ascii="IRNazanin" w:hAnsi="IRNazanin" w:eastAsia="IRNazanin"/>
          <w:color w:val="111111"/>
          <w:sz w:val="28"/>
          <w:sz w:val="28"/>
          <w:szCs w:val="28"/>
          <w:rtl w:val="true"/>
          <w:lang w:bidi="fa-IR"/>
        </w:rPr>
        <w:t>و هم چنين در سائر 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متمكّن نشد مگر از يكى بعد از عجز از هر دو، اظهر فعليّتِ انعقاد و تكليف است با آنكه متعلّق بر احدهما بوده است، بلكه اقتضاى تخيير در ظرف تمكّن از هر دو است، نه مفهوم از نفس متعلّق نذر باشد به طورى كه اگر تخيير نبود مغاير منذور محقّق بود</w:t>
      </w:r>
      <w:r>
        <w:rPr>
          <w:rFonts w:eastAsia="IRNazanin" w:cs="IRNazanin"/>
          <w:color w:val="111111"/>
          <w:sz w:val="28"/>
          <w:szCs w:val="28"/>
          <w:rtl w:val="true"/>
          <w:lang w:bidi="fa-IR"/>
        </w:rPr>
        <w:t>.</w:t>
      </w:r>
    </w:p>
    <w:p>
      <w:pPr>
        <w:pStyle w:val="Heading5"/>
        <w:numPr>
          <w:ilvl w:val="4"/>
          <w:numId w:val="1"/>
        </w:numPr>
        <w:rPr/>
      </w:pPr>
      <w:bookmarkStart w:id="2923" w:name="__RefHeading___Toc3809437_1067777946"/>
      <w:bookmarkStart w:id="2924" w:name="_Toc1231"/>
      <w:bookmarkEnd w:id="2923"/>
      <w:r>
        <w:rPr>
          <w:rtl w:val="true"/>
        </w:rPr>
        <w:t>كسى نذر حج كند و مال نيابد و از غير، حج كند</w:t>
      </w:r>
      <w:bookmarkEnd w:id="2924"/>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نذر حج كرد و صاحب مال نشد و عاجز از منذور بود پس حج كرد از غير خودش، ثواب حج به او هم عائد است، و به اين معنى مجزى از نذر است نه به معناى ديگر بنا بر اظهر، مگر با تعميم در قصد</w:t>
      </w:r>
      <w:r>
        <w:rPr>
          <w:rFonts w:eastAsia="IRNazanin" w:cs="IRNazanin"/>
          <w:color w:val="111111"/>
          <w:sz w:val="28"/>
          <w:szCs w:val="28"/>
          <w:rtl w:val="true"/>
          <w:lang w:bidi="fa-IR"/>
        </w:rPr>
        <w:t xml:space="preserve">. </w:t>
      </w:r>
      <w:bookmarkStart w:id="2925" w:name="pg10265_90262"/>
    </w:p>
    <w:p>
      <w:pPr>
        <w:pStyle w:val="Heading4"/>
        <w:numPr>
          <w:ilvl w:val="3"/>
          <w:numId w:val="1"/>
        </w:numPr>
        <w:rPr/>
      </w:pPr>
      <w:bookmarkStart w:id="2926" w:name="__RefHeading___Toc3809439_1067777946"/>
      <w:bookmarkStart w:id="2927" w:name="_Toc1232"/>
      <w:bookmarkEnd w:id="2925"/>
      <w:bookmarkEnd w:id="2926"/>
      <w:r>
        <w:rPr/>
        <w:t>2</w:t>
      </w:r>
      <w:r>
        <w:rPr>
          <w:rtl w:val="true"/>
        </w:rPr>
        <w:t xml:space="preserve">. </w:t>
      </w:r>
      <w:r>
        <w:rPr>
          <w:rtl w:val="true"/>
        </w:rPr>
        <w:t>مسائل صوم منذور</w:t>
      </w:r>
      <w:bookmarkEnd w:id="2927"/>
    </w:p>
    <w:p>
      <w:pPr>
        <w:pStyle w:val="Heading5"/>
        <w:numPr>
          <w:ilvl w:val="4"/>
          <w:numId w:val="1"/>
        </w:numPr>
        <w:rPr/>
      </w:pPr>
      <w:bookmarkStart w:id="2928" w:name="__RefHeading___Toc3809441_1067777946"/>
      <w:bookmarkStart w:id="2929" w:name="_Toc1233"/>
      <w:bookmarkEnd w:id="2928"/>
      <w:r>
        <w:rPr>
          <w:rtl w:val="true"/>
        </w:rPr>
        <w:t>تتابع و تفريق در صوم منذور</w:t>
      </w:r>
      <w:bookmarkEnd w:id="2929"/>
    </w:p>
    <w:p>
      <w:pPr>
        <w:pStyle w:val="BookText"/>
        <w:rPr/>
      </w:pPr>
      <w:r>
        <w:rPr>
          <w:rFonts w:ascii="IRNazanin" w:hAnsi="IRNazanin" w:eastAsia="IRNazanin"/>
          <w:color w:val="111111"/>
          <w:sz w:val="28"/>
          <w:sz w:val="28"/>
          <w:szCs w:val="28"/>
          <w:rtl w:val="true"/>
          <w:lang w:bidi="fa-IR"/>
        </w:rPr>
        <w:t xml:space="preserve">اگر نذر كرد صوم چند روز معين را، مخير است در ايقاع آنها به نحو تتابع يا تفريق؛ و اگر مقيد كرد در نذر، آنها را به تتابع يا تفريق، لازم است رعايت كيفيّت اگر چه نفس كيفيّت، راجح نباشد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مرجوحيّت متبدل نشود، پس اگر تفريق كرد در صوم عشرة و به نحو تتابع به جا آورد، بايد اعاده نمايد به نحوى كه تفريق مقصود حاصل شود، اگر چه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فاصله اعاده نمايد و در تفريق، اعم از اين صورت، مقصود او در حال نذر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هرچه، به هر ترتيبى كه نذر كرده، مبادرت افضل است؛ و تأخير، تا زمان ظنّ به عجز با تأخير، جائز است</w:t>
      </w:r>
      <w:r>
        <w:rPr>
          <w:rFonts w:eastAsia="IRNazanin" w:cs="IRNazanin"/>
          <w:color w:val="111111"/>
          <w:sz w:val="28"/>
          <w:szCs w:val="28"/>
          <w:rtl w:val="true"/>
          <w:lang w:bidi="fa-IR"/>
        </w:rPr>
        <w:t>.</w:t>
      </w:r>
    </w:p>
    <w:p>
      <w:pPr>
        <w:pStyle w:val="Heading5"/>
        <w:numPr>
          <w:ilvl w:val="4"/>
          <w:numId w:val="1"/>
        </w:numPr>
        <w:rPr/>
      </w:pPr>
      <w:bookmarkStart w:id="2930" w:name="__RefHeading___Toc3809443_1067777946"/>
      <w:bookmarkStart w:id="2931" w:name="_Toc1234"/>
      <w:bookmarkEnd w:id="2930"/>
      <w:r>
        <w:rPr>
          <w:rtl w:val="true"/>
        </w:rPr>
        <w:t>عدم انعقاد نذر صوم ايام محرّمه و غير مقدور</w:t>
      </w:r>
      <w:bookmarkEnd w:id="2931"/>
    </w:p>
    <w:p>
      <w:pPr>
        <w:pStyle w:val="BookText"/>
        <w:rPr/>
      </w:pPr>
      <w:r>
        <w:rPr>
          <w:rFonts w:ascii="Amiri" w:hAnsi="Amiri" w:eastAsia="Amiri" w:cs="Amiri"/>
          <w:color w:val="111111"/>
          <w:sz w:val="28"/>
          <w:sz w:val="28"/>
          <w:szCs w:val="28"/>
          <w:rtl w:val="true"/>
          <w:lang w:bidi="ar-SA"/>
        </w:rPr>
        <w:t xml:space="preserve">و صوم ايام محرّمه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عيدين و ايام تشريق در منى و ايام حيض 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آنها محقّق نمى شود، و صوم مطلق نذر آن، به آنها وفا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نذر صوم غير مقدور، منعقد نمى شود مثل نذر صوم روز قدوم زيد، زيرا قدوم در شب، خلاف شرط است، و قدوم روز خلاف شرع است اگر قدوم در بعض روز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به صوم آن روز حاصل نمى شود؛ مگر آنكه در قصد، مطلق صوم مستحب در آن روز را كه ممكن باشد، الزام به نذر نمايد، و آن از غير مضطر مطلقاً يا قبل از زوال، ممكن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عالم بود به قدوم زيد در آخر جزء روز، عالم است به وجوب صوم ممكن آن روز، و مفروض، تمكّن از آن است، چون اتمام صوم از غير مضطر تا ما قبل آخر روز مستحب است و به نذر، واجب مى شود، و مى تواند قصد وجوب نمايد از فجر با علم مذكور به تحقّق شرط اگر چه متأخّر مى شود؛ و اگر به قصد استحباب، صائم بود و عالم نشد مگر در ما قبل آخر روز، واجب است اتمام نمايد، پس انعقاد نذر و تمكّن از وفاى در تقدير مذكور مانعى ندارد</w:t>
      </w:r>
      <w:r>
        <w:rPr>
          <w:rFonts w:eastAsia="IRNazanin" w:cs="IRNazanin"/>
          <w:color w:val="111111"/>
          <w:sz w:val="28"/>
          <w:szCs w:val="28"/>
          <w:rtl w:val="true"/>
          <w:lang w:bidi="fa-IR"/>
        </w:rPr>
        <w:t xml:space="preserve">. </w:t>
      </w:r>
      <w:bookmarkStart w:id="2932" w:name="pg10265_90263"/>
    </w:p>
    <w:p>
      <w:pPr>
        <w:pStyle w:val="Heading5"/>
        <w:numPr>
          <w:ilvl w:val="4"/>
          <w:numId w:val="1"/>
        </w:numPr>
        <w:rPr/>
      </w:pPr>
      <w:bookmarkStart w:id="2933" w:name="__RefHeading___Toc3809445_1067777946"/>
      <w:bookmarkStart w:id="2934" w:name="_Toc1235"/>
      <w:bookmarkEnd w:id="2932"/>
      <w:bookmarkEnd w:id="2933"/>
      <w:r>
        <w:rPr>
          <w:rtl w:val="true"/>
        </w:rPr>
        <w:t>دوام در صوم منذور</w:t>
      </w:r>
      <w:bookmarkEnd w:id="2934"/>
    </w:p>
    <w:p>
      <w:pPr>
        <w:pStyle w:val="BookText"/>
        <w:rPr/>
      </w:pP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بر من است صوم يوم قدوم زيد على الدوام، روز قدوم است حكمش واضح شد، و بعد از آن روز، هميشه واجب است روزه بگيرد به نحوى كه در نذر صوم دائم بدون اضافه مذكور مى شود</w:t>
      </w:r>
      <w:r>
        <w:rPr>
          <w:rFonts w:eastAsia="IRNazanin" w:cs="IRNazanin"/>
          <w:color w:val="111111"/>
          <w:sz w:val="28"/>
          <w:szCs w:val="28"/>
          <w:rtl w:val="true"/>
          <w:lang w:bidi="fa-IR"/>
        </w:rPr>
        <w:t>.</w:t>
      </w:r>
    </w:p>
    <w:p>
      <w:pPr>
        <w:pStyle w:val="Heading5"/>
        <w:numPr>
          <w:ilvl w:val="4"/>
          <w:numId w:val="1"/>
        </w:numPr>
        <w:rPr/>
      </w:pPr>
      <w:bookmarkStart w:id="2935" w:name="__RefHeading___Toc3809447_1067777946"/>
      <w:bookmarkStart w:id="2936" w:name="_Toc1236"/>
      <w:bookmarkEnd w:id="2935"/>
      <w:r>
        <w:rPr>
          <w:rtl w:val="true"/>
        </w:rPr>
        <w:t>تقارن صوم منذور با ماه مبارك رمضان</w:t>
      </w:r>
      <w:bookmarkEnd w:id="2936"/>
    </w:p>
    <w:p>
      <w:pPr>
        <w:pStyle w:val="BookText"/>
        <w:rPr/>
      </w:pPr>
      <w:r>
        <w:rPr>
          <w:rFonts w:ascii="IRNazanin" w:hAnsi="IRNazanin" w:eastAsia="IRNazanin"/>
          <w:color w:val="111111"/>
          <w:sz w:val="28"/>
          <w:sz w:val="28"/>
          <w:szCs w:val="28"/>
          <w:rtl w:val="true"/>
          <w:lang w:bidi="fa-IR"/>
        </w:rPr>
        <w:t>و اگر اتفاق بيفتد در رمضان كه اگر رمضان نبود به نذر واجب بود، پس اگر در قصد، استثنا نكند واجب بدون نذر را، دور نيست انعقاد، و به سبب مخالفت عمديّه كفارۀ خلف نذر هم افزوده مى شود، و تعدّد قضا به سبب تعدّد تكليف و سبب آن بى وجه نيست، اگر چه اگر به جا مى آورد، يكى كافى از دو واجب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اتفاق افتاد روز عيد، افطار، لازم، و عدم لزوم قضا به جهت ظهور استثنا، ظاهر است؛ لكن در صورت انحلال قصدى نذر به صوم و صوم يك روز از هفته يا صوم تا مدتى، دور نيست اضافۀ آنچه فوت شده است براى عذر، لازم باشد به عنوان نذر بلكه قضا هم در بعض موارد</w:t>
      </w:r>
      <w:r>
        <w:rPr>
          <w:rFonts w:eastAsia="IRNazanin" w:cs="IRNazanin"/>
          <w:color w:val="111111"/>
          <w:sz w:val="28"/>
          <w:szCs w:val="28"/>
          <w:rtl w:val="true"/>
          <w:lang w:bidi="fa-IR"/>
        </w:rPr>
        <w:t>.</w:t>
      </w:r>
    </w:p>
    <w:p>
      <w:pPr>
        <w:pStyle w:val="Heading5"/>
        <w:numPr>
          <w:ilvl w:val="4"/>
          <w:numId w:val="1"/>
        </w:numPr>
        <w:rPr/>
      </w:pPr>
      <w:bookmarkStart w:id="2937" w:name="__RefHeading___Toc3809449_1067777946"/>
      <w:bookmarkStart w:id="2938" w:name="_Toc1237"/>
      <w:bookmarkEnd w:id="2937"/>
      <w:r>
        <w:rPr>
          <w:rtl w:val="true"/>
        </w:rPr>
        <w:t>نذر صوم يك روز از هفته دائماً</w:t>
      </w:r>
      <w:bookmarkEnd w:id="2938"/>
    </w:p>
    <w:p>
      <w:pPr>
        <w:pStyle w:val="BookText"/>
        <w:rPr/>
      </w:pPr>
      <w:r>
        <w:rPr>
          <w:rFonts w:ascii="IRNazanin" w:hAnsi="IRNazanin" w:eastAsia="IRNazanin"/>
          <w:color w:val="111111"/>
          <w:sz w:val="28"/>
          <w:sz w:val="28"/>
          <w:szCs w:val="28"/>
          <w:rtl w:val="true"/>
          <w:lang w:bidi="fa-IR"/>
        </w:rPr>
        <w:t>در صورت نذر يك روز از هفته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كفارۀ مرتّبه بر چنين نذركننده واجب شد، اظهر لزوم صوم نذر است در هفته، و با آن تتابع قطع نمى شود تا به يك ماه و يك روز برسد؛ و بعد از اين عدد، تتابع ساقط مى شود؛ و قضاى ايام عذر به حكم اصل است بنا بر فوريّت وجوب آن</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صورت سبق وجوب كفّاره بر نذر، ممكن است گفته شود مستثنى است ايامى كه در زمان نذر و ما بعد آن براى كفّاره متعيّن است؛ و بعد از تحصيل تتابع، شروع مى شود عمل به نذر، نه آنكه به حسب قصد متساوى باشند و احاله بر عمل به تكليف شرعى در قصد نذر نمايد، و اوّلى اظهر است در نذر عالم ملتفت عامل به وظيفۀ شرعيّه</w:t>
      </w:r>
      <w:r>
        <w:rPr>
          <w:rFonts w:eastAsia="IRNazanin" w:cs="IRNazanin"/>
          <w:color w:val="111111"/>
          <w:sz w:val="28"/>
          <w:szCs w:val="28"/>
          <w:rtl w:val="true"/>
          <w:lang w:bidi="fa-IR"/>
        </w:rPr>
        <w:t xml:space="preserve">. </w:t>
      </w:r>
      <w:bookmarkStart w:id="2939" w:name="pg10265_90264"/>
    </w:p>
    <w:p>
      <w:pPr>
        <w:pStyle w:val="Heading5"/>
        <w:numPr>
          <w:ilvl w:val="4"/>
          <w:numId w:val="1"/>
        </w:numPr>
        <w:rPr/>
      </w:pPr>
      <w:bookmarkStart w:id="2940" w:name="__RefHeading___Toc3809451_1067777946"/>
      <w:bookmarkStart w:id="2941" w:name="_Toc1238"/>
      <w:bookmarkEnd w:id="2939"/>
      <w:bookmarkEnd w:id="2940"/>
      <w:r>
        <w:rPr>
          <w:rtl w:val="true"/>
        </w:rPr>
        <w:t>نذر مطلق صوم</w:t>
      </w:r>
      <w:bookmarkEnd w:id="2941"/>
    </w:p>
    <w:p>
      <w:pPr>
        <w:pStyle w:val="BookText"/>
        <w:rPr/>
      </w:pPr>
      <w:r>
        <w:rPr>
          <w:rFonts w:ascii="IRNazanin" w:hAnsi="IRNazanin" w:eastAsia="IRNazanin"/>
          <w:color w:val="111111"/>
          <w:sz w:val="28"/>
          <w:sz w:val="28"/>
          <w:szCs w:val="28"/>
          <w:rtl w:val="true"/>
          <w:lang w:bidi="fa-IR"/>
        </w:rPr>
        <w:t>اگر مطلق صوم را نذر كرد اقلّ آن يك روز است اگر چه به سبب اتمام باشد لكن احتياط غير متروك، در رعايت خصوصيّات فريضۀ فعليّه است اگر چه فريضۀ اصليّه نيست، پس به نيّت بعد از زوال اكتفا ننمايد، و هم چنين است احتياط در مناسبات اين فرع از آنچه ذكر شد سابقاً چنانچه گذشت، مگر قصد مقيّد به زياده نمايد؛ و هم چنين اگر نذر صدقه نمايد، اقلّ آنچه قابل تصدّق است مجزى است مگر با قصد زيادتى</w:t>
      </w:r>
      <w:r>
        <w:rPr>
          <w:rFonts w:eastAsia="IRNazanin" w:cs="IRNazanin"/>
          <w:color w:val="111111"/>
          <w:sz w:val="28"/>
          <w:szCs w:val="28"/>
          <w:rtl w:val="true"/>
          <w:lang w:bidi="fa-IR"/>
        </w:rPr>
        <w:t>.</w:t>
      </w:r>
    </w:p>
    <w:p>
      <w:pPr>
        <w:pStyle w:val="Heading5"/>
        <w:numPr>
          <w:ilvl w:val="4"/>
          <w:numId w:val="1"/>
        </w:numPr>
        <w:rPr/>
      </w:pPr>
      <w:bookmarkStart w:id="2942" w:name="__RefHeading___Toc3809453_1067777946"/>
      <w:bookmarkStart w:id="2943" w:name="_Toc1239"/>
      <w:bookmarkEnd w:id="2942"/>
      <w:r>
        <w:rPr>
          <w:rtl w:val="true"/>
        </w:rPr>
        <w:t>نذر صوم در بلد معين</w:t>
      </w:r>
      <w:bookmarkEnd w:id="2943"/>
    </w:p>
    <w:p>
      <w:pPr>
        <w:pStyle w:val="BookText"/>
        <w:rPr/>
      </w:pPr>
      <w:r>
        <w:rPr>
          <w:rFonts w:ascii="IRNazanin" w:hAnsi="IRNazanin" w:eastAsia="IRNazanin"/>
          <w:color w:val="111111"/>
          <w:sz w:val="28"/>
          <w:sz w:val="28"/>
          <w:szCs w:val="28"/>
          <w:rtl w:val="true"/>
          <w:lang w:bidi="fa-IR"/>
        </w:rPr>
        <w:t>و اگر نذر كرد صوم در بلد معيّنى را، منعقد مى شود و واجب الوفاء مى شود اين خصوصيّت، اگر چه رجحان نداشته باشد نفس خصوصيّت، بلكه كافى است رجحان منذور</w:t>
      </w:r>
      <w:r>
        <w:rPr>
          <w:rFonts w:eastAsia="IRNazanin" w:cs="IRNazanin"/>
          <w:color w:val="111111"/>
          <w:sz w:val="28"/>
          <w:szCs w:val="28"/>
          <w:rtl w:val="true"/>
          <w:lang w:bidi="fa-IR"/>
        </w:rPr>
        <w:t>.</w:t>
      </w:r>
    </w:p>
    <w:p>
      <w:pPr>
        <w:pStyle w:val="Heading5"/>
        <w:numPr>
          <w:ilvl w:val="4"/>
          <w:numId w:val="1"/>
        </w:numPr>
        <w:rPr/>
      </w:pPr>
      <w:bookmarkStart w:id="2944" w:name="__RefHeading___Toc3809455_1067777946"/>
      <w:bookmarkStart w:id="2945" w:name="_Toc1240"/>
      <w:bookmarkEnd w:id="2944"/>
      <w:r>
        <w:rPr>
          <w:rtl w:val="true"/>
        </w:rPr>
        <w:t>نذر صوم زمان يا حين</w:t>
      </w:r>
      <w:bookmarkEnd w:id="2945"/>
    </w:p>
    <w:p>
      <w:pPr>
        <w:pStyle w:val="BookText"/>
        <w:rPr/>
      </w:pPr>
      <w:r>
        <w:rPr>
          <w:rFonts w:ascii="IRNazanin" w:hAnsi="IRNazanin" w:eastAsia="IRNazanin"/>
          <w:color w:val="111111"/>
          <w:sz w:val="28"/>
          <w:sz w:val="28"/>
          <w:szCs w:val="28"/>
          <w:rtl w:val="true"/>
          <w:lang w:bidi="fa-IR"/>
        </w:rPr>
        <w:t xml:space="preserve">اگر نذر كرد 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تبعيّت از قصد مى نمايد، و احوط با عدم تعيّن قصد در خلاف عدم نقص در مقام وفاى 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شش ماه و 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 ماه است</w:t>
      </w:r>
      <w:r>
        <w:rPr>
          <w:rFonts w:eastAsia="IRNazanin" w:cs="IRNazanin"/>
          <w:color w:val="111111"/>
          <w:sz w:val="28"/>
          <w:szCs w:val="28"/>
          <w:rtl w:val="true"/>
          <w:lang w:bidi="fa-IR"/>
        </w:rPr>
        <w:t>.</w:t>
      </w:r>
    </w:p>
    <w:p>
      <w:pPr>
        <w:pStyle w:val="Heading4"/>
        <w:numPr>
          <w:ilvl w:val="3"/>
          <w:numId w:val="1"/>
        </w:numPr>
        <w:rPr/>
      </w:pPr>
      <w:bookmarkStart w:id="2946" w:name="__RefHeading___Toc3809457_1067777946"/>
      <w:bookmarkStart w:id="2947" w:name="_Toc1241"/>
      <w:bookmarkEnd w:id="2946"/>
      <w:r>
        <w:rPr/>
        <w:t>3</w:t>
      </w:r>
      <w:r>
        <w:rPr>
          <w:rtl w:val="true"/>
        </w:rPr>
        <w:t xml:space="preserve">. </w:t>
      </w:r>
      <w:r>
        <w:rPr>
          <w:rtl w:val="true"/>
        </w:rPr>
        <w:t>مسائل نذر نماز</w:t>
      </w:r>
      <w:bookmarkEnd w:id="2947"/>
    </w:p>
    <w:p>
      <w:pPr>
        <w:pStyle w:val="Heading5"/>
        <w:numPr>
          <w:ilvl w:val="4"/>
          <w:numId w:val="1"/>
        </w:numPr>
        <w:rPr/>
      </w:pPr>
      <w:bookmarkStart w:id="2948" w:name="__RefHeading___Toc3809459_1067777946"/>
      <w:bookmarkStart w:id="2949" w:name="_Toc1242"/>
      <w:bookmarkEnd w:id="2948"/>
      <w:r>
        <w:rPr>
          <w:rtl w:val="true"/>
        </w:rPr>
        <w:t>نذر مطلق نماز</w:t>
      </w:r>
      <w:bookmarkEnd w:id="2949"/>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نذر نمازى كرد اظهر كفايت هر يك از نافله مشروعه و فريضه است، مثل وتر در محلش و مغرب در محلش، و هم چنين نافله دو ركعتى مطلقاً، و اختصاص به اخير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خصوصيّات معتبرۀ در هر يك از نافله و فريضه به اين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جواز جلوس در نافله اختياراً و ترك سوره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احتياط عملاً به مشروع علىٰ أىّ تقدير نمايد، مگر آنكه در قصد، وجود يا عدمِ خصوصيّتى متعين باشد و آنچه متعيّن كرده مشروع فى نفسه لو لا النذر باشد</w:t>
      </w:r>
      <w:r>
        <w:rPr>
          <w:rFonts w:eastAsia="IRNazanin" w:cs="IRNazanin"/>
          <w:color w:val="111111"/>
          <w:sz w:val="28"/>
          <w:szCs w:val="28"/>
          <w:rtl w:val="true"/>
          <w:lang w:bidi="fa-IR"/>
        </w:rPr>
        <w:t xml:space="preserve">. </w:t>
      </w:r>
      <w:bookmarkStart w:id="2950" w:name="pg10265_90265"/>
    </w:p>
    <w:p>
      <w:pPr>
        <w:pStyle w:val="Heading5"/>
        <w:numPr>
          <w:ilvl w:val="4"/>
          <w:numId w:val="1"/>
        </w:numPr>
        <w:rPr/>
      </w:pPr>
      <w:bookmarkStart w:id="2951" w:name="__RefHeading___Toc3809461_1067777946"/>
      <w:bookmarkStart w:id="2952" w:name="_Toc1243"/>
      <w:bookmarkEnd w:id="2950"/>
      <w:bookmarkEnd w:id="2951"/>
      <w:r>
        <w:rPr>
          <w:rtl w:val="true"/>
        </w:rPr>
        <w:t>نذر قربت به عملى</w:t>
      </w:r>
      <w:bookmarkEnd w:id="2952"/>
    </w:p>
    <w:p>
      <w:pPr>
        <w:pStyle w:val="BookText"/>
        <w:rPr/>
      </w:pPr>
      <w:r>
        <w:rPr>
          <w:rFonts w:ascii="IRNazanin" w:hAnsi="IRNazanin" w:eastAsia="IRNazanin"/>
          <w:color w:val="111111"/>
          <w:sz w:val="28"/>
          <w:sz w:val="28"/>
          <w:szCs w:val="28"/>
          <w:rtl w:val="true"/>
          <w:lang w:bidi="fa-IR"/>
        </w:rPr>
        <w:t>اگر نذر كرد قربت به عملى را، مخيّر است در صوم و تصدّق به چيزى و دو ركعت نماز، و اقرب اجتزاء بر ركعت وتر در محل خودش است و هم چنين سه ركعت نماز مغرب؛ و در سائر مقامات، اظهر عدم اجزاء است، چنانچه منعقد نمى شود نذر بر خصوص اينها در سائر مقامات بنا بر اظهر از اعتبار مشروعيت طاعت فى نفسه و با قطع نظر از نذرِ ملزِم به آن</w:t>
      </w:r>
      <w:r>
        <w:rPr>
          <w:rFonts w:eastAsia="IRNazanin" w:cs="IRNazanin"/>
          <w:color w:val="111111"/>
          <w:sz w:val="28"/>
          <w:szCs w:val="28"/>
          <w:rtl w:val="true"/>
          <w:lang w:bidi="fa-IR"/>
        </w:rPr>
        <w:t>.</w:t>
      </w:r>
    </w:p>
    <w:p>
      <w:pPr>
        <w:pStyle w:val="Heading5"/>
        <w:numPr>
          <w:ilvl w:val="4"/>
          <w:numId w:val="1"/>
        </w:numPr>
        <w:rPr/>
      </w:pPr>
      <w:bookmarkStart w:id="2953" w:name="__RefHeading___Toc3809463_1067777946"/>
      <w:bookmarkStart w:id="2954" w:name="_Toc1244"/>
      <w:bookmarkEnd w:id="2953"/>
      <w:r>
        <w:rPr>
          <w:rtl w:val="true"/>
        </w:rPr>
        <w:t>نذر نماز در مكان معيّن</w:t>
      </w:r>
      <w:bookmarkEnd w:id="2954"/>
    </w:p>
    <w:p>
      <w:pPr>
        <w:pStyle w:val="BookText"/>
        <w:rPr/>
      </w:pPr>
      <w:r>
        <w:rPr>
          <w:rFonts w:ascii="IRNazanin" w:hAnsi="IRNazanin" w:eastAsia="IRNazanin"/>
          <w:color w:val="111111"/>
          <w:sz w:val="28"/>
          <w:sz w:val="28"/>
          <w:szCs w:val="28"/>
          <w:rtl w:val="true"/>
          <w:lang w:bidi="fa-IR"/>
        </w:rPr>
        <w:t>و اگر نذر نماز در مسجد معيّنى يا در موضعى از مسجد معيّن كرد، منعقد و لازم الوفاء مى شود مثل غير مسجد چنانچه گذشت؛ و عدول به مساوى و اعلىٰ با عدم اطلاق قصد تقييد در نذر، جائز است، وگرنه عدم جواز خالى از وجه نيست به جهت عدم اعتبار افضليت از ضدّ در انعقاد بلكه از نقيض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منعقد است نذر نماز يا طاعتى ديگر در وقت مخصوص، اگر چه در وقت ديگر، افضل باشد، به نحوى كه در مكان گذشت</w:t>
      </w:r>
      <w:r>
        <w:rPr>
          <w:rFonts w:eastAsia="IRNazanin" w:cs="IRNazanin"/>
          <w:color w:val="111111"/>
          <w:sz w:val="28"/>
          <w:szCs w:val="28"/>
          <w:rtl w:val="true"/>
          <w:lang w:bidi="fa-IR"/>
        </w:rPr>
        <w:t>.</w:t>
      </w:r>
    </w:p>
    <w:p>
      <w:pPr>
        <w:pStyle w:val="Heading5"/>
        <w:numPr>
          <w:ilvl w:val="4"/>
          <w:numId w:val="1"/>
        </w:numPr>
        <w:rPr/>
      </w:pPr>
      <w:bookmarkStart w:id="2955" w:name="__RefHeading___Toc3809465_1067777946"/>
      <w:bookmarkStart w:id="2956" w:name="_Toc1245"/>
      <w:bookmarkEnd w:id="2955"/>
      <w:r>
        <w:rPr>
          <w:rtl w:val="true"/>
        </w:rPr>
        <w:t>مسأله اى از نذر حجّ‌</w:t>
      </w:r>
      <w:bookmarkEnd w:id="2956"/>
    </w:p>
    <w:p>
      <w:pPr>
        <w:pStyle w:val="Heading6"/>
        <w:numPr>
          <w:ilvl w:val="5"/>
          <w:numId w:val="1"/>
        </w:numPr>
        <w:rPr/>
      </w:pPr>
      <w:bookmarkStart w:id="2957" w:name="__RefHeading___Toc3809467_1067777946"/>
      <w:bookmarkStart w:id="2958" w:name="_Toc1246"/>
      <w:bookmarkEnd w:id="2957"/>
      <w:r>
        <w:rPr>
          <w:rtl w:val="true"/>
        </w:rPr>
        <w:t>عجز از حج منذور ماشياً</w:t>
      </w:r>
      <w:bookmarkEnd w:id="2958"/>
    </w:p>
    <w:p>
      <w:pPr>
        <w:pStyle w:val="BookText"/>
        <w:rPr/>
      </w:pPr>
      <w:r>
        <w:rPr>
          <w:rFonts w:ascii="IRNazanin" w:hAnsi="IRNazanin" w:eastAsia="IRNazanin"/>
          <w:color w:val="111111"/>
          <w:sz w:val="28"/>
          <w:sz w:val="28"/>
          <w:szCs w:val="28"/>
          <w:rtl w:val="true"/>
          <w:lang w:bidi="fa-IR"/>
        </w:rPr>
        <w:t>اگر نذر كرد حج در حال مشى را، پس عاجز شد از مشى، به نحوى كه مأيوس از قدرت شد يا آنكه معيّن بود وقت منذور، اظهر عدم انحلال نذر، و وجوب حج در حال ركوب است، به واسطۀ ظهور انحلال در قصد ناذر و اينكه وحدت در تقييد، محتاج به تصريح يا معلوميت قصد آن است</w:t>
      </w:r>
      <w:r>
        <w:rPr>
          <w:rFonts w:eastAsia="IRNazanin" w:cs="IRNazanin"/>
          <w:color w:val="111111"/>
          <w:sz w:val="28"/>
          <w:szCs w:val="28"/>
          <w:rtl w:val="true"/>
          <w:lang w:bidi="fa-IR"/>
        </w:rPr>
        <w:t>.</w:t>
      </w:r>
    </w:p>
    <w:p>
      <w:pPr>
        <w:pStyle w:val="Heading4"/>
        <w:numPr>
          <w:ilvl w:val="3"/>
          <w:numId w:val="1"/>
        </w:numPr>
        <w:rPr/>
      </w:pPr>
      <w:bookmarkStart w:id="2959" w:name="__RefHeading___Toc3809469_1067777946"/>
      <w:bookmarkStart w:id="2960" w:name="_Toc1247"/>
      <w:bookmarkEnd w:id="2959"/>
      <w:r>
        <w:rPr/>
        <w:t>4</w:t>
      </w:r>
      <w:r>
        <w:rPr>
          <w:rtl w:val="true"/>
        </w:rPr>
        <w:t xml:space="preserve">. </w:t>
      </w:r>
      <w:r>
        <w:rPr>
          <w:rtl w:val="true"/>
        </w:rPr>
        <w:t>در مسائل نذر عتق</w:t>
      </w:r>
      <w:bookmarkEnd w:id="2960"/>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نذر عتق كافر معيّن و غير معيّن، جواز و لزوم وفاى به آن و حنث به مخالفت، </w:t>
      </w:r>
      <w:bookmarkStart w:id="2961" w:name="pg10265_90266"/>
    </w:p>
    <w:p>
      <w:pPr>
        <w:pStyle w:val="BookText"/>
        <w:rPr/>
      </w:pPr>
      <w:bookmarkEnd w:id="2961"/>
      <w:r>
        <w:rPr>
          <w:rFonts w:ascii="IRNazanin" w:hAnsi="IRNazanin" w:eastAsia="IRNazanin"/>
          <w:color w:val="111111"/>
          <w:sz w:val="28"/>
          <w:sz w:val="28"/>
          <w:szCs w:val="28"/>
          <w:rtl w:val="true"/>
          <w:lang w:bidi="fa-IR"/>
        </w:rPr>
        <w:t>مبنى بر صحّت عتق كافر و قربيّت آن است، بر حسب آنچه در كتاب عتق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نذر كرد عتق رقبه اى را، مجزى است عتق صغير و كبير و ذكر و انثى و صحيح و معيب به غير عيبى كه موجب انعتاق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نذر كرد عتق عبد مريض را معلّق بر شفا، او پس بيع كرد قبل از حصول برء، اظهر در نذر فعل، تعليق بر بقاى در ملك است وقت برء، پس بيع مذكور مستلزم حنث نيست و باطل نيست چون متعلّق حق فعلى نيست، و هم چنين اگر عتق كرد قبل از برء يا تصدّق به آن كرد قبل از برء؛ و امّا بيع بعد از برء، پس موجب حنث است بنا بر صحّت بيع، كه موقوف بر اين است كه متعلّق حق عبد فعلاً نباشد و فقط تكليف به فعل باشد كه لازم آن، حرمت ضد عام عتق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نذر كرد كه مملوك خودش را نفروشد، لازم مى شود وفا و نمى تواند بيع نمايد؛ مگر براى ضرورتى كه مستلزم عدم بقاى ترك بيع به صفت رجحان است، و در اين صورت حنث نيست؛ و اگر در غير صورت ضرورت، بيع كرد حنث كرده در تقدير صحّت بيع با آنكه حرام است، و آن موقوف بر عدم تعلّق حق عبد به سبب اين نذر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نذر كرد 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مملوك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منطبق مى شود بر مملوكى كه شش ماه از زمان مملوكيّت ناذر گذشته باشد، 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اظهر؛ مگر آنكه قصد نمايد در نذر، خصوصيّتى را كه مستلزم اقل يا اكثر باشد</w:t>
      </w:r>
      <w:r>
        <w:rPr>
          <w:rFonts w:eastAsia="IRNazanin" w:cs="IRNazanin"/>
          <w:color w:val="111111"/>
          <w:sz w:val="28"/>
          <w:szCs w:val="28"/>
          <w:rtl w:val="true"/>
          <w:lang w:bidi="fa-IR"/>
        </w:rPr>
        <w:t>.</w:t>
      </w:r>
    </w:p>
    <w:p>
      <w:pPr>
        <w:pStyle w:val="Heading4"/>
        <w:numPr>
          <w:ilvl w:val="3"/>
          <w:numId w:val="1"/>
        </w:numPr>
        <w:rPr/>
      </w:pPr>
      <w:bookmarkStart w:id="2962" w:name="__RefHeading___Toc3809471_1067777946"/>
      <w:bookmarkStart w:id="2963" w:name="_Toc1248"/>
      <w:bookmarkEnd w:id="2962"/>
      <w:r>
        <w:rPr/>
        <w:t>5</w:t>
      </w:r>
      <w:r>
        <w:rPr>
          <w:rtl w:val="true"/>
        </w:rPr>
        <w:t xml:space="preserve">. </w:t>
      </w:r>
      <w:r>
        <w:rPr>
          <w:rtl w:val="true"/>
        </w:rPr>
        <w:t>مسائل نذر تصدّق</w:t>
      </w:r>
      <w:bookmarkEnd w:id="2963"/>
    </w:p>
    <w:p>
      <w:pPr>
        <w:pStyle w:val="Heading5"/>
        <w:numPr>
          <w:ilvl w:val="4"/>
          <w:numId w:val="1"/>
        </w:numPr>
        <w:rPr/>
      </w:pPr>
      <w:bookmarkStart w:id="2964" w:name="__RefHeading___Toc3809473_1067777946"/>
      <w:bookmarkStart w:id="2965" w:name="_Toc1249"/>
      <w:bookmarkEnd w:id="2964"/>
      <w:r>
        <w:rPr>
          <w:rtl w:val="true"/>
        </w:rPr>
        <w:t>نذر مطلق تصرّف به مال</w:t>
      </w:r>
      <w:bookmarkEnd w:id="2965"/>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به مالى را؛ پس با تعيين، متعين مى شود؛ و با عدم تعيين، مجزى است اقل مالى كه قابل تصدّق باشد، و مجزى است ابراء غريم؛ و مى تواند </w:t>
      </w:r>
      <w:bookmarkStart w:id="2966" w:name="pg10265_90267"/>
    </w:p>
    <w:p>
      <w:pPr>
        <w:pStyle w:val="BookText"/>
        <w:rPr/>
      </w:pPr>
      <w:bookmarkEnd w:id="2966"/>
      <w:r>
        <w:rPr>
          <w:rFonts w:ascii="IRNazanin" w:hAnsi="IRNazanin" w:eastAsia="IRNazanin"/>
          <w:color w:val="111111"/>
          <w:sz w:val="28"/>
          <w:sz w:val="28"/>
          <w:szCs w:val="28"/>
          <w:rtl w:val="true"/>
          <w:lang w:bidi="fa-IR"/>
        </w:rPr>
        <w:t>به هاشمى بلكه غنىّ هم تصدّق نمايد بنا بر صحّت تصدّق به هاشمى بالنسبه به خصوص صدقه و خصوص متصدّق، و هم چنين به غنى</w:t>
      </w:r>
      <w:r>
        <w:rPr>
          <w:rFonts w:eastAsia="IRNazanin" w:cs="IRNazanin"/>
          <w:color w:val="111111"/>
          <w:sz w:val="28"/>
          <w:szCs w:val="28"/>
          <w:rtl w:val="true"/>
          <w:lang w:bidi="fa-IR"/>
        </w:rPr>
        <w:t>.</w:t>
      </w:r>
    </w:p>
    <w:p>
      <w:pPr>
        <w:pStyle w:val="Heading5"/>
        <w:numPr>
          <w:ilvl w:val="4"/>
          <w:numId w:val="1"/>
        </w:numPr>
        <w:rPr/>
      </w:pPr>
      <w:bookmarkStart w:id="2967" w:name="__RefHeading___Toc3809475_1067777946"/>
      <w:bookmarkStart w:id="2968" w:name="_Toc1250"/>
      <w:bookmarkEnd w:id="2967"/>
      <w:r>
        <w:rPr>
          <w:rtl w:val="true"/>
        </w:rPr>
        <w:t>نذر تصدق به مال كثير</w:t>
      </w:r>
      <w:bookmarkEnd w:id="2968"/>
    </w:p>
    <w:p>
      <w:pPr>
        <w:pStyle w:val="BookText"/>
        <w:rPr/>
      </w:pPr>
      <w:r>
        <w:rPr>
          <w:rFonts w:ascii="IRNazanin" w:hAnsi="IRNazanin" w:eastAsia="IRNazanin"/>
          <w:color w:val="111111"/>
          <w:sz w:val="28"/>
          <w:sz w:val="28"/>
          <w:szCs w:val="28"/>
          <w:rtl w:val="true"/>
          <w:lang w:bidi="fa-IR"/>
        </w:rPr>
        <w:t xml:space="preserve">و اگر نذر تصدّق به مال كثير نمود، پس مجزى است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مگر آنكه قصد كند خصوصيّتى را كه مستلزم اقل يا اكثر باشد مثل عرف زمان و مكان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عدم فرق بين نذر و امثال آن از وصايا و اقارير است، مگر آنكه در بعض آنها خصوصيّت مقصودۀ مذكوره ظاهر باشد و در بعضى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تعيين مميّز از حيث درهم و دينار يا سائر عروض، قرينه متّبع است؛ و با فقد آن، اكتفاى به أقلّ كه درهم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قياس به دينار، و در غير آنها ملاحظۀ اقلّ به حسب قيمت در دو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اگر كثرت عرفيّه دارد</w:t>
      </w:r>
      <w:r>
        <w:rPr>
          <w:rFonts w:eastAsia="IRNazanin" w:cs="IRNazanin"/>
          <w:color w:val="111111"/>
          <w:sz w:val="28"/>
          <w:szCs w:val="28"/>
          <w:rtl w:val="true"/>
          <w:lang w:bidi="fa-IR"/>
        </w:rPr>
        <w:t>.</w:t>
      </w:r>
    </w:p>
    <w:p>
      <w:pPr>
        <w:pStyle w:val="Heading5"/>
        <w:numPr>
          <w:ilvl w:val="4"/>
          <w:numId w:val="1"/>
        </w:numPr>
        <w:rPr/>
      </w:pPr>
      <w:bookmarkStart w:id="2969" w:name="__RefHeading___Toc3809477_1067777946"/>
      <w:bookmarkStart w:id="2970" w:name="_Toc1251"/>
      <w:bookmarkEnd w:id="2969"/>
      <w:r>
        <w:rPr>
          <w:rtl w:val="true"/>
        </w:rPr>
        <w:t>نذر تصدق به مال جليل يا خطير يا عظيم</w:t>
      </w:r>
      <w:bookmarkEnd w:id="2970"/>
    </w:p>
    <w:p>
      <w:pPr>
        <w:pStyle w:val="BookText"/>
        <w:rPr/>
      </w:pPr>
      <w:r>
        <w:rPr>
          <w:rFonts w:ascii="IRNazanin" w:hAnsi="IRNazanin" w:eastAsia="IRNazanin"/>
          <w:color w:val="111111"/>
          <w:sz w:val="28"/>
          <w:sz w:val="28"/>
          <w:szCs w:val="28"/>
          <w:rtl w:val="true"/>
          <w:lang w:bidi="fa-IR"/>
        </w:rPr>
        <w:t>اگر نذر كرد تصدّق به مال جليل يا خطير يا عظيم، پس تفسير او تعيين مى نمايد مقصود او را در حال نذر؛ و با عدم تعيّن در قصد، صدق عرفى متّبع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تفسير او ممكن نشد به واسطۀ موت ولىّ‌، رعايت صدق عرفى را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ادعا كرد قصد معيّنى را، اقرار او مسموع است در حق خودش و هركه در حكم او است</w:t>
      </w:r>
      <w:r>
        <w:rPr>
          <w:rFonts w:eastAsia="IRNazanin" w:cs="IRNazanin"/>
          <w:color w:val="111111"/>
          <w:sz w:val="28"/>
          <w:szCs w:val="28"/>
          <w:rtl w:val="true"/>
          <w:lang w:bidi="fa-IR"/>
        </w:rPr>
        <w:t>.</w:t>
      </w:r>
    </w:p>
    <w:p>
      <w:pPr>
        <w:pStyle w:val="Heading5"/>
        <w:numPr>
          <w:ilvl w:val="4"/>
          <w:numId w:val="1"/>
        </w:numPr>
        <w:rPr/>
      </w:pPr>
      <w:bookmarkStart w:id="2971" w:name="__RefHeading___Toc3809479_1067777946"/>
      <w:bookmarkStart w:id="2972" w:name="_Toc1252"/>
      <w:bookmarkEnd w:id="2971"/>
      <w:r>
        <w:rPr>
          <w:rtl w:val="true"/>
        </w:rPr>
        <w:t>نذر تصدق در مكان معين</w:t>
      </w:r>
      <w:bookmarkEnd w:id="2972"/>
    </w:p>
    <w:p>
      <w:pPr>
        <w:pStyle w:val="BookText"/>
        <w:rPr/>
      </w:pPr>
      <w:r>
        <w:rPr>
          <w:rFonts w:ascii="IRNazanin" w:hAnsi="IRNazanin" w:eastAsia="IRNazanin"/>
          <w:color w:val="111111"/>
          <w:sz w:val="28"/>
          <w:sz w:val="28"/>
          <w:szCs w:val="28"/>
          <w:rtl w:val="true"/>
          <w:lang w:bidi="fa-IR"/>
        </w:rPr>
        <w:t>اگر نذر كرد تصدّق در مكان معيّن را، لازم است عدم تعدّى؛ پس اگر مخالفت كرد حتى به تصدّق به اهل آن مكان در غير آن مكان، بايد اعاده نمايد در صورت اطلاق نذر از حيث زمان؛ و اگر معيّن يا موقّت باشد و فوت شد با تمكّن از امتثال، ضامن است براى اهلش، و كفاره ثابت مى شود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مكان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نذر تصدّق در آنجا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 شد و قابل اين عمل در </w:t>
      </w:r>
      <w:bookmarkStart w:id="2973" w:name="pg10265_90268"/>
    </w:p>
    <w:p>
      <w:pPr>
        <w:pStyle w:val="BookText"/>
        <w:rPr/>
      </w:pPr>
      <w:bookmarkEnd w:id="2973"/>
      <w:r>
        <w:rPr>
          <w:rFonts w:ascii="IRNazanin" w:hAnsi="IRNazanin" w:eastAsia="IRNazanin"/>
          <w:color w:val="111111"/>
          <w:sz w:val="28"/>
          <w:sz w:val="28"/>
          <w:szCs w:val="28"/>
          <w:rtl w:val="true"/>
          <w:lang w:bidi="fa-IR"/>
        </w:rPr>
        <w:t>آن نشد، پس در موارد تحليل در قصد نذر، تصدّق در غير آن مكان مى نمايد و قيديت ساقط مى شود؛ و در بعض موارد كه تحليل، مناسبت ندارد، نذر منحلّ مى شود و بقا و حنث ندارد</w:t>
      </w:r>
      <w:r>
        <w:rPr>
          <w:rFonts w:eastAsia="IRNazanin" w:cs="IRNazanin"/>
          <w:color w:val="111111"/>
          <w:sz w:val="28"/>
          <w:szCs w:val="28"/>
          <w:rtl w:val="true"/>
          <w:lang w:bidi="fa-IR"/>
        </w:rPr>
        <w:t>.</w:t>
      </w:r>
    </w:p>
    <w:p>
      <w:pPr>
        <w:pStyle w:val="Heading5"/>
        <w:numPr>
          <w:ilvl w:val="4"/>
          <w:numId w:val="1"/>
        </w:numPr>
        <w:rPr/>
      </w:pPr>
      <w:bookmarkStart w:id="2974" w:name="__RefHeading___Toc3809481_1067777946"/>
      <w:bookmarkStart w:id="2975" w:name="_Toc1253"/>
      <w:bookmarkEnd w:id="2974"/>
      <w:r>
        <w:rPr>
          <w:rtl w:val="true"/>
        </w:rPr>
        <w:t>عدم كفايت قيمت مگر با قصد</w:t>
      </w:r>
      <w:bookmarkEnd w:id="2975"/>
    </w:p>
    <w:p>
      <w:pPr>
        <w:pStyle w:val="BookText"/>
        <w:rPr/>
      </w:pPr>
      <w:r>
        <w:rPr>
          <w:rFonts w:ascii="IRNazanin" w:hAnsi="IRNazanin" w:eastAsia="IRNazanin"/>
          <w:color w:val="111111"/>
          <w:sz w:val="28"/>
          <w:sz w:val="28"/>
          <w:szCs w:val="28"/>
          <w:rtl w:val="true"/>
          <w:lang w:bidi="fa-IR"/>
        </w:rPr>
        <w:t>و خصوصيّات منذور بايد رعايت شود در حال اختيار؛ و اداء قيمت، كافى نيست مگر با قصد اعمّ از آن</w:t>
      </w:r>
      <w:r>
        <w:rPr>
          <w:rFonts w:eastAsia="IRNazanin" w:cs="IRNazanin"/>
          <w:color w:val="111111"/>
          <w:sz w:val="28"/>
          <w:szCs w:val="28"/>
          <w:rtl w:val="true"/>
          <w:lang w:bidi="fa-IR"/>
        </w:rPr>
        <w:t>.</w:t>
      </w:r>
    </w:p>
    <w:p>
      <w:pPr>
        <w:pStyle w:val="Heading5"/>
        <w:numPr>
          <w:ilvl w:val="4"/>
          <w:numId w:val="1"/>
        </w:numPr>
        <w:rPr/>
      </w:pPr>
      <w:bookmarkStart w:id="2976" w:name="__RefHeading___Toc3809483_1067777946"/>
      <w:bookmarkStart w:id="2977" w:name="_Toc1254"/>
      <w:bookmarkEnd w:id="2976"/>
      <w:r>
        <w:rPr>
          <w:rtl w:val="true"/>
        </w:rPr>
        <w:t>عدم وجوب قبول بر منذور له</w:t>
      </w:r>
      <w:bookmarkEnd w:id="2977"/>
    </w:p>
    <w:p>
      <w:pPr>
        <w:pStyle w:val="BookText"/>
        <w:rPr/>
      </w:pPr>
      <w:r>
        <w:rPr>
          <w:rFonts w:ascii="Amiri" w:hAnsi="Amiri" w:eastAsia="Amiri" w:cs="Amiri"/>
          <w:color w:val="111111"/>
          <w:sz w:val="28"/>
          <w:sz w:val="28"/>
          <w:szCs w:val="28"/>
          <w:rtl w:val="true"/>
          <w:lang w:bidi="ar-SA"/>
        </w:rPr>
        <w:t>و اظهر عدم وجوب قبول است بر منذور له، بلكه با ترك قبول، ساقط مى شود تكليف ناشى از نذر</w:t>
      </w:r>
      <w:r>
        <w:rPr>
          <w:rFonts w:eastAsia="Amiri" w:cs="Amiri" w:ascii="Amiri" w:hAnsi="Amiri"/>
          <w:color w:val="111111"/>
          <w:sz w:val="28"/>
          <w:szCs w:val="28"/>
          <w:rtl w:val="true"/>
          <w:lang w:bidi="ar-SA"/>
        </w:rPr>
        <w:t>.</w:t>
      </w:r>
    </w:p>
    <w:p>
      <w:pPr>
        <w:pStyle w:val="Heading5"/>
        <w:numPr>
          <w:ilvl w:val="4"/>
          <w:numId w:val="1"/>
        </w:numPr>
        <w:rPr/>
      </w:pPr>
      <w:bookmarkStart w:id="2978" w:name="__RefHeading___Toc3809485_1067777946"/>
      <w:bookmarkStart w:id="2979" w:name="_Toc1255"/>
      <w:bookmarkEnd w:id="2978"/>
      <w:r>
        <w:rPr>
          <w:rtl w:val="true"/>
        </w:rPr>
        <w:t>اثبات مالى در ذمه براى كسى با نذر</w:t>
      </w:r>
      <w:bookmarkEnd w:id="2979"/>
    </w:p>
    <w:p>
      <w:pPr>
        <w:pStyle w:val="BookText"/>
        <w:rPr/>
      </w:pPr>
      <w:r>
        <w:rPr>
          <w:rFonts w:ascii="IRNazanin" w:hAnsi="IRNazanin" w:eastAsia="IRNazanin"/>
          <w:color w:val="111111"/>
          <w:sz w:val="28"/>
          <w:sz w:val="28"/>
          <w:szCs w:val="28"/>
          <w:rtl w:val="true"/>
          <w:lang w:bidi="fa-IR"/>
        </w:rPr>
        <w:t>اگر قدرى را در ذمّۀ خودش به نذر، اثبات كرد، متعين مى شود همان قدر، و مى تواند همان مقدار از دين را بر منذور له احتساب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منذور له ابراء كرد يا هبه كرد آن را با معين بودن آن قبل از قبض، يا معاوضه كرد، پس اگر عنوان صدقه در نذر، مذكور نبود و مع هذا راجح بود و نذر آن صحيح بود مانعى ندارد؛ و اگر صدقه مذكور بود، پس بدون قصد آن محقّق نمى شود و اين گونه امور جائز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منذور له، استحقاق مطالبه بعد از فعليت تكليف به ضيق وقت با عدم جواز تأخير دارد، وگرنه مشكل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توكيل در دفع و قبض با رعايت قصد دافع جائز است</w:t>
      </w:r>
      <w:r>
        <w:rPr>
          <w:rFonts w:eastAsia="Amiri" w:cs="Amiri" w:ascii="Amiri" w:hAnsi="Amiri"/>
          <w:color w:val="111111"/>
          <w:sz w:val="28"/>
          <w:szCs w:val="28"/>
          <w:rtl w:val="true"/>
          <w:lang w:bidi="ar-SA"/>
        </w:rPr>
        <w:t>.</w:t>
      </w:r>
    </w:p>
    <w:p>
      <w:pPr>
        <w:pStyle w:val="Heading5"/>
        <w:numPr>
          <w:ilvl w:val="4"/>
          <w:numId w:val="1"/>
        </w:numPr>
        <w:rPr/>
      </w:pPr>
      <w:bookmarkStart w:id="2980" w:name="__RefHeading___Toc3809487_1067777946"/>
      <w:bookmarkStart w:id="2981" w:name="_Toc1256"/>
      <w:bookmarkEnd w:id="2980"/>
      <w:r>
        <w:rPr>
          <w:rtl w:val="true"/>
        </w:rPr>
        <w:t>نماى منذور</w:t>
      </w:r>
      <w:bookmarkEnd w:id="2981"/>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نماى منذور، ملك مالك عين آن است، پس در نذر تمليك يا تصدّق، ملكيت، اضافه به ناذر دارد تا وقت تحقّق آنها، و اگر نذر صدقه كرد و نافذ بود، خارج </w:t>
      </w:r>
      <w:bookmarkStart w:id="2982" w:name="pg10265_90269"/>
    </w:p>
    <w:p>
      <w:pPr>
        <w:pStyle w:val="BookText"/>
        <w:rPr/>
      </w:pPr>
      <w:bookmarkEnd w:id="2982"/>
      <w:r>
        <w:rPr>
          <w:rFonts w:ascii="IRNazanin" w:hAnsi="IRNazanin" w:eastAsia="IRNazanin"/>
          <w:color w:val="111111"/>
          <w:sz w:val="28"/>
          <w:sz w:val="28"/>
          <w:szCs w:val="28"/>
          <w:rtl w:val="true"/>
          <w:lang w:bidi="fa-IR"/>
        </w:rPr>
        <w:t>مى شود به نذر از ملك، با امكان آن يا به حصول شرط اگر مشروط بود و صحيح بود</w:t>
      </w:r>
      <w:r>
        <w:rPr>
          <w:rFonts w:eastAsia="IRNazanin" w:cs="IRNazanin"/>
          <w:color w:val="111111"/>
          <w:sz w:val="28"/>
          <w:szCs w:val="28"/>
          <w:rtl w:val="true"/>
          <w:lang w:bidi="fa-IR"/>
        </w:rPr>
        <w:t>.</w:t>
      </w:r>
    </w:p>
    <w:p>
      <w:pPr>
        <w:pStyle w:val="Heading5"/>
        <w:numPr>
          <w:ilvl w:val="4"/>
          <w:numId w:val="1"/>
        </w:numPr>
        <w:rPr/>
      </w:pPr>
      <w:bookmarkStart w:id="2983" w:name="__RefHeading___Toc3809489_1067777946"/>
      <w:bookmarkStart w:id="2984" w:name="_Toc1257"/>
      <w:bookmarkEnd w:id="2983"/>
      <w:r>
        <w:rPr>
          <w:rtl w:val="true"/>
        </w:rPr>
        <w:t>نذر صرف خمس يا زكات بر معيّن</w:t>
      </w:r>
      <w:bookmarkEnd w:id="2984"/>
    </w:p>
    <w:p>
      <w:pPr>
        <w:pStyle w:val="BookText"/>
        <w:rPr/>
      </w:pPr>
      <w:r>
        <w:rPr>
          <w:rFonts w:ascii="IRNazanin" w:hAnsi="IRNazanin" w:eastAsia="IRNazanin"/>
          <w:color w:val="111111"/>
          <w:sz w:val="28"/>
          <w:sz w:val="28"/>
          <w:szCs w:val="28"/>
          <w:rtl w:val="true"/>
          <w:lang w:bidi="fa-IR"/>
        </w:rPr>
        <w:t>اگر نذر كرد صرف ركاتى يا خمسى را بر معيّن، لازم است در صورت عدم منافات با تعجيل واجب؛ و اگر منافات با افضليت ضد داشت، مذكور شد عدم مانعيت آن از انعقاد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مورد، از استحقاق لازم در نذر خارج شد و عود نكرد منحل مى شود نذر، به خلاف صورت عود در زمان منذور</w:t>
      </w:r>
      <w:r>
        <w:rPr>
          <w:rFonts w:eastAsia="IRNazanin" w:cs="IRNazanin"/>
          <w:color w:val="111111"/>
          <w:sz w:val="28"/>
          <w:szCs w:val="28"/>
          <w:rtl w:val="true"/>
          <w:lang w:bidi="fa-IR"/>
        </w:rPr>
        <w:t>.</w:t>
      </w:r>
    </w:p>
    <w:p>
      <w:pPr>
        <w:pStyle w:val="Heading5"/>
        <w:numPr>
          <w:ilvl w:val="4"/>
          <w:numId w:val="1"/>
        </w:numPr>
        <w:rPr/>
      </w:pPr>
      <w:bookmarkStart w:id="2985" w:name="__RefHeading___Toc3809491_1067777946"/>
      <w:bookmarkStart w:id="2986" w:name="_Toc1258"/>
      <w:bookmarkEnd w:id="2985"/>
      <w:r>
        <w:rPr>
          <w:rtl w:val="true"/>
        </w:rPr>
        <w:t>نذر تصدق به همۀ مال</w:t>
      </w:r>
      <w:bookmarkEnd w:id="2986"/>
    </w:p>
    <w:p>
      <w:pPr>
        <w:pStyle w:val="BookText"/>
        <w:rPr/>
      </w:pPr>
      <w:r>
        <w:rPr>
          <w:rFonts w:ascii="IRNazanin" w:hAnsi="IRNazanin" w:eastAsia="IRNazanin"/>
          <w:color w:val="111111"/>
          <w:sz w:val="28"/>
          <w:sz w:val="28"/>
          <w:szCs w:val="28"/>
          <w:rtl w:val="true"/>
          <w:lang w:bidi="fa-IR"/>
        </w:rPr>
        <w:t xml:space="preserve">اگر نذر كرد تصدّق به جميع مال مملوك خود را، در صورتى كه فى نفسه راجح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تصدّق به اقلّ‌، از تمام، افضل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 تواند نسبت به آنچه مضر به حال او است تصدّق به آن عاجلاً، تقويم نمايد و در دفترى ثبت نمايد، و عين مملوكات را به تدريج به نحوى كه مضر به حالش نباشد يا قيمت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تصدّق به عين،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صدقه بدهد و اثبات در دفتر نمايد يا به قدر قيمت مضبوطه برساند و وصيّت نمايد كه مبلغ مضبوط، صدقه داده شود اگر در اثنا، حادثۀ موت، واقع شد؛ و چيزى در اين كيفيّت بر خلاف قاعده نيست جز انتقال از عين به قيمت، و ذكر شد كه عدم اطلاق محافظت بر عين به صورت اضرار به حال، مسوّغ است در مقدار مضرّ؛ و اطلاق اصحاب، مبنىّ بر اطلاق مستفاد از نص است، و محتمل است تشخيص اضرار فعلى به حال، سبب تقويم فعلى بوده است پس اين اطلاق، ثابت نيست بلكه مستبعَد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اظهر جريان اين حكم با خصوصيّات مذكوره، در نذر بعض مال است</w:t>
      </w:r>
      <w:r>
        <w:rPr>
          <w:rFonts w:eastAsia="Amiri" w:cs="Amiri" w:ascii="Amiri" w:hAnsi="Amiri"/>
          <w:color w:val="111111"/>
          <w:sz w:val="28"/>
          <w:szCs w:val="28"/>
          <w:rtl w:val="true"/>
          <w:lang w:bidi="ar-SA"/>
        </w:rPr>
        <w:t>.</w:t>
      </w:r>
    </w:p>
    <w:p>
      <w:pPr>
        <w:pStyle w:val="Heading5"/>
        <w:numPr>
          <w:ilvl w:val="4"/>
          <w:numId w:val="1"/>
        </w:numPr>
        <w:rPr/>
      </w:pPr>
      <w:bookmarkStart w:id="2987" w:name="__RefHeading___Toc3809493_1067777946"/>
      <w:bookmarkStart w:id="2988" w:name="_Toc1259"/>
      <w:bookmarkEnd w:id="2987"/>
      <w:r>
        <w:rPr>
          <w:rtl w:val="true"/>
        </w:rPr>
        <w:t>نذر صرف مال در راه خير</w:t>
      </w:r>
      <w:bookmarkEnd w:id="2988"/>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نذر كرد مقدارى از مال خود را در سبيل و طريق خير، متبوع، قصد ناذر است؛ </w:t>
      </w:r>
      <w:bookmarkStart w:id="2989" w:name="pg10265_90270"/>
    </w:p>
    <w:p>
      <w:pPr>
        <w:pStyle w:val="BookText"/>
        <w:rPr/>
      </w:pPr>
      <w:bookmarkEnd w:id="2989"/>
      <w:r>
        <w:rPr>
          <w:rFonts w:ascii="Amiri" w:hAnsi="Amiri" w:eastAsia="Amiri" w:cs="Amiri"/>
          <w:color w:val="111111"/>
          <w:sz w:val="28"/>
          <w:sz w:val="28"/>
          <w:szCs w:val="28"/>
          <w:rtl w:val="true"/>
          <w:lang w:bidi="ar-SA"/>
        </w:rPr>
        <w:t>و با قصد صدق عرفى، اظهر شمول به جميع وجوه برّ است مثل دفع به فقراء و مساكين و ابن السبيل و غارمين در مصالح راجحه و مكاتَبها و حج و عمره و جهاد و دفاع لازم و امثال اينها از قربتها</w:t>
      </w:r>
      <w:r>
        <w:rPr>
          <w:rFonts w:eastAsia="Amiri" w:cs="Amiri" w:ascii="Amiri" w:hAnsi="Amiri"/>
          <w:color w:val="111111"/>
          <w:sz w:val="28"/>
          <w:szCs w:val="28"/>
          <w:rtl w:val="true"/>
          <w:lang w:bidi="ar-SA"/>
        </w:rPr>
        <w:t>.</w:t>
      </w:r>
    </w:p>
    <w:p>
      <w:pPr>
        <w:pStyle w:val="Heading4"/>
        <w:numPr>
          <w:ilvl w:val="3"/>
          <w:numId w:val="1"/>
        </w:numPr>
        <w:rPr/>
      </w:pPr>
      <w:bookmarkStart w:id="2990" w:name="__RefHeading___Toc3809495_1067777946"/>
      <w:bookmarkStart w:id="2991" w:name="_Toc1260"/>
      <w:bookmarkEnd w:id="2990"/>
      <w:r>
        <w:rPr/>
        <w:t>6</w:t>
      </w:r>
      <w:r>
        <w:rPr>
          <w:rtl w:val="true"/>
        </w:rPr>
        <w:t xml:space="preserve">. </w:t>
      </w:r>
      <w:r>
        <w:rPr>
          <w:rtl w:val="true"/>
        </w:rPr>
        <w:t>مسائل نذر هَدى</w:t>
      </w:r>
      <w:bookmarkEnd w:id="2991"/>
    </w:p>
    <w:p>
      <w:pPr>
        <w:pStyle w:val="Heading5"/>
        <w:numPr>
          <w:ilvl w:val="4"/>
          <w:numId w:val="1"/>
        </w:numPr>
        <w:rPr/>
      </w:pPr>
      <w:bookmarkStart w:id="2992" w:name="__RefHeading___Toc3809497_1067777946"/>
      <w:bookmarkStart w:id="2993" w:name="_Toc1261"/>
      <w:bookmarkEnd w:id="2992"/>
      <w:r>
        <w:rPr>
          <w:rtl w:val="true"/>
        </w:rPr>
        <w:t>اشاره</w:t>
      </w:r>
      <w:bookmarkEnd w:id="2993"/>
    </w:p>
    <w:p>
      <w:pPr>
        <w:pStyle w:val="BookText"/>
        <w:rPr/>
      </w:pPr>
      <w:r>
        <w:rPr>
          <w:rFonts w:ascii="IRNazanin" w:hAnsi="IRNazanin" w:eastAsia="IRNazanin"/>
          <w:color w:val="111111"/>
          <w:sz w:val="28"/>
          <w:sz w:val="28"/>
          <w:szCs w:val="28"/>
          <w:rtl w:val="true"/>
          <w:lang w:bidi="fa-IR"/>
        </w:rPr>
        <w:t>اگر نذر هدى شترى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تعيين كرد در قصد، مكه يا منىٰ را، متعيّن مى شود؛ و اگر مطلق گذاشت، اظهر تخيير است در نحر آن در مكه يا منىٰ‌، اگر چه احوط، انجام در مكه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نذر هدى براى غير اين دو نمود به آن معنى كه ملازم يكى از دو است، باطل است؛ و اگر به معناى غير ملازم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اهداء يا تصدّق به اهل يا زوّار آن بقعه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نذر هدى كرد بدون ذكر يا قصد متعلَّق بلكه موكول به صدق كرد، منصرف به انعام مى شود اگر چه جامع شروط هدى حج نباشد در غير نذر هدى واجب يا اعمّ از آن، نه اعمّ از سائر اطعمه؛ و احوط در نذر هدى مستحب بدون نذر، اقتصار بر واجد شروط اضحيه است مگر با قصد تعميم</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قصد هدى غير انعام كرد، پس اگر قاصد معنايى كه قابل انطباق بر سائر صدقات و برّيّات است باشد نه هدى به معناى نُسْك، فروخته مى شود و ثمن آن صرف در مصالح بيت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زوار و حجاج آن كه محتاج شده باشند به سبب حج، مى شود، مگر آنكه قاصد مصلحت خاصه باشد در نذر خودش كه متبوع است، بعد از آنكه آنچه منقول و ممكن است بردن يا فرستادن آن براى بيت، نقل نمايد و در آنجا عين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مناسبت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ثمن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عدم مناسبت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اهداء و تصدّق براى سائر مشاهد مشرّفۀ معظمه در خصوصيّات مذكوره</w:t>
      </w:r>
      <w:r>
        <w:rPr>
          <w:rFonts w:eastAsia="IRNazanin" w:cs="IRNazanin"/>
          <w:color w:val="111111"/>
          <w:sz w:val="28"/>
          <w:szCs w:val="28"/>
          <w:rtl w:val="true"/>
          <w:lang w:bidi="fa-IR"/>
        </w:rPr>
        <w:t xml:space="preserve">. </w:t>
      </w:r>
      <w:bookmarkStart w:id="2994" w:name="pg10265_90271"/>
    </w:p>
    <w:p>
      <w:pPr>
        <w:pStyle w:val="Heading5"/>
        <w:numPr>
          <w:ilvl w:val="4"/>
          <w:numId w:val="1"/>
        </w:numPr>
        <w:rPr/>
      </w:pPr>
      <w:bookmarkStart w:id="2995" w:name="__RefHeading___Toc3809499_1067777946"/>
      <w:bookmarkStart w:id="2996" w:name="_Toc1262"/>
      <w:bookmarkEnd w:id="2994"/>
      <w:bookmarkEnd w:id="2995"/>
      <w:r>
        <w:rPr>
          <w:rtl w:val="true"/>
        </w:rPr>
        <w:t>نذر براى صاحبان مشاهد مشرفه</w:t>
      </w:r>
      <w:bookmarkEnd w:id="2996"/>
    </w:p>
    <w:p>
      <w:pPr>
        <w:pStyle w:val="BookText"/>
        <w:rPr/>
      </w:pPr>
      <w:r>
        <w:rPr>
          <w:rFonts w:ascii="IRNazanin" w:hAnsi="IRNazanin" w:eastAsia="IRNazanin"/>
          <w:color w:val="111111"/>
          <w:sz w:val="28"/>
          <w:sz w:val="28"/>
          <w:szCs w:val="28"/>
          <w:rtl w:val="true"/>
          <w:lang w:bidi="fa-IR"/>
        </w:rPr>
        <w:t>و امّا نذر براى صاحبان مشاهد مقدّسه، پس به حسب قصد ناذر، متعيّن مى شود، و اگر مطلق بود در برّيات مضافۀ به ايشان صرف مى شود، و دور نيست جواز صرف در مطلق برّيات و اهداء ثواب آنها به ارواح مقدسۀ ايشان</w:t>
      </w:r>
      <w:r>
        <w:rPr>
          <w:rFonts w:eastAsia="IRNazanin" w:cs="IRNazanin"/>
          <w:color w:val="111111"/>
          <w:sz w:val="28"/>
          <w:szCs w:val="28"/>
          <w:rtl w:val="true"/>
          <w:lang w:bidi="fa-IR"/>
        </w:rPr>
        <w:t>.</w:t>
      </w:r>
    </w:p>
    <w:p>
      <w:pPr>
        <w:pStyle w:val="Heading5"/>
        <w:numPr>
          <w:ilvl w:val="4"/>
          <w:numId w:val="1"/>
        </w:numPr>
        <w:rPr/>
      </w:pPr>
      <w:bookmarkStart w:id="2997" w:name="__RefHeading___Toc3809501_1067777946"/>
      <w:bookmarkStart w:id="2998" w:name="_Toc1263"/>
      <w:bookmarkEnd w:id="2997"/>
      <w:r>
        <w:rPr>
          <w:rtl w:val="true"/>
        </w:rPr>
        <w:t>بقيۀ مسائل نذر هَدى</w:t>
      </w:r>
      <w:bookmarkEnd w:id="2998"/>
    </w:p>
    <w:p>
      <w:pPr>
        <w:pStyle w:val="BookText"/>
        <w:rPr/>
      </w:pPr>
      <w:r>
        <w:rPr>
          <w:rFonts w:ascii="IRNazanin" w:hAnsi="IRNazanin" w:eastAsia="IRNazanin"/>
          <w:color w:val="111111"/>
          <w:sz w:val="28"/>
          <w:sz w:val="28"/>
          <w:szCs w:val="28"/>
          <w:rtl w:val="true"/>
          <w:lang w:bidi="fa-IR"/>
        </w:rPr>
        <w:t>اگر نذر كرد نحر هدى يا ذبح آن را در خصوص مكه يا منى يا موضع ديگر، اگر چه از مشاهد معظمه نباشد متعين مى شود؛ و تفرقه و تصدّق در خصوص محل ذبح يا نحر لازم نيست مگر با قصد ناذر يا قرينه بر خصوصيّت با اطلاق ناذر در 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نذر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لازم مى شود هدى ماده از شتر، مگر آنكه ناذر، قصد خلاف كند به تخيل حقيقت يا تجوز در گاو و گوسفند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ناذر يا قرينه، در اعتبار خصوصيّات، متّبع است، و با عدم آنها و احاله بر اطلاق، احوط اعتبار شروط اضحيه است در هدى منذور، چنانكه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سبب نذر، واجب شد بدنه و نتوانست عمل نمايد، يك گاو لازم است؛ و اگر از آن هم عاجز بود هفت گوسفند لازم است؛ و اگر اقلّ از هفت ميسور شد، لازم است آنچه ميسور است</w:t>
      </w:r>
      <w:r>
        <w:rPr>
          <w:rFonts w:eastAsia="IRNazanin" w:cs="IRNazanin"/>
          <w:color w:val="111111"/>
          <w:sz w:val="28"/>
          <w:szCs w:val="28"/>
          <w:rtl w:val="true"/>
          <w:lang w:bidi="fa-IR"/>
        </w:rPr>
        <w:t>.</w:t>
      </w:r>
    </w:p>
    <w:p>
      <w:pPr>
        <w:pStyle w:val="Heading4"/>
        <w:numPr>
          <w:ilvl w:val="3"/>
          <w:numId w:val="1"/>
        </w:numPr>
        <w:rPr/>
      </w:pPr>
      <w:bookmarkStart w:id="2999" w:name="__RefHeading___Toc3809503_1067777946"/>
      <w:bookmarkStart w:id="3000" w:name="_Toc1264"/>
      <w:bookmarkEnd w:id="2999"/>
      <w:r>
        <w:rPr/>
        <w:t>7</w:t>
      </w:r>
      <w:r>
        <w:rPr>
          <w:rtl w:val="true"/>
        </w:rPr>
        <w:t xml:space="preserve">. </w:t>
      </w:r>
      <w:r>
        <w:rPr>
          <w:rtl w:val="true"/>
        </w:rPr>
        <w:t>نذر زيارت</w:t>
      </w:r>
      <w:bookmarkEnd w:id="3000"/>
    </w:p>
    <w:p>
      <w:pPr>
        <w:pStyle w:val="Heading5"/>
        <w:numPr>
          <w:ilvl w:val="4"/>
          <w:numId w:val="1"/>
        </w:numPr>
        <w:rPr/>
      </w:pPr>
      <w:bookmarkStart w:id="3001" w:name="__RefHeading___Toc3809505_1067777946"/>
      <w:bookmarkStart w:id="3002" w:name="_Toc1265"/>
      <w:bookmarkEnd w:id="3001"/>
      <w:r>
        <w:rPr>
          <w:rtl w:val="true"/>
        </w:rPr>
        <w:t>اشاره</w:t>
      </w:r>
      <w:bookmarkEnd w:id="3002"/>
    </w:p>
    <w:p>
      <w:pPr>
        <w:pStyle w:val="BookText"/>
        <w:rPr/>
      </w:pPr>
      <w:r>
        <w:rPr>
          <w:rFonts w:ascii="IRNazanin" w:hAnsi="IRNazanin" w:eastAsia="IRNazanin"/>
          <w:color w:val="111111"/>
          <w:sz w:val="28"/>
          <w:sz w:val="28"/>
          <w:szCs w:val="28"/>
          <w:rtl w:val="true"/>
          <w:lang w:bidi="fa-IR"/>
        </w:rPr>
        <w:t xml:space="preserve">اگر نذر كرد زيارت نبى اكرم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يكى از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يكى از منسوبين به عترت طاهره را يا يكى از نواب خصوصى يا عمومى ايشان را يا يكى از علماى مذهب حق ايشان را، منعقد مى شود و لازم مى شود حضور در نزد قبور مطهرۀ معهوده</w:t>
      </w:r>
      <w:r>
        <w:rPr>
          <w:rFonts w:eastAsia="IRNazanin" w:cs="IRNazanin"/>
          <w:color w:val="111111"/>
          <w:sz w:val="28"/>
          <w:szCs w:val="28"/>
          <w:rtl w:val="true"/>
          <w:lang w:bidi="fa-IR"/>
        </w:rPr>
        <w:t>.</w:t>
      </w:r>
    </w:p>
    <w:p>
      <w:pPr>
        <w:pStyle w:val="Heading5"/>
        <w:numPr>
          <w:ilvl w:val="4"/>
          <w:numId w:val="1"/>
        </w:numPr>
        <w:rPr/>
      </w:pPr>
      <w:bookmarkStart w:id="3003" w:name="__RefHeading___Toc3809507_1067777946"/>
      <w:bookmarkStart w:id="3004" w:name="_Toc1266"/>
      <w:bookmarkEnd w:id="3003"/>
      <w:r>
        <w:rPr>
          <w:rtl w:val="true"/>
        </w:rPr>
        <w:t xml:space="preserve">نذر زيارت حضرت مهدى </w:t>
      </w:r>
      <w:r>
        <w:rPr>
          <w:rtl w:val="true"/>
        </w:rPr>
        <w:t xml:space="preserve">- </w:t>
      </w:r>
      <w:r>
        <w:rPr>
          <w:rtl w:val="true"/>
        </w:rPr>
        <w:t>عجل اللّٰه تعالى فرجه</w:t>
      </w:r>
      <w:bookmarkEnd w:id="3004"/>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نذر زيارت 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به مكانى نيست مگر با قصد ناذر، </w:t>
      </w:r>
    </w:p>
    <w:p>
      <w:pPr>
        <w:pStyle w:val="BookText"/>
        <w:rPr/>
      </w:pPr>
      <w:r>
        <w:rPr>
          <w:rFonts w:ascii="Amiri" w:hAnsi="Amiri" w:eastAsia="Amiri" w:cs="Amiri"/>
          <w:color w:val="111111"/>
          <w:sz w:val="28"/>
          <w:sz w:val="28"/>
          <w:szCs w:val="28"/>
          <w:rtl w:val="true"/>
          <w:lang w:bidi="ar-SA"/>
        </w:rPr>
        <w:t>يكى از امكنۀ منسوبه را؛ و با قصد مكانى و عدم تعيين آن در قصد، اختيار سرداب مقدس كه متيقن است اضافۀ آن، اَولىٰ يا متعيّن است</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نذر زيارت امامى كرد، مجزى نيست زيارت غير، اگر چه افضل باشد؛ مگر با قصدِ عامّ از خاص، يا قصد او يا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مقيّد به وقتى بود، متعين است، و اگر اخلال عمدى نمود كفاره ثابت است، و قضا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با سلام محقَّق يا مقدَّر، كافى در وفاى به نذر زيارت است؛ و دعا و نماز و آداب خاصّۀ زيارات عامّه و خاصّه مكمّلات زيارت مى باشند</w:t>
      </w:r>
      <w:r>
        <w:rPr>
          <w:rFonts w:eastAsia="IRNazanin" w:cs="IRNazanin"/>
          <w:color w:val="111111"/>
          <w:sz w:val="28"/>
          <w:szCs w:val="28"/>
          <w:rtl w:val="true"/>
          <w:lang w:bidi="fa-IR"/>
        </w:rPr>
        <w:t xml:space="preserve">. </w:t>
      </w:r>
      <w:bookmarkStart w:id="3005" w:name="pg10265_90273"/>
    </w:p>
    <w:p>
      <w:pPr>
        <w:pStyle w:val="Heading3"/>
        <w:numPr>
          <w:ilvl w:val="2"/>
          <w:numId w:val="1"/>
        </w:numPr>
        <w:rPr/>
      </w:pPr>
      <w:bookmarkStart w:id="3006" w:name="__RefHeading___Toc3809509_1067777946"/>
      <w:bookmarkStart w:id="3007" w:name="_Toc1267"/>
      <w:bookmarkEnd w:id="3005"/>
      <w:bookmarkEnd w:id="3006"/>
      <w:r>
        <w:rPr>
          <w:rtl w:val="true"/>
        </w:rPr>
        <w:t>فصل سوّم احكام نذر</w:t>
      </w:r>
      <w:bookmarkEnd w:id="3007"/>
    </w:p>
    <w:p>
      <w:pPr>
        <w:pStyle w:val="Heading4"/>
        <w:numPr>
          <w:ilvl w:val="3"/>
          <w:numId w:val="1"/>
        </w:numPr>
        <w:rPr/>
      </w:pPr>
      <w:bookmarkStart w:id="3008" w:name="__RefHeading___Toc3809511_1067777946"/>
      <w:bookmarkStart w:id="3009" w:name="_Toc1268"/>
      <w:bookmarkEnd w:id="3008"/>
      <w:r>
        <w:rPr>
          <w:rtl w:val="true"/>
        </w:rPr>
        <w:t>نذر صوم يك سال معين</w:t>
      </w:r>
      <w:bookmarkEnd w:id="30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نذر كرد صوم اين سال معين را،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جميع ايام آن غير عيدين و ايام التشريق براى كسى كه در منى باشد براى مناسك يا مطلقاً كه در آن خلاف است؛ و اين ايام، روزه و قضاى روزه ندارند براى خروج از نذر؛ و در غير منى، روزۀ ايام تشريق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عمداً با اختيار افطار كرد در بعض ايام، قضاى خصوص ايام افطار بعد از اتمام لازم است؛ و بقيۀ سال را روزه مى گيرد اگر شرط تتابع نكرده باشد بلكه تتابع مفروض در ايام يك سال باشد؛ و اگر شرط تتابع كرد، آيا استيناف لازم است، يا اكتفاى به بنا و اتمام و قضا مى نمايد، يا آنكه فرق است بين تجاوز نصف و عدم آن و بنا در صورت اول است‌؟ خلاف است، اقرب قول دوم است كه موافق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بعد از آن تفصيل كه موافق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مختار ايشان ناشى از قياس نيست، بلكه از الغاى خصوصيّت ماه در سال است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اقرب در رمضان، دخول در نذر است؛ پس در افطار عمدى آن، دو كفاره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افطار عذرى مثل حيض و نفاس، پس اظهر خروج آنها از نذر است، پس </w:t>
      </w:r>
      <w:bookmarkStart w:id="3010" w:name="pg10265_90274"/>
    </w:p>
    <w:p>
      <w:pPr>
        <w:pStyle w:val="BookText"/>
        <w:rPr/>
      </w:pPr>
      <w:bookmarkEnd w:id="3010"/>
      <w:r>
        <w:rPr>
          <w:rFonts w:ascii="IRNazanin" w:hAnsi="IRNazanin" w:eastAsia="IRNazanin"/>
          <w:color w:val="111111"/>
          <w:sz w:val="28"/>
          <w:sz w:val="28"/>
          <w:szCs w:val="28"/>
          <w:rtl w:val="true"/>
          <w:lang w:bidi="fa-IR"/>
        </w:rPr>
        <w:t>قضاى مثل كفاره ندارند و تتابع هم در آنچه شرط شده قطع نمى شود، بلكه بنا و اتمام، كافى است</w:t>
      </w:r>
      <w:r>
        <w:rPr>
          <w:rFonts w:eastAsia="IRNazanin" w:cs="IRNazanin"/>
          <w:color w:val="111111"/>
          <w:sz w:val="28"/>
          <w:szCs w:val="28"/>
          <w:rtl w:val="true"/>
          <w:lang w:bidi="fa-IR"/>
        </w:rPr>
        <w:t>.</w:t>
      </w:r>
    </w:p>
    <w:p>
      <w:pPr>
        <w:pStyle w:val="Heading4"/>
        <w:numPr>
          <w:ilvl w:val="3"/>
          <w:numId w:val="1"/>
        </w:numPr>
        <w:rPr/>
      </w:pPr>
      <w:bookmarkStart w:id="3011" w:name="__RefHeading___Toc3809513_1067777946"/>
      <w:bookmarkStart w:id="3012" w:name="_Toc1269"/>
      <w:bookmarkEnd w:id="3011"/>
      <w:r>
        <w:rPr>
          <w:rtl w:val="true"/>
        </w:rPr>
        <w:t>نذر صوم دهر و مسأله مسافرت در آن</w:t>
      </w:r>
      <w:bookmarkEnd w:id="301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نذر كرد صوم دهر را صحيح است، و عيدين و ايام تشريق در منى ساقط است، و در سفر روزه نمى گيرد اگر چه اختيارى و بدون ضرورت و عذر باشد، مگر آنكه قصد نمايد روزه در اعمّ از سفر و حضر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جواز مسافرت غير ضروريه مشكل است، به جهت وجوب صوم و مقدماتش كه از آنها اقامت و نيّت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جارى است در مسافرت كسى كه بر او قضاى رمضان است، و جواز آن در ضيق وقت، و مبنى بر شرطيت اقامت براى وجوب يا واجب است؛ و بر تقدير دوم، مسافرت اختياريه جائز نيست و تتابع مشروط با آن منقطع مى شود، يعنى كفّاره لازم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در ضيق وقت قضاى رمضان به حضور رمضان ديگر، افطار قبل از زوال، موجب دو كفاره است، مثل افطار بعد از زوال در سعۀ وقت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افطار، احتمال وجوب كفارۀ مُدّى از طعام، قائم است؛ و هم چنين حائض و نفسا كه افطار مى نمايد، قضا بر آنها نيست در اين نذر بدون اشكال؛ و اگر داخل در نذر باشند، كفاره ثابت است و مذكور شد عدم دخول</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 ناذر صوم دهر، قضاى رمضان يا كفاره باشد قبل از نذر يا بعد از آن، به حكم مستثنى است، و تأخير تا ضيق به واسطۀ رمضان ديگر واجب نيست؛ و چون مستثنى است، در ترك عمدى، كفارۀ خلف نذر نيست بنا بر احتمالى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نذر، متعلّق به اعمّ از واجب باشد، پس مستثنى نيست پس در ترك عمدى، كفارۀ خلف نذر هست، مثل خود ماه رمضان نسبت به ناذر صوم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ناذر در دخول و خروج، متّبع است، و قرينه كاشف است، و مقتضاى صدق عرفى و اطلاق، آن است كه ذكر شد بنا بر اقرب از انعقاد نذر واجب</w:t>
      </w:r>
      <w:r>
        <w:rPr>
          <w:rFonts w:eastAsia="IRNazanin" w:cs="IRNazanin"/>
          <w:color w:val="111111"/>
          <w:sz w:val="28"/>
          <w:szCs w:val="28"/>
          <w:rtl w:val="true"/>
          <w:lang w:bidi="fa-IR"/>
        </w:rPr>
        <w:t xml:space="preserve">. </w:t>
      </w:r>
      <w:bookmarkStart w:id="3013" w:name="pg10265_90275"/>
    </w:p>
    <w:p>
      <w:pPr>
        <w:pStyle w:val="Heading4"/>
        <w:numPr>
          <w:ilvl w:val="3"/>
          <w:numId w:val="1"/>
        </w:numPr>
        <w:rPr/>
      </w:pPr>
      <w:bookmarkStart w:id="3014" w:name="__RefHeading___Toc3809515_1067777946"/>
      <w:bookmarkStart w:id="3015" w:name="_Toc1270"/>
      <w:bookmarkEnd w:id="3013"/>
      <w:bookmarkEnd w:id="3014"/>
      <w:r>
        <w:rPr>
          <w:rtl w:val="true"/>
        </w:rPr>
        <w:t>معين نمودن روزى براى قضا</w:t>
      </w:r>
      <w:bookmarkEnd w:id="3015"/>
    </w:p>
    <w:p>
      <w:pPr>
        <w:pStyle w:val="BookText"/>
        <w:rPr/>
      </w:pPr>
      <w:r>
        <w:rPr>
          <w:rFonts w:ascii="IRNazanin" w:hAnsi="IRNazanin" w:eastAsia="IRNazanin"/>
          <w:color w:val="111111"/>
          <w:sz w:val="28"/>
          <w:sz w:val="28"/>
          <w:szCs w:val="28"/>
          <w:rtl w:val="true"/>
          <w:lang w:bidi="fa-IR"/>
        </w:rPr>
        <w:t>اگر با نيت، تعيين كرد روزى را براى قضا، جائز نيست افطار قبل از زوال، و اگر افطار كرد، كفارۀ خلف نذر ثابت است، و اگر بعد از زوال، افطار كرد، اظهر ثبوت كفارۀ خلف نذر و كفارۀ افطار در قضاى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 يمين يا عهد، تعيين كرد ايام قضا را، پس افطار قبل از زوال، موجب دو كفاره است، و افطار بعد از زوال موجب سه كفاره است بنا بر اظهر</w:t>
      </w:r>
      <w:r>
        <w:rPr>
          <w:rFonts w:eastAsia="IRNazanin" w:cs="IRNazanin"/>
          <w:color w:val="111111"/>
          <w:sz w:val="28"/>
          <w:szCs w:val="28"/>
          <w:rtl w:val="true"/>
          <w:lang w:bidi="fa-IR"/>
        </w:rPr>
        <w:t>.</w:t>
      </w:r>
    </w:p>
    <w:p>
      <w:pPr>
        <w:pStyle w:val="Heading4"/>
        <w:numPr>
          <w:ilvl w:val="3"/>
          <w:numId w:val="1"/>
        </w:numPr>
        <w:rPr/>
      </w:pPr>
      <w:bookmarkStart w:id="3016" w:name="__RefHeading___Toc3809517_1067777946"/>
      <w:bookmarkStart w:id="3017" w:name="_Toc1271"/>
      <w:bookmarkEnd w:id="3016"/>
      <w:r>
        <w:rPr>
          <w:rtl w:val="true"/>
        </w:rPr>
        <w:t>نذر صوم يك سال غير معين</w:t>
      </w:r>
      <w:bookmarkEnd w:id="301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نذر كرد صوم يك سال غير معيّن را، مخيّر است بين تتابع يا تفرقه در ماهها بلكه در ايام،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خصوص تتابع يا كشف قرينه؛ پس روزه مى گيرد با عدم شرط تتابع،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را، يا دوازده ماه متّصل، يا دوازده ماه منفصل كه اتّصال در هر يك ماه محفوظ باشد؛ و در اين صورت دو روز براى شوال و ذيحجه در غير منى زياد مى نمايد و اگر ناقص بودند يا يكى از آنها، براى هر ماه ناقص دو روز زياد مى كند تا صدق مقدار يك ماه كه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بنمايد؛ و ايام تشريق اگر در منى باشد ناسك يا مطلقاً، سه روز هم براى آنها افزوده مى نمايد؛ و گذشت كفايت صوم رمضان از نذر؛ پس لازم نيست تدارك عدد يا ماه مخصوصاً در نذر مشروطاً به تتابع و در مثل سنۀ معيّنه، مگر با قصد مخالف</w:t>
      </w:r>
      <w:r>
        <w:rPr>
          <w:rFonts w:eastAsia="IRNazanin" w:cs="IRNazanin"/>
          <w:color w:val="111111"/>
          <w:sz w:val="28"/>
          <w:szCs w:val="28"/>
          <w:rtl w:val="true"/>
          <w:lang w:bidi="fa-IR"/>
        </w:rPr>
        <w:t>.</w:t>
      </w:r>
    </w:p>
    <w:p>
      <w:pPr>
        <w:pStyle w:val="Heading4"/>
        <w:numPr>
          <w:ilvl w:val="3"/>
          <w:numId w:val="1"/>
        </w:numPr>
        <w:rPr/>
      </w:pPr>
      <w:bookmarkStart w:id="3018" w:name="__RefHeading___Toc3809519_1067777946"/>
      <w:bookmarkStart w:id="3019" w:name="_Toc1272"/>
      <w:bookmarkEnd w:id="3018"/>
      <w:r>
        <w:rPr>
          <w:rtl w:val="true"/>
        </w:rPr>
        <w:t xml:space="preserve">مراد از </w:t>
      </w:r>
      <w:r>
        <w:rPr>
          <w:rtl w:val="true"/>
        </w:rPr>
        <w:t>«</w:t>
      </w:r>
      <w:r>
        <w:rPr>
          <w:rtl w:val="true"/>
        </w:rPr>
        <w:t>ماه</w:t>
      </w:r>
      <w:r>
        <w:rPr>
          <w:rtl w:val="true"/>
        </w:rPr>
        <w:t>»</w:t>
      </w:r>
      <w:bookmarkEnd w:id="301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ماه عبارت است از ما بين دو هلال يا سى روز بنا بر احوط؛ پس اگر شوال را روزه گرفت و ناقص در آمد، دو روز بعد از شوال را هم روزه مى گيرد، و قول به اكتفاى به اتمام همان شوال بدون قصد هم ضعيف است، و قولى هم به كفايت يك روز بعد از شوال، منقول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ناذر در منى بود و ذى حجه ناقص در آمد، بعد از صوم بقيه ذى حجه با </w:t>
      </w:r>
      <w:bookmarkStart w:id="3020" w:name="pg10265_90276"/>
    </w:p>
    <w:p>
      <w:pPr>
        <w:pStyle w:val="BookText"/>
        <w:rPr/>
      </w:pPr>
      <w:bookmarkEnd w:id="3020"/>
      <w:r>
        <w:rPr>
          <w:rFonts w:ascii="IRNazanin" w:hAnsi="IRNazanin" w:eastAsia="IRNazanin"/>
          <w:color w:val="111111"/>
          <w:sz w:val="28"/>
          <w:sz w:val="28"/>
          <w:szCs w:val="28"/>
          <w:rtl w:val="true"/>
          <w:lang w:bidi="fa-IR"/>
        </w:rPr>
        <w:t>آنچه گذشته به نحو صحيح، پنج روز بعد از ذى حجه را روزه مى گيرد؛ و بر حسب قول ديگر تكميل خلاف احتياط به چهار روز كافى است</w:t>
      </w:r>
      <w:r>
        <w:rPr>
          <w:rFonts w:eastAsia="IRNazanin" w:cs="IRNazanin"/>
          <w:color w:val="111111"/>
          <w:sz w:val="28"/>
          <w:szCs w:val="28"/>
          <w:rtl w:val="true"/>
          <w:lang w:bidi="fa-IR"/>
        </w:rPr>
        <w:t>.</w:t>
      </w:r>
    </w:p>
    <w:p>
      <w:pPr>
        <w:pStyle w:val="Heading4"/>
        <w:numPr>
          <w:ilvl w:val="3"/>
          <w:numId w:val="1"/>
        </w:numPr>
        <w:rPr/>
      </w:pPr>
      <w:bookmarkStart w:id="3021" w:name="__RefHeading___Toc3809521_1067777946"/>
      <w:bookmarkStart w:id="3022" w:name="_Toc1273"/>
      <w:bookmarkEnd w:id="3021"/>
      <w:r>
        <w:rPr>
          <w:rtl w:val="true"/>
        </w:rPr>
        <w:t>نذر صوم سال و مسأله ماه رمضان و عيدين</w:t>
      </w:r>
      <w:bookmarkEnd w:id="302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سبب نذر صوم سال، تمام سال را از ابتداى محرّم روزه گرفت، پس بنابر كفايت صوم ماه رمضان از واجب به نذر، اتمام ميكند بعد از ذيحجه به دو روز بدل عيدها، مگر آنكه مقصود، تمام از غير عيدين بوده باشد كه اتمام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اگر نذر سال، مطلق بود و قصد مخالفى نداشت، كما اينكه رمضان داخل است و تداركش لازم نيست، عيدين و ايام محرّمه خارجند و تدارك آنها لازم نيست، نه در عدد سال و نه در مقدار ماه بنا بر اظهر؛ و مجرد نقصان ماه براى عيد و ايام تشريق، سبب تعيّن سال عددى نمى شود، بلكه تتابع در ماهها محفوظ مى شود به مقدار سى روز كه بعض آن تدارك ايام عذريه است كه با آنها تتابع مشروط هم منقطع نمى شود؛ و ذكر شد كه مستظهر، تتابع در غير ايام محرّمه از نذر است و اينكه ايام محرّمه تدارك ندارند، و هم چنين ايام محرّمه به حسب اتفاق مثل مسافرتهايى كه واجب بشوند، اگر چه تدارك در بعض موارد، موافق احتياط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شد كه تأخير قضا تا آخر وقت، سبب سقوط نذر و تشخص ايام براى قضا نمى شود، و نذر واجب منعقد است و به واجب اداء مى شود، و با مخالفت، كفّارۀ نذر هم ثابت است</w:t>
      </w:r>
      <w:r>
        <w:rPr>
          <w:rFonts w:eastAsia="Amiri" w:cs="Amiri" w:ascii="Amiri" w:hAnsi="Amiri"/>
          <w:color w:val="111111"/>
          <w:sz w:val="28"/>
          <w:szCs w:val="28"/>
          <w:rtl w:val="true"/>
          <w:lang w:bidi="ar-SA"/>
        </w:rPr>
        <w:t>.</w:t>
      </w:r>
    </w:p>
    <w:p>
      <w:pPr>
        <w:pStyle w:val="Heading4"/>
        <w:numPr>
          <w:ilvl w:val="3"/>
          <w:numId w:val="1"/>
        </w:numPr>
        <w:rPr/>
      </w:pPr>
      <w:bookmarkStart w:id="3023" w:name="__RefHeading___Toc3809523_1067777946"/>
      <w:bookmarkStart w:id="3024" w:name="_Toc1274"/>
      <w:bookmarkEnd w:id="3023"/>
      <w:r>
        <w:rPr>
          <w:rtl w:val="true"/>
        </w:rPr>
        <w:t>مسافرت در نذر روزۀ يك سال</w:t>
      </w:r>
      <w:bookmarkEnd w:id="302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مسافرت بدون عذر، در نذر سال به شرط تتابع اگر راجع به تتابع در غير ايام مسافرت نباشد و راجع به نذر در اعم از سفر نباشد و بنا شد بر عدم جواز اين مسافرت، احوط قطع تتابع و لزوم استيناف است به سبب آن در نذر سال مطلق، و لزوم تدارك به قضا و كفاره است در نذر سال معين</w:t>
      </w:r>
      <w:r>
        <w:rPr>
          <w:rFonts w:eastAsia="IRNazanin" w:cs="IRNazanin"/>
          <w:color w:val="111111"/>
          <w:sz w:val="28"/>
          <w:szCs w:val="28"/>
          <w:rtl w:val="true"/>
          <w:lang w:bidi="fa-IR"/>
        </w:rPr>
        <w:t>.</w:t>
      </w:r>
      <w:bookmarkStart w:id="3025" w:name="pg10265_90277"/>
    </w:p>
    <w:p>
      <w:pPr>
        <w:pStyle w:val="BookText"/>
        <w:rPr/>
      </w:pPr>
      <w:bookmarkEnd w:id="3025"/>
      <w:r>
        <w:rPr>
          <w:rFonts w:ascii="IRNazanin" w:hAnsi="IRNazanin" w:eastAsia="IRNazanin"/>
          <w:color w:val="111111"/>
          <w:sz w:val="28"/>
          <w:sz w:val="28"/>
          <w:szCs w:val="28"/>
          <w:rtl w:val="true"/>
          <w:lang w:bidi="fa-IR"/>
        </w:rPr>
        <w:t>و مسافرت عذريه، قطع تتابع مشروط نمى كند حتى در نذر سال غير معيّن؛ و هم چنين نذر ماه غير معين، به مثل حيض و نفاس قطع تتابع مشروط نمى كند، بلكه تتميم مى نمايد با مقدار فائت به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نذر معين، هم چنين است در صورت عدم فهم استثنا و احاله به صدق عرفى بنا بر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جارى است احتمال كفايت مجاوزت از نصف در حفظ تتابع در ماه، در نذر ماه مشروط به تتابع حتى در نذر ماه غير معين مگر با قصد مخالف چنانچه اشاره به آن شد و موافق با منسوب به شيخ الطائفه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026" w:name="__RefHeading___Toc3809525_1067777946"/>
      <w:bookmarkStart w:id="3027" w:name="_Toc1275"/>
      <w:bookmarkEnd w:id="3026"/>
      <w:r>
        <w:rPr>
          <w:rtl w:val="true"/>
        </w:rPr>
        <w:t>نذر صوم يك ماه پى درپى</w:t>
      </w:r>
      <w:bookmarkEnd w:id="3027"/>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نذر صوم يك ماه پى درپى كرد بايد مقدمةً رعايت نمايد رسيدن ماهى را كه در آن تتابع، ممكن باشد و اقل آن در نصف اول ماه، تتابع حقيقى محفوظ باشد، پس شروع در ذى الحجّه ننمايد، به واسطۀ فصل 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ايام تشريق در منىٰ‌</w:t>
      </w:r>
      <w:r>
        <w:rPr>
          <w:rFonts w:eastAsia="IRNazanin" w:cs="IRNazanin"/>
          <w:color w:val="111111"/>
          <w:sz w:val="28"/>
          <w:szCs w:val="28"/>
          <w:rtl w:val="true"/>
          <w:lang w:bidi="fa-IR"/>
        </w:rPr>
        <w:t>).</w:t>
      </w:r>
    </w:p>
    <w:p>
      <w:pPr>
        <w:pStyle w:val="Heading4"/>
        <w:numPr>
          <w:ilvl w:val="3"/>
          <w:numId w:val="1"/>
        </w:numPr>
        <w:rPr/>
      </w:pPr>
      <w:bookmarkStart w:id="3028" w:name="__RefHeading___Toc3809527_1067777946"/>
      <w:bookmarkStart w:id="3029" w:name="_Toc1276"/>
      <w:bookmarkEnd w:id="3028"/>
      <w:r>
        <w:rPr>
          <w:rtl w:val="true"/>
        </w:rPr>
        <w:t>اعتبار تعين با قصد يا قرينه در فروع نذر</w:t>
      </w:r>
      <w:bookmarkEnd w:id="3029"/>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متبوع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فروع نذر، از مذكورات و غير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تعيّن در قصد و معلوميت آن در شخص هر نذر با ملاحظۀ التفات ناذر و عدم التفات او، همان مقصود او است؛ و با عدم تعيّن يا عدم معلوميت خصوصيّت قصد، مستظهر از كلام با قرينه يا عدم آن است</w:t>
      </w:r>
      <w:r>
        <w:rPr>
          <w:rFonts w:eastAsia="Amiri" w:cs="Amiri" w:ascii="Amiri" w:hAnsi="Amiri"/>
          <w:color w:val="111111"/>
          <w:sz w:val="28"/>
          <w:szCs w:val="28"/>
          <w:rtl w:val="true"/>
          <w:lang w:bidi="ar-SA"/>
        </w:rPr>
        <w:t>.</w:t>
      </w:r>
    </w:p>
    <w:p>
      <w:pPr>
        <w:pStyle w:val="Heading4"/>
        <w:numPr>
          <w:ilvl w:val="3"/>
          <w:numId w:val="1"/>
        </w:numPr>
        <w:rPr/>
      </w:pPr>
      <w:bookmarkStart w:id="3030" w:name="__RefHeading___Toc3809529_1067777946"/>
      <w:bookmarkStart w:id="3031" w:name="_Toc1277"/>
      <w:bookmarkEnd w:id="3030"/>
      <w:r>
        <w:rPr>
          <w:rtl w:val="true"/>
        </w:rPr>
        <w:t>نذر روزۀ واجب</w:t>
      </w:r>
      <w:bookmarkEnd w:id="3031"/>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مذكور شد صحّت نذر واجب، پس نذر صوم رمضان و يمين بر آن و ترامى نذر به تعدّد مفطرات و نحو اينها از مؤكّدات فعل واجب و زواجر ترك آن، منعقد مى شود؛ و دخول صوم رمضان در نذر صوم سال به همين جهت اختيار شد، در صورت عدم قصد مخالف؛ و با حنث نذر و يمين، كفاره هاى متعدّد ثابت مى شود</w:t>
      </w:r>
      <w:r>
        <w:rPr>
          <w:rFonts w:eastAsia="IRNazanin" w:cs="IRNazanin"/>
          <w:color w:val="111111"/>
          <w:sz w:val="28"/>
          <w:szCs w:val="28"/>
          <w:rtl w:val="true"/>
          <w:lang w:bidi="fa-IR"/>
        </w:rPr>
        <w:t>.</w:t>
      </w:r>
      <w:bookmarkStart w:id="3032" w:name="pg10265_90278"/>
    </w:p>
    <w:p>
      <w:pPr>
        <w:pStyle w:val="Heading4"/>
        <w:numPr>
          <w:ilvl w:val="3"/>
          <w:numId w:val="1"/>
        </w:numPr>
        <w:rPr/>
      </w:pPr>
      <w:bookmarkStart w:id="3033" w:name="__RefHeading___Toc3809531_1067777946"/>
      <w:bookmarkStart w:id="3034" w:name="_Toc1278"/>
      <w:bookmarkEnd w:id="3032"/>
      <w:bookmarkEnd w:id="3033"/>
      <w:r>
        <w:rPr>
          <w:rtl w:val="true"/>
        </w:rPr>
        <w:t>نذر معصيت</w:t>
      </w:r>
      <w:bookmarkEnd w:id="3034"/>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نذر معصيت، هيچ قسم آن منعقد نمى شود، و تبديل در مقام وفاى به بدل سائغ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اصل فعل، طاعت است و قيد آن معصيت، تقييد آن لغو است اگر قصد آن، متجدّد بعد از قصد فعل باشد و تماميت نذر و عدم قابليت آن براى اين تقييد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نذر طواف بر دست و پا از غير مُقعِد صحيح نيست بنا بر اظهر، بلكه طواف در حال مشى سالم، مأمور به او است</w:t>
      </w:r>
      <w:r>
        <w:rPr>
          <w:rFonts w:eastAsia="IRNazanin" w:cs="IRNazanin"/>
          <w:color w:val="111111"/>
          <w:sz w:val="28"/>
          <w:szCs w:val="28"/>
          <w:rtl w:val="true"/>
          <w:lang w:bidi="fa-IR"/>
        </w:rPr>
        <w:t>.</w:t>
      </w:r>
    </w:p>
    <w:p>
      <w:pPr>
        <w:pStyle w:val="Heading4"/>
        <w:numPr>
          <w:ilvl w:val="3"/>
          <w:numId w:val="1"/>
        </w:numPr>
        <w:rPr/>
      </w:pPr>
      <w:bookmarkStart w:id="3035" w:name="__RefHeading___Toc3809533_1067777946"/>
      <w:bookmarkStart w:id="3036" w:name="_Toc1279"/>
      <w:bookmarkEnd w:id="3035"/>
      <w:r>
        <w:rPr>
          <w:rtl w:val="true"/>
        </w:rPr>
        <w:t>عجز از اداء نذر</w:t>
      </w:r>
      <w:bookmarkEnd w:id="3036"/>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عاجز شد از اتيان به منذور معين يا غير معين، فريضه در ادا و قضاى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نذر حج در سال معين نمود پس ممنوع و مصدود شد، نذر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اگر عاجز شد از صوم منذور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متمكّن نشد از ايجاد در وقت معين، و مأيوس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عمل به آن در غير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است نذر، و مستحب است براى هر روزى مُدّى از طعام، تسليم فقير نمايد يا آنكه استيجار نمايد كسى را از جانب او روزه بگيرد با دو مدّ از طعام به رجاى محبوبيت، كه واقعيت آن خالى از تأمّل نيست به جهت بُعد نيابت در غير حج از نماز و روزه از احيا اگر چه به نحو استحباب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و الصلاة علىٰ سيّد الأنبياء محمّد و آله سادة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 العبد محمّد تقى بن محمود، يوم السبت، الثامن من ربيع الأوّل</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سنة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في قم المشرّفة</w:t>
      </w:r>
      <w:r>
        <w:rPr>
          <w:rFonts w:eastAsia="Amiri" w:cs="Amiri" w:ascii="Amiri" w:hAnsi="Amiri"/>
          <w:color w:val="111111"/>
          <w:sz w:val="28"/>
          <w:szCs w:val="28"/>
          <w:rtl w:val="true"/>
          <w:lang w:bidi="ar-SA"/>
        </w:rPr>
        <w:t xml:space="preserve">. </w:t>
      </w:r>
      <w:bookmarkStart w:id="3037" w:name="pg10265_90279"/>
    </w:p>
    <w:p>
      <w:pPr>
        <w:pStyle w:val="Heading3"/>
        <w:numPr>
          <w:ilvl w:val="2"/>
          <w:numId w:val="1"/>
        </w:numPr>
        <w:rPr/>
      </w:pPr>
      <w:bookmarkStart w:id="3038" w:name="__RefHeading___Toc3809535_1067777946"/>
      <w:bookmarkStart w:id="3039" w:name="_Toc1280"/>
      <w:bookmarkEnd w:id="3037"/>
      <w:bookmarkEnd w:id="3038"/>
      <w:r>
        <w:rPr>
          <w:rtl w:val="true"/>
        </w:rPr>
        <w:t>فصل چهارم احكام عهد</w:t>
      </w:r>
      <w:bookmarkEnd w:id="3039"/>
    </w:p>
    <w:p>
      <w:pPr>
        <w:pStyle w:val="Heading4"/>
        <w:numPr>
          <w:ilvl w:val="3"/>
          <w:numId w:val="1"/>
        </w:numPr>
        <w:rPr/>
      </w:pPr>
      <w:bookmarkStart w:id="3040" w:name="__RefHeading___Toc3809537_1067777946"/>
      <w:bookmarkStart w:id="3041" w:name="_Toc1281"/>
      <w:bookmarkEnd w:id="3040"/>
      <w:r>
        <w:rPr>
          <w:rtl w:val="true"/>
        </w:rPr>
        <w:t>صيغه و شرايط عهد</w:t>
      </w:r>
      <w:bookmarkEnd w:id="3041"/>
    </w:p>
    <w:p>
      <w:pPr>
        <w:pStyle w:val="BookText"/>
        <w:rPr/>
      </w:pPr>
      <w:r>
        <w:rPr>
          <w:rFonts w:ascii="IRNazanin" w:hAnsi="IRNazanin" w:eastAsia="IRNazanin"/>
          <w:color w:val="111111"/>
          <w:sz w:val="28"/>
          <w:sz w:val="28"/>
          <w:szCs w:val="28"/>
          <w:rtl w:val="true"/>
          <w:lang w:bidi="fa-IR"/>
        </w:rPr>
        <w:t xml:space="preserve">عهد كه صيغۀ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عاهدتُ اللّٰه أن أفعل أو أترك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عهد اللّٰه أن أفعل كذا أو أترك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اطلاق تبرّعى يا مثل آن يا تعليق بر شرط در مقام شكر يا زجر يا غير اينها است، در لحوق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شرائط و كفّاره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يمين يا نذر،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در هر شرط و حكمى، رعايت احوط الاحتمالين است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متساوى الطرفين واقع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كرد، معاملۀ منعقد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 مرجوح، و ترك مندوب يا واجب، يا فعل مكروه يا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چنين رعايت اذن والد و سيّد و زوج نمايد، و اگر بدون آن عهد نمايد، معاملۀ انعقاد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هر موردى كه نذر و يمين، هر دو منعقد مى شوند عهد منعقد مى شود، و در موردى كه هيچ كدام منعقد نمى شوند، عهد منعقد نمى شود؛ و در مورد افتراق نذر و يمين، احتياط ترك نشود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صورت تجدّد اولويّت در خلاف عهد، مى تواند مرتكب شود و حنث نيست بنا بر اظهر</w:t>
      </w:r>
      <w:r>
        <w:rPr>
          <w:rFonts w:eastAsia="Amiri" w:cs="Amiri" w:ascii="Amiri" w:hAnsi="Amiri"/>
          <w:color w:val="111111"/>
          <w:sz w:val="28"/>
          <w:szCs w:val="28"/>
          <w:rtl w:val="true"/>
          <w:lang w:bidi="ar-SA"/>
        </w:rPr>
        <w:t xml:space="preserve">. </w:t>
      </w:r>
      <w:bookmarkStart w:id="3042" w:name="pg10265_90280"/>
    </w:p>
    <w:p>
      <w:pPr>
        <w:pStyle w:val="Heading4"/>
        <w:numPr>
          <w:ilvl w:val="3"/>
          <w:numId w:val="1"/>
        </w:numPr>
        <w:rPr/>
      </w:pPr>
      <w:bookmarkStart w:id="3043" w:name="__RefHeading___Toc3809539_1067777946"/>
      <w:bookmarkStart w:id="3044" w:name="_Toc1282"/>
      <w:bookmarkEnd w:id="3042"/>
      <w:bookmarkEnd w:id="3043"/>
      <w:r>
        <w:rPr>
          <w:rtl w:val="true"/>
        </w:rPr>
        <w:t>كفارۀ عهد</w:t>
      </w:r>
      <w:bookmarkEnd w:id="3044"/>
    </w:p>
    <w:p>
      <w:pPr>
        <w:pStyle w:val="BookText"/>
        <w:rPr/>
      </w:pPr>
      <w:r>
        <w:rPr>
          <w:rFonts w:ascii="Amiri" w:hAnsi="Amiri" w:eastAsia="Amiri" w:cs="Amiri"/>
          <w:color w:val="111111"/>
          <w:sz w:val="28"/>
          <w:sz w:val="28"/>
          <w:szCs w:val="28"/>
          <w:rtl w:val="true"/>
          <w:lang w:bidi="ar-SA"/>
        </w:rPr>
        <w:t>و كفّارۀ آن كبراى مخيّره است بنا بر احوط، و تفصيل آن در كفّارات، مذكور است</w:t>
      </w:r>
      <w:r>
        <w:rPr>
          <w:rFonts w:eastAsia="Amiri" w:cs="Amiri" w:ascii="Amiri" w:hAnsi="Amiri"/>
          <w:color w:val="111111"/>
          <w:sz w:val="28"/>
          <w:szCs w:val="28"/>
          <w:rtl w:val="true"/>
          <w:lang w:bidi="ar-SA"/>
        </w:rPr>
        <w:t>.</w:t>
      </w:r>
    </w:p>
    <w:p>
      <w:pPr>
        <w:pStyle w:val="Heading4"/>
        <w:numPr>
          <w:ilvl w:val="3"/>
          <w:numId w:val="1"/>
        </w:numPr>
        <w:rPr/>
      </w:pPr>
      <w:bookmarkStart w:id="3045" w:name="__RefHeading___Toc3809541_1067777946"/>
      <w:bookmarkStart w:id="3046" w:name="_Toc1283"/>
      <w:bookmarkEnd w:id="3045"/>
      <w:r>
        <w:rPr>
          <w:rtl w:val="true"/>
        </w:rPr>
        <w:t>حكم عهد غير لفظى</w:t>
      </w:r>
      <w:bookmarkEnd w:id="3046"/>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تحقّق عهد و احكام آن، به غير تلفّظ و آنچه قائم مقام آن است در عقود و ايقاعات، به مجرّد قصد و انشاى قلبى تأمّل است، و مقتضاى استقراء، عدم انعقاد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47" w:name="pg10265_90282"/>
      <w:bookmarkStart w:id="3048" w:name="pg10265_90282"/>
      <w:bookmarkEnd w:id="3048"/>
    </w:p>
    <w:p>
      <w:pPr>
        <w:pStyle w:val="Heading2"/>
        <w:numPr>
          <w:ilvl w:val="1"/>
          <w:numId w:val="1"/>
        </w:numPr>
        <w:rPr/>
      </w:pPr>
      <w:bookmarkStart w:id="3049" w:name="pg10265_90282"/>
      <w:bookmarkStart w:id="3050" w:name="__RefHeading___Toc3809543_1067777946"/>
      <w:bookmarkStart w:id="3051" w:name="_Toc1284"/>
      <w:bookmarkEnd w:id="3049"/>
      <w:bookmarkEnd w:id="3050"/>
      <w:r>
        <w:rPr>
          <w:rtl w:val="true"/>
        </w:rPr>
        <w:t>كتاب صيد و ذباحه</w:t>
      </w:r>
      <w:bookmarkEnd w:id="3051"/>
    </w:p>
    <w:p>
      <w:pPr>
        <w:pStyle w:val="Heading3"/>
        <w:numPr>
          <w:ilvl w:val="2"/>
          <w:numId w:val="1"/>
        </w:numPr>
        <w:rPr/>
      </w:pPr>
      <w:bookmarkStart w:id="3052" w:name="__RefHeading___Toc3809545_1067777946"/>
      <w:bookmarkStart w:id="3053" w:name="_Toc1285"/>
      <w:bookmarkEnd w:id="3052"/>
      <w:r>
        <w:rPr>
          <w:rtl w:val="true"/>
        </w:rPr>
        <w:t>اشاره</w:t>
      </w:r>
      <w:bookmarkEnd w:id="3053"/>
    </w:p>
    <w:p>
      <w:pPr>
        <w:pStyle w:val="BookText"/>
        <w:rPr/>
      </w:pPr>
      <w:r>
        <w:rPr>
          <w:rFonts w:ascii="Amiri" w:hAnsi="Amiri" w:eastAsia="Amiri" w:cs="Amiri"/>
          <w:color w:val="111111"/>
          <w:sz w:val="28"/>
          <w:sz w:val="28"/>
          <w:szCs w:val="28"/>
          <w:rtl w:val="true"/>
          <w:lang w:bidi="ar-SA"/>
        </w:rPr>
        <w:t>آلات صيد</w:t>
      </w:r>
    </w:p>
    <w:p>
      <w:pPr>
        <w:pStyle w:val="BookText"/>
        <w:rPr/>
      </w:pPr>
      <w:r>
        <w:rPr>
          <w:rFonts w:ascii="Amiri" w:hAnsi="Amiri" w:eastAsia="Amiri" w:cs="Amiri"/>
          <w:color w:val="111111"/>
          <w:sz w:val="28"/>
          <w:sz w:val="28"/>
          <w:szCs w:val="28"/>
          <w:rtl w:val="true"/>
          <w:lang w:bidi="ar-SA"/>
        </w:rPr>
        <w:t>شرايط شكاركننده</w:t>
      </w:r>
    </w:p>
    <w:p>
      <w:pPr>
        <w:pStyle w:val="BookText"/>
        <w:rPr/>
      </w:pPr>
      <w:r>
        <w:rPr>
          <w:rFonts w:ascii="Amiri" w:hAnsi="Amiri" w:eastAsia="Amiri" w:cs="Amiri"/>
          <w:color w:val="111111"/>
          <w:sz w:val="28"/>
          <w:sz w:val="28"/>
          <w:szCs w:val="28"/>
          <w:rtl w:val="true"/>
          <w:lang w:bidi="ar-SA"/>
        </w:rPr>
        <w:t>احكام اصطياد</w:t>
      </w:r>
    </w:p>
    <w:p>
      <w:pPr>
        <w:pStyle w:val="BookText"/>
        <w:rPr/>
      </w:pPr>
      <w:r>
        <w:rPr>
          <w:rFonts w:ascii="Amiri" w:hAnsi="Amiri" w:eastAsia="Amiri" w:cs="Amiri"/>
          <w:color w:val="111111"/>
          <w:sz w:val="28"/>
          <w:sz w:val="28"/>
          <w:szCs w:val="28"/>
          <w:rtl w:val="true"/>
          <w:lang w:bidi="ar-SA"/>
        </w:rPr>
        <w:t>شرايط ذابح و وسيله ذبح</w:t>
      </w:r>
    </w:p>
    <w:p>
      <w:pPr>
        <w:pStyle w:val="BookText"/>
        <w:rPr/>
      </w:pPr>
      <w:r>
        <w:rPr>
          <w:rFonts w:ascii="Amiri" w:hAnsi="Amiri" w:eastAsia="Amiri" w:cs="Amiri"/>
          <w:color w:val="111111"/>
          <w:sz w:val="28"/>
          <w:sz w:val="28"/>
          <w:szCs w:val="28"/>
          <w:rtl w:val="true"/>
          <w:lang w:bidi="ar-SA"/>
        </w:rPr>
        <w:t>كيفيت و شرايط ذبح</w:t>
      </w:r>
    </w:p>
    <w:p>
      <w:pPr>
        <w:pStyle w:val="BookText"/>
        <w:rPr/>
      </w:pPr>
      <w:r>
        <w:rPr>
          <w:rFonts w:ascii="IRNazanin" w:hAnsi="IRNazanin" w:eastAsia="IRNazanin"/>
          <w:color w:val="111111"/>
          <w:sz w:val="28"/>
          <w:sz w:val="28"/>
          <w:szCs w:val="28"/>
          <w:rtl w:val="true"/>
          <w:lang w:bidi="fa-IR"/>
        </w:rPr>
        <w:t>لواحق ذباحه و مسائلى از ذبح</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مسائلى از احكام صيد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54" w:name="pg10265_90284"/>
      <w:bookmarkStart w:id="3055" w:name="pg10265_90284"/>
      <w:bookmarkEnd w:id="3055"/>
    </w:p>
    <w:p>
      <w:pPr>
        <w:pStyle w:val="Heading3"/>
        <w:numPr>
          <w:ilvl w:val="2"/>
          <w:numId w:val="1"/>
        </w:numPr>
        <w:rPr/>
      </w:pPr>
      <w:bookmarkStart w:id="3056" w:name="pg10265_90284"/>
      <w:bookmarkStart w:id="3057" w:name="__RefHeading___Toc3809547_1067777946"/>
      <w:bookmarkStart w:id="3058" w:name="_Toc1286"/>
      <w:bookmarkEnd w:id="3056"/>
      <w:bookmarkEnd w:id="3057"/>
      <w:r>
        <w:rPr>
          <w:rtl w:val="true"/>
        </w:rPr>
        <w:t>فصل اوّل آلات صيد</w:t>
      </w:r>
      <w:bookmarkEnd w:id="3058"/>
    </w:p>
    <w:p>
      <w:pPr>
        <w:pStyle w:val="Heading4"/>
        <w:numPr>
          <w:ilvl w:val="3"/>
          <w:numId w:val="1"/>
        </w:numPr>
        <w:rPr/>
      </w:pPr>
      <w:bookmarkStart w:id="3059" w:name="__RefHeading___Toc3809549_1067777946"/>
      <w:bookmarkStart w:id="3060" w:name="_Toc1287"/>
      <w:bookmarkEnd w:id="3059"/>
      <w:r>
        <w:rPr>
          <w:rtl w:val="true"/>
        </w:rPr>
        <w:t>اشاره</w:t>
      </w:r>
      <w:bookmarkEnd w:id="3060"/>
    </w:p>
    <w:p>
      <w:pPr>
        <w:pStyle w:val="BookText"/>
        <w:rPr/>
      </w:pPr>
      <w:r>
        <w:rPr>
          <w:rFonts w:ascii="IRNazanin" w:hAnsi="IRNazanin" w:eastAsia="IRNazanin"/>
          <w:color w:val="111111"/>
          <w:sz w:val="28"/>
          <w:sz w:val="28"/>
          <w:szCs w:val="28"/>
          <w:rtl w:val="true"/>
          <w:lang w:bidi="fa-IR"/>
        </w:rPr>
        <w:t>حلال و مذكّى نمى شود به سبب اصطياد بدون ذبح و نحر، حيوانى كه ممتنع است به اصل مگر به واسطۀ كلب معلَّم، نه با سائر حيوانات شكارى اگر چه معلّم يعنى آموخته براى شكار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فرقى بين اقسام كلاب معلّمه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كلب معلّم، فرقى بين طيور معلّمه و سائر حيوانات معلّمه نيست در عدم حلّ‌</w:t>
      </w:r>
      <w:r>
        <w:rPr>
          <w:rFonts w:eastAsia="Amiri" w:cs="Amiri" w:ascii="Amiri" w:hAnsi="Amiri"/>
          <w:color w:val="111111"/>
          <w:sz w:val="28"/>
          <w:szCs w:val="28"/>
          <w:rtl w:val="true"/>
          <w:lang w:bidi="ar-SA"/>
        </w:rPr>
        <w:t>.</w:t>
      </w:r>
    </w:p>
    <w:p>
      <w:pPr>
        <w:pStyle w:val="Heading4"/>
        <w:numPr>
          <w:ilvl w:val="3"/>
          <w:numId w:val="1"/>
        </w:numPr>
        <w:rPr/>
      </w:pPr>
      <w:bookmarkStart w:id="3061" w:name="__RefHeading___Toc3809551_1067777946"/>
      <w:bookmarkStart w:id="3062" w:name="_Toc1288"/>
      <w:bookmarkEnd w:id="3061"/>
      <w:r>
        <w:rPr/>
        <w:t>1</w:t>
      </w:r>
      <w:r>
        <w:rPr>
          <w:rtl w:val="true"/>
        </w:rPr>
        <w:t xml:space="preserve">. </w:t>
      </w:r>
      <w:r>
        <w:rPr>
          <w:rtl w:val="true"/>
        </w:rPr>
        <w:t>اسلحۀ شكار</w:t>
      </w:r>
      <w:bookmarkEnd w:id="3062"/>
    </w:p>
    <w:p>
      <w:pPr>
        <w:pStyle w:val="Heading5"/>
        <w:numPr>
          <w:ilvl w:val="4"/>
          <w:numId w:val="1"/>
        </w:numPr>
        <w:rPr/>
      </w:pPr>
      <w:bookmarkStart w:id="3063" w:name="__RefHeading___Toc3809553_1067777946"/>
      <w:bookmarkStart w:id="3064" w:name="_Toc1289"/>
      <w:bookmarkEnd w:id="3063"/>
      <w:r>
        <w:rPr>
          <w:rtl w:val="true"/>
        </w:rPr>
        <w:t>تيزى در اسلحه</w:t>
      </w:r>
      <w:bookmarkEnd w:id="3064"/>
    </w:p>
    <w:p>
      <w:pPr>
        <w:pStyle w:val="BookText"/>
        <w:rPr/>
      </w:pPr>
      <w:r>
        <w:rPr>
          <w:rFonts w:ascii="IRNazanin" w:hAnsi="IRNazanin" w:eastAsia="IRNazanin"/>
          <w:color w:val="111111"/>
          <w:sz w:val="28"/>
          <w:sz w:val="28"/>
          <w:szCs w:val="28"/>
          <w:rtl w:val="true"/>
          <w:lang w:bidi="fa-IR"/>
        </w:rPr>
        <w:t>و اما آلت اصطياد به غير حيوانات، پس آنچه مشتمل بر آهن تيزى باشد كه اصابه اش با تيزى آن است، مثل شمشير و نيزه و تير و چاقو و خنجر و نحو اينها حتى عصاى كوچكى كه در طرف آن آهن تيزى باشد، موجب حلّيت مقتول با آن است با تسميه در حال زدن با آنها، و اختصاص به اسلحه متعارفه ندارد، بلكه مطلق آلات حديديّۀ قتّاله مثل شمشير و نيزه است در صورت صدق سلاح</w:t>
      </w:r>
      <w:r>
        <w:rPr>
          <w:rFonts w:eastAsia="IRNazanin" w:cs="IRNazanin"/>
          <w:color w:val="111111"/>
          <w:sz w:val="28"/>
          <w:szCs w:val="28"/>
          <w:rtl w:val="true"/>
          <w:lang w:bidi="fa-IR"/>
        </w:rPr>
        <w:t>.</w:t>
      </w:r>
    </w:p>
    <w:p>
      <w:pPr>
        <w:pStyle w:val="Heading5"/>
        <w:numPr>
          <w:ilvl w:val="4"/>
          <w:numId w:val="1"/>
        </w:numPr>
        <w:rPr/>
      </w:pPr>
      <w:bookmarkStart w:id="3065" w:name="__RefHeading___Toc3809555_1067777946"/>
      <w:bookmarkStart w:id="3066" w:name="_Toc1290"/>
      <w:bookmarkEnd w:id="3065"/>
      <w:r>
        <w:rPr>
          <w:rtl w:val="true"/>
        </w:rPr>
        <w:t>اعتبار شكافندگى</w:t>
      </w:r>
      <w:bookmarkEnd w:id="3066"/>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بايد آلت خارقه باشد و داخل حيوان بشود اگر چه كمى باشد نه آنكه با ثقل، قاتل باشد؛ و حديد بودن آلت در حال اختيار احوط است</w:t>
      </w:r>
      <w:r>
        <w:rPr>
          <w:rFonts w:eastAsia="IRNazanin" w:cs="IRNazanin"/>
          <w:color w:val="111111"/>
          <w:sz w:val="28"/>
          <w:szCs w:val="28"/>
          <w:rtl w:val="true"/>
          <w:lang w:bidi="fa-IR"/>
        </w:rPr>
        <w:t xml:space="preserve">. </w:t>
      </w:r>
      <w:bookmarkStart w:id="3067" w:name="pg10265_90285"/>
    </w:p>
    <w:p>
      <w:pPr>
        <w:pStyle w:val="BookText"/>
        <w:rPr/>
      </w:pPr>
      <w:bookmarkEnd w:id="3067"/>
      <w:r>
        <w:rPr>
          <w:rFonts w:ascii="IRNazanin" w:hAnsi="IRNazanin" w:eastAsia="IRNazanin"/>
          <w:color w:val="111111"/>
          <w:sz w:val="28"/>
          <w:sz w:val="28"/>
          <w:szCs w:val="28"/>
          <w:rtl w:val="true"/>
          <w:lang w:bidi="fa-IR"/>
        </w:rPr>
        <w:t>و آنچه اصابت به عَرْض مى كند و مشتمل بر حديد است مثل معراض حلّيت با آن منوط به خارق بودن آن است اگر چه كمى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سلاحى كه بى سر تيز باشد يا آنكه اصابت به عرض كرده باشد اگر داخل گوشت شد اگر چه كمى باشد و قاتل شد، حلال مى شود مقتول به آن</w:t>
      </w:r>
      <w:r>
        <w:rPr>
          <w:rFonts w:eastAsia="IRNazanin" w:cs="IRNazanin"/>
          <w:color w:val="111111"/>
          <w:sz w:val="28"/>
          <w:szCs w:val="28"/>
          <w:rtl w:val="true"/>
          <w:lang w:bidi="fa-IR"/>
        </w:rPr>
        <w:t>.</w:t>
      </w:r>
    </w:p>
    <w:p>
      <w:pPr>
        <w:pStyle w:val="Heading5"/>
        <w:numPr>
          <w:ilvl w:val="4"/>
          <w:numId w:val="1"/>
        </w:numPr>
        <w:rPr/>
      </w:pPr>
      <w:bookmarkStart w:id="3068" w:name="__RefHeading___Toc3809557_1067777946"/>
      <w:bookmarkStart w:id="3069" w:name="_Toc1291"/>
      <w:bookmarkEnd w:id="3068"/>
      <w:r>
        <w:rPr>
          <w:rtl w:val="true"/>
        </w:rPr>
        <w:t>تير و نيزه</w:t>
      </w:r>
      <w:bookmarkEnd w:id="3069"/>
    </w:p>
    <w:p>
      <w:pPr>
        <w:pStyle w:val="BookText"/>
        <w:rPr/>
      </w:pPr>
      <w:r>
        <w:rPr>
          <w:rFonts w:ascii="IRNazanin" w:hAnsi="IRNazanin" w:eastAsia="IRNazanin"/>
          <w:color w:val="111111"/>
          <w:sz w:val="28"/>
          <w:sz w:val="28"/>
          <w:szCs w:val="28"/>
          <w:rtl w:val="true"/>
          <w:lang w:bidi="fa-IR"/>
        </w:rPr>
        <w:t xml:space="preserve">و اظهر در مثل تير و نيزه، حليت است با اتفاق اعتراض و عدم جرح و خرق اگر قتل با آنها با تسميه باشد، و احوط وجوباً اقتصار بر صورت احتمال آنكه با تيزى خورده و با عرض نشسته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3070" w:name="__RefHeading___Toc3809559_1067777946"/>
      <w:bookmarkStart w:id="3071" w:name="_Toc1292"/>
      <w:bookmarkEnd w:id="3070"/>
      <w:r>
        <w:rPr>
          <w:rtl w:val="true"/>
        </w:rPr>
        <w:t>اعتبار حديديت</w:t>
      </w:r>
      <w:bookmarkEnd w:id="3071"/>
    </w:p>
    <w:p>
      <w:pPr>
        <w:pStyle w:val="BookText"/>
        <w:rPr/>
      </w:pPr>
      <w:r>
        <w:rPr>
          <w:rFonts w:ascii="IRNazanin" w:hAnsi="IRNazanin" w:eastAsia="IRNazanin"/>
          <w:color w:val="111111"/>
          <w:sz w:val="28"/>
          <w:sz w:val="28"/>
          <w:szCs w:val="28"/>
          <w:rtl w:val="true"/>
          <w:lang w:bidi="fa-IR"/>
        </w:rPr>
        <w:t>پس بايد سلاح، حديد محدّد باشد و سر تيزى داشته باشد اگر چه اتفاقاً پاره نكند بدن را بلكه به عرض اصابت نمايد لكن پيكان دارد، مثل تير و نيزه و تيغ و كارد، و احتياط مذكور رعايت شود؛ يا آنكه آلتى باشد كه پاره كند اگر اصابت با تيزى سر بكند و به عرض اصابت نكند؛ و مجرد قتل با ثقل در مثل عمود حديد،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اعتبار حديد در هر دو قسم در حال اختيار احوط است، لكن مسمّاى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پيكان ندارد و محدّد و قابل خرق است اگر چه چوب باشد و خرق نمايد، پاك و حلال كننده است، و ظاهراً خرق آن به جهت اصابت به آن طرفى است كه محدّد است، نه اصابت به عرض از محدّد؛ و اگر به مجرد فشار و ثقل داخل شود، مشكل است</w:t>
      </w:r>
      <w:r>
        <w:rPr>
          <w:rFonts w:eastAsia="IRNazanin" w:cs="IRNazanin"/>
          <w:color w:val="111111"/>
          <w:sz w:val="28"/>
          <w:szCs w:val="28"/>
          <w:rtl w:val="true"/>
          <w:lang w:bidi="fa-IR"/>
        </w:rPr>
        <w:t>.</w:t>
      </w:r>
    </w:p>
    <w:p>
      <w:pPr>
        <w:pStyle w:val="Heading5"/>
        <w:numPr>
          <w:ilvl w:val="4"/>
          <w:numId w:val="1"/>
        </w:numPr>
        <w:rPr/>
      </w:pPr>
      <w:bookmarkStart w:id="3072" w:name="__RefHeading___Toc3809561_1067777946"/>
      <w:bookmarkStart w:id="3073" w:name="_Toc1293"/>
      <w:bookmarkEnd w:id="3072"/>
      <w:r>
        <w:rPr>
          <w:rtl w:val="true"/>
        </w:rPr>
        <w:t>تفنگ و بندقه و سنگ و ساچمه</w:t>
      </w:r>
      <w:bookmarkEnd w:id="3073"/>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سلاح معروف به تفنگ كه آهن دارد و خرق مى نمايد كافى است در تذكيه در صورتى كه گلوله مثل مدوّر نباشد، بلكه محدّد باشد كه با تيزى سر آن پاره كند نه با </w:t>
      </w:r>
      <w:bookmarkStart w:id="3074" w:name="pg10265_90286"/>
    </w:p>
    <w:p>
      <w:pPr>
        <w:pStyle w:val="BookText"/>
        <w:rPr/>
      </w:pPr>
      <w:bookmarkEnd w:id="3074"/>
      <w:r>
        <w:rPr>
          <w:rFonts w:ascii="Amiri" w:hAnsi="Amiri" w:eastAsia="Amiri" w:cs="Amiri"/>
          <w:color w:val="111111"/>
          <w:sz w:val="28"/>
          <w:sz w:val="28"/>
          <w:szCs w:val="28"/>
          <w:rtl w:val="true"/>
          <w:lang w:bidi="ar-SA"/>
        </w:rPr>
        <w:t>فشار يا حرارت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بندقه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گلولۀ گلين و مانند آن است كه مى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 اظهر عدم حلّيت است اگر چه خرق نمايند؛ و هم چنين آهنى كه با ثقل يا 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آهن مدوّر مثل معروف به ساچمه اگر خرق و جرح نمايد پس محتمل است لحوق آن به بندقه نه به معراض، بلكه اين احتمال قريب است</w:t>
      </w:r>
      <w:r>
        <w:rPr>
          <w:rFonts w:eastAsia="IRNazanin" w:cs="IRNazanin"/>
          <w:color w:val="111111"/>
          <w:sz w:val="28"/>
          <w:szCs w:val="28"/>
          <w:rtl w:val="true"/>
          <w:lang w:bidi="fa-IR"/>
        </w:rPr>
        <w:t>.</w:t>
      </w:r>
    </w:p>
    <w:p>
      <w:pPr>
        <w:pStyle w:val="Heading5"/>
        <w:numPr>
          <w:ilvl w:val="4"/>
          <w:numId w:val="1"/>
        </w:numPr>
        <w:rPr/>
      </w:pPr>
      <w:bookmarkStart w:id="3075" w:name="__RefHeading___Toc3809563_1067777946"/>
      <w:bookmarkStart w:id="3076" w:name="_Toc1294"/>
      <w:bookmarkEnd w:id="3075"/>
      <w:r>
        <w:rPr>
          <w:rtl w:val="true"/>
        </w:rPr>
        <w:t>عدم اعتبار وحدت آلت و وحدت صياد</w:t>
      </w:r>
      <w:bookmarkEnd w:id="3076"/>
    </w:p>
    <w:p>
      <w:pPr>
        <w:pStyle w:val="BookText"/>
        <w:rPr/>
      </w:pPr>
      <w:r>
        <w:rPr>
          <w:rFonts w:ascii="IRNazanin" w:hAnsi="IRNazanin" w:eastAsia="IRNazanin"/>
          <w:color w:val="111111"/>
          <w:sz w:val="28"/>
          <w:sz w:val="28"/>
          <w:szCs w:val="28"/>
          <w:rtl w:val="true"/>
          <w:lang w:bidi="fa-IR"/>
        </w:rPr>
        <w:t xml:space="preserve">معتبر نيست در اصطياد و حليت به سبب آن، وحدت آلت به حسب شخص و سنخ، و نه وحدت صياد؛ پس دو نفر اگر به دو آلت حديديّه، يا آنكه يكى با سهم و ديگرى با ارسال كلب، اصطياد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زمان، مقتول به دو سبب شد، حلال است با تسميه و سائر شروط در هر دو سبب از هر دو صائد</w:t>
      </w:r>
      <w:r>
        <w:rPr>
          <w:rFonts w:eastAsia="IRNazanin" w:cs="IRNazanin"/>
          <w:color w:val="111111"/>
          <w:sz w:val="28"/>
          <w:szCs w:val="28"/>
          <w:rtl w:val="true"/>
          <w:lang w:bidi="fa-IR"/>
        </w:rPr>
        <w:t>.</w:t>
      </w:r>
    </w:p>
    <w:p>
      <w:pPr>
        <w:pStyle w:val="Heading4"/>
        <w:numPr>
          <w:ilvl w:val="3"/>
          <w:numId w:val="1"/>
        </w:numPr>
        <w:rPr/>
      </w:pPr>
      <w:bookmarkStart w:id="3077" w:name="__RefHeading___Toc3809565_1067777946"/>
      <w:bookmarkStart w:id="3078" w:name="_Toc1295"/>
      <w:bookmarkEnd w:id="3077"/>
      <w:r>
        <w:rPr/>
        <w:t>2</w:t>
      </w:r>
      <w:r>
        <w:rPr>
          <w:rtl w:val="true"/>
        </w:rPr>
        <w:t xml:space="preserve">. </w:t>
      </w:r>
      <w:r>
        <w:rPr>
          <w:rtl w:val="true"/>
        </w:rPr>
        <w:t>معلَّم بودن سگ شكارى</w:t>
      </w:r>
      <w:bookmarkEnd w:id="3078"/>
    </w:p>
    <w:p>
      <w:pPr>
        <w:pStyle w:val="Heading5"/>
        <w:numPr>
          <w:ilvl w:val="4"/>
          <w:numId w:val="1"/>
        </w:numPr>
        <w:rPr/>
      </w:pPr>
      <w:bookmarkStart w:id="3079" w:name="__RefHeading___Toc3809567_1067777946"/>
      <w:bookmarkStart w:id="3080" w:name="_Toc1296"/>
      <w:bookmarkEnd w:id="3079"/>
      <w:r>
        <w:rPr>
          <w:rtl w:val="true"/>
        </w:rPr>
        <w:t>اشاره</w:t>
      </w:r>
      <w:bookmarkEnd w:id="3080"/>
    </w:p>
    <w:p>
      <w:pPr>
        <w:pStyle w:val="BookText"/>
        <w:rPr/>
      </w:pPr>
      <w:r>
        <w:rPr>
          <w:rFonts w:ascii="IRNazanin" w:hAnsi="IRNazanin" w:eastAsia="IRNazanin"/>
          <w:color w:val="111111"/>
          <w:sz w:val="28"/>
          <w:sz w:val="28"/>
          <w:szCs w:val="28"/>
          <w:rtl w:val="true"/>
          <w:lang w:bidi="fa-IR"/>
        </w:rPr>
        <w:t xml:space="preserve">معتبر است در اباحۀ آنچه كلب، صيد مى نمايد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يعنى آموخته باشد شكار را به نحوى كه در عرف اهلش شكارى باشد، و اين نمى شود مگر آنكه طورى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فرستادن صاحبش برود و به زجر او قبل از فرستادن و بعد از آن خوددارى از رفتن نمايد در موقعى كه مثلاً در نظر صاحب آن ضرر دارد به شكار كردن رفتن آن</w:t>
      </w:r>
      <w:r>
        <w:rPr>
          <w:rFonts w:eastAsia="IRNazanin" w:cs="IRNazanin"/>
          <w:color w:val="111111"/>
          <w:sz w:val="28"/>
          <w:szCs w:val="28"/>
          <w:rtl w:val="true"/>
          <w:lang w:bidi="fa-IR"/>
        </w:rPr>
        <w:t>.</w:t>
      </w:r>
    </w:p>
    <w:p>
      <w:pPr>
        <w:pStyle w:val="Heading5"/>
        <w:numPr>
          <w:ilvl w:val="4"/>
          <w:numId w:val="1"/>
        </w:numPr>
        <w:rPr/>
      </w:pPr>
      <w:bookmarkStart w:id="3081" w:name="__RefHeading___Toc3809569_1067777946"/>
      <w:bookmarkStart w:id="3082" w:name="_Toc1297"/>
      <w:bookmarkEnd w:id="3081"/>
      <w:r>
        <w:rPr>
          <w:rtl w:val="true"/>
        </w:rPr>
        <w:t>اعتبار عدم اكل توسط كلب معلّم</w:t>
      </w:r>
      <w:bookmarkEnd w:id="3082"/>
    </w:p>
    <w:p>
      <w:pPr>
        <w:pStyle w:val="BookText"/>
        <w:rPr/>
      </w:pPr>
      <w:r>
        <w:rPr>
          <w:rFonts w:ascii="IRNazanin" w:hAnsi="IRNazanin" w:eastAsia="IRNazanin"/>
          <w:color w:val="111111"/>
          <w:sz w:val="28"/>
          <w:sz w:val="28"/>
          <w:szCs w:val="28"/>
          <w:rtl w:val="true"/>
          <w:lang w:bidi="fa-IR"/>
        </w:rPr>
        <w:t xml:space="preserve">و اما اعتبار عدم اكل مگر در نادر از اوقات شكار پس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 قول به عدم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به جماعتى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روايت شايد اشهر است؛ و محل اختلاف، اكل در حال قتل است اگر چه محتمل باشد، نه اكل بعد از آن و بعد از رسيدن صاحب آن يا قبل از قتل كه فرض مى شود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اعتبار عدم اكل است به حسب ملكه، وگرنه عرفيت ندارد شكارى </w:t>
      </w:r>
      <w:bookmarkStart w:id="3083" w:name="pg10265_90287"/>
    </w:p>
    <w:p>
      <w:pPr>
        <w:pStyle w:val="BookText"/>
        <w:rPr/>
      </w:pPr>
      <w:bookmarkEnd w:id="3083"/>
      <w:r>
        <w:rPr>
          <w:rFonts w:ascii="Amiri" w:hAnsi="Amiri" w:eastAsia="Amiri" w:cs="Amiri"/>
          <w:color w:val="111111"/>
          <w:sz w:val="28"/>
          <w:sz w:val="28"/>
          <w:szCs w:val="28"/>
          <w:rtl w:val="true"/>
          <w:lang w:bidi="ar-SA"/>
        </w:rPr>
        <w:t>بودن و معلَّمِ عرفى نيست؛ و از اين جهت عدم اكل را از محققات و شروط معلّم بودن ذكر فرموده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معلّم باشد در عرف، اكل اتفاقى ضرر ندارد بنابر اظهر، و عدم اكل رأساً در كمال تعليم ضرر دارد، و اما آشاميدن خون مقتول پس مطلقاً مضرّ نيست</w:t>
      </w:r>
      <w:r>
        <w:rPr>
          <w:rFonts w:eastAsia="IRNazanin" w:cs="IRNazanin"/>
          <w:color w:val="111111"/>
          <w:sz w:val="28"/>
          <w:szCs w:val="28"/>
          <w:rtl w:val="true"/>
          <w:lang w:bidi="fa-IR"/>
        </w:rPr>
        <w:t>.</w:t>
      </w:r>
    </w:p>
    <w:p>
      <w:pPr>
        <w:pStyle w:val="Heading5"/>
        <w:numPr>
          <w:ilvl w:val="4"/>
          <w:numId w:val="1"/>
        </w:numPr>
        <w:rPr/>
      </w:pPr>
      <w:bookmarkStart w:id="3084" w:name="__RefHeading___Toc3809571_1067777946"/>
      <w:bookmarkStart w:id="3085" w:name="_Toc1298"/>
      <w:bookmarkEnd w:id="3084"/>
      <w:r>
        <w:rPr>
          <w:rtl w:val="true"/>
        </w:rPr>
        <w:t>حدّ تعليم كلب معلّم</w:t>
      </w:r>
      <w:bookmarkEnd w:id="3085"/>
    </w:p>
    <w:p>
      <w:pPr>
        <w:pStyle w:val="BookText"/>
        <w:rPr/>
      </w:pPr>
      <w:r>
        <w:rPr>
          <w:rFonts w:ascii="IRNazanin" w:hAnsi="IRNazanin" w:eastAsia="IRNazanin"/>
          <w:color w:val="111111"/>
          <w:sz w:val="28"/>
          <w:sz w:val="28"/>
          <w:szCs w:val="28"/>
          <w:rtl w:val="true"/>
          <w:lang w:bidi="fa-IR"/>
        </w:rPr>
        <w:t>و حدّ تعليم، تكرار مفيد ظن به حصول آن به اتّصاف به امور ثلاثۀ مذكوره است به حدّى كه ظن به ملكۀ اتصاف به صفات مذكوره اگر چه در زمان كوتاهى باشد حاصل شود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احراز تعليم، حكم به حليت صيد آن مى شود تا زمان يقين به زوال ملكه آن مثل سائر ملكات در سائر صنايع بنا بر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مرتبه اگر اكل نادر اتفاق افتاد موجب زوال ملكه و آثار آن نمى شود و حلّيت مأكول مقتول، باقى است، و اصطيادهاى بعدى محكوم به حلّيت مأكول خواهد بود تا احراز زوال ملكۀ حاصلۀ از تعليم</w:t>
      </w:r>
      <w:r>
        <w:rPr>
          <w:rFonts w:eastAsia="IRNazanin" w:cs="IRNazanin"/>
          <w:color w:val="111111"/>
          <w:sz w:val="28"/>
          <w:szCs w:val="28"/>
          <w:rtl w:val="true"/>
          <w:lang w:bidi="fa-IR"/>
        </w:rPr>
        <w:t xml:space="preserve">. </w:t>
      </w:r>
      <w:bookmarkStart w:id="3086" w:name="pg10265_90288"/>
    </w:p>
    <w:p>
      <w:pPr>
        <w:pStyle w:val="Heading3"/>
        <w:numPr>
          <w:ilvl w:val="2"/>
          <w:numId w:val="1"/>
        </w:numPr>
        <w:rPr/>
      </w:pPr>
      <w:bookmarkStart w:id="3087" w:name="__RefHeading___Toc3809573_1067777946"/>
      <w:bookmarkStart w:id="3088" w:name="_Toc1299"/>
      <w:bookmarkEnd w:id="3086"/>
      <w:bookmarkEnd w:id="3087"/>
      <w:r>
        <w:rPr>
          <w:rtl w:val="true"/>
        </w:rPr>
        <w:t>فصل دوّم شرايط شكاركننده</w:t>
      </w:r>
      <w:bookmarkEnd w:id="3088"/>
    </w:p>
    <w:p>
      <w:pPr>
        <w:pStyle w:val="Heading4"/>
        <w:numPr>
          <w:ilvl w:val="3"/>
          <w:numId w:val="1"/>
        </w:numPr>
        <w:rPr/>
      </w:pPr>
      <w:bookmarkStart w:id="3089" w:name="__RefHeading___Toc3809575_1067777946"/>
      <w:bookmarkStart w:id="3090" w:name="_Toc1300"/>
      <w:bookmarkEnd w:id="3089"/>
      <w:r>
        <w:rPr>
          <w:rtl w:val="true"/>
        </w:rPr>
        <w:t>اعتبار اسلام و عقل و تميز</w:t>
      </w:r>
      <w:bookmarkEnd w:id="30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معتبر است در تذكيه به ارسال كلب و رمى به مذكورات، اينكه مُرسِل و رامى مسلمان باشد يا به حكم او، مثل طفل مميّز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ارسال محكوم به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مجوسى و وثنى و مرتدّ از مسلمين و ناصبى و غالى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پاك و حلال بودن نمى شود، و در يهودى و نصرانى خلاف است و خواهد إن شاء اللّٰه مذكور شد؛ و هم چنين ارسال مجنون و غير مميّز موجب تذكيه نمى شود</w:t>
      </w:r>
      <w:r>
        <w:rPr>
          <w:rFonts w:eastAsia="IRNazanin" w:cs="IRNazanin"/>
          <w:color w:val="111111"/>
          <w:sz w:val="28"/>
          <w:szCs w:val="28"/>
          <w:rtl w:val="true"/>
          <w:lang w:bidi="fa-IR"/>
        </w:rPr>
        <w:t>.</w:t>
      </w:r>
    </w:p>
    <w:p>
      <w:pPr>
        <w:pStyle w:val="Heading4"/>
        <w:numPr>
          <w:ilvl w:val="3"/>
          <w:numId w:val="1"/>
        </w:numPr>
        <w:rPr/>
      </w:pPr>
      <w:bookmarkStart w:id="3091" w:name="__RefHeading___Toc3809577_1067777946"/>
      <w:bookmarkStart w:id="3092" w:name="_Toc1301"/>
      <w:bookmarkEnd w:id="3091"/>
      <w:r>
        <w:rPr>
          <w:rtl w:val="true"/>
        </w:rPr>
        <w:t>اعتبار ارسال كلب براى اصطياد نه براى غير آن</w:t>
      </w:r>
      <w:bookmarkEnd w:id="309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معتبر است كه ارسال كلب براى اصطياد باشد، و هم چنين بايد هدف در رمى، صيد باشد، نه غير صيد كه مصادف به وقوع بر صيد شده باشد، يا آنكه بدون اختيار از دست او خارج شد و به صيدى اصابت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كلب معلّم را بعد از استرسال، با زجر نگاهداشت پس از آن ارسال كرد با تسميه، پاك و حلال است مقتول آن، نه آنكه اول خودش برود و در اثناى تحريص نمايد پس اصابت نمايد صيد را بدون زجر در اثنا و بدون زيادتى عَدْو و سرعت؛ و اگر زيادتى به سبب اغراء بعد از رفتن حاصل شد، اظهر عدم تذكيه است، به سبب استناد به مجموع نه به خصوص محلّل</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چنين اگر در اثنا، زجر كرد و منزجر نشد و بر عدو و سرعت در رفتن به سوى صيد افزود كه زجر مثل عدم آن شد</w:t>
      </w:r>
      <w:r>
        <w:rPr>
          <w:rFonts w:eastAsia="IRNazanin" w:cs="IRNazanin"/>
          <w:color w:val="111111"/>
          <w:sz w:val="28"/>
          <w:szCs w:val="28"/>
          <w:rtl w:val="true"/>
          <w:lang w:bidi="fa-IR"/>
        </w:rPr>
        <w:t xml:space="preserve">. </w:t>
      </w:r>
      <w:bookmarkStart w:id="3093" w:name="pg10265_90289"/>
    </w:p>
    <w:p>
      <w:pPr>
        <w:pStyle w:val="BookText"/>
        <w:rPr/>
      </w:pPr>
      <w:bookmarkEnd w:id="3093"/>
      <w:r>
        <w:rPr>
          <w:rFonts w:ascii="IRNazanin" w:hAnsi="IRNazanin" w:eastAsia="IRNazanin"/>
          <w:color w:val="111111"/>
          <w:sz w:val="28"/>
          <w:sz w:val="28"/>
          <w:szCs w:val="28"/>
          <w:rtl w:val="true"/>
          <w:lang w:bidi="fa-IR"/>
        </w:rPr>
        <w:t xml:space="preserve">پس اگر مجوسى ارسال كرد و مسلمان اغراء كرد و زيادتى عدو حاصل شد، موجب حلّيت نمى شود؛ و هم چنين اگر مسلم ارسال كرد و مجوسى در اثناى اغراء و تحريص نمود، حليت حاصل نمى شود،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اصطياد به مجموع دو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حسب احتمال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باشد بنا بر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بين اين دو صورت به حليت در دومى فقط، غير مقبول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ارسال متعقب به اغراء غير شد يا به عكس، و كلب، مملوكِ مُرسل يا مُغرى يا هر دو بود، اظهر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اجتماع شروط در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مالكيّت هر دو است صيد را به شراكت، به جهت اشتراك در سبب مملّك؛ مگر از امارات، استظهار بشود عدم تأثير لاحق در چيزى و امارۀ تأثير به زيادتى عدو هم نباشد، كه مختصّ به اوّلى است، اگر چه غاصبِ كلب باشد، اگر چه مغصوب منه، دومى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مرسل براى غير اصطياد ارسال نمود پس كلب اصطياد نمود، تأثيرى در حليت و پاك بودن نمى نمايد</w:t>
      </w:r>
      <w:r>
        <w:rPr>
          <w:rFonts w:eastAsia="IRNazanin" w:cs="IRNazanin"/>
          <w:color w:val="111111"/>
          <w:sz w:val="28"/>
          <w:szCs w:val="28"/>
          <w:rtl w:val="true"/>
          <w:lang w:bidi="fa-IR"/>
        </w:rPr>
        <w:t>.</w:t>
      </w:r>
    </w:p>
    <w:p>
      <w:pPr>
        <w:pStyle w:val="Heading4"/>
        <w:numPr>
          <w:ilvl w:val="3"/>
          <w:numId w:val="1"/>
        </w:numPr>
        <w:rPr/>
      </w:pPr>
      <w:bookmarkStart w:id="3094" w:name="__RefHeading___Toc3809579_1067777946"/>
      <w:bookmarkStart w:id="3095" w:name="_Toc1302"/>
      <w:bookmarkEnd w:id="3094"/>
      <w:r>
        <w:rPr>
          <w:rtl w:val="true"/>
        </w:rPr>
        <w:t>اعتبار تسميه، قبل از اصابت</w:t>
      </w:r>
      <w:bookmarkEnd w:id="309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معتبر است در هر يك از ارسال كلب و رمى به سهم مثلاً و ذبح و نحر، تسميه؛ پس اگر عمداً ترك كرد حلال نمى شود مقتول در اين موارد؛ و اگر از روى نسيان ترك تسميه نمود، ضرر نمى رساند به تذكيه حيوان مقتول در صورتى كه معتقد وجوب يا معتاد به فعل آن با اعتقاد عدم وجوب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معتبر است در حلّيت با تسميه، وقوع آن در حين ارسال كلب و رمى با سهم مثلاً، يا كافى است اگر قبل از اصابت تسميه نمايد؟ احوط اوّل است در حال عمد و اظهر دوم است؛ و مستفاد از نصوص، اعتبار عدم تقديم بر ارسال و رمى است، نه عدم تأخير تا زمان متّصل به زمان اصابت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تدارك آن اگر ترك كرد از روى نسيان، وقت ارسال و رمى در ما قبل اصابت، لازم و مجزى است</w:t>
      </w:r>
      <w:r>
        <w:rPr>
          <w:rFonts w:eastAsia="IRNazanin" w:cs="IRNazanin"/>
          <w:color w:val="111111"/>
          <w:sz w:val="28"/>
          <w:szCs w:val="28"/>
          <w:rtl w:val="true"/>
          <w:lang w:bidi="fa-IR"/>
        </w:rPr>
        <w:t xml:space="preserve">. </w:t>
      </w:r>
      <w:bookmarkStart w:id="3096" w:name="pg10265_90290"/>
    </w:p>
    <w:p>
      <w:pPr>
        <w:pStyle w:val="Heading4"/>
        <w:numPr>
          <w:ilvl w:val="3"/>
          <w:numId w:val="1"/>
        </w:numPr>
        <w:rPr/>
      </w:pPr>
      <w:bookmarkStart w:id="3097" w:name="__RefHeading___Toc3809581_1067777946"/>
      <w:bookmarkStart w:id="3098" w:name="_Toc1303"/>
      <w:bookmarkEnd w:id="3096"/>
      <w:bookmarkEnd w:id="3097"/>
      <w:r>
        <w:rPr>
          <w:rtl w:val="true"/>
        </w:rPr>
        <w:t>شك در تسميه</w:t>
      </w:r>
      <w:bookmarkEnd w:id="3098"/>
    </w:p>
    <w:p>
      <w:pPr>
        <w:pStyle w:val="BookText"/>
        <w:rPr/>
      </w:pPr>
      <w:r>
        <w:rPr>
          <w:rFonts w:ascii="IRNazanin" w:hAnsi="IRNazanin" w:eastAsia="IRNazanin"/>
          <w:color w:val="111111"/>
          <w:sz w:val="28"/>
          <w:sz w:val="28"/>
          <w:szCs w:val="28"/>
          <w:rtl w:val="true"/>
          <w:lang w:bidi="fa-IR"/>
        </w:rPr>
        <w:t xml:space="preserve">اگر شك كرد در تسميه، با قطع به ارادۀ صحيح در حين ارسال كلب يا رمى به سهم، محمول بر صحّت و لوازم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شك در تسميه بعد از ذبح مذبوح، و تدارك تسميه قبل از اصابت با شك در ابتدا به تسميه و نسيان آن، كافى است چنانكه گذشت؛ و با شك در تسميه اگر در حال اصابت روى داد، دور نيست حلّيت آن</w:t>
      </w:r>
      <w:r>
        <w:rPr>
          <w:rFonts w:eastAsia="IRNazanin" w:cs="IRNazanin"/>
          <w:color w:val="111111"/>
          <w:sz w:val="28"/>
          <w:szCs w:val="28"/>
          <w:rtl w:val="true"/>
          <w:lang w:bidi="fa-IR"/>
        </w:rPr>
        <w:t>.</w:t>
      </w:r>
    </w:p>
    <w:p>
      <w:pPr>
        <w:pStyle w:val="Heading4"/>
        <w:numPr>
          <w:ilvl w:val="3"/>
          <w:numId w:val="1"/>
        </w:numPr>
        <w:rPr/>
      </w:pPr>
      <w:bookmarkStart w:id="3099" w:name="__RefHeading___Toc3809583_1067777946"/>
      <w:bookmarkStart w:id="3100" w:name="_Toc1304"/>
      <w:bookmarkEnd w:id="3099"/>
      <w:r>
        <w:rPr>
          <w:rtl w:val="true"/>
        </w:rPr>
        <w:t>حكم جاهل به حكم تسميه يا منكر آن</w:t>
      </w:r>
      <w:bookmarkEnd w:id="3100"/>
    </w:p>
    <w:p>
      <w:pPr>
        <w:pStyle w:val="BookText"/>
        <w:rPr/>
      </w:pPr>
      <w:r>
        <w:rPr>
          <w:rFonts w:ascii="IRNazanin" w:hAnsi="IRNazanin" w:eastAsia="IRNazanin"/>
          <w:color w:val="111111"/>
          <w:sz w:val="28"/>
          <w:sz w:val="28"/>
          <w:szCs w:val="28"/>
          <w:rtl w:val="true"/>
          <w:lang w:bidi="fa-IR"/>
        </w:rPr>
        <w:t>جاهل به وجوب تسميه يا معتقد عدم وجوب اگر تسميه كرد، تذكيه حاصل مى شود؛ و اگر نكرد، اظهر عدم حليت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شك در اتيان به واسطۀ شك در اعتقاد مذكّىٖ به وجوب كرديم اظهر حكم به صحّت در واقع و به تذكيه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مُرسِل كه قاصد صيد است تسميه نمايد؛ پس اگر غير مرسل تسميه كرد در حال ارسال ديگرى، موجب پاكى و حليت نمى شود؛ و هم چنين اگر يكى ارسال و ديگرى قصد اصطياد و سومى تسميه كرد</w:t>
      </w:r>
      <w:r>
        <w:rPr>
          <w:rFonts w:eastAsia="IRNazanin" w:cs="IRNazanin"/>
          <w:color w:val="111111"/>
          <w:sz w:val="28"/>
          <w:szCs w:val="28"/>
          <w:rtl w:val="true"/>
          <w:lang w:bidi="fa-IR"/>
        </w:rPr>
        <w:t>.</w:t>
      </w:r>
    </w:p>
    <w:p>
      <w:pPr>
        <w:pStyle w:val="Heading4"/>
        <w:numPr>
          <w:ilvl w:val="3"/>
          <w:numId w:val="1"/>
        </w:numPr>
        <w:rPr/>
      </w:pPr>
      <w:bookmarkStart w:id="3101" w:name="__RefHeading___Toc3809585_1067777946"/>
      <w:bookmarkStart w:id="3102" w:name="_Toc1305"/>
      <w:bookmarkEnd w:id="3101"/>
      <w:r>
        <w:rPr>
          <w:rtl w:val="true"/>
        </w:rPr>
        <w:t>لزوم واجديّت شرائط همۀ اسباب صيد</w:t>
      </w:r>
      <w:bookmarkEnd w:id="3102"/>
    </w:p>
    <w:p>
      <w:pPr>
        <w:pStyle w:val="BookText"/>
        <w:rPr/>
      </w:pPr>
      <w:r>
        <w:rPr>
          <w:rFonts w:ascii="IRNazanin" w:hAnsi="IRNazanin" w:eastAsia="IRNazanin"/>
          <w:color w:val="111111"/>
          <w:sz w:val="28"/>
          <w:sz w:val="28"/>
          <w:szCs w:val="28"/>
          <w:rtl w:val="true"/>
          <w:lang w:bidi="fa-IR"/>
        </w:rPr>
        <w:t>با تعدّد سبب بايد هر دو واجد شرط باشند، پس اگر دو نفر ارسال دو كلب كردند و هر دو اشتراك در قتل صيد كردند و تسميه را فقط يكى از آن دو انجام داد حكم به حليت نمى شود؛ و هم چنين اگر معلوم نشد كه به نحو اشتراك، قتل را انجام دادند يا خصوص يكى از آن دو كه مذكور شد؛ و هم چنين در اجتماع كلب معلَّم با غير معلَّم و اجتماع كلب مرسَل با كلب غير مرسَل، با علم به اشتراك در قتل يا احتمال آن</w:t>
      </w:r>
      <w:r>
        <w:rPr>
          <w:rFonts w:eastAsia="IRNazanin" w:cs="IRNazanin"/>
          <w:color w:val="111111"/>
          <w:sz w:val="28"/>
          <w:szCs w:val="28"/>
          <w:rtl w:val="true"/>
          <w:lang w:bidi="fa-IR"/>
        </w:rPr>
        <w:t>.</w:t>
      </w:r>
    </w:p>
    <w:p>
      <w:pPr>
        <w:pStyle w:val="Heading4"/>
        <w:numPr>
          <w:ilvl w:val="3"/>
          <w:numId w:val="1"/>
        </w:numPr>
        <w:rPr/>
      </w:pPr>
      <w:bookmarkStart w:id="3103" w:name="__RefHeading___Toc3809587_1067777946"/>
      <w:bookmarkStart w:id="3104" w:name="_Toc1306"/>
      <w:bookmarkEnd w:id="3103"/>
      <w:r>
        <w:rPr>
          <w:rtl w:val="true"/>
        </w:rPr>
        <w:t>اعتبار علم به استناد زهاق روح به سبب محلّل</w:t>
      </w:r>
      <w:bookmarkEnd w:id="310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معتبر است در تذكيه، علم به استناد زهاق روح حيوان به سبب محلّل كه جامع</w:t>
      </w:r>
      <w:bookmarkStart w:id="3105" w:name="pg10265_90291"/>
    </w:p>
    <w:p>
      <w:pPr>
        <w:pStyle w:val="BookText"/>
        <w:rPr/>
      </w:pPr>
      <w:bookmarkEnd w:id="3105"/>
      <w:r>
        <w:rPr>
          <w:rFonts w:ascii="IRNazanin" w:hAnsi="IRNazanin" w:eastAsia="IRNazanin"/>
          <w:color w:val="111111"/>
          <w:sz w:val="28"/>
          <w:sz w:val="28"/>
          <w:szCs w:val="28"/>
          <w:rtl w:val="true"/>
          <w:lang w:bidi="fa-IR"/>
        </w:rPr>
        <w:t xml:space="preserve">شروط است، چه واحد باشد چه متعدّد، مثل جماعتى از راميها كه تسميه كرده باشند، پس اگر احتمال استناد به سبب ديگرى غير محلّل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استقلال يا انضمام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غيبت با حيات مستقره يا غير آن باشد پاك و حلال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اطمينان به استناد به محلّل به منزلۀ علم است</w:t>
      </w:r>
      <w:r>
        <w:rPr>
          <w:rFonts w:eastAsia="IRNazanin" w:cs="IRNazanin"/>
          <w:color w:val="111111"/>
          <w:sz w:val="28"/>
          <w:szCs w:val="28"/>
          <w:rtl w:val="true"/>
          <w:lang w:bidi="fa-IR"/>
        </w:rPr>
        <w:t>.</w:t>
      </w:r>
    </w:p>
    <w:p>
      <w:pPr>
        <w:pStyle w:val="Heading4"/>
        <w:numPr>
          <w:ilvl w:val="3"/>
          <w:numId w:val="1"/>
        </w:numPr>
        <w:rPr/>
      </w:pPr>
      <w:bookmarkStart w:id="3106" w:name="__RefHeading___Toc3809589_1067777946"/>
      <w:bookmarkStart w:id="3107" w:name="_Toc1307"/>
      <w:bookmarkEnd w:id="3106"/>
      <w:r>
        <w:rPr>
          <w:rtl w:val="true"/>
        </w:rPr>
        <w:t>عدم حليّت حيوان مقتول بدون مشخص بودن رامى</w:t>
      </w:r>
      <w:bookmarkEnd w:id="3107"/>
    </w:p>
    <w:p>
      <w:pPr>
        <w:pStyle w:val="BookText"/>
        <w:rPr/>
      </w:pPr>
      <w:r>
        <w:rPr>
          <w:rFonts w:ascii="IRNazanin" w:hAnsi="IRNazanin" w:eastAsia="IRNazanin"/>
          <w:color w:val="111111"/>
          <w:sz w:val="28"/>
          <w:sz w:val="28"/>
          <w:szCs w:val="28"/>
          <w:rtl w:val="true"/>
          <w:lang w:bidi="fa-IR"/>
        </w:rPr>
        <w:t>و اگر حيوانى پيدا شد مقتول به سهمى كه در آن بود و رامى معلوم نبود پاك و حلال نيست</w:t>
      </w:r>
      <w:r>
        <w:rPr>
          <w:rFonts w:eastAsia="IRNazanin" w:cs="IRNazanin"/>
          <w:color w:val="111111"/>
          <w:sz w:val="28"/>
          <w:szCs w:val="28"/>
          <w:rtl w:val="true"/>
          <w:lang w:bidi="fa-IR"/>
        </w:rPr>
        <w:t>.</w:t>
      </w:r>
    </w:p>
    <w:p>
      <w:pPr>
        <w:pStyle w:val="Heading4"/>
        <w:numPr>
          <w:ilvl w:val="3"/>
          <w:numId w:val="1"/>
        </w:numPr>
        <w:rPr/>
      </w:pPr>
      <w:bookmarkStart w:id="3108" w:name="__RefHeading___Toc3809591_1067777946"/>
      <w:bookmarkStart w:id="3109" w:name="_Toc1308"/>
      <w:bookmarkEnd w:id="3108"/>
      <w:r>
        <w:rPr>
          <w:rtl w:val="true"/>
        </w:rPr>
        <w:t>غيبت بعد از رمى</w:t>
      </w:r>
      <w:bookmarkEnd w:id="3109"/>
    </w:p>
    <w:p>
      <w:pPr>
        <w:pStyle w:val="BookText"/>
        <w:rPr/>
      </w:pPr>
      <w:r>
        <w:rPr>
          <w:rFonts w:ascii="IRNazanin" w:hAnsi="IRNazanin" w:eastAsia="IRNazanin"/>
          <w:color w:val="111111"/>
          <w:sz w:val="28"/>
          <w:sz w:val="28"/>
          <w:szCs w:val="28"/>
          <w:rtl w:val="true"/>
          <w:lang w:bidi="fa-IR"/>
        </w:rPr>
        <w:t>و اگر غيبت كرد بعد از رمى با حيات غير مستقره و اطمينان به استقلال سبب محلل حاصل نبود و احتمال تأثير سبب ديگرى در تعجيل زهاق روح او داد مشكل است حكم به تذكيه آن؛ و هم چنين اگر بعد از سبب محلّل و قبل از زهاق روح، اخراج نمود آنچه در داخل حيوان است و محتمل بود تعجيل به زهاق روح به اين سبب كه به تنهايى محلل نيست</w:t>
      </w:r>
      <w:r>
        <w:rPr>
          <w:rFonts w:eastAsia="IRNazanin" w:cs="IRNazanin"/>
          <w:color w:val="111111"/>
          <w:sz w:val="28"/>
          <w:szCs w:val="28"/>
          <w:rtl w:val="true"/>
          <w:lang w:bidi="fa-IR"/>
        </w:rPr>
        <w:t>.</w:t>
      </w:r>
    </w:p>
    <w:p>
      <w:pPr>
        <w:pStyle w:val="Heading4"/>
        <w:numPr>
          <w:ilvl w:val="3"/>
          <w:numId w:val="1"/>
        </w:numPr>
        <w:rPr/>
      </w:pPr>
      <w:bookmarkStart w:id="3110" w:name="__RefHeading___Toc3809593_1067777946"/>
      <w:bookmarkStart w:id="3111" w:name="_Toc1309"/>
      <w:bookmarkEnd w:id="3110"/>
      <w:r>
        <w:rPr>
          <w:rtl w:val="true"/>
        </w:rPr>
        <w:t>نگهدارى حيوان وحشى و ذبح آن</w:t>
      </w:r>
      <w:bookmarkEnd w:id="3111"/>
    </w:p>
    <w:p>
      <w:pPr>
        <w:pStyle w:val="BookText"/>
        <w:rPr/>
      </w:pPr>
      <w:r>
        <w:rPr>
          <w:rFonts w:ascii="IRNazanin" w:hAnsi="IRNazanin" w:eastAsia="IRNazanin"/>
          <w:color w:val="111111"/>
          <w:sz w:val="28"/>
          <w:sz w:val="28"/>
          <w:szCs w:val="28"/>
          <w:rtl w:val="true"/>
          <w:lang w:bidi="fa-IR"/>
        </w:rPr>
        <w:t>و داخل كردن حيوان وحشى در تحت يد، به هر آلتى از غير حيوان و حيوان، مانعى ندارد، لكن حلال نمى شود مگر آنكه او را تذكيه نمايد، يعنى ذبح با شروط كه از آن جمله حيات مستقره است به قدر معتدّ به در مقابل حركت مذبوح</w:t>
      </w:r>
      <w:r>
        <w:rPr>
          <w:rFonts w:eastAsia="IRNazanin" w:cs="IRNazanin"/>
          <w:color w:val="111111"/>
          <w:sz w:val="28"/>
          <w:szCs w:val="28"/>
          <w:rtl w:val="true"/>
          <w:lang w:bidi="fa-IR"/>
        </w:rPr>
        <w:t>.</w:t>
      </w:r>
    </w:p>
    <w:p>
      <w:pPr>
        <w:pStyle w:val="Heading4"/>
        <w:numPr>
          <w:ilvl w:val="3"/>
          <w:numId w:val="1"/>
        </w:numPr>
        <w:rPr/>
      </w:pPr>
      <w:bookmarkStart w:id="3112" w:name="__RefHeading___Toc3809595_1067777946"/>
      <w:bookmarkStart w:id="3113" w:name="_Toc1310"/>
      <w:bookmarkEnd w:id="3112"/>
      <w:r>
        <w:rPr>
          <w:rtl w:val="true"/>
        </w:rPr>
        <w:t>حكم عضو قطع شده از حيوان به سبب صيد</w:t>
      </w:r>
      <w:bookmarkEnd w:id="3113"/>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شبكۀ اصطياد يعنى اخذ صيد قطع كرد عضوى از حيوان را، مقطوع ميته است؛ و اگر ادراك كرد تذكيۀ آن بعضى را كه در آن سر حيوان است با حيات مستقره و ذبح كرد با شروط حلال مى شود؛ و اگر تنصيف شده بوده، نصفى كه در آن سر هست و تذكيه شد با حيات مستقره، حلال است و نصف ديگر حرام است</w:t>
      </w:r>
      <w:r>
        <w:rPr>
          <w:rFonts w:eastAsia="IRNazanin" w:cs="IRNazanin"/>
          <w:color w:val="111111"/>
          <w:sz w:val="28"/>
          <w:szCs w:val="28"/>
          <w:rtl w:val="true"/>
          <w:lang w:bidi="fa-IR"/>
        </w:rPr>
        <w:t xml:space="preserve">. </w:t>
      </w:r>
      <w:bookmarkStart w:id="3114" w:name="pg10265_90292"/>
    </w:p>
    <w:p>
      <w:pPr>
        <w:pStyle w:val="Heading3"/>
        <w:numPr>
          <w:ilvl w:val="2"/>
          <w:numId w:val="1"/>
        </w:numPr>
        <w:rPr/>
      </w:pPr>
      <w:bookmarkStart w:id="3115" w:name="__RefHeading___Toc3809597_1067777946"/>
      <w:bookmarkStart w:id="3116" w:name="_Toc1311"/>
      <w:bookmarkEnd w:id="3114"/>
      <w:bookmarkEnd w:id="3115"/>
      <w:r>
        <w:rPr>
          <w:rtl w:val="true"/>
        </w:rPr>
        <w:t>فصل سوّم احكام اصطياد</w:t>
      </w:r>
      <w:bookmarkEnd w:id="3116"/>
    </w:p>
    <w:p>
      <w:pPr>
        <w:pStyle w:val="Heading4"/>
        <w:numPr>
          <w:ilvl w:val="3"/>
          <w:numId w:val="1"/>
        </w:numPr>
        <w:rPr/>
      </w:pPr>
      <w:bookmarkStart w:id="3117" w:name="__RefHeading___Toc3809599_1067777946"/>
      <w:bookmarkStart w:id="3118" w:name="_Toc1312"/>
      <w:bookmarkEnd w:id="3117"/>
      <w:r>
        <w:rPr>
          <w:rtl w:val="true"/>
        </w:rPr>
        <w:t>اجتماع سبب محلّل و غير آن در صيد</w:t>
      </w:r>
      <w:bookmarkEnd w:id="31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مسلمان و بت پرست، ارسال كلب كردند يا هر دو رمى كردند يا يكى ارسال و ديگرى رمى كرد در يك وقت، حلال نمى شود به قتلِ مستند به محلّل و محرّم؛ و اگر در دو وقت باشد زمان اصابت، پس اگر دومى محلل بوده و اولى حيات مستقره را سلب نكرده بوده، حلال مى شود، وگرنه مشكل است؛ و هم چنين صورت شك در تقدّم و تأخّر، و سلب حيات مستقره و بقاى آن، و بايد محرز باشد استناد موت مسبوق به حيات مستقره به سبب محلّل، تا خارج از اشكال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قبيل اجتماع سببين است اگر مسلمان دو كلب داشت يكى را فرستاد و ديگرى خودش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نمى شود صيد آنها، مگر آنكه در دو زمان بوده باشد و دومى محلِّل باشد و اوّلى سلب حيات مستقره نكرده باشد</w:t>
      </w:r>
      <w:r>
        <w:rPr>
          <w:rFonts w:eastAsia="IRNazanin" w:cs="IRNazanin"/>
          <w:color w:val="111111"/>
          <w:sz w:val="28"/>
          <w:szCs w:val="28"/>
          <w:rtl w:val="true"/>
          <w:lang w:bidi="fa-IR"/>
        </w:rPr>
        <w:t>.</w:t>
      </w:r>
    </w:p>
    <w:p>
      <w:pPr>
        <w:pStyle w:val="Heading4"/>
        <w:numPr>
          <w:ilvl w:val="3"/>
          <w:numId w:val="1"/>
        </w:numPr>
        <w:rPr/>
      </w:pPr>
      <w:bookmarkStart w:id="3119" w:name="__RefHeading___Toc3809601_1067777946"/>
      <w:bookmarkStart w:id="3120" w:name="_Toc1313"/>
      <w:bookmarkEnd w:id="3119"/>
      <w:r>
        <w:rPr>
          <w:rtl w:val="true"/>
        </w:rPr>
        <w:t>بعض انحاى استناد به رامى</w:t>
      </w:r>
      <w:bookmarkEnd w:id="312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تندى باد، مانع از استناد به رمى نيست اگر در جهت موافقۀ رمى باشد؛ و اگر در جهت مخالفه باشد و صرف كرد تير را به طرف مخالف اظهر، عدم حليت است، اگر مورد اتفاق معتبر بر حليت نباشد، به جهت عدم اختصاص استناد به عمل رامى</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چنين اگر تيرى اصابت به زمين كرد به نحو تُند و از آنجا برخاست و خورد </w:t>
      </w:r>
      <w:bookmarkStart w:id="3121" w:name="pg10265_90293"/>
    </w:p>
    <w:p>
      <w:pPr>
        <w:pStyle w:val="BookText"/>
        <w:rPr/>
      </w:pPr>
      <w:bookmarkEnd w:id="3121"/>
      <w:r>
        <w:rPr>
          <w:rFonts w:ascii="IRNazanin" w:hAnsi="IRNazanin" w:eastAsia="IRNazanin"/>
          <w:color w:val="111111"/>
          <w:sz w:val="28"/>
          <w:sz w:val="28"/>
          <w:szCs w:val="28"/>
          <w:rtl w:val="true"/>
          <w:lang w:bidi="fa-IR"/>
        </w:rPr>
        <w:t>به حيوانى و ازهاق روحش نمود، كه بر حسب قاعده به غير مقصود در جهت مقصوده اصابت كرده، حلال نمى شود، اگر مورد اتفاق معتبر بر حليت نباشد، به واسطۀ عدم اختصاص در استناد به رمى</w:t>
      </w:r>
      <w:r>
        <w:rPr>
          <w:rFonts w:eastAsia="IRNazanin" w:cs="IRNazanin"/>
          <w:color w:val="111111"/>
          <w:sz w:val="28"/>
          <w:szCs w:val="28"/>
          <w:rtl w:val="true"/>
          <w:lang w:bidi="fa-IR"/>
        </w:rPr>
        <w:t>.</w:t>
      </w:r>
    </w:p>
    <w:p>
      <w:pPr>
        <w:pStyle w:val="Heading4"/>
        <w:numPr>
          <w:ilvl w:val="3"/>
          <w:numId w:val="1"/>
        </w:numPr>
        <w:rPr/>
      </w:pPr>
      <w:bookmarkStart w:id="3122" w:name="__RefHeading___Toc3809603_1067777946"/>
      <w:bookmarkStart w:id="3123" w:name="_Toc1314"/>
      <w:bookmarkEnd w:id="3122"/>
      <w:r>
        <w:rPr>
          <w:rtl w:val="true"/>
        </w:rPr>
        <w:t>اعتبار اسلام در مرسل، نه در معلِّم</w:t>
      </w:r>
      <w:bookmarkEnd w:id="312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به اسلام مُرسِل است نه معلّم مالك، پس با تعليم وثنى و مجوسى و ذمى حلال است اگر مرسِل، مسلم است، و با تعليم و مالكيّت مسلم، حلال نيست اگر مرسل، وَثَنى و مثل او است</w:t>
      </w:r>
      <w:r>
        <w:rPr>
          <w:rFonts w:eastAsia="IRNazanin" w:cs="IRNazanin"/>
          <w:color w:val="111111"/>
          <w:sz w:val="28"/>
          <w:szCs w:val="28"/>
          <w:rtl w:val="true"/>
          <w:lang w:bidi="fa-IR"/>
        </w:rPr>
        <w:t>.</w:t>
      </w:r>
    </w:p>
    <w:p>
      <w:pPr>
        <w:pStyle w:val="Heading4"/>
        <w:numPr>
          <w:ilvl w:val="3"/>
          <w:numId w:val="1"/>
        </w:numPr>
        <w:rPr/>
      </w:pPr>
      <w:bookmarkStart w:id="3124" w:name="__RefHeading___Toc3809605_1067777946"/>
      <w:bookmarkStart w:id="3125" w:name="_Toc1315"/>
      <w:bookmarkEnd w:id="3124"/>
      <w:r>
        <w:rPr>
          <w:rtl w:val="true"/>
        </w:rPr>
        <w:t>اعتبار و عدم اعتبار تعيين در صيد و اعتبار اختياريّت</w:t>
      </w:r>
      <w:bookmarkEnd w:id="312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مسلمان با تسميه ارسال كرد براى صيد معيّنى يا رمى كرد صيد معينى را، پس اصطياد كرد يا اصابت كرد غير معين را، حلال است در صورتى كه قصد او منحلّ به دو مقصود بوده باشد، وگرنه خالى از اشكال نيست؛ و قصد جنس صيد لازم است در مقابل عدم قصد اصطياد اگر تسميه در حال رمى و ارسال بوده باشد؛ و قصد اصطياد لازم، اعم است از علم به وجود صيدى كه ممكن است با آن ارسال يا رمى اصطياد شود يا ظنّ يا احتمال اگر مصادف واقع شد و تسميه در حال رمى يا ارسال نموده بوده است؛ و هم چنين اگر قصد صيدى كردند و به ديگرى اصابت نمود با محفوظيت قصد جنس و تحليل در قصد چنانچه گذشت، و اختياريّت رمى در مقابل مثل رها شدن از دست و اصابت كردن لازم است</w:t>
      </w:r>
      <w:r>
        <w:rPr>
          <w:rFonts w:eastAsia="IRNazanin" w:cs="IRNazanin"/>
          <w:color w:val="111111"/>
          <w:sz w:val="28"/>
          <w:szCs w:val="28"/>
          <w:rtl w:val="true"/>
          <w:lang w:bidi="fa-IR"/>
        </w:rPr>
        <w:t>.</w:t>
      </w:r>
    </w:p>
    <w:p>
      <w:pPr>
        <w:pStyle w:val="Heading4"/>
        <w:numPr>
          <w:ilvl w:val="3"/>
          <w:numId w:val="1"/>
        </w:numPr>
        <w:rPr/>
      </w:pPr>
      <w:bookmarkStart w:id="3126" w:name="__RefHeading___Toc3809607_1067777946"/>
      <w:bookmarkStart w:id="3127" w:name="_Toc1316"/>
      <w:bookmarkEnd w:id="3126"/>
      <w:r>
        <w:rPr>
          <w:rtl w:val="true"/>
        </w:rPr>
        <w:t>الحاق حيوان متعذر الذبح به وحشى</w:t>
      </w:r>
      <w:bookmarkEnd w:id="312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فرقى بين حيوان حلال گوشت وحشى اصلاً، يا آنچه مثل آن است نيست؛ پس اگر حيوانى غير وحشى متعذر شد ذبح يا نحر آن و دفاع از اخذ و ذبح يا نحر خودش نمود و مستوحش شد، يا در چاهى افتاد كه متعذر شد اخراج و ذبح آن، كافى است قتل آن به سبب آلتى كه وحشى با آن آلت، اصطياد مى شود يا با ارسال</w:t>
      </w:r>
      <w:bookmarkStart w:id="3128" w:name="pg10265_90294"/>
    </w:p>
    <w:p>
      <w:pPr>
        <w:pStyle w:val="BookText"/>
        <w:rPr/>
      </w:pPr>
      <w:bookmarkEnd w:id="3128"/>
      <w:r>
        <w:rPr>
          <w:rFonts w:ascii="IRNazanin" w:hAnsi="IRNazanin" w:eastAsia="IRNazanin"/>
          <w:color w:val="111111"/>
          <w:sz w:val="28"/>
          <w:sz w:val="28"/>
          <w:szCs w:val="28"/>
          <w:rtl w:val="true"/>
          <w:lang w:bidi="fa-IR"/>
        </w:rPr>
        <w:t>كلب معلم مقتول مى شود، و به هر جايى از بدن آن اصابت نمود و مقتول شد پاك و حلال مى شود و اختصاصى به موضع ذبح و نحر يا غير اينها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تذكيه يا ذبح، اختصاصى به غير وحشى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انسى به اصل يا مستأنس بالعارض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تذكيۀ به كلب و سهم مثلاً مخصوص به وحشى بالاصل يا مستوحش بالعارض است، و شروط معتبرۀ در وحشى، در مستوحش هم معتبر است؛ و اظهر عدم فرق بين ذبيحۀ مأكول اللحم و غير مأكول اللحم است در حصول تذكيه و محصّل آن در مستوحش، و عدم فرق بين كلب و سهم است در قيام مقام ذبح ذبيحه اگر مستوحش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جوجه را با سهم، رمى كرد و كُشت حلال نمى شود، چون ممتنع نيست؛ و هم چنين ارسال كلب براى حيوان غير ممتنع اگر او را كُشت</w:t>
      </w:r>
      <w:r>
        <w:rPr>
          <w:rFonts w:eastAsia="IRNazanin" w:cs="IRNazanin"/>
          <w:color w:val="111111"/>
          <w:sz w:val="28"/>
          <w:szCs w:val="28"/>
          <w:rtl w:val="true"/>
          <w:lang w:bidi="fa-IR"/>
        </w:rPr>
        <w:t>.</w:t>
      </w:r>
    </w:p>
    <w:p>
      <w:pPr>
        <w:pStyle w:val="Heading4"/>
        <w:numPr>
          <w:ilvl w:val="3"/>
          <w:numId w:val="1"/>
        </w:numPr>
        <w:rPr/>
      </w:pPr>
      <w:bookmarkStart w:id="3129" w:name="__RefHeading___Toc3809609_1067777946"/>
      <w:bookmarkStart w:id="3130" w:name="_Toc1317"/>
      <w:bookmarkEnd w:id="3129"/>
      <w:r>
        <w:rPr>
          <w:rtl w:val="true"/>
        </w:rPr>
        <w:t>تقطيع صيد</w:t>
      </w:r>
      <w:bookmarkEnd w:id="3130"/>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كلاب مرسَله تقطيع كردند حيوان ممتنع را قبل از زهاق روح يا بعد از آن و نرسيد به حيوان با حيات مستقره، موجب حرمت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رسيد به حيوان با استقرار حيات، نمى تواند تقطيع نمايد قبل از ذبح شرعى، بلكه حلّيت، موقوف به ذبح شرعى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استقرار حيات، محفوظ بود تا زمان رسيدن صاحب، لكن تقطيع بعض اعضاى آن از كلاب سابق بود، آنچه تقطيع شده ميته و بقيه كه مشتمل بر سر است بعد از ذبح شرعى حلال و پاك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فرقى در اين جهت مذكوره، بين ارسال كلاب و رمى به سهام نيست</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تقطيع وارد بر ممتنع به توسط صيادها باشد با تسميه و به اين سبب ازهاق روح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آنكه از امتناع خارج بشود با حيات مستقره، كه متعين است ذبح شرعى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سبب، حلال و پاك مى شود</w:t>
      </w:r>
      <w:r>
        <w:rPr>
          <w:rFonts w:eastAsia="IRNazanin" w:cs="IRNazanin"/>
          <w:color w:val="111111"/>
          <w:sz w:val="28"/>
          <w:szCs w:val="28"/>
          <w:rtl w:val="true"/>
          <w:lang w:bidi="fa-IR"/>
        </w:rPr>
        <w:t xml:space="preserve">. </w:t>
      </w:r>
      <w:bookmarkStart w:id="3131" w:name="pg10265_90295"/>
    </w:p>
    <w:p>
      <w:pPr>
        <w:pStyle w:val="BookText"/>
        <w:rPr/>
      </w:pPr>
      <w:bookmarkEnd w:id="3131"/>
      <w:r>
        <w:rPr>
          <w:rFonts w:ascii="IRNazanin" w:hAnsi="IRNazanin" w:eastAsia="IRNazanin"/>
          <w:color w:val="111111"/>
          <w:sz w:val="28"/>
          <w:sz w:val="28"/>
          <w:szCs w:val="28"/>
          <w:rtl w:val="true"/>
          <w:lang w:bidi="fa-IR"/>
        </w:rPr>
        <w:t>و اگر كلب مثلاً تقطيع كرد و پس از آن ازهاق روح كرد بقيه را، آن قطعه پاك نمى شود و بقيه پاك مى شود؛ و اگر صاحبش رسيد به بقيه با حيات مستقره، ذبح شرعى مى نمايد و قطعۀ سابقه پاك نمى شود</w:t>
      </w:r>
      <w:r>
        <w:rPr>
          <w:rFonts w:eastAsia="IRNazanin" w:cs="IRNazanin"/>
          <w:color w:val="111111"/>
          <w:sz w:val="28"/>
          <w:szCs w:val="28"/>
          <w:rtl w:val="true"/>
          <w:lang w:bidi="fa-IR"/>
        </w:rPr>
        <w:t>.</w:t>
      </w:r>
    </w:p>
    <w:p>
      <w:pPr>
        <w:pStyle w:val="Heading4"/>
        <w:numPr>
          <w:ilvl w:val="3"/>
          <w:numId w:val="1"/>
        </w:numPr>
        <w:rPr/>
      </w:pPr>
      <w:bookmarkStart w:id="3132" w:name="__RefHeading___Toc3809611_1067777946"/>
      <w:bookmarkStart w:id="3133" w:name="_Toc1318"/>
      <w:bookmarkEnd w:id="3132"/>
      <w:r>
        <w:rPr>
          <w:rtl w:val="true"/>
        </w:rPr>
        <w:t>اعتبار استقلال در سبب محلّل</w:t>
      </w:r>
      <w:bookmarkEnd w:id="3133"/>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رمى كرد صيدى را پس اصابت كرد لكن افتاد در آب يا ساقط شد از كوهى مثلاً پس زهاق روح او شد، حلال نمى شود تا آنكه قطع نمايد كه سبب محلّل، مستقل در ازهاق روح او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قبيل اخير است اگر افتاد در آب و سر او خارج از آب بود و غرق نشد و سبب ديگر مستقلاً يا به انضمام به رمى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رمى، استقرار حيات را منتفى كرد، و لكن وقوع در آب، محتمل بود تعجيل در زهاق روح او نمايد، پس در تذكيه اشكال است</w:t>
      </w:r>
      <w:r>
        <w:rPr>
          <w:rFonts w:eastAsia="IRNazanin" w:cs="IRNazanin"/>
          <w:color w:val="111111"/>
          <w:sz w:val="28"/>
          <w:szCs w:val="28"/>
          <w:rtl w:val="true"/>
          <w:lang w:bidi="fa-IR"/>
        </w:rPr>
        <w:t>.</w:t>
      </w:r>
    </w:p>
    <w:p>
      <w:pPr>
        <w:pStyle w:val="Heading4"/>
        <w:numPr>
          <w:ilvl w:val="3"/>
          <w:numId w:val="1"/>
        </w:numPr>
        <w:rPr/>
      </w:pPr>
      <w:bookmarkStart w:id="3134" w:name="__RefHeading___Toc3809613_1067777946"/>
      <w:bookmarkStart w:id="3135" w:name="_Toc1319"/>
      <w:bookmarkEnd w:id="3134"/>
      <w:r>
        <w:rPr>
          <w:rtl w:val="true"/>
        </w:rPr>
        <w:t>تقطيع حيوان و حيات داشتن ما بقى</w:t>
      </w:r>
      <w:bookmarkEnd w:id="3135"/>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سيف مثلاً بعضى از حيوان را قطع كرد و بقيه كه در آن سر هست حيات مستقره داشت، بقيه را ذبح مى نمايد و مقطوع، ميته است، چنانچه گذشت؛ و اگر بقيه حيات مستقره نداشت و متعقب به زهاق روح او، همه حلال و پاك مى شود يعنى مقطوع و بقيه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است اگر ارسال كلب نمود با تسميه و تقطيع كرد قطعه اى از صيد را، از حيث دو صورت داشتن واقعه به نحو مذكور در مقتول به سيف</w:t>
      </w:r>
      <w:r>
        <w:rPr>
          <w:rFonts w:eastAsia="IRNazanin" w:cs="IRNazanin"/>
          <w:color w:val="111111"/>
          <w:sz w:val="28"/>
          <w:szCs w:val="28"/>
          <w:rtl w:val="true"/>
          <w:lang w:bidi="fa-IR"/>
        </w:rPr>
        <w:t>.</w:t>
      </w:r>
    </w:p>
    <w:p>
      <w:pPr>
        <w:pStyle w:val="Heading4"/>
        <w:numPr>
          <w:ilvl w:val="3"/>
          <w:numId w:val="1"/>
        </w:numPr>
        <w:rPr/>
      </w:pPr>
      <w:bookmarkStart w:id="3136" w:name="__RefHeading___Toc3809615_1067777946"/>
      <w:bookmarkStart w:id="3137" w:name="_Toc1320"/>
      <w:bookmarkEnd w:id="3136"/>
      <w:r>
        <w:rPr>
          <w:rtl w:val="true"/>
        </w:rPr>
        <w:t>تنصيف حيوان</w:t>
      </w:r>
      <w:bookmarkEnd w:id="3137"/>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تنصيف شد به يكى از دو سبب، پس حركت نكردند يا حركت مذبوح كردند، هر دو نصف پاك و حلال مى شوند، و خروج خون از هر دو نصف يا يكى از آنها لازم نيست در اين تذكيه، و هم چنين هر دو يا يكى يا عدم آن؛ و اگر يكى متحرك </w:t>
      </w:r>
      <w:bookmarkStart w:id="3138" w:name="pg10265_90296"/>
    </w:p>
    <w:p>
      <w:pPr>
        <w:pStyle w:val="BookText"/>
        <w:rPr/>
      </w:pPr>
      <w:bookmarkEnd w:id="3138"/>
      <w:r>
        <w:rPr>
          <w:rFonts w:ascii="Amiri" w:hAnsi="Amiri" w:eastAsia="Amiri" w:cs="Amiri"/>
          <w:color w:val="111111"/>
          <w:sz w:val="28"/>
          <w:sz w:val="28"/>
          <w:szCs w:val="28"/>
          <w:rtl w:val="true"/>
          <w:lang w:bidi="ar-SA"/>
        </w:rPr>
        <w:t>بود به حركت استقرار حيات، همان فقط حلال مى شود با تذكيه به ذبح</w:t>
      </w:r>
      <w:r>
        <w:rPr>
          <w:rFonts w:eastAsia="Amiri" w:cs="Amiri" w:ascii="Amiri" w:hAnsi="Amiri"/>
          <w:color w:val="111111"/>
          <w:sz w:val="28"/>
          <w:szCs w:val="28"/>
          <w:rtl w:val="true"/>
          <w:lang w:bidi="ar-SA"/>
        </w:rPr>
        <w:t>.</w:t>
      </w:r>
    </w:p>
    <w:p>
      <w:pPr>
        <w:pStyle w:val="Heading4"/>
        <w:numPr>
          <w:ilvl w:val="3"/>
          <w:numId w:val="1"/>
        </w:numPr>
        <w:rPr/>
      </w:pPr>
      <w:bookmarkStart w:id="3139" w:name="__RefHeading___Toc3809617_1067777946"/>
      <w:bookmarkStart w:id="3140" w:name="_Toc1321"/>
      <w:bookmarkEnd w:id="3139"/>
      <w:r>
        <w:rPr>
          <w:rtl w:val="true"/>
        </w:rPr>
        <w:t>حكم مقطوع از حيوان توسط كلب يا رمى</w:t>
      </w:r>
      <w:bookmarkEnd w:id="3140"/>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به ارسال كلب يا رمى به سهم قطع شد از حيوان، پس باقى اگر حيات مستقره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حركت مذبوح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حلال مى شوند يعنى مقطوع و بقيه، و اگر دارد خصوص بقيه با ذبح حلال مى شود و مقطوع، مبان از حىّ است؛ و مى آيد حكم صورتى كه زمان، وسعت ندارد براى ذبح بقيه، إن شاء اللّٰه تعالى</w:t>
      </w:r>
      <w:r>
        <w:rPr>
          <w:rFonts w:eastAsia="IRNazanin" w:cs="IRNazanin"/>
          <w:color w:val="111111"/>
          <w:sz w:val="28"/>
          <w:szCs w:val="28"/>
          <w:rtl w:val="true"/>
          <w:lang w:bidi="fa-IR"/>
        </w:rPr>
        <w:t>.</w:t>
      </w:r>
    </w:p>
    <w:p>
      <w:pPr>
        <w:pStyle w:val="Heading4"/>
        <w:numPr>
          <w:ilvl w:val="3"/>
          <w:numId w:val="1"/>
        </w:numPr>
        <w:rPr/>
      </w:pPr>
      <w:bookmarkStart w:id="3141" w:name="__RefHeading___Toc3809619_1067777946"/>
      <w:bookmarkStart w:id="3142" w:name="_Toc1322"/>
      <w:bookmarkEnd w:id="3141"/>
      <w:r>
        <w:rPr>
          <w:rtl w:val="true"/>
        </w:rPr>
        <w:t>عدم اضرار عصب آلت صيد يا خود مذبوح به تذكيه</w:t>
      </w:r>
      <w:bookmarkEnd w:id="3142"/>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حرام بودن آلت صيد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سلاح باشد يا 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غصب آلت، و هم چنين حرام و مغصوب بودن نفس مذبوح در غير اين مقام، مانع از تذكيه نمى شود و مقتول را ميته نمى نمايد، اگر چه صائد، ضامن عين با منفعت مغصوب است؛ و صيد، مملوك مُرسِل يا رامى است نه مالك سلاح يا كلب، و قياس به صيد عبد مغصوب نمى شود</w:t>
      </w:r>
      <w:r>
        <w:rPr>
          <w:rFonts w:eastAsia="IRNazanin" w:cs="IRNazanin"/>
          <w:color w:val="111111"/>
          <w:sz w:val="28"/>
          <w:szCs w:val="28"/>
          <w:rtl w:val="true"/>
          <w:lang w:bidi="fa-IR"/>
        </w:rPr>
        <w:t>.</w:t>
      </w:r>
    </w:p>
    <w:p>
      <w:pPr>
        <w:pStyle w:val="Heading4"/>
        <w:numPr>
          <w:ilvl w:val="3"/>
          <w:numId w:val="1"/>
        </w:numPr>
        <w:rPr/>
      </w:pPr>
      <w:bookmarkStart w:id="3143" w:name="__RefHeading___Toc3809621_1067777946"/>
      <w:bookmarkStart w:id="3144" w:name="_Toc1323"/>
      <w:bookmarkEnd w:id="3143"/>
      <w:r>
        <w:rPr>
          <w:rtl w:val="true"/>
        </w:rPr>
        <w:t>نجس بودن موضع مسّ كلب از صيد</w:t>
      </w:r>
      <w:bookmarkEnd w:id="3144"/>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صيد را مسّ نموده عضو كلب با رطوبت مثل دندان، نجس است و بايد تطهير شود</w:t>
      </w:r>
      <w:r>
        <w:rPr>
          <w:rFonts w:eastAsia="IRNazanin" w:cs="IRNazanin"/>
          <w:color w:val="111111"/>
          <w:sz w:val="28"/>
          <w:szCs w:val="28"/>
          <w:rtl w:val="true"/>
          <w:lang w:bidi="fa-IR"/>
        </w:rPr>
        <w:t>.</w:t>
      </w:r>
    </w:p>
    <w:p>
      <w:pPr>
        <w:pStyle w:val="Heading4"/>
        <w:numPr>
          <w:ilvl w:val="3"/>
          <w:numId w:val="1"/>
        </w:numPr>
        <w:rPr/>
      </w:pPr>
      <w:bookmarkStart w:id="3145" w:name="__RefHeading___Toc3809623_1067777946"/>
      <w:bookmarkStart w:id="3146" w:name="_Toc1324"/>
      <w:bookmarkEnd w:id="3145"/>
      <w:r>
        <w:rPr>
          <w:rtl w:val="true"/>
        </w:rPr>
        <w:t>لزوم ذبح بعد از صيد در فرض امكان و وجود حيات مستقر</w:t>
      </w:r>
      <w:bookmarkEnd w:id="3146"/>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احوط مسارعت به صيد كلب يا سلاح است تا آنكه بر تقدير معلوميت حيات مستقره اش بعد از اصطياد، با ذبح، مذكى نمايد آن را؛ و اگر با عذر يا بدون عذر ترك مبادرت كرد و پس از آن زهاق روح شد و احتمال داد كه بعد از اصطياد حيات مستقره آن باقى بوده و وقت ذبح داشته، مشكل است تذكيه آن به مجرد اصطياد سابق</w:t>
      </w:r>
      <w:r>
        <w:rPr>
          <w:rFonts w:eastAsia="IRNazanin" w:cs="IRNazanin"/>
          <w:color w:val="111111"/>
          <w:sz w:val="28"/>
          <w:szCs w:val="28"/>
          <w:rtl w:val="true"/>
          <w:lang w:bidi="fa-IR"/>
        </w:rPr>
        <w:t>.</w:t>
      </w:r>
      <w:bookmarkStart w:id="3147" w:name="pg10265_90297"/>
    </w:p>
    <w:p>
      <w:pPr>
        <w:pStyle w:val="BookText"/>
        <w:rPr/>
      </w:pPr>
      <w:bookmarkEnd w:id="3147"/>
      <w:r>
        <w:rPr>
          <w:rFonts w:ascii="IRNazanin" w:hAnsi="IRNazanin" w:eastAsia="IRNazanin"/>
          <w:color w:val="111111"/>
          <w:sz w:val="28"/>
          <w:sz w:val="28"/>
          <w:szCs w:val="28"/>
          <w:rtl w:val="true"/>
          <w:lang w:bidi="fa-IR"/>
        </w:rPr>
        <w:t>و اگر مبادرت كرد به نحو متعارف، پس اگر ادراك كرد آن را و داراى حيات مستقره نبود، به حكم مذبوح و پاك است؛ و اگر داراى حيات مستقره بود و زمان، وسعت ذبح آن را داشت، بايد با ذبح تذكيه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حيات مستقره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آيا به مجرد حركت اطراف حيوان حاصل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إن شاء اللّٰه تعالى</w:t>
      </w:r>
      <w:r>
        <w:rPr>
          <w:rFonts w:eastAsia="IRNazanin" w:cs="IRNazanin"/>
          <w:color w:val="111111"/>
          <w:sz w:val="28"/>
          <w:szCs w:val="28"/>
          <w:rtl w:val="true"/>
          <w:lang w:bidi="fa-IR"/>
        </w:rPr>
        <w:t>.</w:t>
      </w:r>
    </w:p>
    <w:p>
      <w:pPr>
        <w:pStyle w:val="Heading4"/>
        <w:numPr>
          <w:ilvl w:val="3"/>
          <w:numId w:val="1"/>
        </w:numPr>
        <w:rPr/>
      </w:pPr>
      <w:bookmarkStart w:id="3148" w:name="__RefHeading___Toc3809625_1067777946"/>
      <w:bookmarkStart w:id="3149" w:name="_Toc1325"/>
      <w:bookmarkEnd w:id="3148"/>
      <w:r>
        <w:rPr>
          <w:rtl w:val="true"/>
        </w:rPr>
        <w:t>اگر بعد از وصول آلت ذبح نداشت</w:t>
      </w:r>
      <w:bookmarkEnd w:id="3149"/>
    </w:p>
    <w:p>
      <w:pPr>
        <w:pStyle w:val="BookText"/>
        <w:rPr/>
      </w:pPr>
      <w:r>
        <w:rPr>
          <w:rFonts w:ascii="IRNazanin" w:hAnsi="IRNazanin" w:eastAsia="IRNazanin"/>
          <w:color w:val="111111"/>
          <w:sz w:val="28"/>
          <w:sz w:val="28"/>
          <w:szCs w:val="28"/>
          <w:rtl w:val="true"/>
          <w:lang w:bidi="fa-IR"/>
        </w:rPr>
        <w:t xml:space="preserve">و اگر رسيد به حيوان بعد از اخذ كلب ارسال شده و وقت ذبح آن را داشت و آلت ذبح نداشت مشكل است اكتفاى به قتل مستند به سبب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اخذ كلب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تذكيه</w:t>
      </w:r>
      <w:r>
        <w:rPr>
          <w:rFonts w:eastAsia="IRNazanin" w:cs="IRNazanin"/>
          <w:color w:val="111111"/>
          <w:sz w:val="28"/>
          <w:szCs w:val="28"/>
          <w:rtl w:val="true"/>
          <w:lang w:bidi="fa-IR"/>
        </w:rPr>
        <w:t>.</w:t>
      </w:r>
    </w:p>
    <w:p>
      <w:pPr>
        <w:pStyle w:val="Heading4"/>
        <w:numPr>
          <w:ilvl w:val="3"/>
          <w:numId w:val="1"/>
        </w:numPr>
        <w:rPr/>
      </w:pPr>
      <w:bookmarkStart w:id="3150" w:name="__RefHeading___Toc3809627_1067777946"/>
      <w:bookmarkStart w:id="3151" w:name="_Toc1326"/>
      <w:bookmarkEnd w:id="3150"/>
      <w:r>
        <w:rPr>
          <w:rtl w:val="true"/>
        </w:rPr>
        <w:t>اگر زمان وسعت ذبح نداشته باشد</w:t>
      </w:r>
      <w:bookmarkEnd w:id="3151"/>
    </w:p>
    <w:p>
      <w:pPr>
        <w:pStyle w:val="BookText"/>
        <w:rPr/>
      </w:pPr>
      <w:r>
        <w:rPr>
          <w:rFonts w:ascii="IRNazanin" w:hAnsi="IRNazanin" w:eastAsia="IRNazanin"/>
          <w:color w:val="111111"/>
          <w:sz w:val="28"/>
          <w:sz w:val="28"/>
          <w:szCs w:val="28"/>
          <w:rtl w:val="true"/>
          <w:lang w:bidi="fa-IR"/>
        </w:rPr>
        <w:t>و اگر زمان، وسعت ذبح را نداشت با آنكه حيات او مستقره باشد و حركت او در نظرها حركت احيا بود نه حركت مذبوح، پس مستند است قتل او به سبب سابق و مانعى از اكل او نيست؛ و هم چنين اگر قدرى از امتناع او باقى بود و مدافعه از ذبح كرد تا زهاق روح او و نتوانست ذبح نمايد</w:t>
      </w:r>
      <w:r>
        <w:rPr>
          <w:rFonts w:eastAsia="IRNazanin" w:cs="IRNazanin"/>
          <w:color w:val="111111"/>
          <w:sz w:val="28"/>
          <w:szCs w:val="28"/>
          <w:rtl w:val="true"/>
          <w:lang w:bidi="fa-IR"/>
        </w:rPr>
        <w:t>.</w:t>
      </w:r>
    </w:p>
    <w:p>
      <w:pPr>
        <w:pStyle w:val="Heading4"/>
        <w:numPr>
          <w:ilvl w:val="3"/>
          <w:numId w:val="1"/>
        </w:numPr>
        <w:rPr/>
      </w:pPr>
      <w:bookmarkStart w:id="3152" w:name="__RefHeading___Toc3809629_1067777946"/>
      <w:bookmarkStart w:id="3153" w:name="_Toc1327"/>
      <w:bookmarkEnd w:id="3152"/>
      <w:r>
        <w:rPr>
          <w:rtl w:val="true"/>
        </w:rPr>
        <w:t>ترك ذبح</w:t>
      </w:r>
      <w:bookmarkEnd w:id="3153"/>
    </w:p>
    <w:p>
      <w:pPr>
        <w:pStyle w:val="BookText"/>
        <w:rPr/>
      </w:pPr>
      <w:r>
        <w:rPr>
          <w:rFonts w:ascii="IRNazanin" w:hAnsi="IRNazanin" w:eastAsia="IRNazanin"/>
          <w:color w:val="111111"/>
          <w:sz w:val="28"/>
          <w:sz w:val="28"/>
          <w:szCs w:val="28"/>
          <w:rtl w:val="true"/>
          <w:lang w:bidi="fa-IR"/>
        </w:rPr>
        <w:t xml:space="preserve">و اگر امتناع نداشت و وقت، وسعت داشت براى ذبح، لكن ترك ذبح به 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عذر يا با عذر ديگرى مثل طلب صيد ديگر يا طلب سكّين يا تيز كردن آن و نحو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تا وقتى كه زهاق روحش شد، پس غير مذكّى است در بعض فروض، و مشكل است حكم به تذكيۀ آن در بعض ديگر</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اناطۀ حلّيت مصيد، به ذبح، مشروط به استقرار حيات است در عرف و به وسعت وقت از براى ذبح به نحو متعارف، وگرنه حلّيت به همان اصطياد سابق حاصل مى شود</w:t>
      </w:r>
      <w:r>
        <w:rPr>
          <w:rFonts w:eastAsia="IRNazanin" w:cs="IRNazanin"/>
          <w:color w:val="111111"/>
          <w:sz w:val="28"/>
          <w:szCs w:val="28"/>
          <w:rtl w:val="true"/>
          <w:lang w:bidi="fa-IR"/>
        </w:rPr>
        <w:t xml:space="preserve">. </w:t>
      </w:r>
      <w:bookmarkStart w:id="3154" w:name="pg10265_90298"/>
    </w:p>
    <w:p>
      <w:pPr>
        <w:pStyle w:val="BookText"/>
        <w:rPr/>
      </w:pPr>
      <w:bookmarkEnd w:id="3154"/>
      <w:r>
        <w:rPr>
          <w:rFonts w:ascii="Amiri" w:hAnsi="Amiri" w:eastAsia="Amiri" w:cs="Amiri"/>
          <w:color w:val="111111"/>
          <w:sz w:val="28"/>
          <w:sz w:val="28"/>
          <w:szCs w:val="28"/>
          <w:rtl w:val="true"/>
          <w:lang w:bidi="ar-SA"/>
        </w:rPr>
        <w:t>و آيا استقرار حيات، عرفيت آن موجود مى شود با آخرين مرتبۀ حركت اطراف با وسعت وقت براى ذبح يا نه‌؟ در ذباحه مذكور مى شود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3155" w:name="__RefHeading___Toc3809631_1067777946"/>
      <w:bookmarkStart w:id="3156" w:name="_Toc1328"/>
      <w:bookmarkEnd w:id="3155"/>
      <w:r>
        <w:rPr>
          <w:rtl w:val="true"/>
        </w:rPr>
        <w:t>سببيت اصطياد براى مالكيت</w:t>
      </w:r>
      <w:bookmarkEnd w:id="3156"/>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اصطيادى كه موجب ازهاق روح نباشد بلكه سبب استيلاء بر صيد باشد اگر چه به وقوع در شبكۀ او باشد، سبب مالكيّت صاحب آن مى شود اگر چه به قبض حسّى او نرسيده باشد؛ و اگر ديگرى قبض حسى نمود مالك نمى شود و بايد دفع به اوّلى نمايد</w:t>
      </w:r>
      <w:r>
        <w:rPr>
          <w:rFonts w:eastAsia="IRNazanin" w:cs="IRNazanin"/>
          <w:color w:val="111111"/>
          <w:sz w:val="28"/>
          <w:szCs w:val="28"/>
          <w:rtl w:val="true"/>
          <w:lang w:bidi="fa-IR"/>
        </w:rPr>
        <w:t xml:space="preserve">. </w:t>
      </w:r>
      <w:bookmarkStart w:id="3157" w:name="pg10265_90299"/>
    </w:p>
    <w:p>
      <w:pPr>
        <w:pStyle w:val="Heading3"/>
        <w:numPr>
          <w:ilvl w:val="2"/>
          <w:numId w:val="1"/>
        </w:numPr>
        <w:rPr/>
      </w:pPr>
      <w:bookmarkStart w:id="3158" w:name="__RefHeading___Toc3809633_1067777946"/>
      <w:bookmarkStart w:id="3159" w:name="_Toc1329"/>
      <w:bookmarkEnd w:id="3157"/>
      <w:bookmarkEnd w:id="3158"/>
      <w:r>
        <w:rPr>
          <w:rtl w:val="true"/>
        </w:rPr>
        <w:t>فصل چهارم شرايط ذابح و وسيله ذبح</w:t>
      </w:r>
      <w:bookmarkEnd w:id="3159"/>
    </w:p>
    <w:p>
      <w:pPr>
        <w:pStyle w:val="Heading4"/>
        <w:numPr>
          <w:ilvl w:val="3"/>
          <w:numId w:val="1"/>
        </w:numPr>
        <w:rPr/>
      </w:pPr>
      <w:bookmarkStart w:id="3160" w:name="__RefHeading___Toc3809635_1067777946"/>
      <w:bookmarkStart w:id="3161" w:name="_Toc1330"/>
      <w:bookmarkEnd w:id="3160"/>
      <w:r>
        <w:rPr/>
        <w:t>1</w:t>
      </w:r>
      <w:r>
        <w:rPr>
          <w:rtl w:val="true"/>
        </w:rPr>
        <w:t xml:space="preserve">. </w:t>
      </w:r>
      <w:r>
        <w:rPr>
          <w:rtl w:val="true"/>
        </w:rPr>
        <w:t>شرايط ذابح</w:t>
      </w:r>
      <w:bookmarkEnd w:id="3161"/>
    </w:p>
    <w:p>
      <w:pPr>
        <w:pStyle w:val="Heading5"/>
        <w:numPr>
          <w:ilvl w:val="4"/>
          <w:numId w:val="1"/>
        </w:numPr>
        <w:rPr/>
      </w:pPr>
      <w:bookmarkStart w:id="3162" w:name="__RefHeading___Toc3809637_1067777946"/>
      <w:bookmarkStart w:id="3163" w:name="_Toc1331"/>
      <w:bookmarkEnd w:id="3162"/>
      <w:r>
        <w:rPr>
          <w:rtl w:val="true"/>
        </w:rPr>
        <w:t>اشتراط اسلام يا حكم آن</w:t>
      </w:r>
      <w:bookmarkEnd w:id="3163"/>
    </w:p>
    <w:p>
      <w:pPr>
        <w:pStyle w:val="BookText"/>
        <w:rPr/>
      </w:pPr>
      <w:r>
        <w:rPr>
          <w:rFonts w:ascii="IRNazanin" w:hAnsi="IRNazanin" w:eastAsia="IRNazanin"/>
          <w:color w:val="111111"/>
          <w:sz w:val="28"/>
          <w:sz w:val="28"/>
          <w:szCs w:val="28"/>
          <w:rtl w:val="true"/>
          <w:lang w:bidi="fa-IR"/>
        </w:rPr>
        <w:t>معتبر است در ذابح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يا حكم اسلام، در مقابل ذبح بت پرست و آتش پرست و مرتدّ از مسلمين و غلاة و خوارج و نواصب و منكر ضرورى كه محكوم به كفر است پس مذبوح به مباشرت اينها ميته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ذبيحۀ اهل كتاب از يهود و نصارى و مجوس با ثابت شدن تسميۀ آنها خلاف است، مشهور بين اصحاب فتوىٰ از اماميّه رضوان اللّٰه عليهم و موافق احتياط عدم حلّيت است</w:t>
      </w:r>
      <w:r>
        <w:rPr>
          <w:rFonts w:eastAsia="IRNazanin" w:cs="IRNazanin"/>
          <w:color w:val="111111"/>
          <w:sz w:val="28"/>
          <w:szCs w:val="28"/>
          <w:rtl w:val="true"/>
          <w:lang w:bidi="fa-IR"/>
        </w:rPr>
        <w:t>.</w:t>
      </w:r>
    </w:p>
    <w:p>
      <w:pPr>
        <w:pStyle w:val="Heading5"/>
        <w:numPr>
          <w:ilvl w:val="4"/>
          <w:numId w:val="1"/>
        </w:numPr>
        <w:rPr/>
      </w:pPr>
      <w:bookmarkStart w:id="3164" w:name="__RefHeading___Toc3809639_1067777946"/>
      <w:bookmarkStart w:id="3165" w:name="_Toc1332"/>
      <w:bookmarkEnd w:id="3164"/>
      <w:r>
        <w:rPr>
          <w:rtl w:val="true"/>
        </w:rPr>
        <w:t>طهارت مولد</w:t>
      </w:r>
      <w:bookmarkEnd w:id="3165"/>
    </w:p>
    <w:p>
      <w:pPr>
        <w:pStyle w:val="BookText"/>
        <w:rPr/>
      </w:pPr>
      <w:r>
        <w:rPr>
          <w:rFonts w:ascii="IRNazanin" w:hAnsi="IRNazanin" w:eastAsia="IRNazanin"/>
          <w:color w:val="111111"/>
          <w:sz w:val="28"/>
          <w:sz w:val="28"/>
          <w:szCs w:val="28"/>
          <w:rtl w:val="true"/>
          <w:lang w:bidi="fa-IR"/>
        </w:rPr>
        <w:t>و در ذبيحۀ طفل مميّز متولد از زنا قبل از بلوغ و وصف اسلام، چه پسر باشد و چه دختر، تأمّل و احتياط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ولد زنا از پسر و دختر بعد از بلوغ و وصف اسلام، و ولد مسلم در صورت تمييز و قدرت و فهميدن كيفيّت، و زن مسلمان و خصىّ و مجبوب و نابينا و غير مختون، ذبيحۀ ايشان پاك و حلال است با علم به احراز ذابح، 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علم به مخالفت احراز او با واقع</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ايمان به معنى اخصّ‌، معتبر نيست در ذابح بنا بر صحيح</w:t>
      </w:r>
      <w:r>
        <w:rPr>
          <w:rFonts w:eastAsia="Amiri" w:cs="Amiri" w:ascii="Amiri" w:hAnsi="Amiri"/>
          <w:color w:val="111111"/>
          <w:sz w:val="28"/>
          <w:szCs w:val="28"/>
          <w:rtl w:val="true"/>
          <w:lang w:bidi="ar-SA"/>
        </w:rPr>
        <w:t xml:space="preserve">. </w:t>
      </w:r>
      <w:bookmarkStart w:id="3166" w:name="pg10265_90300"/>
    </w:p>
    <w:p>
      <w:pPr>
        <w:pStyle w:val="Heading5"/>
        <w:numPr>
          <w:ilvl w:val="4"/>
          <w:numId w:val="1"/>
        </w:numPr>
        <w:rPr/>
      </w:pPr>
      <w:bookmarkStart w:id="3167" w:name="__RefHeading___Toc3809641_1067777946"/>
      <w:bookmarkStart w:id="3168" w:name="_Toc1333"/>
      <w:bookmarkEnd w:id="3166"/>
      <w:bookmarkEnd w:id="3167"/>
      <w:r>
        <w:rPr>
          <w:rtl w:val="true"/>
        </w:rPr>
        <w:t>اعتبار قصد ذبح</w:t>
      </w:r>
      <w:bookmarkEnd w:id="3168"/>
    </w:p>
    <w:p>
      <w:pPr>
        <w:pStyle w:val="BookText"/>
        <w:rPr/>
      </w:pPr>
      <w:r>
        <w:rPr>
          <w:rFonts w:ascii="Amiri" w:hAnsi="Amiri" w:eastAsia="Amiri" w:cs="Amiri"/>
          <w:color w:val="111111"/>
          <w:sz w:val="28"/>
          <w:sz w:val="28"/>
          <w:szCs w:val="28"/>
          <w:rtl w:val="true"/>
          <w:lang w:bidi="ar-SA"/>
        </w:rPr>
        <w:t xml:space="preserve">و ذبح غير 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نائم و ساهى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قاصد به قصد غير معتبر مثل صبىّ غير مميّز و مجنون حتى ادوارى در غير حال افاقۀ معلومه و سكران و مغمى عليه، 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ذبح مثل رمى و صيد مكرَه كه قاصد است، اظهر صحّت آن است، اگر چه مكرِه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آثم است و بگوييم ضامن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احراز اسلام، عدم علم به ترك تسميۀ ذابح مسلم كافى است در حكم به صحّت ذباحه، و ضرر ندارد علم به عدم اعتقاد به وجوب تسميه در فِرَق مسلمين بنا بر اظهر</w:t>
      </w:r>
      <w:r>
        <w:rPr>
          <w:rFonts w:eastAsia="Amiri" w:cs="Amiri" w:ascii="Amiri" w:hAnsi="Amiri"/>
          <w:color w:val="111111"/>
          <w:sz w:val="28"/>
          <w:szCs w:val="28"/>
          <w:rtl w:val="true"/>
          <w:lang w:bidi="ar-SA"/>
        </w:rPr>
        <w:t>.</w:t>
      </w:r>
    </w:p>
    <w:p>
      <w:pPr>
        <w:pStyle w:val="Heading4"/>
        <w:numPr>
          <w:ilvl w:val="3"/>
          <w:numId w:val="1"/>
        </w:numPr>
        <w:rPr/>
      </w:pPr>
      <w:bookmarkStart w:id="3169" w:name="__RefHeading___Toc3809643_1067777946"/>
      <w:bookmarkStart w:id="3170" w:name="_Toc1334"/>
      <w:bookmarkEnd w:id="3169"/>
      <w:r>
        <w:rPr/>
        <w:t>2</w:t>
      </w:r>
      <w:r>
        <w:rPr>
          <w:rtl w:val="true"/>
        </w:rPr>
        <w:t xml:space="preserve">. </w:t>
      </w:r>
      <w:r>
        <w:rPr>
          <w:rtl w:val="true"/>
        </w:rPr>
        <w:t>آلت ذَبح و نحر</w:t>
      </w:r>
      <w:bookmarkEnd w:id="3170"/>
    </w:p>
    <w:p>
      <w:pPr>
        <w:pStyle w:val="Heading5"/>
        <w:numPr>
          <w:ilvl w:val="4"/>
          <w:numId w:val="1"/>
        </w:numPr>
        <w:rPr/>
      </w:pPr>
      <w:bookmarkStart w:id="3171" w:name="__RefHeading___Toc3809645_1067777946"/>
      <w:bookmarkStart w:id="3172" w:name="_Toc1335"/>
      <w:bookmarkEnd w:id="3171"/>
      <w:r>
        <w:rPr>
          <w:rtl w:val="true"/>
        </w:rPr>
        <w:t>اعتبار حديد بودن آلت ذبح در حال اختيار</w:t>
      </w:r>
      <w:bookmarkEnd w:id="3172"/>
    </w:p>
    <w:p>
      <w:pPr>
        <w:pStyle w:val="BookText"/>
        <w:rPr/>
      </w:pPr>
      <w:r>
        <w:rPr>
          <w:rFonts w:ascii="IRNazanin" w:hAnsi="IRNazanin" w:eastAsia="IRNazanin"/>
          <w:color w:val="111111"/>
          <w:sz w:val="28"/>
          <w:sz w:val="28"/>
          <w:szCs w:val="28"/>
          <w:rtl w:val="true"/>
          <w:lang w:bidi="fa-IR"/>
        </w:rPr>
        <w:t>تذكيه در مذبوح و منحور حاصل نمى شود در حال اختيار مگر با آهن، نه با غير آن اگر چه از معادن باشد، مثل مس و طلا و نقره و برنج؛ و اگر آلت ذبح در حدّت و استحكام و تيزى و اطّراد تا آخر ذبح، مانند آهن باشد به نحو يقين، بعيد نيست به الغاى خصوصيّت، ملحق به آهن باشد</w:t>
      </w:r>
      <w:r>
        <w:rPr>
          <w:rFonts w:eastAsia="IRNazanin" w:cs="IRNazanin"/>
          <w:color w:val="111111"/>
          <w:sz w:val="28"/>
          <w:szCs w:val="28"/>
          <w:rtl w:val="true"/>
          <w:lang w:bidi="fa-IR"/>
        </w:rPr>
        <w:t>.</w:t>
      </w:r>
    </w:p>
    <w:p>
      <w:pPr>
        <w:pStyle w:val="Heading5"/>
        <w:numPr>
          <w:ilvl w:val="4"/>
          <w:numId w:val="1"/>
        </w:numPr>
        <w:rPr/>
      </w:pPr>
      <w:bookmarkStart w:id="3173" w:name="__RefHeading___Toc3809647_1067777946"/>
      <w:bookmarkStart w:id="3174" w:name="_Toc1336"/>
      <w:bookmarkEnd w:id="3173"/>
      <w:r>
        <w:rPr>
          <w:rtl w:val="true"/>
        </w:rPr>
        <w:t>فرض نبود حديد با خوف فوت ذبيحه</w:t>
      </w:r>
      <w:bookmarkEnd w:id="3174"/>
    </w:p>
    <w:p>
      <w:pPr>
        <w:pStyle w:val="BookText"/>
        <w:rPr/>
      </w:pPr>
      <w:r>
        <w:rPr>
          <w:rFonts w:ascii="IRNazanin" w:hAnsi="IRNazanin" w:eastAsia="IRNazanin"/>
          <w:color w:val="111111"/>
          <w:sz w:val="28"/>
          <w:sz w:val="28"/>
          <w:szCs w:val="28"/>
          <w:rtl w:val="true"/>
          <w:lang w:bidi="fa-IR"/>
        </w:rPr>
        <w:t>و اگر حديد پيدا نشد يا آنكه استعمالش ميسور نشد و خائف شد از فوت ذبيحه با احتياج به آن و اضطرار عرفى به ذبح آن، جائز است قطع اعضاى مخصوصه با مثل سنگ و چوب و نى و شيشه و استخوان در صورتى كه در طرف آنها تيزى و بُرَندگى باشد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جائز نيست با دندان و ناخن قطع كردن، مگر در حال ضرورت و نبودن سائر آلاتى كه تذكيه با آنها مى شود در تقدير نبودن آهن، چه متّصل باشند به بدن يا منفصل، اگر چه احوط ترك است</w:t>
      </w:r>
      <w:r>
        <w:rPr>
          <w:rFonts w:eastAsia="IRNazanin" w:cs="IRNazanin"/>
          <w:color w:val="111111"/>
          <w:sz w:val="28"/>
          <w:szCs w:val="28"/>
          <w:rtl w:val="true"/>
          <w:lang w:bidi="fa-IR"/>
        </w:rPr>
        <w:t xml:space="preserve">. </w:t>
      </w:r>
      <w:bookmarkStart w:id="3175" w:name="pg10265_90301"/>
    </w:p>
    <w:p>
      <w:pPr>
        <w:pStyle w:val="Heading3"/>
        <w:numPr>
          <w:ilvl w:val="2"/>
          <w:numId w:val="1"/>
        </w:numPr>
        <w:rPr/>
      </w:pPr>
      <w:bookmarkStart w:id="3176" w:name="__RefHeading___Toc3809649_1067777946"/>
      <w:bookmarkStart w:id="3177" w:name="_Toc1337"/>
      <w:bookmarkEnd w:id="3175"/>
      <w:bookmarkEnd w:id="3176"/>
      <w:r>
        <w:rPr>
          <w:rtl w:val="true"/>
        </w:rPr>
        <w:t>فصل پنجم كيفيت و شرايط ذبح</w:t>
      </w:r>
      <w:bookmarkEnd w:id="3177"/>
    </w:p>
    <w:p>
      <w:pPr>
        <w:pStyle w:val="Heading4"/>
        <w:numPr>
          <w:ilvl w:val="3"/>
          <w:numId w:val="1"/>
        </w:numPr>
        <w:rPr/>
      </w:pPr>
      <w:bookmarkStart w:id="3178" w:name="__RefHeading___Toc3809651_1067777946"/>
      <w:bookmarkStart w:id="3179" w:name="_Toc1338"/>
      <w:bookmarkEnd w:id="3178"/>
      <w:r>
        <w:rPr/>
        <w:t>1</w:t>
      </w:r>
      <w:r>
        <w:rPr>
          <w:rtl w:val="true"/>
        </w:rPr>
        <w:t xml:space="preserve">. </w:t>
      </w:r>
      <w:r>
        <w:rPr>
          <w:rtl w:val="true"/>
        </w:rPr>
        <w:t>كيفيّت ذَبح و نحر</w:t>
      </w:r>
      <w:bookmarkEnd w:id="3179"/>
    </w:p>
    <w:p>
      <w:pPr>
        <w:pStyle w:val="Heading5"/>
        <w:numPr>
          <w:ilvl w:val="4"/>
          <w:numId w:val="1"/>
        </w:numPr>
        <w:rPr/>
      </w:pPr>
      <w:bookmarkStart w:id="3180" w:name="__RefHeading___Toc3809653_1067777946"/>
      <w:bookmarkStart w:id="3181" w:name="_Toc1339"/>
      <w:bookmarkEnd w:id="3180"/>
      <w:r>
        <w:rPr>
          <w:rtl w:val="true"/>
        </w:rPr>
        <w:t>قطع چهار رگ در ذبح</w:t>
      </w:r>
      <w:bookmarkEnd w:id="3181"/>
    </w:p>
    <w:p>
      <w:pPr>
        <w:pStyle w:val="BookText"/>
        <w:rPr/>
      </w:pPr>
      <w:r>
        <w:rPr>
          <w:rFonts w:ascii="IRNazanin" w:hAnsi="IRNazanin" w:eastAsia="IRNazanin"/>
          <w:color w:val="111111"/>
          <w:sz w:val="28"/>
          <w:sz w:val="28"/>
          <w:szCs w:val="28"/>
          <w:rtl w:val="true"/>
          <w:lang w:bidi="fa-IR"/>
        </w:rPr>
        <w:t>لازم است قطع چهار رگ كه حلقوم و مجراى تنفس است و مرى كه زير حلقوم است و مجراى طعام است و دو رگ محيط به حلقوم كه وَدَج مى نامند هر يكى از آن دو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كافى نيست قطع بعضى از چهار در حال اختيار و بودن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نبودن آهنِ قاطعِ چهار رگ يا ميسور نبودن استعمال آن، اكتفاى به قطع حلقوم با تعذر قطع غير به واسطۀ نبودن آلت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تقدير عدم استلزام قطع حلقوم، قطع مرى را كه بين گردن و سينه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وجه نيست اگر چه مخالف احتياط است</w:t>
      </w:r>
      <w:r>
        <w:rPr>
          <w:rFonts w:eastAsia="IRNazanin" w:cs="IRNazanin"/>
          <w:color w:val="111111"/>
          <w:sz w:val="28"/>
          <w:szCs w:val="28"/>
          <w:rtl w:val="true"/>
          <w:lang w:bidi="fa-IR"/>
        </w:rPr>
        <w:t>.</w:t>
      </w:r>
    </w:p>
    <w:p>
      <w:pPr>
        <w:pStyle w:val="Heading5"/>
        <w:numPr>
          <w:ilvl w:val="4"/>
          <w:numId w:val="1"/>
        </w:numPr>
        <w:rPr/>
      </w:pPr>
      <w:bookmarkStart w:id="3182" w:name="__RefHeading___Toc3809655_1067777946"/>
      <w:bookmarkStart w:id="3183" w:name="_Toc1340"/>
      <w:bookmarkEnd w:id="3182"/>
      <w:r>
        <w:rPr>
          <w:rtl w:val="true"/>
        </w:rPr>
        <w:t>نحر</w:t>
      </w:r>
      <w:bookmarkEnd w:id="3183"/>
    </w:p>
    <w:p>
      <w:pPr>
        <w:pStyle w:val="BookText"/>
        <w:rPr/>
      </w:pPr>
      <w:r>
        <w:rPr>
          <w:rFonts w:ascii="IRNazanin" w:hAnsi="IRNazanin" w:eastAsia="IRNazanin"/>
          <w:color w:val="111111"/>
          <w:sz w:val="28"/>
          <w:sz w:val="28"/>
          <w:szCs w:val="28"/>
          <w:rtl w:val="true"/>
          <w:lang w:bidi="fa-IR"/>
        </w:rPr>
        <w:t>و كافى است در تذكيه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كردن سر آهن تيز را در فرورفتگى و گودى پائين گردن آن حيوان، اگر چه نايستاده باشد، مثل اينكه زانوها را به زمين زده يا به پهلو خوابيده باشد</w:t>
      </w:r>
      <w:r>
        <w:rPr>
          <w:rFonts w:eastAsia="IRNazanin" w:cs="IRNazanin"/>
          <w:color w:val="111111"/>
          <w:sz w:val="28"/>
          <w:szCs w:val="28"/>
          <w:rtl w:val="true"/>
          <w:lang w:bidi="fa-IR"/>
        </w:rPr>
        <w:t>.</w:t>
      </w:r>
    </w:p>
    <w:p>
      <w:pPr>
        <w:pStyle w:val="Heading4"/>
        <w:numPr>
          <w:ilvl w:val="3"/>
          <w:numId w:val="1"/>
        </w:numPr>
        <w:rPr/>
      </w:pPr>
      <w:bookmarkStart w:id="3184" w:name="__RefHeading___Toc3809657_1067777946"/>
      <w:bookmarkStart w:id="3185" w:name="_Toc1341"/>
      <w:bookmarkEnd w:id="3184"/>
      <w:r>
        <w:rPr/>
        <w:t>2</w:t>
      </w:r>
      <w:r>
        <w:rPr>
          <w:rtl w:val="true"/>
        </w:rPr>
        <w:t xml:space="preserve">. </w:t>
      </w:r>
      <w:r>
        <w:rPr>
          <w:rtl w:val="true"/>
        </w:rPr>
        <w:t>شرائط ذَبح</w:t>
      </w:r>
      <w:bookmarkEnd w:id="3185"/>
    </w:p>
    <w:p>
      <w:pPr>
        <w:pStyle w:val="Heading5"/>
        <w:numPr>
          <w:ilvl w:val="4"/>
          <w:numId w:val="1"/>
        </w:numPr>
        <w:rPr/>
      </w:pPr>
      <w:bookmarkStart w:id="3186" w:name="__RefHeading___Toc3809659_1067777946"/>
      <w:bookmarkStart w:id="3187" w:name="_Toc1342"/>
      <w:bookmarkEnd w:id="3186"/>
      <w:r>
        <w:rPr>
          <w:rtl w:val="true"/>
        </w:rPr>
        <w:t>الف</w:t>
      </w:r>
      <w:r>
        <w:rPr>
          <w:rtl w:val="true"/>
        </w:rPr>
        <w:t xml:space="preserve">. </w:t>
      </w:r>
      <w:r>
        <w:rPr>
          <w:rtl w:val="true"/>
        </w:rPr>
        <w:t>اعتبار استقبال</w:t>
      </w:r>
      <w:bookmarkEnd w:id="3187"/>
    </w:p>
    <w:p>
      <w:pPr>
        <w:pStyle w:val="Heading6"/>
        <w:numPr>
          <w:ilvl w:val="5"/>
          <w:numId w:val="1"/>
        </w:numPr>
        <w:rPr/>
      </w:pPr>
      <w:bookmarkStart w:id="3188" w:name="__RefHeading___Toc3809661_1067777946"/>
      <w:bookmarkStart w:id="3189" w:name="_Toc1343"/>
      <w:bookmarkEnd w:id="3188"/>
      <w:r>
        <w:rPr>
          <w:rtl w:val="true"/>
        </w:rPr>
        <w:t>اشاره</w:t>
      </w:r>
      <w:bookmarkEnd w:id="31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معتبر است در ذبح استقبال ذبيحه با امكان، پس اگر عمداً ذبيحه را در حال ذبح از قبله منحرف كرد پاك و حلال نمى شود</w:t>
      </w:r>
      <w:r>
        <w:rPr>
          <w:rFonts w:eastAsia="IRNazanin" w:cs="IRNazanin"/>
          <w:color w:val="111111"/>
          <w:sz w:val="28"/>
          <w:szCs w:val="28"/>
          <w:rtl w:val="true"/>
          <w:lang w:bidi="fa-IR"/>
        </w:rPr>
        <w:t>.</w:t>
      </w:r>
      <w:bookmarkStart w:id="3190" w:name="pg10265_90302"/>
    </w:p>
    <w:p>
      <w:pPr>
        <w:pStyle w:val="Heading6"/>
        <w:numPr>
          <w:ilvl w:val="5"/>
          <w:numId w:val="1"/>
        </w:numPr>
        <w:rPr/>
      </w:pPr>
      <w:bookmarkStart w:id="3191" w:name="__RefHeading___Toc3809663_1067777946"/>
      <w:bookmarkStart w:id="3192" w:name="_Toc1344"/>
      <w:bookmarkEnd w:id="3190"/>
      <w:bookmarkEnd w:id="3191"/>
      <w:r>
        <w:rPr>
          <w:rtl w:val="true"/>
        </w:rPr>
        <w:t>فراموشى يا جهل به قبله</w:t>
      </w:r>
      <w:bookmarkEnd w:id="3192"/>
    </w:p>
    <w:p>
      <w:pPr>
        <w:pStyle w:val="BookText"/>
        <w:rPr/>
      </w:pPr>
      <w:r>
        <w:rPr>
          <w:rFonts w:ascii="IRNazanin" w:hAnsi="IRNazanin" w:eastAsia="IRNazanin"/>
          <w:color w:val="111111"/>
          <w:sz w:val="28"/>
          <w:sz w:val="28"/>
          <w:szCs w:val="28"/>
          <w:rtl w:val="true"/>
          <w:lang w:bidi="fa-IR"/>
        </w:rPr>
        <w:t>و اگر از روى فراموشى يا جهل به قبله ترك استقبال آن كرد تذكيه حاصل مى شود، و هم چنين اگر جاهل به حكم بود؛ حتى اگر اعتقاد به وجوب آن نداشت با محفوظيت اسلام او، تذكيه حاصل مى شود بنا بر اظهر</w:t>
      </w:r>
      <w:r>
        <w:rPr>
          <w:rFonts w:eastAsia="IRNazanin" w:cs="IRNazanin"/>
          <w:color w:val="111111"/>
          <w:sz w:val="28"/>
          <w:szCs w:val="28"/>
          <w:rtl w:val="true"/>
          <w:lang w:bidi="fa-IR"/>
        </w:rPr>
        <w:t>.</w:t>
      </w:r>
    </w:p>
    <w:p>
      <w:pPr>
        <w:pStyle w:val="Heading6"/>
        <w:numPr>
          <w:ilvl w:val="5"/>
          <w:numId w:val="1"/>
        </w:numPr>
        <w:rPr/>
      </w:pPr>
      <w:bookmarkStart w:id="3193" w:name="__RefHeading___Toc3809665_1067777946"/>
      <w:bookmarkStart w:id="3194" w:name="_Toc1345"/>
      <w:bookmarkEnd w:id="3193"/>
      <w:r>
        <w:rPr>
          <w:rtl w:val="true"/>
        </w:rPr>
        <w:t>نحوه استقبال</w:t>
      </w:r>
      <w:bookmarkEnd w:id="3194"/>
    </w:p>
    <w:p>
      <w:pPr>
        <w:pStyle w:val="BookText"/>
        <w:rPr/>
      </w:pPr>
      <w:r>
        <w:rPr>
          <w:rFonts w:ascii="IRNazanin" w:hAnsi="IRNazanin" w:eastAsia="IRNazanin"/>
          <w:color w:val="111111"/>
          <w:sz w:val="28"/>
          <w:sz w:val="28"/>
          <w:szCs w:val="28"/>
          <w:rtl w:val="true"/>
          <w:lang w:bidi="fa-IR"/>
        </w:rPr>
        <w:t>و لازم، استقبال مقاديم بدن مذبوح و مذبح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استقبال منحور در حال خوابيدن به طرف راست يا چپ مثل استقبال مذبوح است، و در حال ايستادن روى به قبله نگاه داشته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استقبال ذابح يا نحركننده با آن لازم نيست اگر چه مستحب است</w:t>
      </w:r>
      <w:r>
        <w:rPr>
          <w:rFonts w:eastAsia="IRNazanin" w:cs="IRNazanin"/>
          <w:color w:val="111111"/>
          <w:sz w:val="28"/>
          <w:szCs w:val="28"/>
          <w:rtl w:val="true"/>
          <w:lang w:bidi="fa-IR"/>
        </w:rPr>
        <w:t>.</w:t>
      </w:r>
    </w:p>
    <w:p>
      <w:pPr>
        <w:pStyle w:val="Heading6"/>
        <w:numPr>
          <w:ilvl w:val="5"/>
          <w:numId w:val="1"/>
        </w:numPr>
        <w:rPr/>
      </w:pPr>
      <w:bookmarkStart w:id="3195" w:name="__RefHeading___Toc3809667_1067777946"/>
      <w:bookmarkStart w:id="3196" w:name="_Toc1346"/>
      <w:bookmarkEnd w:id="3195"/>
      <w:r>
        <w:rPr>
          <w:rtl w:val="true"/>
        </w:rPr>
        <w:t>فرض سقوط استقبال</w:t>
      </w:r>
      <w:bookmarkEnd w:id="3196"/>
    </w:p>
    <w:p>
      <w:pPr>
        <w:pStyle w:val="BookText"/>
        <w:rPr/>
      </w:pPr>
      <w:r>
        <w:rPr>
          <w:rFonts w:ascii="Amiri" w:hAnsi="Amiri" w:eastAsia="Amiri" w:cs="Amiri"/>
          <w:color w:val="111111"/>
          <w:sz w:val="28"/>
          <w:sz w:val="28"/>
          <w:szCs w:val="28"/>
          <w:rtl w:val="true"/>
          <w:lang w:bidi="ar-SA"/>
        </w:rPr>
        <w:t>و ساقط است اين شرط با عدم قدرت بر آن، به سبب مدافعۀ حيوان يا وقوع آن در محلى كه اخراجش متعذر و استقبال بدون اخراج متعذر باشد و جز قطع اعضاى اربعه با تسميه مقدور نباشد</w:t>
      </w:r>
      <w:r>
        <w:rPr>
          <w:rFonts w:eastAsia="Amiri" w:cs="Amiri" w:ascii="Amiri" w:hAnsi="Amiri"/>
          <w:color w:val="111111"/>
          <w:sz w:val="28"/>
          <w:szCs w:val="28"/>
          <w:rtl w:val="true"/>
          <w:lang w:bidi="ar-SA"/>
        </w:rPr>
        <w:t>.</w:t>
      </w:r>
    </w:p>
    <w:p>
      <w:pPr>
        <w:pStyle w:val="Heading5"/>
        <w:numPr>
          <w:ilvl w:val="4"/>
          <w:numId w:val="1"/>
        </w:numPr>
        <w:rPr/>
      </w:pPr>
      <w:bookmarkStart w:id="3197" w:name="__RefHeading___Toc3809669_1067777946"/>
      <w:bookmarkStart w:id="3198" w:name="_Toc1347"/>
      <w:bookmarkEnd w:id="3197"/>
      <w:r>
        <w:rPr>
          <w:rtl w:val="true"/>
        </w:rPr>
        <w:t>ب</w:t>
      </w:r>
      <w:r>
        <w:rPr>
          <w:rtl w:val="true"/>
        </w:rPr>
        <w:t xml:space="preserve">. </w:t>
      </w:r>
      <w:r>
        <w:rPr>
          <w:rtl w:val="true"/>
        </w:rPr>
        <w:t>اعتبار تسميه</w:t>
      </w:r>
      <w:bookmarkEnd w:id="3198"/>
    </w:p>
    <w:p>
      <w:pPr>
        <w:pStyle w:val="Heading6"/>
        <w:numPr>
          <w:ilvl w:val="5"/>
          <w:numId w:val="1"/>
        </w:numPr>
        <w:rPr/>
      </w:pPr>
      <w:bookmarkStart w:id="3199" w:name="__RefHeading___Toc3809671_1067777946"/>
      <w:bookmarkStart w:id="3200" w:name="_Toc1348"/>
      <w:bookmarkEnd w:id="3199"/>
      <w:r>
        <w:rPr>
          <w:rtl w:val="true"/>
        </w:rPr>
        <w:t>اشاره</w:t>
      </w:r>
      <w:bookmarkEnd w:id="320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معتبر است در حلّ ذبيحه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چنين در حلّ صيد به ارسال كلب يا رمى با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تسميه و نام خداى تعالى را بردن، در حال ذبح يا متّصل به آن به اتّصال عرفى و مقارنت عرفيّه، به مثل يكى از تسبيحات اربعۀ معروفه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تنهايى با تقدير حرف نداء يا خبر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اكتفاى به آن خالى از وجه نيست، مثل تلفظ به اينها، كه در همه صدق ذكر اسم خداى تعالى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عربى بودن اسم، احوط است؛ بلكه اكتفاى به تقدير، خلاف احتياط است؛ و هم چنين سائر اسماى مختصه يا غالبه خداى تعالى؛ اگر چه عدم وجوب آنچه به احتياط موصوف شد بى وجه نيست؛ و هم</w:t>
      </w:r>
      <w:bookmarkStart w:id="3201" w:name="pg10265_90303"/>
    </w:p>
    <w:p>
      <w:pPr>
        <w:pStyle w:val="BookText"/>
        <w:rPr/>
      </w:pPr>
      <w:bookmarkEnd w:id="3201"/>
      <w:r>
        <w:rPr>
          <w:rFonts w:ascii="IRNazanin" w:hAnsi="IRNazanin" w:eastAsia="IRNazanin"/>
          <w:color w:val="111111"/>
          <w:sz w:val="28"/>
          <w:sz w:val="28"/>
          <w:szCs w:val="28"/>
          <w:rtl w:val="true"/>
          <w:lang w:bidi="fa-IR"/>
        </w:rPr>
        <w:t xml:space="preserve">چنين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علىٰ محمّد و آل محمّد 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احتياط و جواز</w:t>
      </w:r>
      <w:r>
        <w:rPr>
          <w:rFonts w:eastAsia="IRNazanin" w:cs="IRNazanin"/>
          <w:color w:val="111111"/>
          <w:sz w:val="28"/>
          <w:szCs w:val="28"/>
          <w:rtl w:val="true"/>
          <w:lang w:bidi="fa-IR"/>
        </w:rPr>
        <w:t>.</w:t>
      </w:r>
    </w:p>
    <w:p>
      <w:pPr>
        <w:pStyle w:val="Heading6"/>
        <w:numPr>
          <w:ilvl w:val="5"/>
          <w:numId w:val="1"/>
        </w:numPr>
        <w:rPr/>
      </w:pPr>
      <w:bookmarkStart w:id="3202" w:name="__RefHeading___Toc3809673_1067777946"/>
      <w:bookmarkStart w:id="3203" w:name="_Toc1349"/>
      <w:bookmarkEnd w:id="3202"/>
      <w:r>
        <w:rPr>
          <w:rtl w:val="true"/>
        </w:rPr>
        <w:t>ترك تسميه</w:t>
      </w:r>
      <w:bookmarkEnd w:id="3203"/>
    </w:p>
    <w:p>
      <w:pPr>
        <w:pStyle w:val="BookText"/>
        <w:rPr/>
      </w:pPr>
      <w:r>
        <w:rPr>
          <w:rFonts w:ascii="IRNazanin" w:hAnsi="IRNazanin" w:eastAsia="IRNazanin"/>
          <w:color w:val="111111"/>
          <w:sz w:val="28"/>
          <w:sz w:val="28"/>
          <w:szCs w:val="28"/>
          <w:rtl w:val="true"/>
          <w:lang w:bidi="fa-IR"/>
        </w:rPr>
        <w:t>و اگر عمداً ترك تسميه كرد، تذكيه حاصل نمى شود؛ و اگر از روى فراموشى ترك كرد،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 ذابح بدون تسميه، در ادعاى فراموشى تصديق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جهل به موضوع يا حكم، ملحق به نسيان نيست بنا بر احوط</w:t>
      </w:r>
      <w:r>
        <w:rPr>
          <w:rFonts w:eastAsia="IRNazanin" w:cs="IRNazanin"/>
          <w:color w:val="111111"/>
          <w:sz w:val="28"/>
          <w:szCs w:val="28"/>
          <w:rtl w:val="true"/>
          <w:lang w:bidi="fa-IR"/>
        </w:rPr>
        <w:t>.</w:t>
      </w:r>
    </w:p>
    <w:p>
      <w:pPr>
        <w:pStyle w:val="Heading6"/>
        <w:numPr>
          <w:ilvl w:val="5"/>
          <w:numId w:val="1"/>
        </w:numPr>
        <w:rPr/>
      </w:pPr>
      <w:bookmarkStart w:id="3204" w:name="__RefHeading___Toc3809675_1067777946"/>
      <w:bookmarkStart w:id="3205" w:name="_Toc1350"/>
      <w:bookmarkEnd w:id="3204"/>
      <w:r>
        <w:rPr>
          <w:rtl w:val="true"/>
        </w:rPr>
        <w:t>اعتبار قصد در تسميه</w:t>
      </w:r>
      <w:bookmarkEnd w:id="3205"/>
    </w:p>
    <w:p>
      <w:pPr>
        <w:pStyle w:val="BookText"/>
        <w:rPr/>
      </w:pPr>
      <w:r>
        <w:rPr>
          <w:rFonts w:ascii="Amiri" w:hAnsi="Amiri" w:eastAsia="Amiri" w:cs="Amiri"/>
          <w:color w:val="111111"/>
          <w:sz w:val="28"/>
          <w:sz w:val="28"/>
          <w:szCs w:val="28"/>
          <w:rtl w:val="true"/>
          <w:lang w:bidi="ar-SA"/>
        </w:rPr>
        <w:t>و اظهر عدم كفايت تسميۀ براى سائر اغراض است، بلكه بايد به عنوان تسميۀ بر ذبيحه و به اين قصد باشد</w:t>
      </w:r>
      <w:r>
        <w:rPr>
          <w:rFonts w:eastAsia="Amiri" w:cs="Amiri" w:ascii="Amiri" w:hAnsi="Amiri"/>
          <w:color w:val="111111"/>
          <w:sz w:val="28"/>
          <w:szCs w:val="28"/>
          <w:rtl w:val="true"/>
          <w:lang w:bidi="ar-SA"/>
        </w:rPr>
        <w:t>.</w:t>
      </w:r>
    </w:p>
    <w:p>
      <w:pPr>
        <w:pStyle w:val="Heading6"/>
        <w:numPr>
          <w:ilvl w:val="5"/>
          <w:numId w:val="1"/>
        </w:numPr>
        <w:rPr/>
      </w:pPr>
      <w:bookmarkStart w:id="3206" w:name="__RefHeading___Toc3809677_1067777946"/>
      <w:bookmarkStart w:id="3207" w:name="_Toc1351"/>
      <w:bookmarkEnd w:id="3206"/>
      <w:r>
        <w:rPr>
          <w:rtl w:val="true"/>
        </w:rPr>
        <w:t>شرطيت ذكر خداى متعال به نحو اختصاص</w:t>
      </w:r>
      <w:bookmarkEnd w:id="3207"/>
    </w:p>
    <w:p>
      <w:pPr>
        <w:pStyle w:val="BookText"/>
        <w:rPr/>
      </w:pPr>
      <w:r>
        <w:rPr>
          <w:rFonts w:ascii="IRNazanin" w:hAnsi="IRNazanin" w:eastAsia="IRNazanin"/>
          <w:color w:val="111111"/>
          <w:sz w:val="28"/>
          <w:sz w:val="28"/>
          <w:szCs w:val="28"/>
          <w:rtl w:val="true"/>
          <w:lang w:bidi="fa-IR"/>
        </w:rPr>
        <w:t xml:space="preserve">و بايد نام خداى تعالى به نحو اختصاص ذكر شود، پس مجزى نيست اگر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جرّ به عطف؛ و اگر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بسم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قصد نمايد متعلّق را 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بى وجه نيست، و هم چنين اگر در صورت اولى همين قصد را داشته باشد؛ به خلاف صورت قصد تشريك يا اطلاق به معنى قصد ظاهر</w:t>
      </w:r>
      <w:r>
        <w:rPr>
          <w:rFonts w:eastAsia="IRNazanin" w:cs="IRNazanin"/>
          <w:color w:val="111111"/>
          <w:sz w:val="28"/>
          <w:szCs w:val="28"/>
          <w:rtl w:val="true"/>
          <w:lang w:bidi="fa-IR"/>
        </w:rPr>
        <w:t>.</w:t>
      </w:r>
    </w:p>
    <w:p>
      <w:pPr>
        <w:pStyle w:val="Heading6"/>
        <w:numPr>
          <w:ilvl w:val="5"/>
          <w:numId w:val="1"/>
        </w:numPr>
        <w:rPr/>
      </w:pPr>
      <w:bookmarkStart w:id="3208" w:name="__RefHeading___Toc3809679_1067777946"/>
      <w:bookmarkStart w:id="3209" w:name="_Toc1352"/>
      <w:bookmarkEnd w:id="3208"/>
      <w:r>
        <w:rPr>
          <w:rtl w:val="true"/>
        </w:rPr>
        <w:t>اشاره اخرس</w:t>
      </w:r>
      <w:bookmarkEnd w:id="3209"/>
    </w:p>
    <w:p>
      <w:pPr>
        <w:pStyle w:val="BookText"/>
        <w:rPr/>
      </w:pPr>
      <w:r>
        <w:rPr>
          <w:rFonts w:ascii="IRNazanin" w:hAnsi="IRNazanin" w:eastAsia="IRNazanin"/>
          <w:color w:val="111111"/>
          <w:sz w:val="28"/>
          <w:sz w:val="28"/>
          <w:szCs w:val="28"/>
          <w:rtl w:val="true"/>
          <w:lang w:bidi="fa-IR"/>
        </w:rPr>
        <w:t xml:space="preserve">و اشارۀ مفهمه در اخرس كافى است اگر چه به تحريك زبان با توجه به مقصود كه تسميه بر ذبيحه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6"/>
        <w:numPr>
          <w:ilvl w:val="5"/>
          <w:numId w:val="1"/>
        </w:numPr>
        <w:rPr/>
      </w:pPr>
      <w:bookmarkStart w:id="3210" w:name="__RefHeading___Toc3809681_1067777946"/>
      <w:bookmarkStart w:id="3211" w:name="_Toc1353"/>
      <w:bookmarkEnd w:id="3210"/>
      <w:r>
        <w:rPr>
          <w:rtl w:val="true"/>
        </w:rPr>
        <w:t>جواز وصفى تسميه به قصد عزيمت از جنب و حائض</w:t>
      </w:r>
      <w:bookmarkEnd w:id="3211"/>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تسميه به قصد عزيمت، از جنب و حائض، ضرر به تذكيه ندارد اگر چه معصيت است</w:t>
      </w:r>
      <w:r>
        <w:rPr>
          <w:rFonts w:eastAsia="IRNazanin" w:cs="IRNazanin"/>
          <w:color w:val="111111"/>
          <w:sz w:val="28"/>
          <w:szCs w:val="28"/>
          <w:rtl w:val="true"/>
          <w:lang w:bidi="fa-IR"/>
        </w:rPr>
        <w:t xml:space="preserve">. </w:t>
      </w:r>
      <w:bookmarkStart w:id="3212" w:name="pg10265_90304"/>
    </w:p>
    <w:p>
      <w:pPr>
        <w:pStyle w:val="Heading6"/>
        <w:numPr>
          <w:ilvl w:val="5"/>
          <w:numId w:val="1"/>
        </w:numPr>
        <w:rPr/>
      </w:pPr>
      <w:bookmarkStart w:id="3213" w:name="__RefHeading___Toc3809683_1067777946"/>
      <w:bookmarkStart w:id="3214" w:name="_Toc1354"/>
      <w:bookmarkEnd w:id="3212"/>
      <w:bookmarkEnd w:id="3213"/>
      <w:r>
        <w:rPr>
          <w:rtl w:val="true"/>
        </w:rPr>
        <w:t>اعتبار تسميۀ وكيل</w:t>
      </w:r>
      <w:bookmarkEnd w:id="3214"/>
    </w:p>
    <w:p>
      <w:pPr>
        <w:pStyle w:val="BookText"/>
        <w:rPr/>
      </w:pPr>
      <w:r>
        <w:rPr>
          <w:rFonts w:ascii="Amiri" w:hAnsi="Amiri" w:eastAsia="Amiri" w:cs="Amiri"/>
          <w:color w:val="111111"/>
          <w:sz w:val="28"/>
          <w:sz w:val="28"/>
          <w:szCs w:val="28"/>
          <w:rtl w:val="true"/>
          <w:lang w:bidi="ar-SA"/>
        </w:rPr>
        <w:t>با توكيل مسلم، مسلمى را در ذبح، تسميۀ وكيل ذابح به مباشرت، لازم است، و تسميه موكّل كافى نيست</w:t>
      </w:r>
      <w:r>
        <w:rPr>
          <w:rFonts w:eastAsia="Amiri" w:cs="Amiri" w:ascii="Amiri" w:hAnsi="Amiri"/>
          <w:color w:val="111111"/>
          <w:sz w:val="28"/>
          <w:szCs w:val="28"/>
          <w:rtl w:val="true"/>
          <w:lang w:bidi="ar-SA"/>
        </w:rPr>
        <w:t>.</w:t>
      </w:r>
    </w:p>
    <w:p>
      <w:pPr>
        <w:pStyle w:val="Heading6"/>
        <w:numPr>
          <w:ilvl w:val="5"/>
          <w:numId w:val="1"/>
        </w:numPr>
        <w:rPr/>
      </w:pPr>
      <w:bookmarkStart w:id="3215" w:name="__RefHeading___Toc3809685_1067777946"/>
      <w:bookmarkStart w:id="3216" w:name="_Toc1355"/>
      <w:bookmarkEnd w:id="3215"/>
      <w:r>
        <w:rPr>
          <w:rtl w:val="true"/>
        </w:rPr>
        <w:t>مباشرت دو نفر در ذبح</w:t>
      </w:r>
      <w:bookmarkEnd w:id="3216"/>
    </w:p>
    <w:p>
      <w:pPr>
        <w:pStyle w:val="BookText"/>
        <w:rPr/>
      </w:pPr>
      <w:r>
        <w:rPr>
          <w:rFonts w:ascii="IRNazanin" w:hAnsi="IRNazanin" w:eastAsia="IRNazanin"/>
          <w:color w:val="111111"/>
          <w:sz w:val="28"/>
          <w:sz w:val="28"/>
          <w:szCs w:val="28"/>
          <w:rtl w:val="true"/>
          <w:lang w:bidi="fa-IR"/>
        </w:rPr>
        <w:t>مانعى از مباشرت دو نفر به ذبح با تسميۀ هر دو نيست اگر با هم انجام دهند</w:t>
      </w:r>
      <w:r>
        <w:rPr>
          <w:rFonts w:eastAsia="IRNazanin" w:cs="IRNazanin"/>
          <w:color w:val="111111"/>
          <w:sz w:val="28"/>
          <w:szCs w:val="28"/>
          <w:rtl w:val="true"/>
          <w:lang w:bidi="fa-IR"/>
        </w:rPr>
        <w:t>.</w:t>
      </w:r>
    </w:p>
    <w:p>
      <w:pPr>
        <w:pStyle w:val="Heading5"/>
        <w:numPr>
          <w:ilvl w:val="4"/>
          <w:numId w:val="1"/>
        </w:numPr>
        <w:rPr/>
      </w:pPr>
      <w:bookmarkStart w:id="3217" w:name="__RefHeading___Toc3809687_1067777946"/>
      <w:bookmarkStart w:id="3218" w:name="_Toc1356"/>
      <w:bookmarkEnd w:id="3217"/>
      <w:r>
        <w:rPr>
          <w:rtl w:val="true"/>
        </w:rPr>
        <w:t>ج</w:t>
      </w:r>
      <w:r>
        <w:rPr>
          <w:rtl w:val="true"/>
        </w:rPr>
        <w:t xml:space="preserve">. </w:t>
      </w:r>
      <w:r>
        <w:rPr>
          <w:rtl w:val="true"/>
        </w:rPr>
        <w:t>اختصاص شتر به نحر و غير شتر به ذبح</w:t>
      </w:r>
      <w:bookmarkEnd w:id="3218"/>
    </w:p>
    <w:p>
      <w:pPr>
        <w:pStyle w:val="Heading6"/>
        <w:numPr>
          <w:ilvl w:val="5"/>
          <w:numId w:val="1"/>
        </w:numPr>
        <w:rPr/>
      </w:pPr>
      <w:bookmarkStart w:id="3219" w:name="__RefHeading___Toc3809689_1067777946"/>
      <w:bookmarkStart w:id="3220" w:name="_Toc1357"/>
      <w:bookmarkEnd w:id="3219"/>
      <w:r>
        <w:rPr>
          <w:rtl w:val="true"/>
        </w:rPr>
        <w:t>اشاره</w:t>
      </w:r>
      <w:bookmarkEnd w:id="322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مخصوص است شتر به نحر به نحو متقدّم، و غير آن به ذبح در حلق و قطع أوداج اربعه، و هر كدام در جاى ديگر كافى در تذكيه نيست؛ بلكه بعد از هر كدام اگر ادراك شد تذكيه با استقرار حيات و تذكيۀ مخصوص به آن انجام داده شد، پاك است وگرنه ميته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كلام در اعتبار استقرار به ازيد از حركت بعض اطراف اگر چه به كشف حركت بعد از ذبح از سبق حيات مذكوره است خواهد آمد إن شاء اللّٰه تعالى</w:t>
      </w:r>
      <w:r>
        <w:rPr>
          <w:rFonts w:eastAsia="IRNazanin" w:cs="IRNazanin"/>
          <w:color w:val="111111"/>
          <w:sz w:val="28"/>
          <w:szCs w:val="28"/>
          <w:rtl w:val="true"/>
          <w:lang w:bidi="fa-IR"/>
        </w:rPr>
        <w:t>.</w:t>
      </w:r>
    </w:p>
    <w:p>
      <w:pPr>
        <w:pStyle w:val="Heading6"/>
        <w:numPr>
          <w:ilvl w:val="5"/>
          <w:numId w:val="1"/>
        </w:numPr>
        <w:rPr/>
      </w:pPr>
      <w:bookmarkStart w:id="3221" w:name="__RefHeading___Toc3809691_1067777946"/>
      <w:bookmarkStart w:id="3222" w:name="_Toc1358"/>
      <w:bookmarkEnd w:id="3221"/>
      <w:r>
        <w:rPr>
          <w:rtl w:val="true"/>
        </w:rPr>
        <w:t>جدا كردن سر قبل از زهاق روح</w:t>
      </w:r>
      <w:bookmarkEnd w:id="3222"/>
    </w:p>
    <w:p>
      <w:pPr>
        <w:pStyle w:val="BookText"/>
        <w:rPr/>
      </w:pPr>
      <w:r>
        <w:rPr>
          <w:rFonts w:ascii="IRNazanin" w:hAnsi="IRNazanin" w:eastAsia="IRNazanin"/>
          <w:color w:val="111111"/>
          <w:sz w:val="28"/>
          <w:sz w:val="28"/>
          <w:szCs w:val="28"/>
          <w:rtl w:val="true"/>
          <w:lang w:bidi="fa-IR"/>
        </w:rPr>
        <w:t>اگر جدا كرد سر ذبيحه را قبل از زهاق روح آن، پاك و حلال است به سبب ذبح، چه به غير اختيار قطع نمايد يا عمداً؛ و تعمّد قطع رأس مورد خلاف است در تحريم و كراهت، و قول دوم اظهر است و اول احوط است</w:t>
      </w:r>
      <w:r>
        <w:rPr>
          <w:rFonts w:eastAsia="IRNazanin" w:cs="IRNazanin"/>
          <w:color w:val="111111"/>
          <w:sz w:val="28"/>
          <w:szCs w:val="28"/>
          <w:rtl w:val="true"/>
          <w:lang w:bidi="fa-IR"/>
        </w:rPr>
        <w:t>.</w:t>
      </w:r>
    </w:p>
    <w:p>
      <w:pPr>
        <w:pStyle w:val="Heading6"/>
        <w:numPr>
          <w:ilvl w:val="5"/>
          <w:numId w:val="1"/>
        </w:numPr>
        <w:rPr/>
      </w:pPr>
      <w:bookmarkStart w:id="3223" w:name="__RefHeading___Toc3809693_1067777946"/>
      <w:bookmarkStart w:id="3224" w:name="_Toc1359"/>
      <w:bookmarkEnd w:id="3223"/>
      <w:r>
        <w:rPr>
          <w:rtl w:val="true"/>
        </w:rPr>
        <w:t>كراهت كندن پوست و قطع اعضا قبل از برودت</w:t>
      </w:r>
      <w:bookmarkEnd w:id="3224"/>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مكروه است پوست ذبيحه را در آوردن قبل از زوال حرارت آن، و هم چنين قطع بعض اعضاى آن بنا بر اظهر؛ و ترك اين گونه امور قبل از زهاق روح و زوال حرارت بدن احوط است</w:t>
      </w:r>
      <w:r>
        <w:rPr>
          <w:rFonts w:eastAsia="IRNazanin" w:cs="IRNazanin"/>
          <w:color w:val="111111"/>
          <w:sz w:val="28"/>
          <w:szCs w:val="28"/>
          <w:rtl w:val="true"/>
          <w:lang w:bidi="fa-IR"/>
        </w:rPr>
        <w:t xml:space="preserve">. </w:t>
      </w:r>
      <w:bookmarkStart w:id="3225" w:name="pg10265_90305"/>
    </w:p>
    <w:p>
      <w:pPr>
        <w:pStyle w:val="Heading6"/>
        <w:numPr>
          <w:ilvl w:val="5"/>
          <w:numId w:val="1"/>
        </w:numPr>
        <w:rPr/>
      </w:pPr>
      <w:bookmarkStart w:id="3226" w:name="__RefHeading___Toc3809695_1067777946"/>
      <w:bookmarkStart w:id="3227" w:name="_Toc1360"/>
      <w:bookmarkEnd w:id="3225"/>
      <w:bookmarkEnd w:id="3226"/>
      <w:r>
        <w:rPr>
          <w:rtl w:val="true"/>
        </w:rPr>
        <w:t>جواز معاملۀ ممتنع با طائر فرارى</w:t>
      </w:r>
      <w:bookmarkEnd w:id="3227"/>
    </w:p>
    <w:p>
      <w:pPr>
        <w:pStyle w:val="BookText"/>
        <w:rPr/>
      </w:pPr>
      <w:r>
        <w:rPr>
          <w:rFonts w:ascii="IRNazanin" w:hAnsi="IRNazanin" w:eastAsia="IRNazanin"/>
          <w:color w:val="111111"/>
          <w:sz w:val="28"/>
          <w:sz w:val="28"/>
          <w:szCs w:val="28"/>
          <w:rtl w:val="true"/>
          <w:lang w:bidi="fa-IR"/>
        </w:rPr>
        <w:t>اگر طائر رها كرد خود را و فرار نمود، مى تواند با او معامله ممتنع را نمود و با خنجرى يا كاردى او را ساقط كرد و از امتناع خارج كرد؛ پس اگر ادراك كرد ذبح آن را با حيات مستقره، با ذبح، حلال مى شود، وگرنه به همان سبب سابق، مثل صيد ممتنع</w:t>
      </w:r>
      <w:r>
        <w:rPr>
          <w:rFonts w:eastAsia="IRNazanin" w:cs="IRNazanin"/>
          <w:color w:val="111111"/>
          <w:sz w:val="28"/>
          <w:szCs w:val="28"/>
          <w:rtl w:val="true"/>
          <w:lang w:bidi="fa-IR"/>
        </w:rPr>
        <w:t>.</w:t>
      </w:r>
    </w:p>
    <w:p>
      <w:pPr>
        <w:pStyle w:val="Heading5"/>
        <w:numPr>
          <w:ilvl w:val="4"/>
          <w:numId w:val="1"/>
        </w:numPr>
        <w:rPr/>
      </w:pPr>
      <w:bookmarkStart w:id="3228" w:name="__RefHeading___Toc3809697_1067777946"/>
      <w:bookmarkStart w:id="3229" w:name="_Toc1361"/>
      <w:bookmarkEnd w:id="3228"/>
      <w:r>
        <w:rPr>
          <w:rtl w:val="true"/>
        </w:rPr>
        <w:t>د</w:t>
      </w:r>
      <w:r>
        <w:rPr>
          <w:rtl w:val="true"/>
        </w:rPr>
        <w:t xml:space="preserve">. </w:t>
      </w:r>
      <w:r>
        <w:rPr>
          <w:rtl w:val="true"/>
        </w:rPr>
        <w:t>لزوم استقرار حيات قبل از ذبح</w:t>
      </w:r>
      <w:bookmarkEnd w:id="3229"/>
    </w:p>
    <w:p>
      <w:pPr>
        <w:pStyle w:val="Heading6"/>
        <w:numPr>
          <w:ilvl w:val="5"/>
          <w:numId w:val="1"/>
        </w:numPr>
        <w:rPr/>
      </w:pPr>
      <w:bookmarkStart w:id="3230" w:name="__RefHeading___Toc3809699_1067777946"/>
      <w:bookmarkStart w:id="3231" w:name="_Toc1362"/>
      <w:bookmarkEnd w:id="3230"/>
      <w:r>
        <w:rPr>
          <w:rtl w:val="true"/>
        </w:rPr>
        <w:t>اشاره</w:t>
      </w:r>
      <w:bookmarkEnd w:id="323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استقرار حيات قبل از ذبح،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حصول آن به حركت اطراف تأمّل است؛ و لازم است كشف از حيات بعد از ذبح اگر چه در مختصرى از زمان باشد؛ و مكشوف بودن به حركت طرفى مثل طَرْف چشم يا رَكض رِجل يا حركت دُم و خروج خون معتدل، مسلّم است، و در تخيير بين اين دو يا تعيين هر كدام يا جمع، خلاف است</w:t>
      </w:r>
      <w:r>
        <w:rPr>
          <w:rFonts w:eastAsia="IRNazanin" w:cs="IRNazanin"/>
          <w:color w:val="111111"/>
          <w:sz w:val="28"/>
          <w:szCs w:val="28"/>
          <w:rtl w:val="true"/>
          <w:lang w:bidi="fa-IR"/>
        </w:rPr>
        <w:t>.</w:t>
      </w:r>
    </w:p>
    <w:p>
      <w:pPr>
        <w:pStyle w:val="Heading6"/>
        <w:numPr>
          <w:ilvl w:val="5"/>
          <w:numId w:val="1"/>
        </w:numPr>
        <w:rPr/>
      </w:pPr>
      <w:bookmarkStart w:id="3232" w:name="__RefHeading___Toc3809701_1067777946"/>
      <w:bookmarkStart w:id="3233" w:name="_Toc1363"/>
      <w:bookmarkEnd w:id="3232"/>
      <w:r>
        <w:rPr>
          <w:rtl w:val="true"/>
        </w:rPr>
        <w:t>كفايت حركت</w:t>
      </w:r>
      <w:bookmarkEnd w:id="3233"/>
    </w:p>
    <w:p>
      <w:pPr>
        <w:pStyle w:val="BookText"/>
        <w:rPr/>
      </w:pPr>
      <w:r>
        <w:rPr>
          <w:rFonts w:ascii="IRNazanin" w:hAnsi="IRNazanin" w:eastAsia="IRNazanin"/>
          <w:color w:val="111111"/>
          <w:sz w:val="28"/>
          <w:sz w:val="28"/>
          <w:szCs w:val="28"/>
          <w:rtl w:val="true"/>
          <w:lang w:bidi="fa-IR"/>
        </w:rPr>
        <w:t>و با حركت حيوان مذبوح اگر چه مختصر و در بعض اطراف باشد اگر چه با خروج خون نباشد، حكم به تذكيۀ آن مى شود بنا بر اظهر كه اجتماع حركت و خروج خون معتدل لازم نيست؛ و احوط عدم اكتفاى به خروج خون معتدل بدون حركت آن است، اگر چه كفايت، منسوب به اكثر متأخّرين است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براى ذبح حيوان، مستحبات و مكروهاتى مقرر كرده اند و در كتب مفصله مذكور است، مناسب است براى اطلاع به آداب، مراجعه به آنها بشود</w:t>
      </w:r>
      <w:r>
        <w:rPr>
          <w:rFonts w:eastAsia="Amiri" w:cs="Amiri" w:ascii="Amiri" w:hAnsi="Amiri"/>
          <w:color w:val="111111"/>
          <w:sz w:val="28"/>
          <w:szCs w:val="28"/>
          <w:rtl w:val="true"/>
          <w:lang w:bidi="ar-SA"/>
        </w:rPr>
        <w:t xml:space="preserve">. </w:t>
      </w:r>
      <w:bookmarkStart w:id="3234" w:name="pg10265_90306"/>
    </w:p>
    <w:p>
      <w:pPr>
        <w:pStyle w:val="Heading3"/>
        <w:numPr>
          <w:ilvl w:val="2"/>
          <w:numId w:val="1"/>
        </w:numPr>
        <w:rPr/>
      </w:pPr>
      <w:bookmarkStart w:id="3235" w:name="__RefHeading___Toc3809703_1067777946"/>
      <w:bookmarkStart w:id="3236" w:name="_Toc1364"/>
      <w:bookmarkEnd w:id="3234"/>
      <w:bookmarkEnd w:id="3235"/>
      <w:r>
        <w:rPr>
          <w:rtl w:val="true"/>
        </w:rPr>
        <w:t>فصل ششم لواحق ذباحه و مسائلى از ذبح</w:t>
      </w:r>
      <w:bookmarkEnd w:id="3236"/>
    </w:p>
    <w:p>
      <w:pPr>
        <w:pStyle w:val="Heading4"/>
        <w:numPr>
          <w:ilvl w:val="3"/>
          <w:numId w:val="1"/>
        </w:numPr>
        <w:rPr/>
      </w:pPr>
      <w:bookmarkStart w:id="3237" w:name="__RefHeading___Toc3809705_1067777946"/>
      <w:bookmarkStart w:id="3238" w:name="_Toc1365"/>
      <w:bookmarkEnd w:id="3237"/>
      <w:r>
        <w:rPr/>
        <w:t>1</w:t>
      </w:r>
      <w:r>
        <w:rPr>
          <w:rtl w:val="true"/>
        </w:rPr>
        <w:t xml:space="preserve">. </w:t>
      </w:r>
      <w:r>
        <w:rPr>
          <w:rtl w:val="true"/>
        </w:rPr>
        <w:t>لواحق ذباحه</w:t>
      </w:r>
      <w:bookmarkEnd w:id="3238"/>
    </w:p>
    <w:p>
      <w:pPr>
        <w:pStyle w:val="Heading5"/>
        <w:numPr>
          <w:ilvl w:val="4"/>
          <w:numId w:val="1"/>
        </w:numPr>
        <w:rPr/>
      </w:pPr>
      <w:bookmarkStart w:id="3239" w:name="__RefHeading___Toc3809707_1067777946"/>
      <w:bookmarkStart w:id="3240" w:name="_Toc1366"/>
      <w:bookmarkEnd w:id="3239"/>
      <w:r>
        <w:rPr>
          <w:rtl w:val="true"/>
        </w:rPr>
        <w:t>أماريت سوق مسلمين و عدم لزوم فحص</w:t>
      </w:r>
      <w:bookmarkEnd w:id="32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سوق مسلمانها فروخته مى شود از لحوم ذبائح و جلود آنها كه محتاج به تذكيه است، جائز است خريدن آنها، بدون فحص از تذكيه و از اينكه فروشنده مستحلّ ذبائح اهل كتاب يا مستحلّ تطهير به دباغ هست يا نه، و هم چنين آنچه در زمين اسلام باشد از اينها و آنچه در زمين اسلام ساخته شده باشد از لباسها؛ و ظاهر، صدق سوق مسلمين و زمين اسلام به غلبه مسلمانها در آن محل مى نمايد</w:t>
      </w:r>
      <w:r>
        <w:rPr>
          <w:rFonts w:eastAsia="IRNazanin" w:cs="IRNazanin"/>
          <w:color w:val="111111"/>
          <w:sz w:val="28"/>
          <w:szCs w:val="28"/>
          <w:rtl w:val="true"/>
          <w:lang w:bidi="fa-IR"/>
        </w:rPr>
        <w:t>.</w:t>
      </w:r>
    </w:p>
    <w:p>
      <w:pPr>
        <w:pStyle w:val="Heading5"/>
        <w:numPr>
          <w:ilvl w:val="4"/>
          <w:numId w:val="1"/>
        </w:numPr>
        <w:rPr/>
      </w:pPr>
      <w:bookmarkStart w:id="3241" w:name="__RefHeading___Toc3809709_1067777946"/>
      <w:bookmarkStart w:id="3242" w:name="_Toc1367"/>
      <w:bookmarkEnd w:id="3241"/>
      <w:r>
        <w:rPr>
          <w:rtl w:val="true"/>
        </w:rPr>
        <w:t>مراد از استقرار حيات قبل از ذبح و در صيد</w:t>
      </w:r>
      <w:bookmarkEnd w:id="324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استقرار حيات، به اين معنى كه نصف روز يا يك روز باقى باشد در تذكيۀ ذبيحه شرط نيست؛ بلكه اگر در حالى ذبح شد كه بعد از آن حركت نمود، اظهر حلّيت و طهارت است؛ و اگر قبل از ذبح، حركت داشت، شرط ظاهرى ذبح آن است؛ و آنچه از فروع در سابق مبنى بر تأمّل در اعتبار استقرار حيات بوده، تعيين مى شود با آنچه در اينجا مذكور شده است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ادراك شد قبل از موت، لازم است ذبح آن؛ و اگر حركت نكرد </w:t>
      </w:r>
      <w:bookmarkStart w:id="3243" w:name="pg10265_90307"/>
    </w:p>
    <w:p>
      <w:pPr>
        <w:pStyle w:val="BookText"/>
        <w:rPr/>
      </w:pPr>
      <w:bookmarkEnd w:id="3243"/>
      <w:r>
        <w:rPr>
          <w:rFonts w:ascii="IRNazanin" w:hAnsi="IRNazanin" w:eastAsia="IRNazanin"/>
          <w:color w:val="111111"/>
          <w:sz w:val="28"/>
          <w:sz w:val="28"/>
          <w:szCs w:val="28"/>
          <w:rtl w:val="true"/>
          <w:lang w:bidi="fa-IR"/>
        </w:rPr>
        <w:t>بعد از ذبح، كشف مى شود استناد موت به سبب اصطياد و حرام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ترتيب، مذبوح از قفا اگر اوداج اربعه بريده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بعضى از آنها قطع شده بوده و هنوز حركت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ذبح شد پس حركت كرد، پاك است، و اگر نكرد، پاك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با وسعت زمان ترك ذبح كرد، با آنكه حركت بعد از اين اسباب بوده، محكوم به تذكيه نمى شود</w:t>
      </w:r>
      <w:r>
        <w:rPr>
          <w:rFonts w:eastAsia="IRNazanin" w:cs="IRNazanin"/>
          <w:color w:val="111111"/>
          <w:sz w:val="28"/>
          <w:szCs w:val="28"/>
          <w:rtl w:val="true"/>
          <w:lang w:bidi="fa-IR"/>
        </w:rPr>
        <w:t>.</w:t>
      </w:r>
    </w:p>
    <w:p>
      <w:pPr>
        <w:pStyle w:val="Heading5"/>
        <w:numPr>
          <w:ilvl w:val="4"/>
          <w:numId w:val="1"/>
        </w:numPr>
        <w:rPr/>
      </w:pPr>
      <w:bookmarkStart w:id="3244" w:name="__RefHeading___Toc3809711_1067777946"/>
      <w:bookmarkStart w:id="3245" w:name="_Toc1368"/>
      <w:bookmarkEnd w:id="3244"/>
      <w:r>
        <w:rPr>
          <w:rtl w:val="true"/>
        </w:rPr>
        <w:t>اگر بعد از ذبح حركت نداشته باشد</w:t>
      </w:r>
      <w:bookmarkEnd w:id="3245"/>
    </w:p>
    <w:p>
      <w:pPr>
        <w:pStyle w:val="BookText"/>
        <w:rPr/>
      </w:pPr>
      <w:r>
        <w:rPr>
          <w:rFonts w:ascii="IRNazanin" w:hAnsi="IRNazanin" w:eastAsia="IRNazanin"/>
          <w:color w:val="111111"/>
          <w:sz w:val="28"/>
          <w:sz w:val="28"/>
          <w:szCs w:val="28"/>
          <w:rtl w:val="true"/>
          <w:lang w:bidi="fa-IR"/>
        </w:rPr>
        <w:t>و اگر قبل از ذبح حركت داشت و بعد از آن حركت نكرد و خون معتدل خارج نشد، چون محتمل است قبل از تمام ذبح، زهاق روح او شده بوده به سبب سابق غير محلّل، حكم به تذكيه نمى شود؛ به خلاف آنكه سبب سابق محلل بوده مثل اصطياد و 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ظن به استناد خروج روح به ذبح حاصل نمى شود مگر با حركت بعد از ذبح اگر چه آنى باشد، نه حركت مقارنۀ با تحقّق ذبح و جزء اخير آن</w:t>
      </w:r>
      <w:r>
        <w:rPr>
          <w:rFonts w:eastAsia="IRNazanin" w:cs="IRNazanin"/>
          <w:color w:val="111111"/>
          <w:sz w:val="28"/>
          <w:szCs w:val="28"/>
          <w:rtl w:val="true"/>
          <w:lang w:bidi="fa-IR"/>
        </w:rPr>
        <w:t>.</w:t>
      </w:r>
    </w:p>
    <w:p>
      <w:pPr>
        <w:pStyle w:val="Heading5"/>
        <w:numPr>
          <w:ilvl w:val="4"/>
          <w:numId w:val="1"/>
        </w:numPr>
        <w:rPr/>
      </w:pPr>
      <w:bookmarkStart w:id="3246" w:name="__RefHeading___Toc3809713_1067777946"/>
      <w:bookmarkStart w:id="3247" w:name="_Toc1369"/>
      <w:bookmarkEnd w:id="3246"/>
      <w:r>
        <w:rPr>
          <w:rtl w:val="true"/>
        </w:rPr>
        <w:t>نذر اضحيۀ معينه</w:t>
      </w:r>
      <w:bookmarkEnd w:id="324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نذر اُضحيۀ معيّنه كرد يا آنكه بعد از نذر، تعيين انشائى نمود، در زوال ملكيت به سبب نذر تأمّل است اگر اجماعى نباشد، و احوط عدم معاملۀ ملكيت و عدم صحّت نقل ملكى آن است، كه فى الجمله عدم صحت، احتياط است، و جائز نيست تكليفاً تصرفات غير امانتى در آن؛ و انشاى تعيين بعد از نذر مطلق، آن را معيّن مى نمايد، و بدون نذر مشكل است تأثير آن در تعيين اُضيحه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تلف شد با تفريط، احوط ضمان است، و هم چنين در صورت اتلاف؛ و تلف بدون تفريط موجب ضمان نيست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گم شد و پيدا شد در روزهاى اضحيه، تضحيه مى نمايد؛ و بعد از آنها قضا مى نمايد بنا بر احوط</w:t>
      </w:r>
      <w:r>
        <w:rPr>
          <w:rFonts w:eastAsia="IRNazanin" w:cs="IRNazanin"/>
          <w:color w:val="111111"/>
          <w:sz w:val="28"/>
          <w:szCs w:val="28"/>
          <w:rtl w:val="true"/>
          <w:lang w:bidi="fa-IR"/>
        </w:rPr>
        <w:t xml:space="preserve">. </w:t>
      </w:r>
      <w:bookmarkStart w:id="3248" w:name="pg10265_90308"/>
    </w:p>
    <w:p>
      <w:pPr>
        <w:pStyle w:val="Heading5"/>
        <w:numPr>
          <w:ilvl w:val="4"/>
          <w:numId w:val="1"/>
        </w:numPr>
        <w:rPr/>
      </w:pPr>
      <w:bookmarkStart w:id="3249" w:name="__RefHeading___Toc3809715_1067777946"/>
      <w:bookmarkStart w:id="3250" w:name="_Toc1370"/>
      <w:bookmarkEnd w:id="3248"/>
      <w:bookmarkEnd w:id="3249"/>
      <w:r>
        <w:rPr>
          <w:rtl w:val="true"/>
        </w:rPr>
        <w:t>ميزان ضمان در مقام</w:t>
      </w:r>
      <w:bookmarkEnd w:id="3250"/>
    </w:p>
    <w:p>
      <w:pPr>
        <w:pStyle w:val="BookText"/>
        <w:rPr/>
      </w:pPr>
      <w:r>
        <w:rPr>
          <w:rFonts w:ascii="IRNazanin" w:hAnsi="IRNazanin" w:eastAsia="IRNazanin"/>
          <w:color w:val="111111"/>
          <w:sz w:val="28"/>
          <w:sz w:val="28"/>
          <w:szCs w:val="28"/>
          <w:rtl w:val="true"/>
          <w:lang w:bidi="fa-IR"/>
        </w:rPr>
        <w:t xml:space="preserve">و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ثبوت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قيمت روز تلف يا اتلاف است، و مماثل آن يا قيمت، اشتراء براى اضحيه مى شود اگر چه بيش از يكى بشود؛ و اگر نشد جز مادون آن، خريده مى شود براى اضحيه؛ و هم چنين اگر كافى نشد مگر براى نصف يك اضحيه و ممكن شد اشتراء آن با شراكت در يك اضحيه با ديگرى؛ و اگر ممكن نشد شراكت، تصدّق به قيمت مذكوره مى نمايد آنچه را كه متعلّق حق فقراء است</w:t>
      </w:r>
      <w:r>
        <w:rPr>
          <w:rFonts w:eastAsia="IRNazanin" w:cs="IRNazanin"/>
          <w:color w:val="111111"/>
          <w:sz w:val="28"/>
          <w:szCs w:val="28"/>
          <w:rtl w:val="true"/>
          <w:lang w:bidi="fa-IR"/>
        </w:rPr>
        <w:t>.</w:t>
      </w:r>
    </w:p>
    <w:p>
      <w:pPr>
        <w:pStyle w:val="Heading5"/>
        <w:numPr>
          <w:ilvl w:val="4"/>
          <w:numId w:val="1"/>
        </w:numPr>
        <w:rPr/>
      </w:pPr>
      <w:bookmarkStart w:id="3251" w:name="__RefHeading___Toc3809717_1067777946"/>
      <w:bookmarkStart w:id="3252" w:name="_Toc1371"/>
      <w:bookmarkEnd w:id="3251"/>
      <w:r>
        <w:rPr>
          <w:rtl w:val="true"/>
        </w:rPr>
        <w:t>حصول عيب بعد از نذر معيّن</w:t>
      </w:r>
      <w:bookmarkEnd w:id="3252"/>
    </w:p>
    <w:p>
      <w:pPr>
        <w:pStyle w:val="BookText"/>
        <w:rPr/>
      </w:pPr>
      <w:r>
        <w:rPr>
          <w:rFonts w:ascii="IRNazanin" w:hAnsi="IRNazanin" w:eastAsia="IRNazanin"/>
          <w:color w:val="111111"/>
          <w:sz w:val="28"/>
          <w:sz w:val="28"/>
          <w:szCs w:val="28"/>
          <w:rtl w:val="true"/>
          <w:lang w:bidi="fa-IR"/>
        </w:rPr>
        <w:t>و اگر عيبى بعد از نذر معين حادث شد لازم است همان را تضحيه نمايد، مگر آنكه ثابت باشد عيب خاصّى مانعيت مطلقه داشته باشد</w:t>
      </w:r>
      <w:r>
        <w:rPr>
          <w:rFonts w:eastAsia="IRNazanin" w:cs="IRNazanin"/>
          <w:color w:val="111111"/>
          <w:sz w:val="28"/>
          <w:szCs w:val="28"/>
          <w:rtl w:val="true"/>
          <w:lang w:bidi="fa-IR"/>
        </w:rPr>
        <w:t>.</w:t>
      </w:r>
    </w:p>
    <w:p>
      <w:pPr>
        <w:pStyle w:val="Heading5"/>
        <w:numPr>
          <w:ilvl w:val="4"/>
          <w:numId w:val="1"/>
        </w:numPr>
        <w:rPr/>
      </w:pPr>
      <w:bookmarkStart w:id="3253" w:name="__RefHeading___Toc3809719_1067777946"/>
      <w:bookmarkStart w:id="3254" w:name="_Toc1372"/>
      <w:bookmarkEnd w:id="3253"/>
      <w:r>
        <w:rPr>
          <w:rtl w:val="true"/>
        </w:rPr>
        <w:t>نذر معين و تضحيۀ ديگرى بدون اذن مالك</w:t>
      </w:r>
      <w:bookmarkEnd w:id="3254"/>
    </w:p>
    <w:p>
      <w:pPr>
        <w:pStyle w:val="BookText"/>
        <w:rPr/>
      </w:pPr>
      <w:r>
        <w:rPr>
          <w:rFonts w:ascii="IRNazanin" w:hAnsi="IRNazanin" w:eastAsia="IRNazanin"/>
          <w:color w:val="111111"/>
          <w:sz w:val="28"/>
          <w:sz w:val="28"/>
          <w:szCs w:val="28"/>
          <w:rtl w:val="true"/>
          <w:lang w:bidi="fa-IR"/>
        </w:rPr>
        <w:t xml:space="preserve">اگر نذر اضحيۀ معينه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تضحيه نمود آن را بدون اذن مالك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قصد تضحيه از مالك آن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معتقد بود به اشتباه كه خودش مالك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مجزى است از مالك و وفاى به نذر حاصل شده است، و مالك متصدى تفريق آن مى شود؛ و اگر ذابح تفريق كرد مجزى است در آن صورت كه ذبح مجزى است بنا بر اظهر؛ و اگر قصد ديگرى داشته، مجزى از هيچ كس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تفريق خلاف سنت نمود، ضامن قيمت آنچه در آن مخالفت شده است براى مالك يا اهل قسمت است، يعنى قيمت وقت تفريق مخالف و اعطاى در غير مصرف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استحباب اكل يا جواز آن، به سبب وجوب تضحيه به سبب نذر ساقط نمى شود</w:t>
      </w:r>
      <w:r>
        <w:rPr>
          <w:rFonts w:eastAsia="Amiri" w:cs="Amiri" w:ascii="Amiri" w:hAnsi="Amiri"/>
          <w:color w:val="111111"/>
          <w:sz w:val="28"/>
          <w:szCs w:val="28"/>
          <w:rtl w:val="true"/>
          <w:lang w:bidi="ar-SA"/>
        </w:rPr>
        <w:t>.</w:t>
      </w:r>
    </w:p>
    <w:p>
      <w:pPr>
        <w:pStyle w:val="Heading5"/>
        <w:numPr>
          <w:ilvl w:val="4"/>
          <w:numId w:val="1"/>
        </w:numPr>
        <w:rPr/>
      </w:pPr>
      <w:bookmarkStart w:id="3255" w:name="__RefHeading___Toc3809721_1067777946"/>
      <w:bookmarkStart w:id="3256" w:name="_Toc1373"/>
      <w:bookmarkEnd w:id="3255"/>
      <w:r>
        <w:rPr>
          <w:rtl w:val="true"/>
        </w:rPr>
        <w:t>تذكيۀ ماهى</w:t>
      </w:r>
      <w:bookmarkEnd w:id="325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ذكاة ماهى اخراج آن است از آب با حيات آن، و آنچه جارى مجراى اين باشد مثل اينكه از آب بيرون افتاد و هنوز زنده بود شخص آن را گرفت، يا آنچه در محلى</w:t>
      </w:r>
      <w:bookmarkStart w:id="3257" w:name="pg10265_90309"/>
    </w:p>
    <w:p>
      <w:pPr>
        <w:pStyle w:val="BookText"/>
        <w:rPr/>
      </w:pPr>
      <w:bookmarkEnd w:id="3257"/>
      <w:r>
        <w:rPr>
          <w:rFonts w:ascii="IRNazanin" w:hAnsi="IRNazanin" w:eastAsia="IRNazanin"/>
          <w:color w:val="111111"/>
          <w:sz w:val="28"/>
          <w:sz w:val="28"/>
          <w:szCs w:val="28"/>
          <w:rtl w:val="true"/>
          <w:lang w:bidi="fa-IR"/>
        </w:rPr>
        <w:t>كه آب از آنها خارج شده بود واقع شده و شخص آن را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اسلام و تسميه در تذكيۀ ماهى معتبر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ادراك به مجرد نظر در حال حيات در خارج از آب، مورد اختلاف است، مشهورِ موافق احتياط، عدم تذكيه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اخراج مجوسى و مشرك اگر معلوم شد كه زنده از آب گرفته است تذكيۀ آن است</w:t>
      </w:r>
      <w:r>
        <w:rPr>
          <w:rFonts w:eastAsia="IRNazanin" w:cs="IRNazanin"/>
          <w:color w:val="111111"/>
          <w:sz w:val="28"/>
          <w:szCs w:val="28"/>
          <w:rtl w:val="true"/>
          <w:lang w:bidi="fa-IR"/>
        </w:rPr>
        <w:t>.</w:t>
      </w:r>
    </w:p>
    <w:p>
      <w:pPr>
        <w:pStyle w:val="Heading5"/>
        <w:numPr>
          <w:ilvl w:val="4"/>
          <w:numId w:val="1"/>
        </w:numPr>
        <w:rPr/>
      </w:pPr>
      <w:bookmarkStart w:id="3258" w:name="__RefHeading___Toc3809723_1067777946"/>
      <w:bookmarkStart w:id="3259" w:name="_Toc1374"/>
      <w:bookmarkEnd w:id="3258"/>
      <w:r>
        <w:rPr>
          <w:rtl w:val="true"/>
        </w:rPr>
        <w:t>عود بعد از اخراج</w:t>
      </w:r>
      <w:bookmarkEnd w:id="3259"/>
    </w:p>
    <w:p>
      <w:pPr>
        <w:pStyle w:val="BookText"/>
        <w:rPr/>
      </w:pPr>
      <w:r>
        <w:rPr>
          <w:rFonts w:ascii="IRNazanin" w:hAnsi="IRNazanin" w:eastAsia="IRNazanin"/>
          <w:color w:val="111111"/>
          <w:sz w:val="28"/>
          <w:sz w:val="28"/>
          <w:szCs w:val="28"/>
          <w:rtl w:val="true"/>
          <w:lang w:bidi="fa-IR"/>
        </w:rPr>
        <w:t>و اگر بعد از اخراج عود كرد به آب و در آنجا مُرد حلال نيست؛ و هم چنين اگر بعد از اخراج افتاد در شبكه و مُرد، اگر چه احتمال موت بعد از خروج آب از محل شبكه داده شود</w:t>
      </w:r>
      <w:r>
        <w:rPr>
          <w:rFonts w:eastAsia="IRNazanin" w:cs="IRNazanin"/>
          <w:color w:val="111111"/>
          <w:sz w:val="28"/>
          <w:szCs w:val="28"/>
          <w:rtl w:val="true"/>
          <w:lang w:bidi="fa-IR"/>
        </w:rPr>
        <w:t>.</w:t>
      </w:r>
    </w:p>
    <w:p>
      <w:pPr>
        <w:pStyle w:val="Heading5"/>
        <w:numPr>
          <w:ilvl w:val="4"/>
          <w:numId w:val="1"/>
        </w:numPr>
        <w:rPr/>
      </w:pPr>
      <w:bookmarkStart w:id="3260" w:name="__RefHeading___Toc3809725_1067777946"/>
      <w:bookmarkStart w:id="3261" w:name="_Toc1375"/>
      <w:bookmarkEnd w:id="3260"/>
      <w:r>
        <w:rPr>
          <w:rtl w:val="true"/>
        </w:rPr>
        <w:t>ماهى مرده در دست كافر</w:t>
      </w:r>
      <w:bookmarkEnd w:id="3261"/>
    </w:p>
    <w:p>
      <w:pPr>
        <w:pStyle w:val="BookText"/>
        <w:rPr/>
      </w:pPr>
      <w:r>
        <w:rPr>
          <w:rFonts w:ascii="IRNazanin" w:hAnsi="IRNazanin" w:eastAsia="IRNazanin"/>
          <w:color w:val="111111"/>
          <w:sz w:val="28"/>
          <w:sz w:val="28"/>
          <w:szCs w:val="28"/>
          <w:rtl w:val="true"/>
          <w:lang w:bidi="fa-IR"/>
        </w:rPr>
        <w:t>و اگر در دست كافر ديده شد ماهىِ مرده، به اخبار او از اخراج زنده اعتماد نمى شود، مگر علم يا اطمينان حاصل شود به اخراج زنده</w:t>
      </w:r>
      <w:r>
        <w:rPr>
          <w:rFonts w:eastAsia="IRNazanin" w:cs="IRNazanin"/>
          <w:color w:val="111111"/>
          <w:sz w:val="28"/>
          <w:szCs w:val="28"/>
          <w:rtl w:val="true"/>
          <w:lang w:bidi="fa-IR"/>
        </w:rPr>
        <w:t>.</w:t>
      </w:r>
    </w:p>
    <w:p>
      <w:pPr>
        <w:pStyle w:val="Heading5"/>
        <w:numPr>
          <w:ilvl w:val="4"/>
          <w:numId w:val="1"/>
        </w:numPr>
        <w:rPr/>
      </w:pPr>
      <w:bookmarkStart w:id="3262" w:name="__RefHeading___Toc3809727_1067777946"/>
      <w:bookmarkStart w:id="3263" w:name="_Toc1376"/>
      <w:bookmarkEnd w:id="3262"/>
      <w:r>
        <w:rPr>
          <w:rtl w:val="true"/>
        </w:rPr>
        <w:t>بلعيدن ماهى زنده</w:t>
      </w:r>
      <w:bookmarkEnd w:id="3263"/>
    </w:p>
    <w:p>
      <w:pPr>
        <w:pStyle w:val="BookText"/>
        <w:rPr/>
      </w:pPr>
      <w:r>
        <w:rPr>
          <w:rFonts w:ascii="Amiri" w:hAnsi="Amiri" w:eastAsia="Amiri" w:cs="Amiri"/>
          <w:color w:val="111111"/>
          <w:sz w:val="28"/>
          <w:sz w:val="28"/>
          <w:szCs w:val="28"/>
          <w:rtl w:val="true"/>
          <w:lang w:bidi="ar-SA"/>
        </w:rPr>
        <w:t>و در بلع يا اكل زنده از ماهى دو قول است، منسوب به مشهور جواز است، و احوط اناطۀ حلّ به موت در خارج آب بعد از اخذ آن است</w:t>
      </w:r>
      <w:r>
        <w:rPr>
          <w:rFonts w:eastAsia="Amiri" w:cs="Amiri" w:ascii="Amiri" w:hAnsi="Amiri"/>
          <w:color w:val="111111"/>
          <w:sz w:val="28"/>
          <w:szCs w:val="28"/>
          <w:rtl w:val="true"/>
          <w:lang w:bidi="ar-SA"/>
        </w:rPr>
        <w:t>.</w:t>
      </w:r>
    </w:p>
    <w:p>
      <w:pPr>
        <w:pStyle w:val="Heading5"/>
        <w:numPr>
          <w:ilvl w:val="4"/>
          <w:numId w:val="1"/>
        </w:numPr>
        <w:rPr/>
      </w:pPr>
      <w:bookmarkStart w:id="3264" w:name="__RefHeading___Toc3809729_1067777946"/>
      <w:bookmarkStart w:id="3265" w:name="_Toc1377"/>
      <w:bookmarkEnd w:id="3264"/>
      <w:r>
        <w:rPr>
          <w:rtl w:val="true"/>
        </w:rPr>
        <w:t>موت ماهى در شبكه</w:t>
      </w:r>
      <w:bookmarkEnd w:id="3265"/>
    </w:p>
    <w:p>
      <w:pPr>
        <w:pStyle w:val="BookText"/>
        <w:rPr/>
      </w:pPr>
      <w:r>
        <w:rPr>
          <w:rFonts w:ascii="Amiri" w:hAnsi="Amiri" w:eastAsia="Amiri" w:cs="Amiri"/>
          <w:color w:val="111111"/>
          <w:sz w:val="28"/>
          <w:sz w:val="28"/>
          <w:szCs w:val="28"/>
          <w:rtl w:val="true"/>
          <w:lang w:bidi="ar-SA"/>
        </w:rPr>
        <w:t>و در موت ماهى در شبكه و مثل آن، دو روايت است، مشهور و احوط و اظهر حرمت است</w:t>
      </w:r>
      <w:r>
        <w:rPr>
          <w:rFonts w:eastAsia="Amiri" w:cs="Amiri" w:ascii="Amiri" w:hAnsi="Amiri"/>
          <w:color w:val="111111"/>
          <w:sz w:val="28"/>
          <w:szCs w:val="28"/>
          <w:rtl w:val="true"/>
          <w:lang w:bidi="ar-SA"/>
        </w:rPr>
        <w:t>.</w:t>
      </w:r>
    </w:p>
    <w:p>
      <w:pPr>
        <w:pStyle w:val="Heading5"/>
        <w:numPr>
          <w:ilvl w:val="4"/>
          <w:numId w:val="1"/>
        </w:numPr>
        <w:rPr/>
      </w:pPr>
      <w:bookmarkStart w:id="3266" w:name="__RefHeading___Toc3809731_1067777946"/>
      <w:bookmarkStart w:id="3267" w:name="_Toc1378"/>
      <w:bookmarkEnd w:id="3266"/>
      <w:r>
        <w:rPr>
          <w:rtl w:val="true"/>
        </w:rPr>
        <w:t>بريان نمودن ماهى زنده</w:t>
      </w:r>
      <w:bookmarkEnd w:id="3267"/>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بريان كردن ماهى زنده، در حكم تقطيع بعد از اخراج و قبل از موت است</w:t>
      </w:r>
      <w:r>
        <w:rPr>
          <w:rFonts w:eastAsia="Amiri" w:cs="Amiri" w:ascii="Amiri" w:hAnsi="Amiri"/>
          <w:color w:val="111111"/>
          <w:sz w:val="28"/>
          <w:szCs w:val="28"/>
          <w:rtl w:val="true"/>
          <w:lang w:bidi="ar-SA"/>
        </w:rPr>
        <w:t xml:space="preserve">. </w:t>
      </w:r>
      <w:bookmarkStart w:id="3268" w:name="pg10265_90310"/>
    </w:p>
    <w:p>
      <w:pPr>
        <w:pStyle w:val="Heading5"/>
        <w:numPr>
          <w:ilvl w:val="4"/>
          <w:numId w:val="1"/>
        </w:numPr>
        <w:rPr/>
      </w:pPr>
      <w:bookmarkStart w:id="3269" w:name="__RefHeading___Toc3809733_1067777946"/>
      <w:bookmarkStart w:id="3270" w:name="_Toc1379"/>
      <w:bookmarkEnd w:id="3268"/>
      <w:bookmarkEnd w:id="3269"/>
      <w:r>
        <w:rPr>
          <w:rtl w:val="true"/>
        </w:rPr>
        <w:t>مخلوط شدن ميت در آب با حى</w:t>
      </w:r>
      <w:bookmarkEnd w:id="3270"/>
    </w:p>
    <w:p>
      <w:pPr>
        <w:pStyle w:val="BookText"/>
        <w:rPr/>
      </w:pPr>
      <w:r>
        <w:rPr>
          <w:rFonts w:ascii="IRNazanin" w:hAnsi="IRNazanin" w:eastAsia="IRNazanin"/>
          <w:color w:val="111111"/>
          <w:sz w:val="28"/>
          <w:sz w:val="28"/>
          <w:szCs w:val="28"/>
          <w:rtl w:val="true"/>
          <w:lang w:bidi="fa-IR"/>
        </w:rPr>
        <w:t>اگر مشتبه شد ميّت در آب با حىّ تا بعد از خروج، و شبهه محصوره بود، جائز نيست معاملۀ مذكّىٰ با همه، و احوط عدم معامله مذكّىٰ با هر يكى به تنهايى است، و در شبهۀ غير محصوره، همه محكوم به حكم تذكيه است</w:t>
      </w:r>
      <w:r>
        <w:rPr>
          <w:rFonts w:eastAsia="IRNazanin" w:cs="IRNazanin"/>
          <w:color w:val="111111"/>
          <w:sz w:val="28"/>
          <w:szCs w:val="28"/>
          <w:rtl w:val="true"/>
          <w:lang w:bidi="fa-IR"/>
        </w:rPr>
        <w:t>.</w:t>
      </w:r>
    </w:p>
    <w:p>
      <w:pPr>
        <w:pStyle w:val="Heading5"/>
        <w:numPr>
          <w:ilvl w:val="4"/>
          <w:numId w:val="1"/>
        </w:numPr>
        <w:rPr/>
      </w:pPr>
      <w:bookmarkStart w:id="3271" w:name="__RefHeading___Toc3809735_1067777946"/>
      <w:bookmarkStart w:id="3272" w:name="_Toc1380"/>
      <w:bookmarkEnd w:id="3271"/>
      <w:r>
        <w:rPr>
          <w:rtl w:val="true"/>
        </w:rPr>
        <w:t>تذكيۀ ملخ</w:t>
      </w:r>
      <w:bookmarkEnd w:id="327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تذكيه ملخ مثل تذكيۀ ماهى است در حصول به مجرد اخذ در حال حيات و عدم اعتبار اسلام آخذ و تسميه و استقبال، با اختصاص ماهى به عدم موت در آب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در دست كافر باشد حلال نمى شود مگر با علم يا اطمينان به اخذ در حال حيات، چنانچه در ماهى مذكور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قبل از اخذ بميرد، حلال نمى شود؛ و هم چنين اگر بسوزانند زنده را از روى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بريان كنند ملخ گرفته شده را در حال حيات، در حكم ماهى بريان شده در حال حيات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 قبل از قدرت پريدن، به گرفتن حلال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حيوان شبيه به ملخ كه مسمّى به اسم او نيست در 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ملخ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حشرات است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اخذ صبى ماهى و ملخ را و تذكيۀ آنها اشكالى نيست؛ و در اعتماد به قول او در حيات مأخوذ، بدون اطمينان،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در اعتبار قصد مجنون در غير حال افاقه تأمّل است</w:t>
      </w:r>
      <w:r>
        <w:rPr>
          <w:rFonts w:eastAsia="IRNazanin" w:cs="IRNazanin"/>
          <w:color w:val="111111"/>
          <w:sz w:val="28"/>
          <w:szCs w:val="28"/>
          <w:rtl w:val="true"/>
          <w:lang w:bidi="fa-IR"/>
        </w:rPr>
        <w:t>.</w:t>
      </w:r>
    </w:p>
    <w:p>
      <w:pPr>
        <w:pStyle w:val="Heading5"/>
        <w:numPr>
          <w:ilvl w:val="4"/>
          <w:numId w:val="1"/>
        </w:numPr>
        <w:rPr/>
      </w:pPr>
      <w:bookmarkStart w:id="3273" w:name="__RefHeading___Toc3809737_1067777946"/>
      <w:bookmarkStart w:id="3274" w:name="_Toc1381"/>
      <w:bookmarkEnd w:id="3273"/>
      <w:r>
        <w:rPr>
          <w:rtl w:val="true"/>
        </w:rPr>
        <w:t>تذكيۀ حيوان در شكم</w:t>
      </w:r>
      <w:bookmarkEnd w:id="327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تذكيۀ حيوانى كه در شكم او بچۀ او است و تام الخلقه است و مو و كرك داشته باشد، آن بچه مذكى مى شود اگر چه صاحب روح بوده باشد؛ و اگر بعد از خروج، زنده بود، بايد ذبح شود، و اگر ذبح نشده مُرد، ميته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تماميت خلقت و خروج بعد از موت، لازم است در مذكى شدن به تذكيه مادر، و بدون يكى از اين دو</w:t>
      </w:r>
      <w:bookmarkStart w:id="3275" w:name="pg10265_90311"/>
    </w:p>
    <w:p>
      <w:pPr>
        <w:pStyle w:val="BookText"/>
        <w:rPr/>
      </w:pPr>
      <w:bookmarkEnd w:id="3275"/>
      <w:r>
        <w:rPr>
          <w:rFonts w:ascii="IRNazanin" w:hAnsi="IRNazanin" w:eastAsia="IRNazanin"/>
          <w:color w:val="111111"/>
          <w:sz w:val="28"/>
          <w:sz w:val="28"/>
          <w:szCs w:val="28"/>
          <w:rtl w:val="true"/>
          <w:lang w:bidi="fa-IR"/>
        </w:rPr>
        <w:t>غير مذكّى است، مگر آنكه بعد از ولوج روح و خروج زنده، ذبح شود در حال حيات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حليّت ولد اگر وقت، وسعتِ ذبح نداشت، به طورى كه در اسرع وقت اگر ذبح بشود حركت و خروج دم نداشته باشد، نظر به استناد موت به سبب سابق كه ذكاة مادر است، و عدم آن چنانچه در ذبائح اگر وقت وسعت ذبح آنها را نداشته باشد تأمّل است، و احوط اجتناب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مبادرت عرفيّه به شقّ بطن مادر است بعد از زهاق روح او، براى اخراج ولد در حال حيات مستصحبه تا زمان تماميت 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خارج از ميته يا از حيّۀ غير مذكات، با حيات ذبح مى شود، و با عدم ذبح، ميته است اگر چه به جهت عدم وسعت زمان باشد؛ و اگر مستقر نباشد حيات طفل، قابل تذكيه در اين صورت نيست بنا بر اعتبار استقرار حيات در تذكيه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خروجش قبل از ولوج روح از ميته يا حىّ غير مذكّى، اظهر حرمت ولد است كه فاقد تذكيه است به تبعيّت و اصالت</w:t>
      </w:r>
      <w:r>
        <w:rPr>
          <w:rFonts w:eastAsia="Amiri" w:cs="Amiri" w:ascii="Amiri" w:hAnsi="Amiri"/>
          <w:color w:val="111111"/>
          <w:sz w:val="28"/>
          <w:szCs w:val="28"/>
          <w:rtl w:val="true"/>
          <w:lang w:bidi="ar-SA"/>
        </w:rPr>
        <w:t>.</w:t>
      </w:r>
    </w:p>
    <w:p>
      <w:pPr>
        <w:pStyle w:val="Heading4"/>
        <w:numPr>
          <w:ilvl w:val="3"/>
          <w:numId w:val="1"/>
        </w:numPr>
        <w:rPr/>
      </w:pPr>
      <w:bookmarkStart w:id="3276" w:name="__RefHeading___Toc3809739_1067777946"/>
      <w:bookmarkStart w:id="3277" w:name="_Toc1382"/>
      <w:bookmarkEnd w:id="3276"/>
      <w:r>
        <w:rPr/>
        <w:t>2</w:t>
      </w:r>
      <w:r>
        <w:rPr>
          <w:rtl w:val="true"/>
        </w:rPr>
        <w:t xml:space="preserve">. </w:t>
      </w:r>
      <w:r>
        <w:rPr>
          <w:rtl w:val="true"/>
        </w:rPr>
        <w:t>مسائلى از احكام ذباحه</w:t>
      </w:r>
      <w:bookmarkEnd w:id="3277"/>
    </w:p>
    <w:p>
      <w:pPr>
        <w:pStyle w:val="Heading5"/>
        <w:numPr>
          <w:ilvl w:val="4"/>
          <w:numId w:val="1"/>
        </w:numPr>
        <w:rPr/>
      </w:pPr>
      <w:bookmarkStart w:id="3278" w:name="__RefHeading___Toc3809741_1067777946"/>
      <w:bookmarkStart w:id="3279" w:name="_Toc1383"/>
      <w:bookmarkEnd w:id="3278"/>
      <w:r>
        <w:rPr>
          <w:rtl w:val="true"/>
        </w:rPr>
        <w:t>لزوم رعايت متابعت و موالات عرفى در ذبح</w:t>
      </w:r>
      <w:bookmarkEnd w:id="32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متابعت عرفيّه و موالات عرفيّه در قطع اوداج اربعۀ ذبيحه،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قطع كرد عضوى را، پس از آن ارسال نمود تا مدتى كه به توالى عرفى ضرر رساند؛ پس اگر حيات مستقره به سبب امكان تعيش يك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بود، اشكالى در تذكيه به ذبح بقيه و خلافى نيست؛ و اگر محفوظ نبود، در حليت آن اختلاف است، اظهر حليت است با ذبحى كه مؤثّر باشد در زهاق روح، به نحوى كه اگر مشتمل بر چهار بود مؤثّر بود، مثل حركت بعد از ذبح و خروج دم، چنانكه مذكور شد عدم اعتبار استقرار حيات، بلكه معتبر، اصلِ حيات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چهار رگ لازم است در صاحب چهار نه حتى در صاحب سه رگ مثلاً</w:t>
      </w:r>
      <w:r>
        <w:rPr>
          <w:rFonts w:eastAsia="IRNazanin" w:cs="IRNazanin"/>
          <w:color w:val="111111"/>
          <w:sz w:val="28"/>
          <w:szCs w:val="28"/>
          <w:rtl w:val="true"/>
          <w:lang w:bidi="fa-IR"/>
        </w:rPr>
        <w:t>.</w:t>
      </w:r>
      <w:bookmarkStart w:id="3280" w:name="pg10265_90312"/>
    </w:p>
    <w:p>
      <w:pPr>
        <w:pStyle w:val="BookText"/>
        <w:rPr/>
      </w:pPr>
      <w:bookmarkEnd w:id="3280"/>
      <w:r>
        <w:rPr>
          <w:rFonts w:ascii="IRNazanin" w:hAnsi="IRNazanin" w:eastAsia="IRNazanin"/>
          <w:color w:val="111111"/>
          <w:sz w:val="28"/>
          <w:sz w:val="28"/>
          <w:szCs w:val="28"/>
          <w:rtl w:val="true"/>
          <w:lang w:bidi="fa-IR"/>
        </w:rPr>
        <w:t>و اظهر عدم اكتفاى به تسميه سابق است، اگر چه به قصد قطع مجموع بوده، اگر چه متولّى قطع دوم، همان متولّى قطع اول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جواز مغايرت است در اين مقام، اگر چه تعاقب دو نفر مثلاً در غير اين مقام مشكل است به اعتبار عبرت در تذكيه به ذبح دوم به نحو استقلال؛ اگر چه احوط عدم مغايرت است در اينجا هم، بلى تعدّد در صورت معيّت و مقارنت و هم چنين جرّ هر دو چاقو را، با تسميه هر دو، مانعى ندارد بنا بر اظهر</w:t>
      </w:r>
      <w:r>
        <w:rPr>
          <w:rFonts w:eastAsia="IRNazanin" w:cs="IRNazanin"/>
          <w:color w:val="111111"/>
          <w:sz w:val="28"/>
          <w:szCs w:val="28"/>
          <w:rtl w:val="true"/>
          <w:lang w:bidi="fa-IR"/>
        </w:rPr>
        <w:t>.</w:t>
      </w:r>
    </w:p>
    <w:p>
      <w:pPr>
        <w:pStyle w:val="Heading5"/>
        <w:numPr>
          <w:ilvl w:val="4"/>
          <w:numId w:val="1"/>
        </w:numPr>
        <w:rPr/>
      </w:pPr>
      <w:bookmarkStart w:id="3281" w:name="__RefHeading___Toc3809743_1067777946"/>
      <w:bookmarkStart w:id="3282" w:name="_Toc1384"/>
      <w:bookmarkEnd w:id="3281"/>
      <w:r>
        <w:rPr>
          <w:rtl w:val="true"/>
        </w:rPr>
        <w:t>لزوم استناد زهاق روح به ذبح</w:t>
      </w:r>
      <w:bookmarkEnd w:id="328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يكى مشغول به ذبح شد و ديگرى در همان زمان مشغول به اخراج آنچه در داخل ذبيحه است باشد، به نحوى كه هر دو مزهق روح به نحو استقلال و با هم بودند، مذكّى نيست؛ و اگر اخراج، سابق بود و ذبح لاحق، تذكيه است با حركت بعد از ذبح و خروج دم معتدل؛ و عكس اين، مورد احتياط است</w:t>
      </w:r>
      <w:r>
        <w:rPr>
          <w:rFonts w:eastAsia="IRNazanin" w:cs="IRNazanin"/>
          <w:color w:val="111111"/>
          <w:sz w:val="28"/>
          <w:szCs w:val="28"/>
          <w:rtl w:val="true"/>
          <w:lang w:bidi="fa-IR"/>
        </w:rPr>
        <w:t>.</w:t>
      </w:r>
    </w:p>
    <w:p>
      <w:pPr>
        <w:pStyle w:val="Heading5"/>
        <w:numPr>
          <w:ilvl w:val="4"/>
          <w:numId w:val="1"/>
        </w:numPr>
        <w:rPr/>
      </w:pPr>
      <w:bookmarkStart w:id="3283" w:name="__RefHeading___Toc3809745_1067777946"/>
      <w:bookmarkStart w:id="3284" w:name="_Toc1385"/>
      <w:bookmarkEnd w:id="3283"/>
      <w:r>
        <w:rPr>
          <w:rtl w:val="true"/>
        </w:rPr>
        <w:t>لزوم احراز حيات بعد از ذبح در تذكيه</w:t>
      </w:r>
      <w:bookmarkEnd w:id="328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يقين حاصل شد به حيات بعد از ذبح اگر چه به مثل تنفس و حركتِ قلب باشد، تذكيه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يقين حاصل شد به موت قبل از ذبح، ميته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يقين داشت به حيات مقارن آخر جزء ذبح و به عدم حيات بعد از ذبح اگر چه در آنى باشد، اظهر عدم حليت است، مگر علم حاصل شود به انتفاى سبب ديگر براى زهاق روح، غير از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مشكوك شد حيات بعد از ذبح، به حركت و خروج خون معتدل اختبار مى شود؛ و اگر معلوم نباشد حركت و خروج دم به واسطۀ تاريكى يا غير آن و معلوم نباشد حيات بعد از ذبح يا مقارن ذبح در صورت قطع به انتفاى سبب ديگر، محكوم به حليت نمى شود</w:t>
      </w:r>
      <w:r>
        <w:rPr>
          <w:rFonts w:eastAsia="IRNazanin" w:cs="IRNazanin"/>
          <w:color w:val="111111"/>
          <w:sz w:val="28"/>
          <w:szCs w:val="28"/>
          <w:rtl w:val="true"/>
          <w:lang w:bidi="fa-IR"/>
        </w:rPr>
        <w:t>.</w:t>
      </w:r>
    </w:p>
    <w:p>
      <w:pPr>
        <w:pStyle w:val="Heading4"/>
        <w:numPr>
          <w:ilvl w:val="3"/>
          <w:numId w:val="1"/>
        </w:numPr>
        <w:rPr/>
      </w:pPr>
      <w:bookmarkStart w:id="3285" w:name="__RefHeading___Toc3809747_1067777946"/>
      <w:bookmarkStart w:id="3286" w:name="_Toc1386"/>
      <w:bookmarkEnd w:id="3285"/>
      <w:r>
        <w:rPr/>
        <w:t>3</w:t>
      </w:r>
      <w:r>
        <w:rPr>
          <w:rtl w:val="true"/>
        </w:rPr>
        <w:t xml:space="preserve">. </w:t>
      </w:r>
      <w:r>
        <w:rPr>
          <w:rtl w:val="true"/>
        </w:rPr>
        <w:t>آنچه قابل تذكيه است</w:t>
      </w:r>
      <w:bookmarkEnd w:id="3286"/>
    </w:p>
    <w:p>
      <w:pPr>
        <w:pStyle w:val="Heading5"/>
        <w:numPr>
          <w:ilvl w:val="4"/>
          <w:numId w:val="1"/>
        </w:numPr>
        <w:rPr/>
      </w:pPr>
      <w:bookmarkStart w:id="3287" w:name="__RefHeading___Toc3809749_1067777946"/>
      <w:bookmarkStart w:id="3288" w:name="_Toc1387"/>
      <w:bookmarkEnd w:id="3287"/>
      <w:r>
        <w:rPr>
          <w:rtl w:val="true"/>
        </w:rPr>
        <w:t>اقسام حيوان</w:t>
      </w:r>
      <w:bookmarkEnd w:id="3288"/>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حيوان، مأكول است و غير مأكول؛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 العين است و غير آن؛ و دوم</w:t>
      </w:r>
      <w:r>
        <w:rPr>
          <w:rFonts w:eastAsia="Amiri" w:cs="Amiri" w:ascii="Amiri" w:hAnsi="Amiri"/>
          <w:color w:val="111111"/>
          <w:sz w:val="28"/>
          <w:szCs w:val="28"/>
          <w:rtl w:val="true"/>
          <w:lang w:bidi="ar-SA"/>
        </w:rPr>
        <w:t xml:space="preserve">: </w:t>
      </w:r>
      <w:bookmarkStart w:id="3289" w:name="pg10265_90313"/>
    </w:p>
    <w:p>
      <w:pPr>
        <w:pStyle w:val="BookText"/>
        <w:rPr/>
      </w:pPr>
      <w:bookmarkEnd w:id="3289"/>
      <w:r>
        <w:rPr>
          <w:rFonts w:ascii="Amiri" w:hAnsi="Amiri" w:eastAsia="Amiri" w:cs="Amiri"/>
          <w:color w:val="111111"/>
          <w:sz w:val="28"/>
          <w:sz w:val="28"/>
          <w:szCs w:val="28"/>
          <w:rtl w:val="true"/>
          <w:lang w:bidi="ar-SA"/>
        </w:rPr>
        <w:t>آدمى است و غير آدمى؛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نَفْس است يا با نفْس؛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سباع و مسوخات و حشرات و غير اينها است كه محل خلاف در قبول تذكيه واقع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مذكور شد تذكيۀ مأكول غير صاحب نفس مثل ماهى و ملخ؛ و تذكيۀ مأكول صاحب نفس كه قابل تذكيه به اصطياد و رمى و ذبح و نحر است، به اصل و به تبعيّت قابل مثل جنين، و تذكيۀ آنها مؤثّر در حلّيت فعليۀ اكل لحم است با بقاى طهارت سابقه به سبب تذكيه، و قاعده در مأكول اللحم صاحب نفْس قابليت تذكيه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مأكول از صاحب نفس، تذكيۀ آن مؤثّر در بقاى طهارت سابقه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مأكول از غير صاحب نفس تذكيه در آن تأثيرى ندارد، زيرا طهارتش منوط به تذكيه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نجس العين قابل تذكيه نيست</w:t>
      </w:r>
      <w:r>
        <w:rPr>
          <w:rFonts w:eastAsia="Amiri" w:cs="Amiri" w:ascii="Amiri" w:hAnsi="Amiri"/>
          <w:color w:val="111111"/>
          <w:sz w:val="28"/>
          <w:szCs w:val="28"/>
          <w:rtl w:val="true"/>
          <w:lang w:bidi="ar-SA"/>
        </w:rPr>
        <w:t>.</w:t>
      </w:r>
    </w:p>
    <w:p>
      <w:pPr>
        <w:pStyle w:val="Heading5"/>
        <w:numPr>
          <w:ilvl w:val="4"/>
          <w:numId w:val="1"/>
        </w:numPr>
        <w:rPr/>
      </w:pPr>
      <w:bookmarkStart w:id="3290" w:name="__RefHeading___Toc3809751_1067777946"/>
      <w:bookmarkStart w:id="3291" w:name="_Toc1388"/>
      <w:bookmarkEnd w:id="3290"/>
      <w:r>
        <w:rPr>
          <w:rtl w:val="true"/>
        </w:rPr>
        <w:t>وقوع تذكيه بر سباع و مسوخ</w:t>
      </w:r>
      <w:bookmarkEnd w:id="3291"/>
    </w:p>
    <w:p>
      <w:pPr>
        <w:pStyle w:val="BookText"/>
        <w:rPr/>
      </w:pPr>
      <w:r>
        <w:rPr>
          <w:rFonts w:ascii="IRNazanin" w:hAnsi="IRNazanin" w:eastAsia="IRNazanin"/>
          <w:color w:val="111111"/>
          <w:sz w:val="28"/>
          <w:sz w:val="28"/>
          <w:szCs w:val="28"/>
          <w:rtl w:val="true"/>
          <w:lang w:bidi="fa-IR"/>
        </w:rPr>
        <w:t xml:space="preserve">و اما سباع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جمله غير مأكول از صاحب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اظهر وقوع تذكيه بر آنها است چنانچه منسوب به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وحش و 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افتراس آن با ناب يا مِخْلَب است و متغذّى به لحم است مثل اسد و ثعلب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قابليت مسوخ مثل فيل و دُبّ و قرد براى تذكيه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طهارت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است، و قول به قبول، منسوب به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است، و وقوع تذكيه بر آنها خالى از وجه نيست اگر چه خلاف احتياط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وقوع ذكاة بر حشرات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مسكن آنها باطن 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آنها صاحب نفس سائله و قابل انتفاع به مذبوح آنها است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است، و احوط عدم وقوع است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عدم وقوع ذكاة بر آدمى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كافر واجب القتل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واضحات است</w:t>
      </w:r>
      <w:r>
        <w:rPr>
          <w:rFonts w:eastAsia="IRNazanin" w:cs="IRNazanin"/>
          <w:color w:val="111111"/>
          <w:sz w:val="28"/>
          <w:szCs w:val="28"/>
          <w:rtl w:val="true"/>
          <w:lang w:bidi="fa-IR"/>
        </w:rPr>
        <w:t xml:space="preserve">. </w:t>
      </w:r>
      <w:bookmarkStart w:id="3292" w:name="pg10265_90314"/>
    </w:p>
    <w:p>
      <w:pPr>
        <w:pStyle w:val="Heading3"/>
        <w:numPr>
          <w:ilvl w:val="2"/>
          <w:numId w:val="1"/>
        </w:numPr>
        <w:rPr/>
      </w:pPr>
      <w:bookmarkStart w:id="3293" w:name="__RefHeading___Toc3809753_1067777946"/>
      <w:bookmarkStart w:id="3294" w:name="_Toc1389"/>
      <w:bookmarkEnd w:id="3292"/>
      <w:bookmarkEnd w:id="3293"/>
      <w:r>
        <w:rPr>
          <w:rtl w:val="true"/>
        </w:rPr>
        <w:t>فصل هفتم مسائلى از احكام صيد</w:t>
      </w:r>
      <w:bookmarkEnd w:id="3294"/>
    </w:p>
    <w:p>
      <w:pPr>
        <w:pStyle w:val="Heading4"/>
        <w:numPr>
          <w:ilvl w:val="3"/>
          <w:numId w:val="1"/>
        </w:numPr>
        <w:rPr/>
      </w:pPr>
      <w:bookmarkStart w:id="3295" w:name="__RefHeading___Toc3809755_1067777946"/>
      <w:bookmarkStart w:id="3296" w:name="_Toc1390"/>
      <w:bookmarkEnd w:id="3295"/>
      <w:r>
        <w:rPr>
          <w:rtl w:val="true"/>
        </w:rPr>
        <w:t>شرائط مملوكيت حيوان براى صياد</w:t>
      </w:r>
      <w:bookmarkEnd w:id="32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حيوانى كه در دام و شبكۀ صياد واقع مى شود و نمى تواند خارج شود، مملوكِ ناصب آلت براى اصطياد مى شود؛ و به خارج شدن اتفاقى و پريدن، از ملك او خارج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مجرد فرو رفتن در محلى از زمين شخص و آشيانه كردن در خانۀ او ملكيت حاصل نمى شود، بلكه در نصب آلت صيد براى اصطياد، مالك مى شود؛ و تا مالكيّت محقّق نشده، آخذ و صائدِ ديگر آن را مالك مى شود؛ مگر آنكه محلى را مهيّا كند با خصوصيّتى براى اصطياد و واقع شود در آن و از امتناع خارج شود، كه مالكيّت صاحب اين عمل خالى از 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اغلاق باب بر حيوان كرد و محلّى براى خروج نداشت، يا در مضيق آن را قرار داد به قصد اخذ و اصطياد، مالك مى شود؛ و معتاد بودن آلت براى اصطياد شرط نيست و اخذ و اصطياد به اين گونه امور صادق است</w:t>
      </w:r>
      <w:r>
        <w:rPr>
          <w:rFonts w:eastAsia="IRNazanin" w:cs="IRNazanin"/>
          <w:color w:val="111111"/>
          <w:sz w:val="28"/>
          <w:szCs w:val="28"/>
          <w:rtl w:val="true"/>
          <w:lang w:bidi="fa-IR"/>
        </w:rPr>
        <w:t>.</w:t>
      </w:r>
    </w:p>
    <w:p>
      <w:pPr>
        <w:pStyle w:val="Heading4"/>
        <w:numPr>
          <w:ilvl w:val="3"/>
          <w:numId w:val="1"/>
        </w:numPr>
        <w:rPr/>
      </w:pPr>
      <w:bookmarkStart w:id="3297" w:name="__RefHeading___Toc3809757_1067777946"/>
      <w:bookmarkStart w:id="3298" w:name="_Toc1391"/>
      <w:bookmarkEnd w:id="3297"/>
      <w:r>
        <w:rPr>
          <w:rtl w:val="true"/>
        </w:rPr>
        <w:t>نيّت قطع ملك و اعراض از صيد و خروج از ملك</w:t>
      </w:r>
      <w:bookmarkEnd w:id="3298"/>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صيدى را اخذ كرد و از دستش رها كرد به نيّت قطع ملك، زائل مى شود ملكيّت، و ثابت مى شود براى ديگرى اگر صيد كرد بنا بر اظهر؛ و بدون نيّت قطع، محل تأمّل است و اظهر لحوق به اصل آن است به زوال سبب مملّك، كه اخراج از </w:t>
      </w:r>
      <w:bookmarkStart w:id="3299" w:name="pg10265_90315"/>
    </w:p>
    <w:p>
      <w:pPr>
        <w:pStyle w:val="BookText"/>
        <w:rPr/>
      </w:pPr>
      <w:bookmarkEnd w:id="3299"/>
      <w:r>
        <w:rPr>
          <w:rFonts w:ascii="Amiri" w:hAnsi="Amiri" w:eastAsia="Amiri" w:cs="Amiri"/>
          <w:color w:val="111111"/>
          <w:sz w:val="28"/>
          <w:sz w:val="28"/>
          <w:szCs w:val="28"/>
          <w:rtl w:val="true"/>
          <w:lang w:bidi="ar-SA"/>
        </w:rPr>
        <w:t>امتناع با نيّت تملّك باشد، كه با انتفاى هر كدام منتفى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اعراض خارج مى شود از ملك، هرچه با نيّت تملّك، مملوك است؛ و به اباحه براى خصوص يا جماعتى مباح مى شود و از ملكيّت خارج نمى شود تا عين، باقى است</w:t>
      </w:r>
      <w:r>
        <w:rPr>
          <w:rFonts w:eastAsia="IRNazanin" w:cs="IRNazanin"/>
          <w:color w:val="111111"/>
          <w:sz w:val="28"/>
          <w:szCs w:val="28"/>
          <w:rtl w:val="true"/>
          <w:lang w:bidi="fa-IR"/>
        </w:rPr>
        <w:t>.</w:t>
      </w:r>
    </w:p>
    <w:p>
      <w:pPr>
        <w:pStyle w:val="Heading4"/>
        <w:numPr>
          <w:ilvl w:val="3"/>
          <w:numId w:val="1"/>
        </w:numPr>
        <w:rPr/>
      </w:pPr>
      <w:bookmarkStart w:id="3300" w:name="__RefHeading___Toc3809759_1067777946"/>
      <w:bookmarkStart w:id="3301" w:name="_Toc1392"/>
      <w:bookmarkEnd w:id="3300"/>
      <w:r>
        <w:rPr>
          <w:rtl w:val="true"/>
        </w:rPr>
        <w:t>عدم كفايت اتعاب براى مالكيّت</w:t>
      </w:r>
      <w:bookmarkEnd w:id="330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صيد باقى است، اتعاب آن موجب اختصاص نمى شود، بلكه آخذ آن بعد از اتعاب ديگرى با بقاى امتناع، مالك آن مى شود</w:t>
      </w:r>
      <w:r>
        <w:rPr>
          <w:rFonts w:eastAsia="IRNazanin" w:cs="IRNazanin"/>
          <w:color w:val="111111"/>
          <w:sz w:val="28"/>
          <w:szCs w:val="28"/>
          <w:rtl w:val="true"/>
          <w:lang w:bidi="fa-IR"/>
        </w:rPr>
        <w:t>.</w:t>
      </w:r>
    </w:p>
    <w:p>
      <w:pPr>
        <w:pStyle w:val="Heading4"/>
        <w:numPr>
          <w:ilvl w:val="3"/>
          <w:numId w:val="1"/>
        </w:numPr>
        <w:rPr/>
      </w:pPr>
      <w:bookmarkStart w:id="3302" w:name="__RefHeading___Toc3809761_1067777946"/>
      <w:bookmarkStart w:id="3303" w:name="_Toc1393"/>
      <w:bookmarkEnd w:id="3302"/>
      <w:r>
        <w:rPr>
          <w:rtl w:val="true"/>
        </w:rPr>
        <w:t>گونه اى مختلف مشاركت دو نفر در صيد و ذبح و مسأله مالكيت آن</w:t>
      </w:r>
      <w:bookmarkEnd w:id="330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اوّلى اثبات نمود صيد را، مالك آن مى شود؛ پس اگر اثخان نمود بحيث نماند حيات مستقره و ديگرى آن را ذبح نمود، مملوكِ اولى است نه دومى، و دوم هم ضامن نيست چون به حكم مقتول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به رمى اولى از امتناع خارج نشد، صائد، دومى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ذبح كرد مملوكِ ذابح است نه اولى، و بر دومى براى اولى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رمى اولى از امتناع خارج شد و لكن حيات مستقره داشت، مملوك اولى است؛ و اگر دومى در اين فرض آن را ذبح نمود، اتلاف نموده مال غير را و ضامن است براى او ارش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ذبح شرعى كرده، تفاوت بين حىّ مُثبَت و مذبوح شرعى را بايد اداء نمايد، و اگر ذبح شرعى نكرده، تمام قيمت آن را ضامن است اگر ميّت آن قيمتى ندارد، و اگر قيمت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مثل قيمت اجزائى كه حيات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مابين ميّت و مُزمِن را ضامن است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دومى بعد از زوال امتناع به رمى اولى، مجروح كرد آن را و اولى رسيد به ذبح آن، بر دومى تفاوت بين حالت اوّليه و حالت مجروحى به جرح دومى است؛ و اگر نرسيد به ذبح آن، ميته است، زيرا از قبيل تعاقب دو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اولى محلّل و </w:t>
      </w:r>
    </w:p>
    <w:p>
      <w:pPr>
        <w:pStyle w:val="BookText"/>
        <w:rPr/>
      </w:pPr>
      <w:r>
        <w:rPr>
          <w:rFonts w:ascii="Amiri" w:hAnsi="Amiri" w:eastAsia="Amiri" w:cs="Amiri"/>
          <w:color w:val="111111"/>
          <w:sz w:val="28"/>
          <w:sz w:val="28"/>
          <w:szCs w:val="28"/>
          <w:rtl w:val="true"/>
          <w:lang w:bidi="ar-SA"/>
        </w:rPr>
        <w:t>دومى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 تأثير در تلف حيوان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چنين دو ارسال كلب به تعاقب، كه اولى فقط با تسميه بوده، يا آنكه اوّلى از مسلمان و دومى از مجوسى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اوّلى فقط ازالۀ امتناع حيوان نمود و مالك شد، و دومى آن را مجروح كرد و وقت تذكيۀ آن نبود و اتلاف به فعل هر دو منسوب شد و هيچ يك به تنهايى مهلك نبود و دومى ذبح شرعى بالفرض نكرده، پس بر دومى است قيمت تمام از معيب به جراحت اول به استثناى آنچه قيمت دارد از اجزاء ميته اگر قيمت دار بود، و اين موافق است با نصف قيمت حيوانى كه سالم است مثلاً با استثناى مذكور؛ و هم چنين اگر دومى مستقلاً متلف بود و اولى غير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عكس، پس اگر استناد به اولى به استقلال محفوظ باشد و تذكيه حاصل بشود به همين استناد و عدم اضرار دومى، دومى ضامن نيست، وگرنه ضامن است به نحو 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وقت تذكيۀ به ذبح بود و اولى اهمال كرد در آن و در اذن دادن به دومى در ذبح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محتمل است ثلث تمام قيمت سالم را دومى ضامن باشد با استثناى متقدّم، يعنى ثلث بقيه اجزاء متقدّمه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محتمل است تفاوت ما بين معيب به جراحت اول و سالم از جراحت دوم و ما بين مذكّى را دومى ضامن باشد، و اماتۀ مستندۀ به اوّلى به ترك ذبح شرعى با قدرت، مضمون بر كسى نباشد</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محتمل است در موردى كه هر دو ضامن باشند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دو جنايت بر دابّۀ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تسميه يا بدون امتناع، اوّلى ضامن باشد تفاوت بين سالم و معيب قابل تذكيه را، و دوّمى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مفوّت تذكيه است جنايت او، در صورتى كه وقت، وسعت ذبح را نداشته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ضامن باشد تمام قيمت معيب قابل تذكيه را؛ و بايد رعايت زيادتى </w:t>
      </w:r>
      <w:bookmarkStart w:id="3304" w:name="pg10265_90317"/>
    </w:p>
    <w:p>
      <w:pPr>
        <w:pStyle w:val="BookText"/>
        <w:rPr/>
      </w:pPr>
      <w:bookmarkEnd w:id="3304"/>
      <w:r>
        <w:rPr>
          <w:rFonts w:ascii="Amiri" w:hAnsi="Amiri" w:eastAsia="Amiri" w:cs="Amiri"/>
          <w:color w:val="111111"/>
          <w:sz w:val="28"/>
          <w:sz w:val="28"/>
          <w:szCs w:val="28"/>
          <w:rtl w:val="true"/>
          <w:lang w:bidi="ar-SA"/>
        </w:rPr>
        <w:t>و كمى از قيمت سالم مطلق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محتمل است كه تفاوت بين سالم از مطلق جراحت و غير سالم بر اولى باشد، و تفاوت بين مجروح به جراحت دومى و سالم از آن در مجروح به جراحت اول بر دومى باشد؛ و چون دومى جزء اخير علت سرايت بود بر او است قيمت مقتول در حين مجروح بودن به جراحت اول؛ و چون قتل دو قسم است و ترك تذكيۀ ممكنه به اختيار اولى بوده، تفاوت بين مذكى و غير آن در مجروح به جراحت دوم، از قيمت مأخوذۀ از دومى ارجاع به او مى شود، و در صورتى كه وقت، وسعت ذبح نداشته ارجاع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احتمال اخير خالى از رجحان نيست، و احوط مصالحه است در آنچه از دومى مأخوذ مى شود؛ و هم چنين در مأخوذ از اولى در صورت ضامن بودن او، مثل جنايت دو نفر به تعاقب بر دابّۀ غير</w:t>
      </w:r>
      <w:r>
        <w:rPr>
          <w:rFonts w:eastAsia="IRNazanin" w:cs="IRNazanin"/>
          <w:color w:val="111111"/>
          <w:sz w:val="28"/>
          <w:szCs w:val="28"/>
          <w:rtl w:val="true"/>
          <w:lang w:bidi="fa-IR"/>
        </w:rPr>
        <w:t>.</w:t>
      </w:r>
    </w:p>
    <w:p>
      <w:pPr>
        <w:pStyle w:val="Heading4"/>
        <w:numPr>
          <w:ilvl w:val="3"/>
          <w:numId w:val="1"/>
        </w:numPr>
        <w:rPr/>
      </w:pPr>
      <w:bookmarkStart w:id="3305" w:name="__RefHeading___Toc3809763_1067777946"/>
      <w:bookmarkStart w:id="3306" w:name="_Toc1394"/>
      <w:bookmarkEnd w:id="3305"/>
      <w:r>
        <w:rPr>
          <w:rtl w:val="true"/>
        </w:rPr>
        <w:t>رفع دو امتناع به تعاقب توسط دو نفر</w:t>
      </w:r>
      <w:bookmarkEnd w:id="330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صيدى ممتنع است به دو چيز مثل پريدن و تند روى، يكى را صائدى ازاله كرد، و بعد از آن ديگرى را صائدى ازاله نمود، اظهر مالكيّت دومى است آن صيد را</w:t>
      </w:r>
      <w:r>
        <w:rPr>
          <w:rFonts w:eastAsia="IRNazanin" w:cs="IRNazanin"/>
          <w:color w:val="111111"/>
          <w:sz w:val="28"/>
          <w:szCs w:val="28"/>
          <w:rtl w:val="true"/>
          <w:lang w:bidi="fa-IR"/>
        </w:rPr>
        <w:t>.</w:t>
      </w:r>
    </w:p>
    <w:p>
      <w:pPr>
        <w:pStyle w:val="Heading4"/>
        <w:numPr>
          <w:ilvl w:val="3"/>
          <w:numId w:val="1"/>
        </w:numPr>
        <w:rPr/>
      </w:pPr>
      <w:bookmarkStart w:id="3307" w:name="__RefHeading___Toc3809765_1067777946"/>
      <w:bookmarkStart w:id="3308" w:name="_Toc1395"/>
      <w:bookmarkEnd w:id="3307"/>
      <w:r>
        <w:rPr>
          <w:rtl w:val="true"/>
        </w:rPr>
        <w:t>قتل صيد بعد از رمى دو صياد</w:t>
      </w:r>
      <w:bookmarkEnd w:id="330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دو نفر رمى كردند صيدى را در يك دفعه، پس از آن ديدند مقتول شده است، مذكّى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مستند باشد موتش به هر دو يا يكى معين يا 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تسميۀ هر دو، و هم چنين در صورت تعاقب اگر اثبات و اخراج از امتناع و قتل مستند به دومى باشد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فرقى نيست بين اصابت دو رمى به مذبح يا غير آن محل؛ بلى اگر يكى از آنها به مذبح با شرائط ذبح اصابت كرد، حلال است به ذبح، اگر چه اخراج از امتناع به سبب اول و ذبح به سبب دوم بوده و وارد بر حيوان غير ممتنع بوده؛ و هم چنين اگر </w:t>
      </w:r>
      <w:bookmarkStart w:id="3309" w:name="pg10265_90318"/>
    </w:p>
    <w:p>
      <w:pPr>
        <w:pStyle w:val="BookText"/>
        <w:rPr/>
      </w:pPr>
      <w:bookmarkEnd w:id="3309"/>
      <w:r>
        <w:rPr>
          <w:rFonts w:ascii="IRNazanin" w:hAnsi="IRNazanin" w:eastAsia="IRNazanin"/>
          <w:color w:val="111111"/>
          <w:sz w:val="28"/>
          <w:sz w:val="28"/>
          <w:szCs w:val="28"/>
          <w:rtl w:val="true"/>
          <w:lang w:bidi="fa-IR"/>
        </w:rPr>
        <w:t>ذبح شرعى مفروض و اخراج از امتناع، مستند به هر دو بوده به واسطۀ مقارنت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 يكى از آنها اخراج از امتناع شد و با ديگرى قتل شد، يا اين مطلب، محتمل شد، حلال نمى شود با احتمال ورود تذكيۀ غير ذبحى به غير ممتنع؛ و هم چنين اگر اثبات، به يكى منسوب بود و قتل به مجموع، بعد از زوال امتناع به سبب اول</w:t>
      </w:r>
      <w:r>
        <w:rPr>
          <w:rFonts w:eastAsia="IRNazanin" w:cs="IRNazanin"/>
          <w:color w:val="111111"/>
          <w:sz w:val="28"/>
          <w:szCs w:val="28"/>
          <w:rtl w:val="true"/>
          <w:lang w:bidi="fa-IR"/>
        </w:rPr>
        <w:t>.</w:t>
      </w:r>
    </w:p>
    <w:p>
      <w:pPr>
        <w:pStyle w:val="Heading4"/>
        <w:numPr>
          <w:ilvl w:val="3"/>
          <w:numId w:val="1"/>
        </w:numPr>
        <w:rPr/>
      </w:pPr>
      <w:bookmarkStart w:id="3310" w:name="__RefHeading___Toc3809767_1067777946"/>
      <w:bookmarkStart w:id="3311" w:name="_Toc1396"/>
      <w:bookmarkEnd w:id="3310"/>
      <w:r>
        <w:rPr>
          <w:rtl w:val="true"/>
        </w:rPr>
        <w:t>موت صيد به سبب عقر كلب يا اتعاب و فشار</w:t>
      </w:r>
      <w:bookmarkEnd w:id="331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به سبب عقر كلب معلَّم، مقتول شد صيد، حلال است؛ و اگر به سبب ديگر مثل اتعاب و فشار دادن هلاك شد، محكوم به تذكيه نمى شود،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احتمال تأثير غير عقر با عقر يا بدون آن</w:t>
      </w:r>
      <w:r>
        <w:rPr>
          <w:rFonts w:eastAsia="IRNazanin" w:cs="IRNazanin"/>
          <w:color w:val="111111"/>
          <w:sz w:val="28"/>
          <w:szCs w:val="28"/>
          <w:rtl w:val="true"/>
          <w:lang w:bidi="fa-IR"/>
        </w:rPr>
        <w:t>.</w:t>
      </w:r>
    </w:p>
    <w:p>
      <w:pPr>
        <w:pStyle w:val="Heading4"/>
        <w:numPr>
          <w:ilvl w:val="3"/>
          <w:numId w:val="1"/>
        </w:numPr>
        <w:rPr/>
      </w:pPr>
      <w:bookmarkStart w:id="3312" w:name="__RefHeading___Toc3809769_1067777946"/>
      <w:bookmarkStart w:id="3313" w:name="_Toc1397"/>
      <w:bookmarkEnd w:id="3312"/>
      <w:r>
        <w:rPr>
          <w:rtl w:val="true"/>
        </w:rPr>
        <w:t>رمى به قصد غير صيد يا غير شخص يا نوع مصيد يا قصد غير اصطياد</w:t>
      </w:r>
      <w:bookmarkEnd w:id="3313"/>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صيد را رمى كرد به قصد غير صيد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محكوم به حلّيت نمى شود، مگر به احتمال صيد بودن با تسميه رمى كرده باشد؛ و هم چنين اگر به قصد غير اصطياد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لعب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رمى نمود و مصادفت با رمى صيد نمود، يا آنكه ارسال كلب براى سائر اغراض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اصطياد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مصادف با عقر صيد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محفوظيت قصد اصطياد، اختلاف مصيد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حيث مأكول بودن يا از صنف مأكول يا شخص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ندارد؛ و با عدم محفوظيت به حسب تحليل در قصد، محل اشكال است قصد مأكول يا مأكولى اگر مصادف با غير مأكول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قابل تذكيه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غير آن مأكول باشد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قصد اصطيادِ اعمّ از قابل و غير قابل تذكيه داشت پس مصادف قابل شد مذكّىٰ نيست، مگر با احتمال قابل، اصطياد كرده و مصادف با آن شده باشد؛ و هم چنين است قيام احتمال، مقام علم در سائر موارد مناسبۀ با مقام به نحوى كه گذشت</w:t>
      </w:r>
      <w:r>
        <w:rPr>
          <w:rFonts w:eastAsia="IRNazanin" w:cs="IRNazanin"/>
          <w:color w:val="111111"/>
          <w:sz w:val="28"/>
          <w:szCs w:val="28"/>
          <w:rtl w:val="true"/>
          <w:lang w:bidi="fa-IR"/>
        </w:rPr>
        <w:t xml:space="preserve">. </w:t>
      </w:r>
      <w:bookmarkStart w:id="3314" w:name="pg10265_90319"/>
    </w:p>
    <w:p>
      <w:pPr>
        <w:pStyle w:val="Heading4"/>
        <w:numPr>
          <w:ilvl w:val="3"/>
          <w:numId w:val="1"/>
        </w:numPr>
        <w:rPr/>
      </w:pPr>
      <w:bookmarkStart w:id="3315" w:name="__RefHeading___Toc3809771_1067777946"/>
      <w:bookmarkStart w:id="3316" w:name="_Toc1398"/>
      <w:bookmarkEnd w:id="3314"/>
      <w:bookmarkEnd w:id="3315"/>
      <w:r>
        <w:rPr>
          <w:rtl w:val="true"/>
        </w:rPr>
        <w:t>نحوۀ مالكيّت گيرنده پرنده</w:t>
      </w:r>
      <w:bookmarkEnd w:id="3316"/>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گرفت پرنده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اثر مملوكيتِ غير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بريدن پرها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مى شود آن را، مگر آنكه بداند يا اطمينان نمايد به مالكيّت غير، كه رد مى نمايد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بداند مملوكِ غير است لكن او را نشناخت، حلال است ظاهراً براى گيرنده و احوط وجوباً معاملۀ لقطه است با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جريان تذكيۀ صيديه است به طائرى كه مالك پرهاى خود باشد و امتناع داشته باشد، اگر چه در واقع، مملوك شخصى شده باشد و از قفس مثلاً پريده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عدم فرق است بين طائر و غير آن، و بين بريدن پر و داغ كردن حيوان، با حفظ خصوصيّات مذكورۀ در طائر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تخم مرغ طائر، تابع اُنثى است در مملوكيّت آخذ و صائد طير و عدم آن</w:t>
      </w:r>
      <w:r>
        <w:rPr>
          <w:rFonts w:eastAsia="Amiri" w:cs="Amiri" w:ascii="Amiri" w:hAnsi="Amiri"/>
          <w:color w:val="111111"/>
          <w:sz w:val="28"/>
          <w:szCs w:val="28"/>
          <w:rtl w:val="true"/>
          <w:lang w:bidi="ar-SA"/>
        </w:rPr>
        <w:t>.</w:t>
      </w:r>
    </w:p>
    <w:p>
      <w:pPr>
        <w:pStyle w:val="Heading4"/>
        <w:numPr>
          <w:ilvl w:val="3"/>
          <w:numId w:val="1"/>
        </w:numPr>
        <w:rPr/>
      </w:pPr>
      <w:bookmarkStart w:id="3317" w:name="__RefHeading___Toc3809773_1067777946"/>
      <w:bookmarkStart w:id="3318" w:name="_Toc1399"/>
      <w:bookmarkEnd w:id="3317"/>
      <w:r>
        <w:rPr>
          <w:rtl w:val="true"/>
        </w:rPr>
        <w:t>حكم كبوترى كه به خانه اى درآيد</w:t>
      </w:r>
      <w:bookmarkEnd w:id="3318"/>
    </w:p>
    <w:p>
      <w:pPr>
        <w:pStyle w:val="BookText"/>
        <w:rPr/>
      </w:pPr>
      <w:r>
        <w:rPr>
          <w:rFonts w:ascii="IRNazanin" w:hAnsi="IRNazanin" w:eastAsia="IRNazanin"/>
          <w:color w:val="111111"/>
          <w:sz w:val="28"/>
          <w:sz w:val="28"/>
          <w:szCs w:val="28"/>
          <w:rtl w:val="true"/>
          <w:lang w:bidi="fa-IR"/>
        </w:rPr>
        <w:t>اگر حَمامى مثلاً در منزل شخصى آمد و ندانست كه ملك كسى بر او ثابت شده است، و علامت مملوكيّت ندارد، محكوم به ملكيت او به وضع يد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بداند بعضى مملوك غير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محصوريت، از همه اجتناب مى نمايد تا به اداء يا صلح منتهى شود؛ و اگر غير محصور باشد مى تواند تصرّف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قبيل است اگر آب خود را در نهرى ريخت كه واجب نيست بر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تصرّف در آن نهر، اگر چه ملك شخص در آن باقى باشد و اظهر با قلّت مملوك، تحقّق تلف عرفى است</w:t>
      </w:r>
      <w:r>
        <w:rPr>
          <w:rFonts w:eastAsia="IRNazanin" w:cs="IRNazanin"/>
          <w:color w:val="111111"/>
          <w:sz w:val="28"/>
          <w:szCs w:val="28"/>
          <w:rtl w:val="true"/>
          <w:lang w:bidi="fa-IR"/>
        </w:rPr>
        <w:t>.</w:t>
      </w:r>
    </w:p>
    <w:p>
      <w:pPr>
        <w:pStyle w:val="Heading4"/>
        <w:numPr>
          <w:ilvl w:val="3"/>
          <w:numId w:val="1"/>
        </w:numPr>
        <w:rPr/>
      </w:pPr>
      <w:bookmarkStart w:id="3319" w:name="__RefHeading___Toc3809775_1067777946"/>
      <w:bookmarkStart w:id="3320" w:name="_Toc1400"/>
      <w:bookmarkEnd w:id="3319"/>
      <w:r>
        <w:rPr>
          <w:rtl w:val="true"/>
        </w:rPr>
        <w:t>حكم اجزاء مبانۀ از ماهى</w:t>
      </w:r>
      <w:bookmarkEnd w:id="3320"/>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طهارت و حليت اجزاء مبانۀ از ماهى بعد از اخراج از آب و قبل از زهاق روح،</w:t>
      </w:r>
      <w:bookmarkStart w:id="3321" w:name="pg10265_90320"/>
    </w:p>
    <w:p>
      <w:pPr>
        <w:pStyle w:val="BookText"/>
        <w:rPr/>
      </w:pPr>
      <w:bookmarkEnd w:id="3321"/>
      <w:r>
        <w:rPr>
          <w:rFonts w:ascii="Amiri" w:hAnsi="Amiri" w:eastAsia="Amiri" w:cs="Amiri"/>
          <w:color w:val="111111"/>
          <w:sz w:val="28"/>
          <w:sz w:val="28"/>
          <w:szCs w:val="28"/>
          <w:rtl w:val="true"/>
          <w:lang w:bidi="ar-SA"/>
        </w:rPr>
        <w:t>تأمّل است؛ و بنا بر تذكيه به مجرد اخراج، عود ماهى به آب به حكم مذكور ضرر نمى رساند</w:t>
      </w:r>
      <w:r>
        <w:rPr>
          <w:rFonts w:eastAsia="Amiri" w:cs="Amiri" w:ascii="Amiri" w:hAnsi="Amiri"/>
          <w:color w:val="111111"/>
          <w:sz w:val="28"/>
          <w:szCs w:val="28"/>
          <w:rtl w:val="true"/>
          <w:lang w:bidi="ar-SA"/>
        </w:rPr>
        <w:t>.</w:t>
      </w:r>
    </w:p>
    <w:p>
      <w:pPr>
        <w:pStyle w:val="Heading4"/>
        <w:numPr>
          <w:ilvl w:val="3"/>
          <w:numId w:val="1"/>
        </w:numPr>
        <w:rPr/>
      </w:pPr>
      <w:bookmarkStart w:id="3322" w:name="__RefHeading___Toc3809777_1067777946"/>
      <w:bookmarkStart w:id="3323" w:name="_Toc1401"/>
      <w:bookmarkEnd w:id="3322"/>
      <w:r>
        <w:rPr>
          <w:rtl w:val="true"/>
        </w:rPr>
        <w:t>شراكت دو نفر در اثبات يا جرح صيد</w:t>
      </w:r>
      <w:bookmarkEnd w:id="3323"/>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يك دفعه صيدى را دو نفر اثبات كردند، مملوك هر دو مى شود؛ و هم چنين اگر هر دو مجروح كردند به آنچه مملّك است در يك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يكى مثبِت است و ديگرى جارح غير مثبِت، ملك خاص مثبِت است؛ و در ضمان جارح اگر جرح او بعد از اثبات ديگرى نباشد بلكه در يك زمان باشد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مثبِت از ايشان مجهول شد محتمل است تعيين با قرعه، و احوط مصالحۀ به تنصيف و نحو آن است يا تراضى</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تأثير عمل يكى در اثبات، معلوم و تأثير عمل ديگرى معلوم نبود، نصف، مال معلوم المالكيه است، و نصف ديگر مورد قرعه يا مصالحۀ به تنصيف است بنا بر اظهر</w:t>
      </w:r>
      <w:r>
        <w:rPr>
          <w:rFonts w:eastAsia="IRNazanin" w:cs="IRNazanin"/>
          <w:color w:val="111111"/>
          <w:sz w:val="28"/>
          <w:szCs w:val="28"/>
          <w:rtl w:val="true"/>
          <w:lang w:bidi="fa-IR"/>
        </w:rPr>
        <w:t xml:space="preserve">.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24" w:name="pg10265_90322"/>
      <w:bookmarkStart w:id="3325" w:name="pg10265_90322"/>
      <w:bookmarkEnd w:id="3325"/>
    </w:p>
    <w:p>
      <w:pPr>
        <w:pStyle w:val="Heading2"/>
        <w:numPr>
          <w:ilvl w:val="1"/>
          <w:numId w:val="1"/>
        </w:numPr>
        <w:rPr/>
      </w:pPr>
      <w:bookmarkStart w:id="3326" w:name="pg10265_90322"/>
      <w:bookmarkStart w:id="3327" w:name="__RefHeading___Toc3809779_1067777946"/>
      <w:bookmarkStart w:id="3328" w:name="_Toc1402"/>
      <w:bookmarkEnd w:id="3326"/>
      <w:bookmarkEnd w:id="3327"/>
      <w:r>
        <w:rPr>
          <w:rtl w:val="true"/>
        </w:rPr>
        <w:t>كتاب اطعمه و اشربه</w:t>
      </w:r>
      <w:bookmarkEnd w:id="3328"/>
    </w:p>
    <w:p>
      <w:pPr>
        <w:pStyle w:val="Heading3"/>
        <w:numPr>
          <w:ilvl w:val="2"/>
          <w:numId w:val="1"/>
        </w:numPr>
        <w:rPr/>
      </w:pPr>
      <w:bookmarkStart w:id="3329" w:name="__RefHeading___Toc3809781_1067777946"/>
      <w:bookmarkStart w:id="3330" w:name="_Toc1403"/>
      <w:bookmarkEnd w:id="3329"/>
      <w:r>
        <w:rPr>
          <w:rtl w:val="true"/>
        </w:rPr>
        <w:t>اشاره</w:t>
      </w:r>
      <w:bookmarkEnd w:id="3330"/>
    </w:p>
    <w:p>
      <w:pPr>
        <w:pStyle w:val="BookText"/>
        <w:rPr/>
      </w:pPr>
      <w:r>
        <w:rPr>
          <w:rFonts w:ascii="Amiri" w:hAnsi="Amiri" w:eastAsia="Amiri" w:cs="Amiri"/>
          <w:color w:val="111111"/>
          <w:sz w:val="28"/>
          <w:sz w:val="28"/>
          <w:szCs w:val="28"/>
          <w:rtl w:val="true"/>
          <w:lang w:bidi="ar-SA"/>
        </w:rPr>
        <w:t>حيوان دريا</w:t>
      </w:r>
    </w:p>
    <w:p>
      <w:pPr>
        <w:pStyle w:val="BookText"/>
        <w:rPr/>
      </w:pPr>
      <w:r>
        <w:rPr>
          <w:rFonts w:ascii="IRNazanin" w:hAnsi="IRNazanin" w:eastAsia="IRNazanin"/>
          <w:color w:val="111111"/>
          <w:sz w:val="28"/>
          <w:sz w:val="28"/>
          <w:szCs w:val="28"/>
          <w:rtl w:val="true"/>
          <w:lang w:bidi="fa-IR"/>
        </w:rPr>
        <w:t>بهائم</w:t>
      </w:r>
    </w:p>
    <w:p>
      <w:pPr>
        <w:pStyle w:val="BookText"/>
        <w:rPr/>
      </w:pPr>
      <w:r>
        <w:rPr>
          <w:rFonts w:ascii="IRNazanin" w:hAnsi="IRNazanin" w:eastAsia="IRNazanin"/>
          <w:color w:val="111111"/>
          <w:sz w:val="28"/>
          <w:sz w:val="28"/>
          <w:szCs w:val="28"/>
          <w:rtl w:val="true"/>
          <w:lang w:bidi="fa-IR"/>
        </w:rPr>
        <w:t>پرندگان</w:t>
      </w:r>
    </w:p>
    <w:p>
      <w:pPr>
        <w:pStyle w:val="BookText"/>
        <w:rPr/>
      </w:pPr>
      <w:r>
        <w:rPr>
          <w:rFonts w:ascii="IRNazanin" w:hAnsi="IRNazanin" w:eastAsia="IRNazanin"/>
          <w:color w:val="111111"/>
          <w:sz w:val="28"/>
          <w:sz w:val="28"/>
          <w:szCs w:val="28"/>
          <w:rtl w:val="true"/>
          <w:lang w:bidi="fa-IR"/>
        </w:rPr>
        <w:t>محرّمات از جمادات</w:t>
      </w:r>
    </w:p>
    <w:p>
      <w:pPr>
        <w:pStyle w:val="BookText"/>
        <w:rPr/>
      </w:pPr>
      <w:r>
        <w:rPr>
          <w:rFonts w:ascii="IRNazanin" w:hAnsi="IRNazanin" w:eastAsia="IRNazanin"/>
          <w:color w:val="111111"/>
          <w:sz w:val="28"/>
          <w:sz w:val="28"/>
          <w:szCs w:val="28"/>
          <w:rtl w:val="true"/>
          <w:lang w:bidi="fa-IR"/>
        </w:rPr>
        <w:t>مسائلى از اطعمه و اشربه</w:t>
      </w:r>
    </w:p>
    <w:p>
      <w:pPr>
        <w:pStyle w:val="BookText"/>
        <w:rPr/>
      </w:pPr>
      <w:r>
        <w:rPr>
          <w:rFonts w:ascii="Amiri" w:hAnsi="Amiri" w:eastAsia="Amiri" w:cs="Amiri"/>
          <w:color w:val="111111"/>
          <w:sz w:val="28"/>
          <w:sz w:val="28"/>
          <w:szCs w:val="28"/>
          <w:rtl w:val="true"/>
          <w:lang w:bidi="ar-SA"/>
        </w:rPr>
        <w:t>احكام حال اضطرار</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آداب تناول طعام و شراب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31" w:name="pg10265_90324"/>
      <w:bookmarkStart w:id="3332" w:name="pg10265_90324"/>
      <w:bookmarkEnd w:id="3332"/>
    </w:p>
    <w:p>
      <w:pPr>
        <w:pStyle w:val="Heading3"/>
        <w:numPr>
          <w:ilvl w:val="2"/>
          <w:numId w:val="1"/>
        </w:numPr>
        <w:rPr/>
      </w:pPr>
      <w:bookmarkStart w:id="3333" w:name="pg10265_90324"/>
      <w:bookmarkStart w:id="3334" w:name="__RefHeading___Toc3809783_1067777946"/>
      <w:bookmarkStart w:id="3335" w:name="_Toc1404"/>
      <w:bookmarkEnd w:id="3333"/>
      <w:bookmarkEnd w:id="3334"/>
      <w:r>
        <w:rPr>
          <w:rtl w:val="true"/>
        </w:rPr>
        <w:t>فصل اوّل حيوان دريا</w:t>
      </w:r>
      <w:bookmarkEnd w:id="3335"/>
    </w:p>
    <w:p>
      <w:pPr>
        <w:pStyle w:val="Heading4"/>
        <w:numPr>
          <w:ilvl w:val="3"/>
          <w:numId w:val="1"/>
        </w:numPr>
        <w:rPr/>
      </w:pPr>
      <w:bookmarkStart w:id="3336" w:name="__RefHeading___Toc3809785_1067777946"/>
      <w:bookmarkStart w:id="3337" w:name="_Toc1405"/>
      <w:bookmarkEnd w:id="3336"/>
      <w:r>
        <w:rPr>
          <w:rtl w:val="true"/>
        </w:rPr>
        <w:t>اشاره</w:t>
      </w:r>
      <w:bookmarkEnd w:id="3337"/>
    </w:p>
    <w:p>
      <w:pPr>
        <w:pStyle w:val="BookText"/>
        <w:rPr/>
      </w:pPr>
      <w:r>
        <w:rPr>
          <w:rFonts w:ascii="Amiri" w:hAnsi="Amiri" w:eastAsia="Amiri" w:cs="Amiri"/>
          <w:color w:val="111111"/>
          <w:sz w:val="28"/>
          <w:sz w:val="28"/>
          <w:szCs w:val="28"/>
          <w:rtl w:val="true"/>
          <w:lang w:bidi="ar-SA"/>
        </w:rPr>
        <w:t>فصل اوّل حيوان دريا</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3338" w:name="__RefHeading___Toc3809787_1067777946"/>
      <w:bookmarkStart w:id="3339" w:name="_Toc1406"/>
      <w:bookmarkEnd w:id="3338"/>
      <w:r>
        <w:rPr>
          <w:rtl w:val="true"/>
        </w:rPr>
        <w:t>آنچه از حيوان دريا حلال است</w:t>
      </w:r>
      <w:bookmarkEnd w:id="3339"/>
    </w:p>
    <w:p>
      <w:pPr>
        <w:pStyle w:val="BookText"/>
        <w:rPr/>
      </w:pPr>
      <w:r>
        <w:rPr>
          <w:rFonts w:ascii="IRNazanin" w:hAnsi="IRNazanin" w:eastAsia="IRNazanin"/>
          <w:color w:val="111111"/>
          <w:sz w:val="28"/>
          <w:sz w:val="28"/>
          <w:szCs w:val="28"/>
          <w:rtl w:val="true"/>
          <w:lang w:bidi="fa-IR"/>
        </w:rPr>
        <w:t xml:space="preserve">حلال نيست از حيوان دريا مگر ماهى كه داراى فلس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پوستِ مثل ورق بر بدن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اگر چه زائل شود و باقى نماند از آن پوست مگر كمى در بيخ گوش آن مثلاً مثل كَنْعَت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اصلاً پوست مخصوص را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مارماهى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اقوىٰ حرمت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پوست مخصوص دارد، جميع اصناف آن حلال است مانند آنچه مسمّى است در عربى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هرچه مناط حليت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فلس داشتن است 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باشد</w:t>
      </w:r>
      <w:r>
        <w:rPr>
          <w:rFonts w:eastAsia="IRNazanin" w:cs="IRNazanin"/>
          <w:color w:val="111111"/>
          <w:sz w:val="28"/>
          <w:szCs w:val="28"/>
          <w:rtl w:val="true"/>
          <w:lang w:bidi="fa-IR"/>
        </w:rPr>
        <w:t>.</w:t>
      </w:r>
    </w:p>
    <w:p>
      <w:pPr>
        <w:pStyle w:val="Heading4"/>
        <w:numPr>
          <w:ilvl w:val="3"/>
          <w:numId w:val="1"/>
        </w:numPr>
        <w:rPr/>
      </w:pPr>
      <w:bookmarkStart w:id="3340" w:name="__RefHeading___Toc3809789_1067777946"/>
      <w:bookmarkStart w:id="3341" w:name="_Toc1407"/>
      <w:bookmarkEnd w:id="3340"/>
      <w:r>
        <w:rPr>
          <w:rtl w:val="true"/>
        </w:rPr>
        <w:t>حرمت حيوان دريايى غير ماهى</w:t>
      </w:r>
      <w:bookmarkEnd w:id="3341"/>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حيوان دريايى، جز ماهى فلس دار حلال نيست اكل 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سلحفاة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ضفدع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سگ و خوك و اسب دريايى؛ و احوط معاملۀ غير مذكّىٰ‌ </w:t>
      </w:r>
      <w:bookmarkStart w:id="3342" w:name="pg10265_90325"/>
    </w:p>
    <w:p>
      <w:pPr>
        <w:pStyle w:val="BookText"/>
        <w:rPr/>
      </w:pPr>
      <w:bookmarkEnd w:id="3342"/>
      <w:r>
        <w:rPr>
          <w:rFonts w:ascii="IRNazanin" w:hAnsi="IRNazanin" w:eastAsia="IRNazanin"/>
          <w:color w:val="111111"/>
          <w:sz w:val="28"/>
          <w:sz w:val="28"/>
          <w:szCs w:val="28"/>
          <w:rtl w:val="true"/>
          <w:lang w:bidi="fa-IR"/>
        </w:rPr>
        <w:t xml:space="preserve">است با آنچه نفس سائله دارد از اينها و تذكيه حيوان زمينى در آن محقّق شده باشد، و آنچه نفس سائله ندارد محتمل است محكوم به حكم حشرات زمين كه نفس سائله ندارند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آنچه ماهى است و حرام است اكل آن مثل جرّى و مارماهى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تعيين آن در محلش مذكور است</w:t>
      </w:r>
      <w:r>
        <w:rPr>
          <w:rFonts w:eastAsia="IRNazanin" w:cs="IRNazanin"/>
          <w:color w:val="111111"/>
          <w:sz w:val="28"/>
          <w:szCs w:val="28"/>
          <w:rtl w:val="true"/>
          <w:lang w:bidi="fa-IR"/>
        </w:rPr>
        <w:t>.</w:t>
      </w:r>
    </w:p>
    <w:p>
      <w:pPr>
        <w:pStyle w:val="Heading4"/>
        <w:numPr>
          <w:ilvl w:val="3"/>
          <w:numId w:val="1"/>
        </w:numPr>
        <w:rPr/>
      </w:pPr>
      <w:bookmarkStart w:id="3343" w:name="__RefHeading___Toc3809791_1067777946"/>
      <w:bookmarkStart w:id="3344" w:name="_Toc1408"/>
      <w:bookmarkEnd w:id="3343"/>
      <w:r>
        <w:rPr>
          <w:rtl w:val="true"/>
        </w:rPr>
        <w:t>اگر در جوف ماهى، ماهى ديگرى بود</w:t>
      </w:r>
      <w:bookmarkEnd w:id="3344"/>
    </w:p>
    <w:p>
      <w:pPr>
        <w:pStyle w:val="BookText"/>
        <w:rPr/>
      </w:pPr>
      <w:r>
        <w:rPr>
          <w:rFonts w:ascii="IRNazanin" w:hAnsi="IRNazanin" w:eastAsia="IRNazanin"/>
          <w:color w:val="111111"/>
          <w:sz w:val="28"/>
          <w:sz w:val="28"/>
          <w:szCs w:val="28"/>
          <w:rtl w:val="true"/>
          <w:lang w:bidi="fa-IR"/>
        </w:rPr>
        <w:t>اگر در جوف ماهى، ماهى ديگرى غير زنده پيدا شد و محتمل بود حيات آن تا زمان اخراج ماهى حامل، اظهر حليت هر دو است، و احوط عدم است</w:t>
      </w:r>
      <w:r>
        <w:rPr>
          <w:rFonts w:eastAsia="IRNazanin" w:cs="IRNazanin"/>
          <w:color w:val="111111"/>
          <w:sz w:val="28"/>
          <w:szCs w:val="28"/>
          <w:rtl w:val="true"/>
          <w:lang w:bidi="fa-IR"/>
        </w:rPr>
        <w:t>.</w:t>
      </w:r>
    </w:p>
    <w:p>
      <w:pPr>
        <w:pStyle w:val="Heading4"/>
        <w:numPr>
          <w:ilvl w:val="3"/>
          <w:numId w:val="1"/>
        </w:numPr>
        <w:rPr/>
      </w:pPr>
      <w:bookmarkStart w:id="3345" w:name="__RefHeading___Toc3809793_1067777946"/>
      <w:bookmarkStart w:id="3346" w:name="_Toc1409"/>
      <w:bookmarkEnd w:id="3345"/>
      <w:r>
        <w:rPr>
          <w:rtl w:val="true"/>
        </w:rPr>
        <w:t>اگر در جوف مار، ماهى بود</w:t>
      </w:r>
      <w:bookmarkEnd w:id="3346"/>
    </w:p>
    <w:p>
      <w:pPr>
        <w:pStyle w:val="BookText"/>
        <w:rPr/>
      </w:pPr>
      <w:r>
        <w:rPr>
          <w:rFonts w:ascii="IRNazanin" w:hAnsi="IRNazanin" w:eastAsia="IRNazanin"/>
          <w:color w:val="111111"/>
          <w:sz w:val="28"/>
          <w:sz w:val="28"/>
          <w:szCs w:val="28"/>
          <w:rtl w:val="true"/>
          <w:lang w:bidi="fa-IR"/>
        </w:rPr>
        <w:t>و اگر در جوف مار، سمكه بود و قذف نمود آن را در حال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اخذ كرد شخصى آن را در حال اضطراب، مذكّى است؛ وگرنه احوط معاملۀ غير مذكّى است با آن، اگر چه پوستش كنده نشده است و خوف ضرر در آن نباشد و اضطراب بدون اخذ، مشهود باشد</w:t>
      </w:r>
      <w:r>
        <w:rPr>
          <w:rFonts w:eastAsia="IRNazanin" w:cs="IRNazanin"/>
          <w:color w:val="111111"/>
          <w:sz w:val="28"/>
          <w:szCs w:val="28"/>
          <w:rtl w:val="true"/>
          <w:lang w:bidi="fa-IR"/>
        </w:rPr>
        <w:t>.</w:t>
      </w:r>
    </w:p>
    <w:p>
      <w:pPr>
        <w:pStyle w:val="Heading4"/>
        <w:numPr>
          <w:ilvl w:val="3"/>
          <w:numId w:val="1"/>
        </w:numPr>
        <w:rPr/>
      </w:pPr>
      <w:bookmarkStart w:id="3347" w:name="__RefHeading___Toc3809795_1067777946"/>
      <w:bookmarkStart w:id="3348" w:name="_Toc1410"/>
      <w:bookmarkEnd w:id="3347"/>
      <w:r>
        <w:rPr>
          <w:rtl w:val="true"/>
        </w:rPr>
        <w:t>آنچه از ماهى در آب بميرد</w:t>
      </w:r>
      <w:bookmarkEnd w:id="3348"/>
    </w:p>
    <w:p>
      <w:pPr>
        <w:pStyle w:val="BookText"/>
        <w:rPr/>
      </w:pPr>
      <w:r>
        <w:rPr>
          <w:rFonts w:ascii="IRNazanin" w:hAnsi="IRNazanin" w:eastAsia="IRNazanin"/>
          <w:color w:val="111111"/>
          <w:sz w:val="28"/>
          <w:sz w:val="28"/>
          <w:szCs w:val="28"/>
          <w:rtl w:val="true"/>
          <w:lang w:bidi="fa-IR"/>
        </w:rPr>
        <w:t>آنچه از ماهى در آب بميرد بدون سبب معلوم، يا به سبب خارجى، يا آنكه مرده، آب آن را در خارج بيندازد، يا آنكه آب از محل آن منتقل شود، مذكّى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آنچه در شبكۀ صياد در داخل آب، مرده باشد، مذكّى نيست؛ و در صورت اختلاط ميّتِ قبل از اخراج شبكه از آب و حىّ تا آن زمان با همديگر، در شبهۀ محصوره لازم است اجتناب از همه، چنانچه گذشت</w:t>
      </w:r>
      <w:r>
        <w:rPr>
          <w:rFonts w:eastAsia="IRNazanin" w:cs="IRNazanin"/>
          <w:color w:val="111111"/>
          <w:sz w:val="28"/>
          <w:szCs w:val="28"/>
          <w:rtl w:val="true"/>
          <w:lang w:bidi="fa-IR"/>
        </w:rPr>
        <w:t>.</w:t>
      </w:r>
    </w:p>
    <w:p>
      <w:pPr>
        <w:pStyle w:val="Heading4"/>
        <w:numPr>
          <w:ilvl w:val="3"/>
          <w:numId w:val="1"/>
        </w:numPr>
        <w:rPr/>
      </w:pPr>
      <w:bookmarkStart w:id="3349" w:name="__RefHeading___Toc3809797_1067777946"/>
      <w:bookmarkStart w:id="3350" w:name="_Toc1411"/>
      <w:bookmarkEnd w:id="3349"/>
      <w:r>
        <w:rPr>
          <w:rtl w:val="true"/>
        </w:rPr>
        <w:t>اگر ماهى، متعذى به عذرۀ انسان باشد</w:t>
      </w:r>
      <w:bookmarkEnd w:id="3350"/>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ماهى اگر متغذّى به عذرۀ انسان باشد حرام مى شود خوردن آن، مگر بعد از استبراء، به اينكه يك شبانه روز در آب پاك و خورانيدن علف مناسب طاهر زنده </w:t>
      </w:r>
      <w:bookmarkStart w:id="3351" w:name="pg10265_90326"/>
    </w:p>
    <w:p>
      <w:pPr>
        <w:pStyle w:val="BookText"/>
        <w:rPr/>
      </w:pPr>
      <w:bookmarkEnd w:id="3351"/>
      <w:r>
        <w:rPr>
          <w:rFonts w:ascii="IRNazanin" w:hAnsi="IRNazanin" w:eastAsia="IRNazanin"/>
          <w:color w:val="111111"/>
          <w:sz w:val="28"/>
          <w:sz w:val="28"/>
          <w:szCs w:val="28"/>
          <w:rtl w:val="true"/>
          <w:lang w:bidi="fa-IR"/>
        </w:rPr>
        <w:t xml:space="preserve">باشد، بنا بر احوط در مقدار استبراء و در ترتيب و تغذيه به پاك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پاك اصلى و متنجس بالعارض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حبس آن</w:t>
      </w:r>
      <w:r>
        <w:rPr>
          <w:rFonts w:eastAsia="IRNazanin" w:cs="IRNazanin"/>
          <w:color w:val="111111"/>
          <w:sz w:val="28"/>
          <w:szCs w:val="28"/>
          <w:rtl w:val="true"/>
          <w:lang w:bidi="fa-IR"/>
        </w:rPr>
        <w:t>.</w:t>
      </w:r>
    </w:p>
    <w:p>
      <w:pPr>
        <w:pStyle w:val="Heading4"/>
        <w:numPr>
          <w:ilvl w:val="3"/>
          <w:numId w:val="1"/>
        </w:numPr>
        <w:rPr/>
      </w:pPr>
      <w:bookmarkStart w:id="3352" w:name="__RefHeading___Toc3809799_1067777946"/>
      <w:bookmarkStart w:id="3353" w:name="_Toc1412"/>
      <w:bookmarkEnd w:id="3352"/>
      <w:r>
        <w:rPr>
          <w:rtl w:val="true"/>
        </w:rPr>
        <w:t>حكم تخم ماهى و سائر حيوانات</w:t>
      </w:r>
      <w:bookmarkEnd w:id="3353"/>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تخم از ماهى و غير آن از حيوانات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مبدء نشو آنها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حلّيت و حرمت، تابع خود حيوان است، و خشونت و خلاف آن تأثيرى ندارد</w:t>
      </w:r>
      <w:r>
        <w:rPr>
          <w:rFonts w:eastAsia="Amiri" w:cs="Amiri" w:ascii="Amiri" w:hAnsi="Amiri"/>
          <w:color w:val="111111"/>
          <w:sz w:val="28"/>
          <w:szCs w:val="28"/>
          <w:rtl w:val="true"/>
          <w:lang w:bidi="ar-SA"/>
        </w:rPr>
        <w:t xml:space="preserve">. </w:t>
      </w:r>
      <w:bookmarkStart w:id="3354" w:name="pg10265_90327"/>
    </w:p>
    <w:p>
      <w:pPr>
        <w:pStyle w:val="Heading3"/>
        <w:numPr>
          <w:ilvl w:val="2"/>
          <w:numId w:val="1"/>
        </w:numPr>
        <w:rPr/>
      </w:pPr>
      <w:bookmarkStart w:id="3355" w:name="__RefHeading___Toc3809801_1067777946"/>
      <w:bookmarkStart w:id="3356" w:name="_Toc1413"/>
      <w:bookmarkEnd w:id="3354"/>
      <w:bookmarkEnd w:id="3355"/>
      <w:r>
        <w:rPr>
          <w:rtl w:val="true"/>
        </w:rPr>
        <w:t>فصل دوّم بهائم</w:t>
      </w:r>
      <w:bookmarkEnd w:id="3356"/>
    </w:p>
    <w:p>
      <w:pPr>
        <w:pStyle w:val="Heading4"/>
        <w:numPr>
          <w:ilvl w:val="3"/>
          <w:numId w:val="1"/>
        </w:numPr>
        <w:rPr/>
      </w:pPr>
      <w:bookmarkStart w:id="3357" w:name="__RefHeading___Toc3809803_1067777946"/>
      <w:bookmarkStart w:id="3358" w:name="_Toc1414"/>
      <w:bookmarkEnd w:id="3357"/>
      <w:r>
        <w:rPr>
          <w:rtl w:val="true"/>
        </w:rPr>
        <w:t>آنچه از بهائم حلال است</w:t>
      </w:r>
      <w:bookmarkEnd w:id="3358"/>
    </w:p>
    <w:p>
      <w:pPr>
        <w:pStyle w:val="BookText"/>
        <w:rPr/>
      </w:pPr>
      <w:r>
        <w:rPr>
          <w:rFonts w:ascii="IRNazanin" w:hAnsi="IRNazanin" w:eastAsia="IRNazanin"/>
          <w:color w:val="111111"/>
          <w:sz w:val="28"/>
          <w:sz w:val="28"/>
          <w:szCs w:val="28"/>
          <w:rtl w:val="true"/>
          <w:lang w:bidi="fa-IR"/>
        </w:rPr>
        <w:t>آنچه اهلى است از انعام، از قبيل شتر و گاو و گاوميش و گوسفند و بز، جميع اصناف آنها حلال گوشت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مكروه است اسب و قاطر و الاغ، و دور نيست به ترتيب مذكور از خفت كراهت به شدت آن برود، و در مرتبۀ كراهت قاطر نسبت به طرفين آن در ذكر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وحشى از محلّلات مذكوره در حكم اهلى آنها مى باشند؛ و ظاهر، ثبوت مرتبه اى از كراهت در گوشت گاو و چربى آن است، چه اهلى باشد يا وحشى، از گاو و گاوميش كه جاموس ناميده مى شود</w:t>
      </w:r>
      <w:r>
        <w:rPr>
          <w:rFonts w:eastAsia="IRNazanin" w:cs="IRNazanin"/>
          <w:color w:val="111111"/>
          <w:sz w:val="28"/>
          <w:szCs w:val="28"/>
          <w:rtl w:val="true"/>
          <w:lang w:bidi="fa-IR"/>
        </w:rPr>
        <w:t>.</w:t>
      </w:r>
    </w:p>
    <w:p>
      <w:pPr>
        <w:pStyle w:val="Heading4"/>
        <w:numPr>
          <w:ilvl w:val="3"/>
          <w:numId w:val="1"/>
        </w:numPr>
        <w:rPr/>
      </w:pPr>
      <w:bookmarkStart w:id="3359" w:name="__RefHeading___Toc3809805_1067777946"/>
      <w:bookmarkStart w:id="3360" w:name="_Toc1415"/>
      <w:bookmarkEnd w:id="3359"/>
      <w:r>
        <w:rPr>
          <w:rtl w:val="true"/>
        </w:rPr>
        <w:t>اسباب عروض حرمت بر حيوان حلال گوشت</w:t>
      </w:r>
      <w:bookmarkEnd w:id="3360"/>
    </w:p>
    <w:p>
      <w:pPr>
        <w:pStyle w:val="Heading5"/>
        <w:numPr>
          <w:ilvl w:val="4"/>
          <w:numId w:val="1"/>
        </w:numPr>
        <w:rPr/>
      </w:pPr>
      <w:bookmarkStart w:id="3361" w:name="__RefHeading___Toc3809807_1067777946"/>
      <w:bookmarkStart w:id="3362" w:name="_Toc1416"/>
      <w:bookmarkEnd w:id="3361"/>
      <w:r>
        <w:rPr>
          <w:rtl w:val="true"/>
        </w:rPr>
        <w:t>جلال و ملاك آن و طريق انتقاى آن</w:t>
      </w:r>
      <w:bookmarkEnd w:id="33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حرام مى شود به سبب عروض جَلَل، حيوان حلال گوشت؛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تغذّى به عذرۀ انسان به 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خلط و مزج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صورتِ خلط، دور نيست كراهت اكل لحم، و شايد كراهت در آكل سائر نجاسات به اختصاص غير عذرۀ انسان ثابت باشد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مرجع در جلّال بودن، صدق عرفى آن و آكل عذره است يعنى معتاد به آن</w:t>
      </w:r>
      <w:r>
        <w:rPr>
          <w:rFonts w:eastAsia="Amiri" w:cs="Amiri" w:ascii="Amiri" w:hAnsi="Amiri"/>
          <w:color w:val="111111"/>
          <w:sz w:val="28"/>
          <w:szCs w:val="28"/>
          <w:rtl w:val="true"/>
          <w:lang w:bidi="ar-SA"/>
        </w:rPr>
        <w:t xml:space="preserve">. </w:t>
      </w:r>
      <w:bookmarkStart w:id="3363" w:name="pg10265_90328"/>
    </w:p>
    <w:p>
      <w:pPr>
        <w:pStyle w:val="BookText"/>
        <w:rPr/>
      </w:pPr>
      <w:bookmarkEnd w:id="3363"/>
      <w:r>
        <w:rPr>
          <w:rFonts w:ascii="IRNazanin" w:hAnsi="IRNazanin" w:eastAsia="IRNazanin"/>
          <w:color w:val="111111"/>
          <w:sz w:val="28"/>
          <w:sz w:val="28"/>
          <w:szCs w:val="28"/>
          <w:rtl w:val="true"/>
          <w:lang w:bidi="fa-IR"/>
        </w:rPr>
        <w:t>و تغذّى به غير عذرۀ انسان از نجاسات ديگر اگر چه به سبب آن نموّ حاصل شود، يا از عذره بعد از استحاله و انتفاى اسم، سبب حرمت اكل نمى شود؛ و خواهد آمد إن شاء اللّٰه حكم شرب لبن خنزير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حكم طهارت جلّال و طهارت عرق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نجاست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بيان آن در كتاب طهارت؛ و لازم طهارت، قبول تذكيه است براى انتفاع به پوست آن اگر چه محرّم باشد قبل از استبراء، اكل لحم آن</w:t>
      </w:r>
      <w:r>
        <w:rPr>
          <w:rFonts w:eastAsia="IRNazanin" w:cs="IRNazanin"/>
          <w:color w:val="111111"/>
          <w:sz w:val="28"/>
          <w:szCs w:val="28"/>
          <w:rtl w:val="true"/>
          <w:lang w:bidi="fa-IR"/>
        </w:rPr>
        <w:t>.</w:t>
      </w:r>
    </w:p>
    <w:p>
      <w:pPr>
        <w:pStyle w:val="Heading5"/>
        <w:numPr>
          <w:ilvl w:val="4"/>
          <w:numId w:val="1"/>
        </w:numPr>
        <w:rPr/>
      </w:pPr>
      <w:bookmarkStart w:id="3364" w:name="__RefHeading___Toc3809809_1067777946"/>
      <w:bookmarkStart w:id="3365" w:name="_Toc1417"/>
      <w:bookmarkEnd w:id="3364"/>
      <w:r>
        <w:rPr>
          <w:rtl w:val="true"/>
        </w:rPr>
        <w:t>كيفيت استبراى از جلل</w:t>
      </w:r>
      <w:bookmarkEnd w:id="3365"/>
    </w:p>
    <w:p>
      <w:pPr>
        <w:pStyle w:val="BookText"/>
        <w:rPr/>
      </w:pPr>
      <w:r>
        <w:rPr>
          <w:rFonts w:ascii="IRNazanin" w:hAnsi="IRNazanin" w:eastAsia="IRNazanin"/>
          <w:color w:val="111111"/>
          <w:sz w:val="28"/>
          <w:sz w:val="28"/>
          <w:szCs w:val="28"/>
          <w:rtl w:val="true"/>
          <w:lang w:bidi="fa-IR"/>
        </w:rPr>
        <w:t xml:space="preserve">و لازم در عود حلّيت به استبراء، انتفاى صدق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معتاد به اكل 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آن مواردى كه ثابت نباشد مدتى معيّنه براى استبراء و ممكن نباشد فهم حكم براى مورد ديگر به اولويت و نحو آن غير قياس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 آن، تقدير معتبر، ثابت است، اظهر عود حلّيت است با آن تقدير اگر رعايت شود، اگر چه فرضاً اسم جلّال باقى باشد بنا 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ثابت است استبراء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كوچك باشد چه مسنّ‌، و چه نر باشد يا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چهل روز؛ و استبراء گاو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مختلفۀ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بيست روز، و احوط و افضل سى روز بلكه چهل روز است؛ و استبراء گوسفند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و اصناف مختلفۀ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ده روز؛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پنج روز؛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مرغ به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در رعايت زوال اسم با رعايت مقدّرات ثابته، بى شبهه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كيفيّت استبراء، بستن حيوان جلاّل است و حبس كردن در محلى براى منع از تغذّى به عذره، و به علف پاك آن را متغذّى كردن است در مدت مقدّره</w:t>
      </w:r>
      <w:r>
        <w:rPr>
          <w:rFonts w:eastAsia="IRNazanin" w:cs="IRNazanin"/>
          <w:color w:val="111111"/>
          <w:sz w:val="28"/>
          <w:szCs w:val="28"/>
          <w:rtl w:val="true"/>
          <w:lang w:bidi="fa-IR"/>
        </w:rPr>
        <w:t>.</w:t>
      </w:r>
    </w:p>
    <w:p>
      <w:pPr>
        <w:pStyle w:val="Heading5"/>
        <w:numPr>
          <w:ilvl w:val="4"/>
          <w:numId w:val="1"/>
        </w:numPr>
        <w:rPr/>
      </w:pPr>
      <w:bookmarkStart w:id="3366" w:name="__RefHeading___Toc3809811_1067777946"/>
      <w:bookmarkStart w:id="3367" w:name="_Toc1418"/>
      <w:bookmarkEnd w:id="3366"/>
      <w:r>
        <w:rPr>
          <w:rtl w:val="true"/>
        </w:rPr>
        <w:t>اگر حيوان، شير خوك بنوشد</w:t>
      </w:r>
      <w:bookmarkEnd w:id="336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حيوانى حلال گوشت آشاميد شير خنزير را و به حد اشتداد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 از آن شير</w:t>
      </w:r>
      <w:bookmarkStart w:id="3368" w:name="pg10265_90329"/>
    </w:p>
    <w:p>
      <w:pPr>
        <w:pStyle w:val="BookText"/>
        <w:rPr/>
      </w:pPr>
      <w:bookmarkEnd w:id="3368"/>
      <w:r>
        <w:rPr>
          <w:rFonts w:ascii="IRNazanin" w:hAnsi="IRNazanin" w:eastAsia="IRNazanin"/>
          <w:color w:val="111111"/>
          <w:sz w:val="28"/>
          <w:sz w:val="28"/>
          <w:szCs w:val="28"/>
          <w:rtl w:val="true"/>
          <w:lang w:bidi="fa-IR"/>
        </w:rPr>
        <w:t>نرسيد، مكروه است خوردن گوشت آن، و مستحب است استبراء آن هفت روز؛ و اگر به حدّ اشتداد استخوان و نمو روئيدن گوشت از آن شير رسيد حرام است گوشت آن و گوشت نسل آن، مگر آنكه مخلوط به حلالهاى ديگر بشود به نحو شبهۀ غير محصوره؛ و فرقى نيست بين آنكه شيرخوار ذكر باشد يا انثى، در حرمت خودش و نسلش بنا بر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حكم در شرب لبن كافره و سگ نيست</w:t>
      </w:r>
      <w:r>
        <w:rPr>
          <w:rFonts w:eastAsia="IRNazanin" w:cs="IRNazanin"/>
          <w:color w:val="111111"/>
          <w:sz w:val="28"/>
          <w:szCs w:val="28"/>
          <w:rtl w:val="true"/>
          <w:lang w:bidi="fa-IR"/>
        </w:rPr>
        <w:t>.</w:t>
      </w:r>
    </w:p>
    <w:p>
      <w:pPr>
        <w:pStyle w:val="Heading5"/>
        <w:numPr>
          <w:ilvl w:val="4"/>
          <w:numId w:val="1"/>
        </w:numPr>
        <w:rPr/>
      </w:pPr>
      <w:bookmarkStart w:id="3369" w:name="__RefHeading___Toc3809813_1067777946"/>
      <w:bookmarkStart w:id="3370" w:name="_Toc1419"/>
      <w:bookmarkEnd w:id="3369"/>
      <w:r>
        <w:rPr>
          <w:rtl w:val="true"/>
        </w:rPr>
        <w:t>حكم بهيمه موطوئه</w:t>
      </w:r>
      <w:bookmarkEnd w:id="337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انسان وطى نمود بهيمه اى را كه مأكول اللحم است، چه صغير باشد آن انسان يا كبير، عاقل باشد يا مجنون، عالم باشد يا جاهل، آزاد باشد يا بنده، مختار باشد يا مكرَه، وطى در قبل باشد يا دُبر، با امناء يا بدون آن، گوشت آن حيوان و گوشت نسل آن حرام مى شود، و بايد ذبح بشود و سوخته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متعارف، خوردن آن باشد مثل انعام ثلاثه، وگرنه اخراج از بلد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مال غير واطى است، قيمتش را از واطى مى گيرند و به مالك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بين نر و مادۀ بهيمه نيست، و هم چنين بين نسل نر و نسل ماده فرقى نيست، چنانچه در شرب لبن خنزيره مذكور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موطوئه و شير نسل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عموم اين حكم به وطى غير چارپايان، از طيور، تأمّل است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صورت سوزانيدن و دفن نمودن آنچه مقصود از آن اكل است از غير مالك، و يا فروختن آن در غير بلد اين فعل از غير مالك در آنچه مقصود از آن ركوب است، قيمت يا ثمن را به مالك مى دهند، يعنى قيمت را بالفعل از واطى براى مالك مى گيرند؛ و اما ثمن مبيع در غير بلد 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مجهول كردن اضافۀ اين عمل به دو طرف مخصوص و سلب لوازم معلوم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مقصود از آن غير اكل است، پس ظاهراً مالك مى تواند مطالبۀ قيمت از واطى نمايد، و فروشنده آن مى تواند ثمن را به مالك بدهد و قيمت مدفوعه را استرجاع براى واطى نمايد بنا بر </w:t>
      </w:r>
      <w:bookmarkStart w:id="3371" w:name="pg10265_90330"/>
    </w:p>
    <w:p>
      <w:pPr>
        <w:pStyle w:val="BookText"/>
        <w:rPr/>
      </w:pPr>
      <w:bookmarkEnd w:id="3371"/>
      <w:r>
        <w:rPr>
          <w:rFonts w:ascii="IRNazanin" w:hAnsi="IRNazanin" w:eastAsia="IRNazanin"/>
          <w:color w:val="111111"/>
          <w:sz w:val="28"/>
          <w:sz w:val="28"/>
          <w:szCs w:val="28"/>
          <w:rtl w:val="true"/>
          <w:lang w:bidi="fa-IR"/>
        </w:rPr>
        <w:t>اظهر، و احتياط براى مالك و واطى در تصدّق به ثمن است با توافق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حرام 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مملوك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غير مأكول از حلال گوشت بنا بر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5"/>
        <w:numPr>
          <w:ilvl w:val="4"/>
          <w:numId w:val="1"/>
        </w:numPr>
        <w:rPr/>
      </w:pPr>
      <w:bookmarkStart w:id="3372" w:name="__RefHeading___Toc3809815_1067777946"/>
      <w:bookmarkStart w:id="3373" w:name="_Toc1420"/>
      <w:bookmarkEnd w:id="3372"/>
      <w:r>
        <w:rPr>
          <w:rtl w:val="true"/>
        </w:rPr>
        <w:t>اشتباه موطوء به غير و تعيين با قرعه</w:t>
      </w:r>
      <w:bookmarkEnd w:id="3373"/>
    </w:p>
    <w:p>
      <w:pPr>
        <w:pStyle w:val="BookText"/>
        <w:rPr/>
      </w:pPr>
      <w:r>
        <w:rPr>
          <w:rFonts w:ascii="IRNazanin" w:hAnsi="IRNazanin" w:eastAsia="IRNazanin"/>
          <w:color w:val="111111"/>
          <w:sz w:val="28"/>
          <w:sz w:val="28"/>
          <w:szCs w:val="28"/>
          <w:rtl w:val="true"/>
          <w:lang w:bidi="fa-IR"/>
        </w:rPr>
        <w:t>و اگر مشتبه شد موطوء به غير آن در محصور، پس از تنصيف حقيقى فردى يا قريب به آن در صورت تعذّر تحقيق، با تكرار قرعه تعيين مى نمايند موطوء را و حكم آن را اجراء مى نمايند؛ و اگر ازيد از يكى موطوء شد تعيين ازيد را با قرعه رعايت مى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مقام، مثل سائر مقامات براى سائر احكام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خنثاى مشكل ثابت نمى شود حكم</w:t>
      </w:r>
      <w:r>
        <w:rPr>
          <w:rFonts w:eastAsia="Amiri" w:cs="Amiri" w:ascii="Amiri" w:hAnsi="Amiri"/>
          <w:color w:val="111111"/>
          <w:sz w:val="28"/>
          <w:szCs w:val="28"/>
          <w:rtl w:val="true"/>
          <w:lang w:bidi="ar-SA"/>
        </w:rPr>
        <w:t>.</w:t>
      </w:r>
    </w:p>
    <w:p>
      <w:pPr>
        <w:pStyle w:val="Heading5"/>
        <w:numPr>
          <w:ilvl w:val="4"/>
          <w:numId w:val="1"/>
        </w:numPr>
        <w:rPr/>
      </w:pPr>
      <w:bookmarkStart w:id="3374" w:name="__RefHeading___Toc3809817_1067777946"/>
      <w:bookmarkStart w:id="3375" w:name="_Toc1421"/>
      <w:bookmarkEnd w:id="3374"/>
      <w:r>
        <w:rPr>
          <w:rtl w:val="true"/>
        </w:rPr>
        <w:t>حيوانى كه خمر يا بول بياشامد</w:t>
      </w:r>
      <w:bookmarkEnd w:id="3375"/>
    </w:p>
    <w:p>
      <w:pPr>
        <w:pStyle w:val="BookText"/>
        <w:rPr/>
      </w:pPr>
      <w:r>
        <w:rPr>
          <w:rFonts w:ascii="IRNazanin" w:hAnsi="IRNazanin" w:eastAsia="IRNazanin"/>
          <w:color w:val="111111"/>
          <w:sz w:val="28"/>
          <w:sz w:val="28"/>
          <w:szCs w:val="28"/>
          <w:rtl w:val="true"/>
          <w:lang w:bidi="fa-IR"/>
        </w:rPr>
        <w:t xml:space="preserve">اگر حيوانى شرب خمر نمود و قريب به آن ذبح شد احوط غَسل لحم آن است، و احوط ترك اكل آنچه در باطن آن از امعاء و قلب و كبد است؛ و اگر آشاميد بول را پس از آن ذبح شد احوط غَسل آنچه در باطن آن است؛ و احتياطات مذكوره در صورتى است كه ذبح، بعد از قطع به زوال و استحاله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واسطۀ طول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نشود</w:t>
      </w:r>
      <w:r>
        <w:rPr>
          <w:rFonts w:eastAsia="IRNazanin" w:cs="IRNazanin"/>
          <w:color w:val="111111"/>
          <w:sz w:val="28"/>
          <w:szCs w:val="28"/>
          <w:rtl w:val="true"/>
          <w:lang w:bidi="fa-IR"/>
        </w:rPr>
        <w:t>.</w:t>
      </w:r>
    </w:p>
    <w:p>
      <w:pPr>
        <w:pStyle w:val="Heading4"/>
        <w:numPr>
          <w:ilvl w:val="3"/>
          <w:numId w:val="1"/>
        </w:numPr>
        <w:rPr/>
      </w:pPr>
      <w:bookmarkStart w:id="3376" w:name="__RefHeading___Toc3809819_1067777946"/>
      <w:bookmarkStart w:id="3377" w:name="_Toc1422"/>
      <w:bookmarkEnd w:id="3376"/>
      <w:r>
        <w:rPr>
          <w:rtl w:val="true"/>
        </w:rPr>
        <w:t>تعدادى از حيوانات حرام گوشت و حلال گوشت</w:t>
      </w:r>
      <w:bookmarkEnd w:id="3377"/>
    </w:p>
    <w:p>
      <w:pPr>
        <w:pStyle w:val="BookText"/>
        <w:rPr/>
      </w:pPr>
      <w:r>
        <w:rPr>
          <w:rFonts w:ascii="IRNazanin" w:hAnsi="IRNazanin" w:eastAsia="IRNazanin"/>
          <w:color w:val="111111"/>
          <w:sz w:val="28"/>
          <w:sz w:val="28"/>
          <w:szCs w:val="28"/>
          <w:rtl w:val="true"/>
          <w:lang w:bidi="fa-IR"/>
        </w:rPr>
        <w:t>از حيوانات حرام گوشت سگ و سنّور است چه اهلى باشد يا وحشى</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جملۀ حلال گوشت از حيوانات وحشيّه گاو كوهى و كبش كوهى و حمار وحشى و آهو و يحمور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سَبُع از چارپايان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حيوان مفترس و داراى نيش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قوى باشد مثل اسد و نمر و فهد، و ذئب يا ضعيف باشد مثل ثعلب و ضبع و ابن آوى، و آنچه از طيور، مفترس هست و داراى مخلب است، حرام است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چنين ارنب و ضبّ و همه حشرات و يربوع و قنفذ و وبر و خز و فنك و سمور و سنجاب و عظائه و لحكه، از جملۀ حرام گوشت مى باشند؛ و تحريم مخصوص به هر يك از خبيث يا مسخ يا از حشرات يا سبُع يا صاحب نيش بودن نيست</w:t>
      </w:r>
      <w:r>
        <w:rPr>
          <w:rFonts w:eastAsia="IRNazanin" w:cs="IRNazanin"/>
          <w:color w:val="111111"/>
          <w:sz w:val="28"/>
          <w:szCs w:val="28"/>
          <w:rtl w:val="true"/>
          <w:lang w:bidi="fa-IR"/>
        </w:rPr>
        <w:t xml:space="preserve">. </w:t>
      </w:r>
      <w:bookmarkStart w:id="3378" w:name="pg10265_90332"/>
    </w:p>
    <w:p>
      <w:pPr>
        <w:pStyle w:val="Heading3"/>
        <w:numPr>
          <w:ilvl w:val="2"/>
          <w:numId w:val="1"/>
        </w:numPr>
        <w:rPr/>
      </w:pPr>
      <w:bookmarkStart w:id="3379" w:name="__RefHeading___Toc3809821_1067777946"/>
      <w:bookmarkStart w:id="3380" w:name="_Toc1423"/>
      <w:bookmarkEnd w:id="3378"/>
      <w:bookmarkEnd w:id="3379"/>
      <w:r>
        <w:rPr>
          <w:rtl w:val="true"/>
        </w:rPr>
        <w:t>فصل سوّم پرندگان</w:t>
      </w:r>
      <w:bookmarkEnd w:id="3380"/>
    </w:p>
    <w:p>
      <w:pPr>
        <w:pStyle w:val="Heading4"/>
        <w:numPr>
          <w:ilvl w:val="3"/>
          <w:numId w:val="1"/>
        </w:numPr>
        <w:rPr/>
      </w:pPr>
      <w:bookmarkStart w:id="3381" w:name="__RefHeading___Toc3809823_1067777946"/>
      <w:bookmarkStart w:id="3382" w:name="_Toc1424"/>
      <w:bookmarkEnd w:id="3381"/>
      <w:r>
        <w:rPr>
          <w:rtl w:val="true"/>
        </w:rPr>
        <w:t>حرمت صاحب مخلاب و كلاغ</w:t>
      </w:r>
      <w:bookmarkEnd w:id="33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هرچه صاحب مِخلاب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چنگال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قوى كه با آن افتراس طيور مى نمايد مانند بازى و صقر و عقاب و شاهين و باشق، يا آنكه ضعيف باشد كه به همين جهت در افتراس، ضعيف مى باشد، مثل نسر و رخمه و بغاث، حرام گوشت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حلّيت اقسام كلاغ و حرمت آنها، يا تفصيل بين زاغ و غداف كه خاكسترى رنگ بزرگ و كوچك آن مى باشد و غير آنها، خلاف است، احوط عدم حلّيت جميع اقسام آن است</w:t>
      </w:r>
      <w:r>
        <w:rPr>
          <w:rFonts w:eastAsia="IRNazanin" w:cs="IRNazanin"/>
          <w:color w:val="111111"/>
          <w:sz w:val="28"/>
          <w:szCs w:val="28"/>
          <w:rtl w:val="true"/>
          <w:lang w:bidi="fa-IR"/>
        </w:rPr>
        <w:t>.</w:t>
      </w:r>
    </w:p>
    <w:p>
      <w:pPr>
        <w:pStyle w:val="Heading4"/>
        <w:numPr>
          <w:ilvl w:val="3"/>
          <w:numId w:val="1"/>
        </w:numPr>
        <w:rPr/>
      </w:pPr>
      <w:bookmarkStart w:id="3383" w:name="__RefHeading___Toc3809825_1067777946"/>
      <w:bookmarkStart w:id="3384" w:name="_Toc1425"/>
      <w:bookmarkEnd w:id="3383"/>
      <w:r>
        <w:rPr>
          <w:rtl w:val="true"/>
        </w:rPr>
        <w:t>حرمت پرنده اى كه بال گشودن آن بيش از حركت دادن باشد</w:t>
      </w:r>
      <w:bookmarkEnd w:id="338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دوم از محرمات از پرنده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صفيف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گشادن پرها در حال طيران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از دفيف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خود زدن پرها و تحريك آنها در حال طيران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مثل پريدن باز و نحو آن، چه زمينى باشد يا آبى</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صورت تساوى صفيف و دفيف يا عدم معلوميت اكثر، احوط ترك اكل است</w:t>
      </w:r>
      <w:r>
        <w:rPr>
          <w:rFonts w:eastAsia="Amiri" w:cs="Amiri" w:ascii="Amiri" w:hAnsi="Amiri"/>
          <w:color w:val="111111"/>
          <w:sz w:val="28"/>
          <w:szCs w:val="28"/>
          <w:rtl w:val="true"/>
          <w:lang w:bidi="ar-SA"/>
        </w:rPr>
        <w:t xml:space="preserve">. </w:t>
      </w:r>
      <w:bookmarkStart w:id="3385" w:name="pg10265_90333"/>
    </w:p>
    <w:p>
      <w:pPr>
        <w:pStyle w:val="Heading4"/>
        <w:numPr>
          <w:ilvl w:val="3"/>
          <w:numId w:val="1"/>
        </w:numPr>
        <w:rPr/>
      </w:pPr>
      <w:bookmarkStart w:id="3386" w:name="__RefHeading___Toc3809827_1067777946"/>
      <w:bookmarkStart w:id="3387" w:name="_Toc1426"/>
      <w:bookmarkEnd w:id="3385"/>
      <w:bookmarkEnd w:id="3386"/>
      <w:r>
        <w:rPr>
          <w:rtl w:val="true"/>
        </w:rPr>
        <w:t>حرمت پرنده اى كه قانصه و حوصله و صيصيه ندارد</w:t>
      </w:r>
      <w:bookmarkEnd w:id="338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سوم از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پرنده است كه قانصه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پرنده ها به جاى روده در غير آنها است و سنگدان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پرنده به جاى معده در غير آن است چينه دان نزديك حلق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صيصيه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بالاى كف 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پس اگر يكى از اينها را داشت حلال است</w:t>
      </w:r>
      <w:r>
        <w:rPr>
          <w:rFonts w:eastAsia="IRNazanin" w:cs="IRNazanin"/>
          <w:color w:val="111111"/>
          <w:sz w:val="28"/>
          <w:szCs w:val="28"/>
          <w:rtl w:val="true"/>
          <w:lang w:bidi="fa-IR"/>
        </w:rPr>
        <w:t>.</w:t>
      </w:r>
    </w:p>
    <w:p>
      <w:pPr>
        <w:pStyle w:val="Heading4"/>
        <w:numPr>
          <w:ilvl w:val="3"/>
          <w:numId w:val="1"/>
        </w:numPr>
        <w:rPr/>
      </w:pPr>
      <w:bookmarkStart w:id="3388" w:name="__RefHeading___Toc3809829_1067777946"/>
      <w:bookmarkStart w:id="3389" w:name="_Toc1427"/>
      <w:bookmarkEnd w:id="3388"/>
      <w:r>
        <w:rPr>
          <w:rtl w:val="true"/>
        </w:rPr>
        <w:t>معارضه بين علائم حليت و حرمت</w:t>
      </w:r>
      <w:bookmarkEnd w:id="3389"/>
    </w:p>
    <w:p>
      <w:pPr>
        <w:pStyle w:val="BookText"/>
        <w:rPr/>
      </w:pPr>
      <w:r>
        <w:rPr>
          <w:rFonts w:ascii="IRNazanin" w:hAnsi="IRNazanin" w:eastAsia="IRNazanin"/>
          <w:color w:val="111111"/>
          <w:sz w:val="28"/>
          <w:sz w:val="28"/>
          <w:szCs w:val="28"/>
          <w:rtl w:val="true"/>
          <w:lang w:bidi="fa-IR"/>
        </w:rPr>
        <w:t xml:space="preserve">و در فرض معارضه بين علامتهاى حلّيت و حرمت، احوط ترك اكل است در غير منصوص حلّيت يا حرمت آن، به نحوى كه گذشت چيزهايى كه به اسامى خاصه حلال است، مثل ماهى فلس دار اگر چه ماهى خور باشد، يا حرام است چنانچه بعضى از آنها ذكر شد و بعضى ذكر مى شود إن شاء اللّٰه تعالى كه از آن خفاش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فارسى شب پره مى نامند و طاووس</w:t>
      </w:r>
      <w:r>
        <w:rPr>
          <w:rFonts w:eastAsia="IRNazanin" w:cs="IRNazanin"/>
          <w:color w:val="111111"/>
          <w:sz w:val="28"/>
          <w:szCs w:val="28"/>
          <w:rtl w:val="true"/>
          <w:lang w:bidi="fa-IR"/>
        </w:rPr>
        <w:t>.</w:t>
      </w:r>
    </w:p>
    <w:p>
      <w:pPr>
        <w:pStyle w:val="Heading4"/>
        <w:numPr>
          <w:ilvl w:val="3"/>
          <w:numId w:val="1"/>
        </w:numPr>
        <w:rPr/>
      </w:pPr>
      <w:bookmarkStart w:id="3390" w:name="__RefHeading___Toc3809831_1067777946"/>
      <w:bookmarkStart w:id="3391" w:name="_Toc1428"/>
      <w:bookmarkEnd w:id="3390"/>
      <w:r>
        <w:rPr>
          <w:rtl w:val="true"/>
        </w:rPr>
        <w:t>تعدادى از پرندگان حلال گوشت</w:t>
      </w:r>
      <w:bookmarkEnd w:id="3391"/>
    </w:p>
    <w:p>
      <w:pPr>
        <w:pStyle w:val="BookText"/>
        <w:rPr/>
      </w:pPr>
      <w:r>
        <w:rPr>
          <w:rFonts w:ascii="IRNazanin" w:hAnsi="IRNazanin" w:eastAsia="IRNazanin"/>
          <w:color w:val="111111"/>
          <w:sz w:val="28"/>
          <w:sz w:val="28"/>
          <w:szCs w:val="28"/>
          <w:rtl w:val="true"/>
          <w:lang w:bidi="fa-IR"/>
        </w:rPr>
        <w:t xml:space="preserve">و مكروه است اكل هدهد و ذبح آن؛ و اظهر در خُطّاف يعنى پرستوك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كراهت اكل و ذبح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مكروه است فاخته و قنبره و حبارى و صرد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مرغى است كه گنجشك را شكار مى كند و به فارسى وركاك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صوّام و شقراق، و هيچ كدام حرام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حلال است اقسام حمام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حمام كسحاب كبوتر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هر مرغ طوق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قمرى و دُبسى و ورشان و حجل و دراج و قبج و قطا و طيهوج و دجاج و كروان و كركى و صعو، و در اينها علامات حلّ موجود است</w:t>
      </w:r>
      <w:r>
        <w:rPr>
          <w:rFonts w:eastAsia="Amiri" w:cs="Amiri" w:ascii="Amiri" w:hAnsi="Amiri"/>
          <w:color w:val="111111"/>
          <w:sz w:val="28"/>
          <w:szCs w:val="28"/>
          <w:rtl w:val="true"/>
          <w:lang w:bidi="ar-SA"/>
        </w:rPr>
        <w:t>.</w:t>
      </w:r>
    </w:p>
    <w:p>
      <w:pPr>
        <w:pStyle w:val="Heading4"/>
        <w:numPr>
          <w:ilvl w:val="3"/>
          <w:numId w:val="1"/>
        </w:numPr>
        <w:rPr/>
      </w:pPr>
      <w:bookmarkStart w:id="3392" w:name="__RefHeading___Toc3809833_1067777946"/>
      <w:bookmarkStart w:id="3393" w:name="_Toc1429"/>
      <w:bookmarkEnd w:id="3392"/>
      <w:r>
        <w:rPr>
          <w:rtl w:val="true"/>
        </w:rPr>
        <w:t>حكم مرغهاى آبى</w:t>
      </w:r>
      <w:bookmarkEnd w:id="3393"/>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مرغ آبى و غير آن فرق ندارد در علامتهاى حرمت و حلّيت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قبيل غلبۀ صفيف يا </w:t>
      </w:r>
      <w:bookmarkStart w:id="3394" w:name="pg10265_90334"/>
    </w:p>
    <w:p>
      <w:pPr>
        <w:pStyle w:val="BookText"/>
        <w:rPr/>
      </w:pPr>
      <w:bookmarkEnd w:id="3394"/>
      <w:r>
        <w:rPr>
          <w:rFonts w:ascii="IRNazanin" w:hAnsi="IRNazanin" w:eastAsia="IRNazanin"/>
          <w:color w:val="111111"/>
          <w:sz w:val="28"/>
          <w:sz w:val="28"/>
          <w:szCs w:val="28"/>
          <w:rtl w:val="true"/>
          <w:lang w:bidi="fa-IR"/>
        </w:rPr>
        <w:t>دفيف يا داشتن قانصه يا حوصله يا صيصيّه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اينكه اگر جلاّل شدند بايد استبراء بشوند به مقدّر، تا حلّيت، عود نمايد؛ و احوط در مدت استبراء رعايت شباهت با آنچه مقدّر در شبيه است با زوال جلل است در 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لقلق، نقل، مختلف است از غالب بودن صفيف يا دفيف يا مساواة، از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حرمت ثابت شد به علم و اختبار با مراجعۀ اهل اختبار كه مفيد اطمينان باشد، عمل به آن مى شود، وگرنه عمل به علامات حلّ كه موجود است در آن، مى شود، لكن در اين تقدير هم به واسطۀ معارضۀ علائم، احتياط در ترك است در غير صورت توافق</w:t>
      </w:r>
      <w:r>
        <w:rPr>
          <w:rFonts w:eastAsia="IRNazanin" w:cs="IRNazanin"/>
          <w:color w:val="111111"/>
          <w:sz w:val="28"/>
          <w:szCs w:val="28"/>
          <w:rtl w:val="true"/>
          <w:lang w:bidi="fa-IR"/>
        </w:rPr>
        <w:t>.</w:t>
      </w:r>
    </w:p>
    <w:p>
      <w:pPr>
        <w:pStyle w:val="Heading4"/>
        <w:numPr>
          <w:ilvl w:val="3"/>
          <w:numId w:val="1"/>
        </w:numPr>
        <w:rPr/>
      </w:pPr>
      <w:bookmarkStart w:id="3395" w:name="__RefHeading___Toc3809835_1067777946"/>
      <w:bookmarkStart w:id="3396" w:name="_Toc1430"/>
      <w:bookmarkEnd w:id="3395"/>
      <w:r>
        <w:rPr>
          <w:rtl w:val="true"/>
        </w:rPr>
        <w:t>حكم زنبور و مگس و پشه و كرم</w:t>
      </w:r>
      <w:bookmarkEnd w:id="3396"/>
    </w:p>
    <w:p>
      <w:pPr>
        <w:pStyle w:val="BookText"/>
        <w:rPr/>
      </w:pPr>
      <w:r>
        <w:rPr>
          <w:rFonts w:ascii="IRNazanin" w:hAnsi="IRNazanin" w:eastAsia="IRNazanin"/>
          <w:color w:val="111111"/>
          <w:sz w:val="28"/>
          <w:sz w:val="28"/>
          <w:szCs w:val="28"/>
          <w:rtl w:val="true"/>
          <w:lang w:bidi="fa-IR"/>
        </w:rPr>
        <w:t>و حرام است زنبور و مگس و پشه و كرم، حتى آنچه در جوف فواكه ديده مى شود، و از خبائث و ميته شمرده مى شود به اعتبار عدم تذكيۀ شرعيّه براى آنها</w:t>
      </w:r>
      <w:r>
        <w:rPr>
          <w:rFonts w:eastAsia="IRNazanin" w:cs="IRNazanin"/>
          <w:color w:val="111111"/>
          <w:sz w:val="28"/>
          <w:szCs w:val="28"/>
          <w:rtl w:val="true"/>
          <w:lang w:bidi="fa-IR"/>
        </w:rPr>
        <w:t>.</w:t>
      </w:r>
    </w:p>
    <w:p>
      <w:pPr>
        <w:pStyle w:val="Heading4"/>
        <w:numPr>
          <w:ilvl w:val="3"/>
          <w:numId w:val="1"/>
        </w:numPr>
        <w:rPr/>
      </w:pPr>
      <w:bookmarkStart w:id="3397" w:name="__RefHeading___Toc3809837_1067777946"/>
      <w:bookmarkStart w:id="3398" w:name="_Toc1431"/>
      <w:bookmarkEnd w:id="3397"/>
      <w:r>
        <w:rPr>
          <w:rtl w:val="true"/>
        </w:rPr>
        <w:t>حكم شترمرغ</w:t>
      </w:r>
      <w:bookmarkEnd w:id="3398"/>
    </w:p>
    <w:p>
      <w:pPr>
        <w:pStyle w:val="BookText"/>
        <w:rPr/>
      </w:pPr>
      <w:r>
        <w:rPr>
          <w:rFonts w:ascii="IRNazanin" w:hAnsi="IRNazanin" w:eastAsia="IRNazanin"/>
          <w:color w:val="111111"/>
          <w:sz w:val="28"/>
          <w:sz w:val="28"/>
          <w:szCs w:val="28"/>
          <w:rtl w:val="true"/>
          <w:lang w:bidi="fa-IR"/>
        </w:rPr>
        <w:t xml:space="preserve">شترمرغ اگر ثابت باشد كه دارد يكى از سه علامت طيور محلّله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صيصيّه و قانصه و حوصله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ندارد يكى از علائم وحوش محرّمه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ناب و مخلب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حلال است گوشت آن، وگرنه محل تأمّل است</w:t>
      </w:r>
      <w:r>
        <w:rPr>
          <w:rFonts w:eastAsia="IRNazanin" w:cs="IRNazanin"/>
          <w:color w:val="111111"/>
          <w:sz w:val="28"/>
          <w:szCs w:val="28"/>
          <w:rtl w:val="true"/>
          <w:lang w:bidi="fa-IR"/>
        </w:rPr>
        <w:t>.</w:t>
      </w:r>
    </w:p>
    <w:p>
      <w:pPr>
        <w:pStyle w:val="Heading4"/>
        <w:numPr>
          <w:ilvl w:val="3"/>
          <w:numId w:val="1"/>
        </w:numPr>
        <w:rPr/>
      </w:pPr>
      <w:bookmarkStart w:id="3399" w:name="__RefHeading___Toc3809839_1067777946"/>
      <w:bookmarkStart w:id="3400" w:name="_Toc1432"/>
      <w:bookmarkEnd w:id="3399"/>
      <w:r>
        <w:rPr>
          <w:rtl w:val="true"/>
        </w:rPr>
        <w:t>حكم تخم مرغ</w:t>
      </w:r>
      <w:bookmarkEnd w:id="3400"/>
    </w:p>
    <w:p>
      <w:pPr>
        <w:pStyle w:val="BookText"/>
        <w:rPr/>
      </w:pPr>
      <w:r>
        <w:rPr>
          <w:rFonts w:ascii="IRNazanin" w:hAnsi="IRNazanin" w:eastAsia="IRNazanin"/>
          <w:color w:val="111111"/>
          <w:sz w:val="28"/>
          <w:sz w:val="28"/>
          <w:szCs w:val="28"/>
          <w:rtl w:val="true"/>
          <w:lang w:bidi="fa-IR"/>
        </w:rPr>
        <w:t>تخم مرغى كه حلال گوشت است حلال است، و تخم مرغى كه حرام گوشت است حرام است، و در تخم ماهى گذشت حكم آن</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صورت اشتباه حال تخم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مأكول يا غير مأكول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اختلاف طرفين، امارۀ حلّيت و تساوى طرفين، امارۀ حرمت است، و در معلوم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غير مأكول است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نيست بين دو صورت بنا بر اظهر؛ پس تخم شترمرغ، تابع خود آن است در حكم</w:t>
      </w:r>
      <w:r>
        <w:rPr>
          <w:rFonts w:eastAsia="IRNazanin" w:cs="IRNazanin"/>
          <w:color w:val="111111"/>
          <w:sz w:val="28"/>
          <w:szCs w:val="28"/>
          <w:rtl w:val="true"/>
          <w:lang w:bidi="fa-IR"/>
        </w:rPr>
        <w:t xml:space="preserve">. </w:t>
      </w:r>
      <w:bookmarkStart w:id="3401" w:name="pg10265_90335"/>
    </w:p>
    <w:p>
      <w:pPr>
        <w:pStyle w:val="Heading4"/>
        <w:numPr>
          <w:ilvl w:val="3"/>
          <w:numId w:val="1"/>
        </w:numPr>
        <w:rPr/>
      </w:pPr>
      <w:bookmarkStart w:id="3402" w:name="__RefHeading___Toc3809841_1067777946"/>
      <w:bookmarkStart w:id="3403" w:name="_Toc1433"/>
      <w:bookmarkEnd w:id="3401"/>
      <w:bookmarkEnd w:id="3402"/>
      <w:r>
        <w:rPr>
          <w:rtl w:val="true"/>
        </w:rPr>
        <w:t>حكم مجثمه و مصبوره</w:t>
      </w:r>
      <w:bookmarkEnd w:id="3403"/>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مجثمه، كه هدف قرار داده مى شود براى تيرها تا آنكه كشته شود، و مصبورة كه حبس مى شود و با جراحتها كشته مى شود، از ميته هستند و حرام گوشت هستند، و شباهت با اصطياد، بى اثر است</w:t>
      </w:r>
      <w:r>
        <w:rPr>
          <w:rFonts w:eastAsia="IRNazanin" w:cs="IRNazanin"/>
          <w:color w:val="111111"/>
          <w:sz w:val="28"/>
          <w:szCs w:val="28"/>
          <w:rtl w:val="true"/>
          <w:lang w:bidi="fa-IR"/>
        </w:rPr>
        <w:t xml:space="preserve">. </w:t>
      </w:r>
      <w:bookmarkStart w:id="3404" w:name="pg10265_90336"/>
    </w:p>
    <w:p>
      <w:pPr>
        <w:pStyle w:val="Heading3"/>
        <w:numPr>
          <w:ilvl w:val="2"/>
          <w:numId w:val="1"/>
        </w:numPr>
        <w:rPr/>
      </w:pPr>
      <w:bookmarkStart w:id="3405" w:name="__RefHeading___Toc3809843_1067777946"/>
      <w:bookmarkStart w:id="3406" w:name="_Toc1434"/>
      <w:bookmarkEnd w:id="3404"/>
      <w:bookmarkEnd w:id="3405"/>
      <w:r>
        <w:rPr>
          <w:rtl w:val="true"/>
        </w:rPr>
        <w:t>فصل چهارم محرّمات از جمادات</w:t>
      </w:r>
      <w:bookmarkEnd w:id="3406"/>
    </w:p>
    <w:p>
      <w:pPr>
        <w:pStyle w:val="Heading4"/>
        <w:numPr>
          <w:ilvl w:val="3"/>
          <w:numId w:val="1"/>
        </w:numPr>
        <w:rPr/>
      </w:pPr>
      <w:bookmarkStart w:id="3407" w:name="__RefHeading___Toc3809845_1067777946"/>
      <w:bookmarkStart w:id="3408" w:name="_Toc1435"/>
      <w:bookmarkEnd w:id="3407"/>
      <w:r>
        <w:rPr/>
        <w:t>1</w:t>
      </w:r>
      <w:r>
        <w:rPr>
          <w:rtl w:val="true"/>
        </w:rPr>
        <w:t xml:space="preserve">. </w:t>
      </w:r>
      <w:r>
        <w:rPr>
          <w:rtl w:val="true"/>
        </w:rPr>
        <w:t>جامدات</w:t>
      </w:r>
      <w:bookmarkEnd w:id="3408"/>
    </w:p>
    <w:p>
      <w:pPr>
        <w:pStyle w:val="Heading5"/>
        <w:numPr>
          <w:ilvl w:val="4"/>
          <w:numId w:val="1"/>
        </w:numPr>
        <w:rPr/>
      </w:pPr>
      <w:bookmarkStart w:id="3409" w:name="__RefHeading___Toc3809847_1067777946"/>
      <w:bookmarkStart w:id="3410" w:name="_Toc1436"/>
      <w:bookmarkEnd w:id="3409"/>
      <w:r>
        <w:rPr>
          <w:rtl w:val="true"/>
        </w:rPr>
        <w:t>ميته</w:t>
      </w:r>
      <w:bookmarkEnd w:id="34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آن جمله ميته است، و مراد از آن غير محكوم به تذكيه است به جهت عدم قبول يا عدم فعليت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ميته اى كه عين آن پاك است در حال حيات، حلال است انتفاع به امورى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پشم و مو و كرك و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قطع، و اما قلع با غَسل موضع اتّصال پس در آن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شاخ و ناخن و دندان و تخم در صورتى كه پوست غليظ اعلى را داشته باشد؛ و حكم انفحه و شير آن در كتاب طهارت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اين مذكورات حلال است پاك است؛ و آنچه پاك نيست از اجزاء ميته، انتفاع مشروط به طهارت به آن جائز نيست</w:t>
      </w:r>
      <w:r>
        <w:rPr>
          <w:rFonts w:eastAsia="IRNazanin" w:cs="IRNazanin"/>
          <w:color w:val="111111"/>
          <w:sz w:val="28"/>
          <w:szCs w:val="28"/>
          <w:rtl w:val="true"/>
          <w:lang w:bidi="fa-IR"/>
        </w:rPr>
        <w:t>.</w:t>
      </w:r>
    </w:p>
    <w:p>
      <w:pPr>
        <w:pStyle w:val="Heading5"/>
        <w:numPr>
          <w:ilvl w:val="4"/>
          <w:numId w:val="1"/>
        </w:numPr>
        <w:rPr/>
      </w:pPr>
      <w:bookmarkStart w:id="3411" w:name="__RefHeading___Toc3809849_1067777946"/>
      <w:bookmarkStart w:id="3412" w:name="_Toc1437"/>
      <w:bookmarkEnd w:id="3411"/>
      <w:r>
        <w:rPr>
          <w:rtl w:val="true"/>
        </w:rPr>
        <w:t>اشتباه ميته با غير ميته</w:t>
      </w:r>
      <w:bookmarkEnd w:id="3412"/>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مشتبه شد ميته به غير آن در شبهۀ محصوره، واجب است احتياط به اجتناب از همه؛ و در بيع آن به مستحل ميته يا ميتۀ خاصه از كسى كه عالم به تميز آن نباشد با تسليم دو طرف شبهه مثلاً، تأمّل است، در صورتى كه منافع محلّلۀ مقصوده از بيع نداشته باشد</w:t>
      </w:r>
      <w:r>
        <w:rPr>
          <w:rFonts w:eastAsia="IRNazanin" w:cs="IRNazanin"/>
          <w:color w:val="111111"/>
          <w:sz w:val="28"/>
          <w:szCs w:val="28"/>
          <w:rtl w:val="true"/>
          <w:lang w:bidi="fa-IR"/>
        </w:rPr>
        <w:t xml:space="preserve">. </w:t>
      </w:r>
      <w:bookmarkStart w:id="3413" w:name="pg10265_90337"/>
    </w:p>
    <w:p>
      <w:pPr>
        <w:pStyle w:val="BookText"/>
        <w:rPr/>
      </w:pPr>
      <w:bookmarkEnd w:id="3413"/>
      <w:r>
        <w:rPr>
          <w:rFonts w:ascii="IRNazanin" w:hAnsi="IRNazanin" w:eastAsia="IRNazanin"/>
          <w:color w:val="111111"/>
          <w:sz w:val="28"/>
          <w:sz w:val="28"/>
          <w:szCs w:val="28"/>
          <w:rtl w:val="true"/>
          <w:lang w:bidi="fa-IR"/>
        </w:rPr>
        <w:t>و هرچه از اجزاء صاحب روح، از زنده جدا بشود در حكم ميته است از حيث حرمت اكل و سائر استعمالات، و عدم آن در بعض آنها، و فروع مربوطۀ به اين مسأله در مكاسب و طهارت مذكور است</w:t>
      </w:r>
      <w:r>
        <w:rPr>
          <w:rFonts w:eastAsia="IRNazanin" w:cs="IRNazanin"/>
          <w:color w:val="111111"/>
          <w:sz w:val="28"/>
          <w:szCs w:val="28"/>
          <w:rtl w:val="true"/>
          <w:lang w:bidi="fa-IR"/>
        </w:rPr>
        <w:t>.</w:t>
      </w:r>
    </w:p>
    <w:p>
      <w:pPr>
        <w:pStyle w:val="Heading5"/>
        <w:numPr>
          <w:ilvl w:val="4"/>
          <w:numId w:val="1"/>
        </w:numPr>
        <w:rPr/>
      </w:pPr>
      <w:bookmarkStart w:id="3414" w:name="__RefHeading___Toc3809851_1067777946"/>
      <w:bookmarkStart w:id="3415" w:name="_Toc1438"/>
      <w:bookmarkEnd w:id="3414"/>
      <w:r>
        <w:rPr>
          <w:rtl w:val="true"/>
        </w:rPr>
        <w:t>محرّمات ذبيحه و مكروهات آن</w:t>
      </w:r>
      <w:bookmarkEnd w:id="341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پنج چيز از ذبيحه حرام است به اتفاق و آن عبارت از طحال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سپرز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قضيب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بيضتين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خون، و فرث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غير اين پنج، پس آنچه خباثت آن در طباع متوسط از مردم، معلوم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احتياط در ترك اكل ده چيز ديگر است، اگر چه بعض آنها از خبائث نباشد، كه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 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مشيمه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غشاى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محل ولد است و با او خارج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زهدان و مقرّ جنين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غدد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عصب پهن و زرد از پشت گردن تا دُم حيوان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ذات الأشاجع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بيخ اصابع كه متّصل به كف است در ميان 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سياهى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خرزۀ دماغ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 اى است در وسط مغز سر، خاكسترى رنگ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و باطن آنها، و نخاع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رگى در باطن فقار پشت، متّصل به مذبح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باشند؛ و اين احتياط رعايت شود در حيوان كوچك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گنجشك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اينها در آن، معلوم و متميّز است يا معلوم الوجود در ضمن اجزاء باشد، اگر چه خباثت آن جزء، معلوم نباشد</w:t>
      </w:r>
      <w:r>
        <w:rPr>
          <w:rFonts w:eastAsia="IRNazanin" w:cs="IRNazanin"/>
          <w:color w:val="111111"/>
          <w:sz w:val="28"/>
          <w:szCs w:val="28"/>
          <w:rtl w:val="true"/>
          <w:lang w:bidi="fa-IR"/>
        </w:rPr>
        <w:t>.</w:t>
      </w:r>
    </w:p>
    <w:p>
      <w:pPr>
        <w:pStyle w:val="Heading5"/>
        <w:numPr>
          <w:ilvl w:val="4"/>
          <w:numId w:val="1"/>
        </w:numPr>
        <w:rPr/>
      </w:pPr>
      <w:bookmarkStart w:id="3416" w:name="__RefHeading___Toc3809853_1067777946"/>
      <w:bookmarkStart w:id="3417" w:name="_Toc1439"/>
      <w:bookmarkEnd w:id="3416"/>
      <w:r>
        <w:rPr>
          <w:rtl w:val="true"/>
        </w:rPr>
        <w:t>عدم حرمت غير خبيث از غير ذبائح</w:t>
      </w:r>
      <w:bookmarkEnd w:id="3417"/>
    </w:p>
    <w:p>
      <w:pPr>
        <w:pStyle w:val="BookText"/>
        <w:rPr/>
      </w:pPr>
      <w:r>
        <w:rPr>
          <w:rFonts w:ascii="IRNazanin" w:hAnsi="IRNazanin" w:eastAsia="IRNazanin"/>
          <w:color w:val="111111"/>
          <w:sz w:val="28"/>
          <w:sz w:val="28"/>
          <w:szCs w:val="28"/>
          <w:rtl w:val="true"/>
          <w:lang w:bidi="fa-IR"/>
        </w:rPr>
        <w:t>و اظهر عدم حرمت غير خبيث از غير ذبائح مثل ماهى و ملخ است، اگر چه احتياط در اجتناب از مسمى به اسامى مذكوره است اگر وجود داشته باشد در اينها</w:t>
      </w:r>
      <w:r>
        <w:rPr>
          <w:rFonts w:eastAsia="IRNazanin" w:cs="IRNazanin"/>
          <w:color w:val="111111"/>
          <w:sz w:val="28"/>
          <w:szCs w:val="28"/>
          <w:rtl w:val="true"/>
          <w:lang w:bidi="fa-IR"/>
        </w:rPr>
        <w:t>.</w:t>
      </w:r>
    </w:p>
    <w:p>
      <w:pPr>
        <w:pStyle w:val="Heading5"/>
        <w:numPr>
          <w:ilvl w:val="4"/>
          <w:numId w:val="1"/>
        </w:numPr>
        <w:rPr/>
      </w:pPr>
      <w:bookmarkStart w:id="3418" w:name="__RefHeading___Toc3809855_1067777946"/>
      <w:bookmarkStart w:id="3419" w:name="_Toc1440"/>
      <w:bookmarkEnd w:id="3418"/>
      <w:r>
        <w:rPr>
          <w:rtl w:val="true"/>
        </w:rPr>
        <w:t>آنچه طبع نوع انسان از آن متنفّر است</w:t>
      </w:r>
      <w:bookmarkEnd w:id="3419"/>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خوردن سرگين پاك و بول پاك و آب بينى و بلغم سينه 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خارج شده باشد </w:t>
      </w:r>
      <w:r>
        <w:rPr>
          <w:rFonts w:eastAsia="IRNazanin" w:cs="IRNazanin"/>
          <w:color w:val="111111"/>
          <w:sz w:val="28"/>
          <w:szCs w:val="28"/>
          <w:rtl w:val="true"/>
          <w:lang w:bidi="fa-IR"/>
        </w:rPr>
        <w:t xml:space="preserve">- </w:t>
      </w:r>
      <w:bookmarkStart w:id="3420" w:name="pg10265_90338"/>
    </w:p>
    <w:p>
      <w:pPr>
        <w:pStyle w:val="BookText"/>
        <w:rPr/>
      </w:pPr>
      <w:bookmarkEnd w:id="3420"/>
      <w:r>
        <w:rPr>
          <w:rFonts w:ascii="IRNazanin" w:hAnsi="IRNazanin" w:eastAsia="IRNazanin"/>
          <w:color w:val="111111"/>
          <w:sz w:val="28"/>
          <w:sz w:val="28"/>
          <w:szCs w:val="28"/>
          <w:rtl w:val="true"/>
          <w:lang w:bidi="fa-IR"/>
        </w:rPr>
        <w:t>و امثال اينها، كه نوع متوسط، متنفّر است طبع انسان از آنها، جائز نيست، بلكه اگر خارج از دهن نشده بلع نمايد، بى اشكال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خوردن خاك اگر مستهلك نشود و مضرّ هم نباشد،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قدرى محدود از تربت مقدسه براى استشفا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بقاياى طعام كه خيلى در دهن مانده و كثيف شده مثل خلط سينه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خوردن هر چيز مضرّ براى آكل جائز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مكروه است خوردن قلوه ها و گوش هاى قلب و عروق</w:t>
      </w:r>
      <w:r>
        <w:rPr>
          <w:rFonts w:eastAsia="IRNazanin" w:cs="IRNazanin"/>
          <w:color w:val="111111"/>
          <w:sz w:val="28"/>
          <w:szCs w:val="28"/>
          <w:rtl w:val="true"/>
          <w:lang w:bidi="fa-IR"/>
        </w:rPr>
        <w:t>.</w:t>
      </w:r>
    </w:p>
    <w:p>
      <w:pPr>
        <w:pStyle w:val="Heading5"/>
        <w:numPr>
          <w:ilvl w:val="4"/>
          <w:numId w:val="1"/>
        </w:numPr>
        <w:rPr/>
      </w:pPr>
      <w:bookmarkStart w:id="3421" w:name="__RefHeading___Toc3809857_1067777946"/>
      <w:bookmarkStart w:id="3422" w:name="_Toc1441"/>
      <w:bookmarkEnd w:id="3421"/>
      <w:r>
        <w:rPr>
          <w:rtl w:val="true"/>
        </w:rPr>
        <w:t>طبخ حرام با حلال</w:t>
      </w:r>
      <w:bookmarkEnd w:id="3422"/>
    </w:p>
    <w:p>
      <w:pPr>
        <w:pStyle w:val="BookText"/>
        <w:rPr/>
      </w:pPr>
      <w:r>
        <w:rPr>
          <w:rFonts w:ascii="IRNazanin" w:hAnsi="IRNazanin" w:eastAsia="IRNazanin"/>
          <w:color w:val="111111"/>
          <w:sz w:val="28"/>
          <w:sz w:val="28"/>
          <w:szCs w:val="28"/>
          <w:rtl w:val="true"/>
          <w:lang w:bidi="fa-IR"/>
        </w:rPr>
        <w:t>اگر طحال مطبوخ با گوشت، مثقوب نباشد يا آنكه زير گوشت طبخ شود گوشت، حرام نمى شود؛ و اگر مثقوب و يا روى گوشت باشد در وقت طبخ يا مشقوق به طورى كه بريزد اجزاء آن در آنچه پائين آن است، حرام مى شود آنچه زير آن طبخ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ترتيب اگر مثل جرّى با ماهى حلال طبخ مى شود از حيث بالايى و پائينى و ثقب و عدم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اختصاص حكم است به موارد علم اجمالى به سيلان اجزاء طحال بدون فرق بين ثقب در سيخ يا بريدن در غير آن</w:t>
      </w:r>
      <w:r>
        <w:rPr>
          <w:rFonts w:eastAsia="IRNazanin" w:cs="IRNazanin"/>
          <w:color w:val="111111"/>
          <w:sz w:val="28"/>
          <w:szCs w:val="28"/>
          <w:rtl w:val="true"/>
          <w:lang w:bidi="fa-IR"/>
        </w:rPr>
        <w:t>.</w:t>
      </w:r>
    </w:p>
    <w:p>
      <w:pPr>
        <w:pStyle w:val="Heading5"/>
        <w:numPr>
          <w:ilvl w:val="4"/>
          <w:numId w:val="1"/>
        </w:numPr>
        <w:rPr/>
      </w:pPr>
      <w:bookmarkStart w:id="3423" w:name="__RefHeading___Toc3809859_1067777946"/>
      <w:bookmarkStart w:id="3424" w:name="_Toc1442"/>
      <w:bookmarkEnd w:id="3423"/>
      <w:r>
        <w:rPr>
          <w:rtl w:val="true"/>
        </w:rPr>
        <w:t>عذرات نجسه</w:t>
      </w:r>
      <w:bookmarkEnd w:id="342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از آن جمله، عذرات نجسه است كه خوردن آنها به هر نحو باشد،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حرام است خوردن و آشاميدن متنجس به آنها به مزج و ملاقات با رطوبتِ يكى از دو متلاقى، مثل مخلوط شده با خمر يا نبيذ مسكر يا فقاع اگر چه كمى از مسكر آن باشد، يا با نجاستِ ديگر مثل خون و بول ملاقات كرده باشد، يا به سبب مباشرت كفّار متنجس شده باشد</w:t>
      </w:r>
      <w:r>
        <w:rPr>
          <w:rFonts w:eastAsia="IRNazanin" w:cs="IRNazanin"/>
          <w:color w:val="111111"/>
          <w:sz w:val="28"/>
          <w:szCs w:val="28"/>
          <w:rtl w:val="true"/>
          <w:lang w:bidi="fa-IR"/>
        </w:rPr>
        <w:t>.</w:t>
      </w:r>
    </w:p>
    <w:p>
      <w:pPr>
        <w:pStyle w:val="Heading5"/>
        <w:numPr>
          <w:ilvl w:val="4"/>
          <w:numId w:val="1"/>
        </w:numPr>
        <w:rPr/>
      </w:pPr>
      <w:bookmarkStart w:id="3425" w:name="__RefHeading___Toc3809861_1067777946"/>
      <w:bookmarkStart w:id="3426" w:name="_Toc1443"/>
      <w:bookmarkEnd w:id="3425"/>
      <w:r>
        <w:rPr>
          <w:rtl w:val="true"/>
        </w:rPr>
        <w:t>اكل طين و خاك</w:t>
      </w:r>
      <w:bookmarkEnd w:id="342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گِل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حرمت خاك است در صورتى كه مستهلك در</w:t>
      </w:r>
      <w:bookmarkStart w:id="3427" w:name="pg10265_90339"/>
    </w:p>
    <w:p>
      <w:pPr>
        <w:pStyle w:val="BookText"/>
        <w:rPr/>
      </w:pPr>
      <w:bookmarkEnd w:id="3427"/>
      <w:r>
        <w:rPr>
          <w:rFonts w:ascii="IRNazanin" w:hAnsi="IRNazanin" w:eastAsia="IRNazanin"/>
          <w:color w:val="111111"/>
          <w:sz w:val="28"/>
          <w:sz w:val="28"/>
          <w:szCs w:val="28"/>
          <w:rtl w:val="true"/>
          <w:lang w:bidi="fa-IR"/>
        </w:rPr>
        <w:t>غير يا قليل غير معتنىٰ به نباشد، اگر چه مضر نباشد و به نحوى كه از خبائث شمرده شود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ريگ و سنگ و امثال اينها حرام است</w:t>
      </w:r>
      <w:r>
        <w:rPr>
          <w:rFonts w:eastAsia="IRNazanin" w:cs="IRNazanin"/>
          <w:color w:val="111111"/>
          <w:sz w:val="28"/>
          <w:szCs w:val="28"/>
          <w:rtl w:val="true"/>
          <w:lang w:bidi="fa-IR"/>
        </w:rPr>
        <w:t>.</w:t>
      </w:r>
    </w:p>
    <w:p>
      <w:pPr>
        <w:pStyle w:val="Heading5"/>
        <w:numPr>
          <w:ilvl w:val="4"/>
          <w:numId w:val="1"/>
        </w:numPr>
        <w:rPr/>
      </w:pPr>
      <w:bookmarkStart w:id="3428" w:name="__RefHeading___Toc3809863_1067777946"/>
      <w:bookmarkStart w:id="3429" w:name="_Toc1444"/>
      <w:bookmarkEnd w:id="3428"/>
      <w:r>
        <w:rPr>
          <w:rtl w:val="true"/>
        </w:rPr>
        <w:t>گل مأخوذ از قبر مقدس سيد الشهداء</w:t>
      </w:r>
      <w:bookmarkEnd w:id="34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مستثنى است از حرمت اكل طين، گِلى كه مأخوذ از قبر مقدس 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به قصد استشفا، اخذ و تناول نمايد قليلى از آن را كه از مقدار يك نخود تجاوز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اقتصار بر مأخوذ از قبر و اطراف مجاورۀ قبر مطهّر است</w:t>
      </w:r>
      <w:r>
        <w:rPr>
          <w:rFonts w:eastAsia="IRNazanin" w:cs="IRNazanin"/>
          <w:color w:val="111111"/>
          <w:sz w:val="28"/>
          <w:szCs w:val="28"/>
          <w:rtl w:val="true"/>
          <w:lang w:bidi="fa-IR"/>
        </w:rPr>
        <w:t>.</w:t>
      </w:r>
    </w:p>
    <w:p>
      <w:pPr>
        <w:pStyle w:val="Heading5"/>
        <w:numPr>
          <w:ilvl w:val="4"/>
          <w:numId w:val="1"/>
        </w:numPr>
        <w:rPr/>
      </w:pPr>
      <w:bookmarkStart w:id="3430" w:name="__RefHeading___Toc3809865_1067777946"/>
      <w:bookmarkStart w:id="3431" w:name="_Toc1445"/>
      <w:bookmarkEnd w:id="3430"/>
      <w:r>
        <w:rPr>
          <w:rtl w:val="true"/>
        </w:rPr>
        <w:t xml:space="preserve">خاك قبور ديگر معصومين </w:t>
      </w:r>
      <w:r>
        <w:rPr>
          <w:rtl w:val="true"/>
        </w:rPr>
        <w:t>-</w:t>
      </w:r>
      <w:bookmarkEnd w:id="3431"/>
    </w:p>
    <w:p>
      <w:pPr>
        <w:pStyle w:val="BookText"/>
        <w:rPr/>
      </w:pP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اسراء اين حكم در مأخوذ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 نبىّ اكرم و آل 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مظنون است، اگر چه احوط خلط آن با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نحوى كه در گل ديگر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در زائد از متيقّن از اطراف قبر 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و مزج مذكور، رافع شبهه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در استفاده به غير استشفاى از تربت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سائر فوائد مطلوبه و دفع بليّات و خوفها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احتياط مذكور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عدم حرمت گِل ارمنى است كه براى تداوى، استعمال در مأكول يا مشروب مى شود، به نحو توصيف اهل اطلاع و خبره در كمّ و كيف</w:t>
      </w:r>
      <w:r>
        <w:rPr>
          <w:rFonts w:eastAsia="IRNazanin" w:cs="IRNazanin"/>
          <w:color w:val="111111"/>
          <w:sz w:val="28"/>
          <w:szCs w:val="28"/>
          <w:rtl w:val="true"/>
          <w:lang w:bidi="fa-IR"/>
        </w:rPr>
        <w:t>.</w:t>
      </w:r>
    </w:p>
    <w:p>
      <w:pPr>
        <w:pStyle w:val="Heading5"/>
        <w:numPr>
          <w:ilvl w:val="4"/>
          <w:numId w:val="1"/>
        </w:numPr>
        <w:rPr/>
      </w:pPr>
      <w:bookmarkStart w:id="3432" w:name="__RefHeading___Toc3809867_1067777946"/>
      <w:bookmarkStart w:id="3433" w:name="_Toc1446"/>
      <w:bookmarkEnd w:id="3432"/>
      <w:r>
        <w:rPr>
          <w:rtl w:val="true"/>
        </w:rPr>
        <w:t>آنچه براى انسان ضرر دارد</w:t>
      </w:r>
      <w:bookmarkEnd w:id="343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 است تناول سموم قاتله از هر قسم در اكل و شرب و نحو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مخاطره در كثير، باشد قليل مانعى ندارد اگر مضرّ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ضرر در اعتيادش باشد، نادر در اوقات متباعده مانعى ندارد، مثل استعمال التذاذى به ترياك براى غير معالجه</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هرچه مضرّ به مزاج يا روح يا مفسد اينها باشد حرام است، مگر براى دفع </w:t>
      </w:r>
      <w:bookmarkStart w:id="3434" w:name="pg10265_90340"/>
    </w:p>
    <w:p>
      <w:pPr>
        <w:pStyle w:val="BookText"/>
        <w:rPr/>
      </w:pPr>
      <w:bookmarkEnd w:id="3434"/>
      <w:r>
        <w:rPr>
          <w:rFonts w:ascii="IRNazanin" w:hAnsi="IRNazanin" w:eastAsia="IRNazanin"/>
          <w:color w:val="111111"/>
          <w:sz w:val="28"/>
          <w:sz w:val="28"/>
          <w:szCs w:val="28"/>
          <w:rtl w:val="true"/>
          <w:lang w:bidi="fa-IR"/>
        </w:rPr>
        <w:t>ضرر اشدّ و اعظم در مثل معالجه، با توصيف حاذق و مباشرت ماهر به طورى كه عمل عقلايى باشد، و ظنّ به سلامت از اهمّ باشد، و خوف از اهمّ بيش از خوف مهمّ باشد يا مساوى باشد و رعايت اهمّ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قبيل است قطع بعضى از اعضا كه مبتلىٰ به عارضه اى است، براى دفع خوف سرايت و اهلاك به آن؛ و تعقّب تلف اتّفاقاً، كشف از عدم جواز اقدام نمى كند اگر با شرط متقدّم بوده است</w:t>
      </w:r>
      <w:r>
        <w:rPr>
          <w:rFonts w:eastAsia="IRNazanin" w:cs="IRNazanin"/>
          <w:color w:val="111111"/>
          <w:sz w:val="28"/>
          <w:szCs w:val="28"/>
          <w:rtl w:val="true"/>
          <w:lang w:bidi="fa-IR"/>
        </w:rPr>
        <w:t>.</w:t>
      </w:r>
    </w:p>
    <w:p>
      <w:pPr>
        <w:pStyle w:val="Heading4"/>
        <w:numPr>
          <w:ilvl w:val="3"/>
          <w:numId w:val="1"/>
        </w:numPr>
        <w:rPr/>
      </w:pPr>
      <w:bookmarkStart w:id="3435" w:name="__RefHeading___Toc3809869_1067777946"/>
      <w:bookmarkStart w:id="3436" w:name="_Toc1447"/>
      <w:bookmarkEnd w:id="3435"/>
      <w:r>
        <w:rPr/>
        <w:t>2</w:t>
      </w:r>
      <w:r>
        <w:rPr>
          <w:rtl w:val="true"/>
        </w:rPr>
        <w:t xml:space="preserve">. </w:t>
      </w:r>
      <w:r>
        <w:rPr>
          <w:rtl w:val="true"/>
        </w:rPr>
        <w:t>مايعات محرّمه</w:t>
      </w:r>
      <w:bookmarkEnd w:id="3436"/>
    </w:p>
    <w:p>
      <w:pPr>
        <w:pStyle w:val="Heading5"/>
        <w:numPr>
          <w:ilvl w:val="4"/>
          <w:numId w:val="1"/>
        </w:numPr>
        <w:rPr/>
      </w:pPr>
      <w:bookmarkStart w:id="3437" w:name="__RefHeading___Toc3809871_1067777946"/>
      <w:bookmarkStart w:id="3438" w:name="_Toc1448"/>
      <w:bookmarkEnd w:id="3437"/>
      <w:r>
        <w:rPr>
          <w:rtl w:val="true"/>
        </w:rPr>
        <w:t>حرمت خمر و مسكر</w:t>
      </w:r>
      <w:bookmarkEnd w:id="34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شرب خمر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مسكرى از هر چه مأخوذ باشد و به هر اسمى ناميده شود حرام است، مانند بتع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فضيخ و نبيذ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فقاع در صورتى كه احتمال نرود كه از قسم غير محرّم باشد و آن قسم آنست كه مسكر نيست حتى كثير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ماء الشعير كه مستعمَل اطبا است، حرام نيست مگر آنكه بدانيم مسكر است كثير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غير معلوم الخمريه و غير معلوم الاسكار، حرام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عصير عنبى اگر جوشانيده شود با آتش، حرام است قبل از ذهاب ثلثين؛ و تعميم آن به غليان به غير آتش يا انحصار حلّيت در اين تقدير به انقلاب، گذشت در كتاب طهارت؛ و هم چنين عموم حكم به عصير زبيبى و تمرى و عدم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ممزوج به يكى از محرّمات مذكوره بشود، حرام است، مگر آنكه مستهلك در حلال باشد و محكوم به نجاست نباشد كه همه محكوم به حرام مى شود در غير صورت استثنا شده</w:t>
      </w:r>
      <w:r>
        <w:rPr>
          <w:rFonts w:eastAsia="IRNazanin" w:cs="IRNazanin"/>
          <w:color w:val="111111"/>
          <w:sz w:val="28"/>
          <w:szCs w:val="28"/>
          <w:rtl w:val="true"/>
          <w:lang w:bidi="fa-IR"/>
        </w:rPr>
        <w:t>.</w:t>
      </w:r>
    </w:p>
    <w:p>
      <w:pPr>
        <w:pStyle w:val="Heading5"/>
        <w:numPr>
          <w:ilvl w:val="4"/>
          <w:numId w:val="1"/>
        </w:numPr>
        <w:rPr/>
      </w:pPr>
      <w:bookmarkStart w:id="3439" w:name="__RefHeading___Toc3809873_1067777946"/>
      <w:bookmarkStart w:id="3440" w:name="_Toc1449"/>
      <w:bookmarkEnd w:id="3439"/>
      <w:r>
        <w:rPr>
          <w:rtl w:val="true"/>
        </w:rPr>
        <w:t>حكم خون حيوانات</w:t>
      </w:r>
      <w:bookmarkEnd w:id="344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حيوانى كه نفس سائله دارد و خونش از رگها جريان پيدا مى كند نجس و</w:t>
      </w:r>
      <w:bookmarkStart w:id="3441" w:name="pg10265_90341"/>
    </w:p>
    <w:p>
      <w:pPr>
        <w:pStyle w:val="BookText"/>
        <w:rPr/>
      </w:pPr>
      <w:bookmarkEnd w:id="3441"/>
      <w:r>
        <w:rPr>
          <w:rFonts w:ascii="IRNazanin" w:hAnsi="IRNazanin" w:eastAsia="IRNazanin"/>
          <w:color w:val="111111"/>
          <w:sz w:val="28"/>
          <w:sz w:val="28"/>
          <w:szCs w:val="28"/>
          <w:rtl w:val="true"/>
          <w:lang w:bidi="fa-IR"/>
        </w:rPr>
        <w:t>حرام است؛ اما آنچه متخلّف است در ذبيحۀ به نحو مشروع و آنچه در گوشت آن است، تابع آن است در حلّيت؛ و هم چنين آنچه در كبد و طحال است و از اسم طحال خارج است، اظهر حليت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حيوان بدون نفس سائله خارج مى شود يا در بدن آن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حرام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ضفدع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آن است در حرمت اگر چه پاك است؛ و اگر از حلال گوشت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ماهى فلس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آن است در حليت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جزئيت، حليت و حرمت در آن ثابت است، نه به عنوان خون بودن؛ و در حرمت خون ماهى حلال به تنهايى تأمّل است</w:t>
      </w:r>
      <w:r>
        <w:rPr>
          <w:rFonts w:eastAsia="IRNazanin" w:cs="IRNazanin"/>
          <w:color w:val="111111"/>
          <w:sz w:val="28"/>
          <w:szCs w:val="28"/>
          <w:rtl w:val="true"/>
          <w:lang w:bidi="fa-IR"/>
        </w:rPr>
        <w:t>.</w:t>
      </w:r>
    </w:p>
    <w:p>
      <w:pPr>
        <w:pStyle w:val="Heading5"/>
        <w:numPr>
          <w:ilvl w:val="4"/>
          <w:numId w:val="1"/>
        </w:numPr>
        <w:rPr/>
      </w:pPr>
      <w:bookmarkStart w:id="3442" w:name="__RefHeading___Toc3809875_1067777946"/>
      <w:bookmarkStart w:id="3443" w:name="_Toc1450"/>
      <w:bookmarkEnd w:id="3442"/>
      <w:r>
        <w:rPr>
          <w:rtl w:val="true"/>
        </w:rPr>
        <w:t>خون تخم مرغ</w:t>
      </w:r>
      <w:bookmarkEnd w:id="3443"/>
    </w:p>
    <w:p>
      <w:pPr>
        <w:pStyle w:val="BookText"/>
        <w:rPr/>
      </w:pPr>
      <w:r>
        <w:rPr>
          <w:rFonts w:ascii="Amiri" w:hAnsi="Amiri" w:eastAsia="Amiri" w:cs="Amiri"/>
          <w:color w:val="111111"/>
          <w:sz w:val="28"/>
          <w:sz w:val="28"/>
          <w:szCs w:val="28"/>
          <w:rtl w:val="true"/>
          <w:lang w:bidi="ar-SA"/>
        </w:rPr>
        <w:t>و در حرمت علقه و خون تخم مرغ با حلال بودن حيوان، تأمّل است، اظهر ابتناى بر نجاست آنها است و در كتاب طهارت مذكور است</w:t>
      </w:r>
      <w:r>
        <w:rPr>
          <w:rFonts w:eastAsia="Amiri" w:cs="Amiri" w:ascii="Amiri" w:hAnsi="Amiri"/>
          <w:color w:val="111111"/>
          <w:sz w:val="28"/>
          <w:szCs w:val="28"/>
          <w:rtl w:val="true"/>
          <w:lang w:bidi="ar-SA"/>
        </w:rPr>
        <w:t>.</w:t>
      </w:r>
    </w:p>
    <w:p>
      <w:pPr>
        <w:pStyle w:val="Heading5"/>
        <w:numPr>
          <w:ilvl w:val="4"/>
          <w:numId w:val="1"/>
        </w:numPr>
        <w:rPr/>
      </w:pPr>
      <w:bookmarkStart w:id="3444" w:name="__RefHeading___Toc3809877_1067777946"/>
      <w:bookmarkStart w:id="3445" w:name="_Toc1451"/>
      <w:bookmarkEnd w:id="3444"/>
      <w:r>
        <w:rPr>
          <w:rtl w:val="true"/>
        </w:rPr>
        <w:t>اگر خون يا نجاست ديگر در ظرف غذا بريزد</w:t>
      </w:r>
      <w:bookmarkEnd w:id="3445"/>
    </w:p>
    <w:p>
      <w:pPr>
        <w:pStyle w:val="BookText"/>
        <w:rPr/>
      </w:pPr>
      <w:r>
        <w:rPr>
          <w:rFonts w:ascii="IRNazanin" w:hAnsi="IRNazanin" w:eastAsia="IRNazanin"/>
          <w:color w:val="111111"/>
          <w:sz w:val="28"/>
          <w:sz w:val="28"/>
          <w:szCs w:val="28"/>
          <w:rtl w:val="true"/>
          <w:lang w:bidi="fa-IR"/>
        </w:rPr>
        <w:t>اگر خون يا نجاست ديگر در ظرفى كه مى جوشد آنچه در آن از گوشت و غير آن است واقع شود، جائز است خوردن جامد در آن مثل گوشت، بعد از غَسل ظاهر آنها با عدم علم به نفوذ در باطن، يا با غَسل بعد از تجفيف در صورت علم به نفوذ در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حليت بدون غَسل در ملاقات خون، مشكل است</w:t>
      </w:r>
      <w:r>
        <w:rPr>
          <w:rFonts w:eastAsia="IRNazanin" w:cs="IRNazanin"/>
          <w:color w:val="111111"/>
          <w:sz w:val="28"/>
          <w:szCs w:val="28"/>
          <w:rtl w:val="true"/>
          <w:lang w:bidi="fa-IR"/>
        </w:rPr>
        <w:t>.</w:t>
      </w:r>
    </w:p>
    <w:p>
      <w:pPr>
        <w:pStyle w:val="Heading5"/>
        <w:numPr>
          <w:ilvl w:val="4"/>
          <w:numId w:val="1"/>
        </w:numPr>
        <w:rPr/>
      </w:pPr>
      <w:bookmarkStart w:id="3446" w:name="__RefHeading___Toc3809879_1067777946"/>
      <w:bookmarkStart w:id="3447" w:name="_Toc1452"/>
      <w:bookmarkEnd w:id="3446"/>
      <w:r>
        <w:rPr>
          <w:rtl w:val="true"/>
        </w:rPr>
        <w:t>حكم ملاقى نجاست يا متنجس</w:t>
      </w:r>
      <w:bookmarkEnd w:id="344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چيزى كه ملاقات نمايد با يكى از نجاسات يا متنجسات؛ پس اگر آن چيز مائع باشد، حرام است و قابل تطهير نيست در صورتى كه شروط تأثير ملاقات در نجاست احراز بشود؛ مگر آنكه آب باشد، چه مضاف باشد چه مطلق، كه با تكثير آب غير منفعل به حدّى كه اضافۀ مضاف را سلب نمايد و اتّصال تا زمان زوال اضافه محفوظ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غير مضاف، مطلقِ اتّصال با آب غير</w:t>
      </w:r>
      <w:bookmarkStart w:id="3448" w:name="pg10265_90342"/>
    </w:p>
    <w:p>
      <w:pPr>
        <w:pStyle w:val="BookText"/>
        <w:rPr/>
      </w:pPr>
      <w:bookmarkEnd w:id="3448"/>
      <w:r>
        <w:rPr>
          <w:rFonts w:ascii="IRNazanin" w:hAnsi="IRNazanin" w:eastAsia="IRNazanin"/>
          <w:color w:val="111111"/>
          <w:sz w:val="28"/>
          <w:sz w:val="28"/>
          <w:szCs w:val="28"/>
          <w:rtl w:val="true"/>
          <w:lang w:bidi="fa-IR"/>
        </w:rPr>
        <w:t>منفعل مثل كرّ و جارى، مطهّر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اتّصال با كرّ كه در پائين است با واقعيت بالايى تأمّل است؛ و هم چنين در حدوث نجاست بالا در صورت اتّصال به پائين متنجس در حال واقعيت جريان؛ و اظهر عدم تنجس است در دومى حتى در رفتن آب به بالاى متنجس با دفع و قوّة، و عدم طهارت در فرض اول است، مگر آنكه توقفى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و جريان منقطع شود و دو آب، يكى محسوب شود در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محتمل باشد هيچ جزئى از متلاقيين در ديگرى قرار نمى گيرد و سرايت رطوبت نمى كند، تنجس، قابل منع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مائع ملاقى متنجس، حالت انجماد داشته باشد مثل روغن، فقط موضع ملاقات متنجس مى شود با رطوبت مسريه؛ و در صورت اشتباه، اطراف علم اجمالى هم اخراج مى شود و بقيه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قطره اى خون غير نجس، داخل مايعى شد و مستهلك شد ذرّات آن در آن مائع، خوردن مجموع جائز است</w:t>
      </w:r>
      <w:r>
        <w:rPr>
          <w:rFonts w:eastAsia="IRNazanin" w:cs="IRNazanin"/>
          <w:color w:val="111111"/>
          <w:sz w:val="28"/>
          <w:szCs w:val="28"/>
          <w:rtl w:val="true"/>
          <w:lang w:bidi="fa-IR"/>
        </w:rPr>
        <w:t>.</w:t>
      </w:r>
    </w:p>
    <w:p>
      <w:pPr>
        <w:pStyle w:val="Heading5"/>
        <w:numPr>
          <w:ilvl w:val="4"/>
          <w:numId w:val="1"/>
        </w:numPr>
        <w:rPr/>
      </w:pPr>
      <w:bookmarkStart w:id="3449" w:name="__RefHeading___Toc3809881_1067777946"/>
      <w:bookmarkStart w:id="3450" w:name="_Toc1453"/>
      <w:bookmarkEnd w:id="3449"/>
      <w:r>
        <w:rPr>
          <w:rtl w:val="true"/>
        </w:rPr>
        <w:t>جواز استصباح به دهن متنجس و بيع آن</w:t>
      </w:r>
      <w:bookmarkEnd w:id="3450"/>
    </w:p>
    <w:p>
      <w:pPr>
        <w:pStyle w:val="BookText"/>
        <w:rPr/>
      </w:pPr>
      <w:r>
        <w:rPr>
          <w:rFonts w:ascii="Amiri" w:hAnsi="Amiri" w:eastAsia="Amiri" w:cs="Amiri"/>
          <w:color w:val="111111"/>
          <w:sz w:val="28"/>
          <w:sz w:val="28"/>
          <w:szCs w:val="28"/>
          <w:rtl w:val="true"/>
          <w:lang w:bidi="ar-SA"/>
        </w:rPr>
        <w:t>و جائز است استصباح به دهن متنجس در مكانى غير مسقف بنا بر احوط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سائر انتفاعات غير مشروطۀ به طهارت، مثل ماليدن دهن متنجس به اجرب، استعمال نجاسات و متنجسات، مانعى ندارد بنا بر اظهر</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جائز است بيع دهن متنجّس براى منفعت محلّلۀ آن؛ و اعلام مشترى به نجاست آن لازم است؛ و در شرطيت اعلام در صحّت بيع يا ايجاب ترك آن خيار را تأمّل است، و شرطيّت براى آنكه مشترى قاصد منفعت محلّله باشد، اقرب است در صورتى كه منفعت ظاهره حلال نباشد مثل اين مقام، به خلاف بعض متنجسات ديگر</w:t>
      </w:r>
      <w:r>
        <w:rPr>
          <w:rFonts w:eastAsia="IRNazanin" w:cs="IRNazanin"/>
          <w:color w:val="111111"/>
          <w:sz w:val="28"/>
          <w:szCs w:val="28"/>
          <w:rtl w:val="true"/>
          <w:lang w:bidi="fa-IR"/>
        </w:rPr>
        <w:t xml:space="preserve">. </w:t>
      </w:r>
      <w:bookmarkStart w:id="3451" w:name="pg10265_90343"/>
    </w:p>
    <w:p>
      <w:pPr>
        <w:pStyle w:val="Heading5"/>
        <w:numPr>
          <w:ilvl w:val="4"/>
          <w:numId w:val="1"/>
        </w:numPr>
        <w:rPr/>
      </w:pPr>
      <w:bookmarkStart w:id="3452" w:name="__RefHeading___Toc3809883_1067777946"/>
      <w:bookmarkStart w:id="3453" w:name="_Toc1454"/>
      <w:bookmarkEnd w:id="3451"/>
      <w:bookmarkEnd w:id="3452"/>
      <w:r>
        <w:rPr>
          <w:rtl w:val="true"/>
        </w:rPr>
        <w:t>ميته حيوان غير ذى نفس سائله</w:t>
      </w:r>
      <w:bookmarkEnd w:id="3453"/>
    </w:p>
    <w:p>
      <w:pPr>
        <w:pStyle w:val="BookText"/>
        <w:rPr/>
      </w:pPr>
      <w:r>
        <w:rPr>
          <w:rFonts w:ascii="IRNazanin" w:hAnsi="IRNazanin" w:eastAsia="IRNazanin"/>
          <w:color w:val="111111"/>
          <w:sz w:val="28"/>
          <w:sz w:val="28"/>
          <w:szCs w:val="28"/>
          <w:rtl w:val="true"/>
          <w:lang w:bidi="fa-IR"/>
        </w:rPr>
        <w:t xml:space="preserve">حيوانى كه خون جهنده از رگ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مگس و ملخ و ماهى كه در آب بميرد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نمى شود به موت، و متنجس نمى شود ملاقى آن از مايعات</w:t>
      </w:r>
      <w:r>
        <w:rPr>
          <w:rFonts w:eastAsia="IRNazanin" w:cs="IRNazanin"/>
          <w:color w:val="111111"/>
          <w:sz w:val="28"/>
          <w:szCs w:val="28"/>
          <w:rtl w:val="true"/>
          <w:lang w:bidi="fa-IR"/>
        </w:rPr>
        <w:t>.</w:t>
      </w:r>
    </w:p>
    <w:p>
      <w:pPr>
        <w:pStyle w:val="Heading5"/>
        <w:numPr>
          <w:ilvl w:val="4"/>
          <w:numId w:val="1"/>
        </w:numPr>
        <w:rPr/>
      </w:pPr>
      <w:bookmarkStart w:id="3454" w:name="__RefHeading___Toc3809885_1067777946"/>
      <w:bookmarkStart w:id="3455" w:name="_Toc1455"/>
      <w:bookmarkEnd w:id="3454"/>
      <w:r>
        <w:rPr>
          <w:rtl w:val="true"/>
        </w:rPr>
        <w:t>نجاست كافر، حتى كتابى</w:t>
      </w:r>
      <w:bookmarkEnd w:id="3455"/>
    </w:p>
    <w:p>
      <w:pPr>
        <w:pStyle w:val="BookText"/>
        <w:rPr/>
      </w:pPr>
      <w:r>
        <w:rPr>
          <w:rFonts w:ascii="IRNazanin" w:hAnsi="IRNazanin" w:eastAsia="IRNazanin"/>
          <w:color w:val="111111"/>
          <w:sz w:val="28"/>
          <w:sz w:val="28"/>
          <w:szCs w:val="28"/>
          <w:rtl w:val="true"/>
          <w:lang w:bidi="fa-IR"/>
        </w:rPr>
        <w:t>كافر نجس است اگر چه كتابى باشد بنا بر اشهر و احوط، و گذشت بيان مختار در كتاب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آثار نجاست عدم جواز اكل و شرب با آنها به نحو موجب تعدى به طعام و شراب مسلمان، و عدم جواز اكل و شرب از اوانى مستعملۀ آنها با رطوبت مگر بعد از تطهير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3456" w:name="__RefHeading___Toc3809887_1067777946"/>
      <w:bookmarkStart w:id="3457" w:name="_Toc1456"/>
      <w:bookmarkEnd w:id="3456"/>
      <w:r>
        <w:rPr>
          <w:rtl w:val="true"/>
        </w:rPr>
        <w:t>واقع شدن ميته اى در ظرف</w:t>
      </w:r>
      <w:bookmarkEnd w:id="3457"/>
    </w:p>
    <w:p>
      <w:pPr>
        <w:pStyle w:val="BookText"/>
        <w:rPr/>
      </w:pPr>
      <w:r>
        <w:rPr>
          <w:rFonts w:ascii="IRNazanin" w:hAnsi="IRNazanin" w:eastAsia="IRNazanin"/>
          <w:color w:val="111111"/>
          <w:sz w:val="28"/>
          <w:sz w:val="28"/>
          <w:szCs w:val="28"/>
          <w:rtl w:val="true"/>
          <w:lang w:bidi="fa-IR"/>
        </w:rPr>
        <w:t>اگر ميتۀ صاحب خون جهنده در ظرفى واقع شد كه در آن مايعى باشد، مائع را مى ريزند، مگر آنكه مطلق باشد و تطهير شود؛ و اگر جامد در آن باشد و در باطن آن نافذ نباشد يا نفوذ آن معلوم نباشد، ظاهر آن را تطهير مى نمايند و تناول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عجين كرده شد آرد با آب متنجس، با طبخ آن تطهير حاصل نمى شود</w:t>
      </w:r>
      <w:r>
        <w:rPr>
          <w:rFonts w:eastAsia="IRNazanin" w:cs="IRNazanin"/>
          <w:color w:val="111111"/>
          <w:sz w:val="28"/>
          <w:szCs w:val="28"/>
          <w:rtl w:val="true"/>
          <w:lang w:bidi="fa-IR"/>
        </w:rPr>
        <w:t>.</w:t>
      </w:r>
    </w:p>
    <w:p>
      <w:pPr>
        <w:pStyle w:val="Heading5"/>
        <w:numPr>
          <w:ilvl w:val="4"/>
          <w:numId w:val="1"/>
        </w:numPr>
        <w:rPr/>
      </w:pPr>
      <w:bookmarkStart w:id="3458" w:name="__RefHeading___Toc3809889_1067777946"/>
      <w:bookmarkStart w:id="3459" w:name="_Toc1457"/>
      <w:bookmarkEnd w:id="3458"/>
      <w:r>
        <w:rPr>
          <w:rtl w:val="true"/>
        </w:rPr>
        <w:t>احكام بول</w:t>
      </w:r>
      <w:bookmarkEnd w:id="345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بول غير مأكول اللحم نجس است از غير طيور اگر چه از نجس نباشد مثل شير و 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از مأكول اللحم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گوسفند و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است بر حسب آنچه در كتاب طهارت مذكور است؛ و خوردن آن مبنى است حرمت آن بر خباثت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ضرورت مثل تداوى، شرب بول شتر جائز است، و هم چنين بول گاو و گوسفند در تقدير وقوع مداوات با آن</w:t>
      </w:r>
      <w:r>
        <w:rPr>
          <w:rFonts w:eastAsia="IRNazanin" w:cs="IRNazanin"/>
          <w:color w:val="111111"/>
          <w:sz w:val="28"/>
          <w:szCs w:val="28"/>
          <w:rtl w:val="true"/>
          <w:lang w:bidi="fa-IR"/>
        </w:rPr>
        <w:t>.</w:t>
      </w:r>
    </w:p>
    <w:p>
      <w:pPr>
        <w:pStyle w:val="Heading5"/>
        <w:numPr>
          <w:ilvl w:val="4"/>
          <w:numId w:val="1"/>
        </w:numPr>
        <w:rPr/>
      </w:pPr>
      <w:bookmarkStart w:id="3460" w:name="__RefHeading___Toc3809891_1067777946"/>
      <w:bookmarkStart w:id="3461" w:name="_Toc1458"/>
      <w:bookmarkEnd w:id="3460"/>
      <w:r>
        <w:rPr>
          <w:rtl w:val="true"/>
        </w:rPr>
        <w:t>حرمت خبائث مثل عرق و آب دهان</w:t>
      </w:r>
      <w:bookmarkEnd w:id="346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خباثت و حرمت به سبب آن، خالى از وجه نيست در رطوبات و عرق و آب دهن كه محكوم به طهارت است، از انسان و غير آن</w:t>
      </w:r>
      <w:r>
        <w:rPr>
          <w:rFonts w:eastAsia="Amiri" w:cs="Amiri" w:ascii="Amiri" w:hAnsi="Amiri"/>
          <w:color w:val="111111"/>
          <w:sz w:val="28"/>
          <w:szCs w:val="28"/>
          <w:rtl w:val="true"/>
          <w:lang w:bidi="ar-SA"/>
        </w:rPr>
        <w:t>.</w:t>
      </w:r>
      <w:bookmarkStart w:id="3462" w:name="pg10265_90344"/>
    </w:p>
    <w:p>
      <w:pPr>
        <w:pStyle w:val="Heading5"/>
        <w:numPr>
          <w:ilvl w:val="4"/>
          <w:numId w:val="1"/>
        </w:numPr>
        <w:rPr/>
      </w:pPr>
      <w:bookmarkStart w:id="3463" w:name="__RefHeading___Toc3809893_1067777946"/>
      <w:bookmarkStart w:id="3464" w:name="_Toc1459"/>
      <w:bookmarkEnd w:id="3462"/>
      <w:bookmarkEnd w:id="3463"/>
      <w:r>
        <w:rPr>
          <w:rtl w:val="true"/>
        </w:rPr>
        <w:t>أكل چيزهائى كه احتمال ضرر در آن هست</w:t>
      </w:r>
      <w:bookmarkEnd w:id="346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چيزى كه احتمال زهر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مى شود جائز نيست تناول آن، مثل صورت 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احوط اجتناب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و شرابى است كه احتمال ضرر موجب مرض داده بشود در آن، اگر چه مأمون از هلاك باشد</w:t>
      </w:r>
      <w:r>
        <w:rPr>
          <w:rFonts w:eastAsia="IRNazanin" w:cs="IRNazanin"/>
          <w:color w:val="111111"/>
          <w:sz w:val="28"/>
          <w:szCs w:val="28"/>
          <w:rtl w:val="true"/>
          <w:lang w:bidi="fa-IR"/>
        </w:rPr>
        <w:t>.</w:t>
      </w:r>
    </w:p>
    <w:p>
      <w:pPr>
        <w:pStyle w:val="Heading5"/>
        <w:numPr>
          <w:ilvl w:val="4"/>
          <w:numId w:val="1"/>
        </w:numPr>
        <w:rPr/>
      </w:pPr>
      <w:bookmarkStart w:id="3465" w:name="__RefHeading___Toc3809895_1067777946"/>
      <w:bookmarkStart w:id="3466" w:name="_Toc1460"/>
      <w:bookmarkEnd w:id="3465"/>
      <w:r>
        <w:rPr>
          <w:rtl w:val="true"/>
        </w:rPr>
        <w:t>شير حيوان حلال گوشت</w:t>
      </w:r>
      <w:bookmarkEnd w:id="346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شير حيوان حلال گوشت حلال است مثل شير الاغ؛ اگر چه مكروه است خصوص آن كه گوشتش مكروه است</w:t>
      </w:r>
      <w:r>
        <w:rPr>
          <w:rFonts w:eastAsia="IRNazanin" w:cs="IRNazanin"/>
          <w:color w:val="111111"/>
          <w:sz w:val="28"/>
          <w:szCs w:val="28"/>
          <w:rtl w:val="true"/>
          <w:lang w:bidi="fa-IR"/>
        </w:rPr>
        <w:t>.</w:t>
      </w:r>
      <w:bookmarkStart w:id="3467" w:name="pg10265_90345"/>
    </w:p>
    <w:p>
      <w:pPr>
        <w:pStyle w:val="Heading3"/>
        <w:numPr>
          <w:ilvl w:val="2"/>
          <w:numId w:val="1"/>
        </w:numPr>
        <w:rPr/>
      </w:pPr>
      <w:bookmarkStart w:id="3468" w:name="__RefHeading___Toc3809897_1067777946"/>
      <w:bookmarkStart w:id="3469" w:name="_Toc1461"/>
      <w:bookmarkEnd w:id="3467"/>
      <w:bookmarkEnd w:id="3468"/>
      <w:r>
        <w:rPr>
          <w:rtl w:val="true"/>
        </w:rPr>
        <w:t>فصل پنجم مسائلى از اطعمه و اشربه</w:t>
      </w:r>
      <w:bookmarkEnd w:id="3469"/>
    </w:p>
    <w:p>
      <w:pPr>
        <w:pStyle w:val="Heading4"/>
        <w:numPr>
          <w:ilvl w:val="3"/>
          <w:numId w:val="1"/>
        </w:numPr>
        <w:rPr/>
      </w:pPr>
      <w:bookmarkStart w:id="3470" w:name="__RefHeading___Toc3809899_1067777946"/>
      <w:bookmarkStart w:id="3471" w:name="_Toc1462"/>
      <w:bookmarkEnd w:id="3470"/>
      <w:r>
        <w:rPr>
          <w:rtl w:val="true"/>
        </w:rPr>
        <w:t>استعمال موى خوك و استقاى به جلود ميته</w:t>
      </w:r>
      <w:bookmarkEnd w:id="34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استعمال موى خوك در غير مشروط به طهارت مانعى ندارد بنا بر اظهر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چنين استقاى به جلود ميته در غير مشروط به طهارت، و استعمالش در غير مشروط به طهارت، جائز است، اگر چه احوط ترك است در هر دو</w:t>
      </w:r>
      <w:r>
        <w:rPr>
          <w:rFonts w:eastAsia="IRNazanin" w:cs="IRNazanin"/>
          <w:color w:val="111111"/>
          <w:sz w:val="28"/>
          <w:szCs w:val="28"/>
          <w:rtl w:val="true"/>
          <w:lang w:bidi="fa-IR"/>
        </w:rPr>
        <w:t>.</w:t>
      </w:r>
    </w:p>
    <w:p>
      <w:pPr>
        <w:pStyle w:val="Heading4"/>
        <w:numPr>
          <w:ilvl w:val="3"/>
          <w:numId w:val="1"/>
        </w:numPr>
        <w:rPr/>
      </w:pPr>
      <w:bookmarkStart w:id="3472" w:name="__RefHeading___Toc3809901_1067777946"/>
      <w:bookmarkStart w:id="3473" w:name="_Toc1463"/>
      <w:bookmarkEnd w:id="3472"/>
      <w:r>
        <w:rPr>
          <w:rtl w:val="true"/>
        </w:rPr>
        <w:t>حكم لحم مطروح در بلاد اسلام</w:t>
      </w:r>
      <w:bookmarkEnd w:id="347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لحم مطروح در بلاد اسلام اگر در آن اثر استعمال مسلم بود محكوم به تذكيه است؛ و اگر نبود، محكوم به عدم تذكيه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انقباض بعد از گذاشتن در آتش، امارۀ تذكيه نيست، لكن احتياط استحبابى رعايت آنست در محكوم به تذكيه براى مبالغه در احراز تذكيه در موارد امكان، مثل آنكه ميته بودن از اختناق باشد نه از ترك تسميه يا استقبال</w:t>
      </w:r>
      <w:r>
        <w:rPr>
          <w:rFonts w:eastAsia="IRNazanin" w:cs="IRNazanin"/>
          <w:color w:val="111111"/>
          <w:sz w:val="28"/>
          <w:szCs w:val="28"/>
          <w:rtl w:val="true"/>
          <w:lang w:bidi="fa-IR"/>
        </w:rPr>
        <w:t>.</w:t>
      </w:r>
    </w:p>
    <w:p>
      <w:pPr>
        <w:pStyle w:val="Heading4"/>
        <w:numPr>
          <w:ilvl w:val="3"/>
          <w:numId w:val="1"/>
        </w:numPr>
        <w:rPr/>
      </w:pPr>
      <w:bookmarkStart w:id="3474" w:name="__RefHeading___Toc3809903_1067777946"/>
      <w:bookmarkStart w:id="3475" w:name="_Toc1464"/>
      <w:bookmarkEnd w:id="3474"/>
      <w:r>
        <w:rPr>
          <w:rtl w:val="true"/>
        </w:rPr>
        <w:t>جواز تناول طعام و شراب از خانه هاى كه در آيه شريفه، مذكور شده اند</w:t>
      </w:r>
      <w:bookmarkEnd w:id="347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جائز است تناول طعام و شراب از خانه هاى كسانى كه در آيۀ شريفه ذكر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چه اذن نداده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حال بر اذن نباشد به غير از اضافه مخصوصه مذكورۀ كه در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علم يا اطمينان به كراهت؛ و احوط اجتناب است در صورت ظن به كراهت مالك؛ و احوط اقتصار به غير نفائس از اطعمه است،</w:t>
      </w:r>
      <w:bookmarkStart w:id="3476" w:name="pg10265_90346"/>
    </w:p>
    <w:p>
      <w:pPr>
        <w:pStyle w:val="BookText"/>
        <w:rPr/>
      </w:pPr>
      <w:bookmarkEnd w:id="3476"/>
      <w:r>
        <w:rPr>
          <w:rFonts w:ascii="Amiri" w:hAnsi="Amiri" w:eastAsia="Amiri" w:cs="Amiri"/>
          <w:color w:val="111111"/>
          <w:sz w:val="28"/>
          <w:sz w:val="28"/>
          <w:szCs w:val="28"/>
          <w:rtl w:val="true"/>
          <w:lang w:bidi="ar-SA"/>
        </w:rPr>
        <w:t>بلكه احوط استحباباً اقتصار به موارد خشيت فساد قبل از حضور مالك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بيوت اولاد در حليت اكل بدون اذن، اولىٰ از بيوت مذكوره است، نه در تقييد به عدم كراهت</w:t>
      </w:r>
      <w:r>
        <w:rPr>
          <w:rFonts w:eastAsia="Amiri" w:cs="Amiri" w:ascii="Amiri" w:hAnsi="Amiri"/>
          <w:color w:val="111111"/>
          <w:sz w:val="28"/>
          <w:szCs w:val="28"/>
          <w:rtl w:val="true"/>
          <w:lang w:bidi="ar-SA"/>
        </w:rPr>
        <w:t>.</w:t>
      </w:r>
    </w:p>
    <w:p>
      <w:pPr>
        <w:pStyle w:val="Heading4"/>
        <w:numPr>
          <w:ilvl w:val="3"/>
          <w:numId w:val="1"/>
        </w:numPr>
        <w:rPr/>
      </w:pPr>
      <w:bookmarkStart w:id="3477" w:name="__RefHeading___Toc3809905_1067777946"/>
      <w:bookmarkStart w:id="3478" w:name="_Toc1465"/>
      <w:bookmarkEnd w:id="3477"/>
      <w:r>
        <w:rPr>
          <w:rtl w:val="true"/>
        </w:rPr>
        <w:t>ميزان جواز تصرف در آن بيوت</w:t>
      </w:r>
      <w:bookmarkEnd w:id="3478"/>
    </w:p>
    <w:p>
      <w:pPr>
        <w:pStyle w:val="BookText"/>
        <w:rPr/>
      </w:pPr>
      <w:r>
        <w:rPr>
          <w:rFonts w:ascii="IRNazanin" w:hAnsi="IRNazanin" w:eastAsia="IRNazanin"/>
          <w:color w:val="111111"/>
          <w:sz w:val="28"/>
          <w:sz w:val="28"/>
          <w:szCs w:val="28"/>
          <w:rtl w:val="true"/>
          <w:lang w:bidi="fa-IR"/>
        </w:rPr>
        <w:t>احوط اقتصار بر مأكول و مشروب است در مقابل سائر اموال، بلكه احوط اقتصار به اكل مأكول حاضر و شرب مشروب حاضر است نه آنكه طبخ نمايد براى اكل يا عمل نمايد براى شرب غير حاضر، و اقتصار بر اين دو است نه مثل وضوء و غسل و استعمال آب براى امثال اينها بدون علم به رضاى او يا اطمينان به رضا يا اذن او؛ و جواز حمل و تصدّق به آنچه كه جائز است اكل و شرب، خالى از وجه نيست؛ و افساد در هيچ كدام جائز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حكم اكل، ملازم با حكم دخول نيست در جواز و منع بنا بر اظهر، و فرقى بين والدين و اجداد و جدّات نيست در اين 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اظهر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مفاتح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مراد، اختياردار مأكول است اگر چه به التزام و شاهد حال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احوط عدم عموم حكم به عناوين محققه به رضاع است</w:t>
      </w:r>
      <w:r>
        <w:rPr>
          <w:rFonts w:eastAsia="Amiri" w:cs="Amiri" w:ascii="Amiri" w:hAnsi="Amiri"/>
          <w:color w:val="111111"/>
          <w:sz w:val="28"/>
          <w:szCs w:val="28"/>
          <w:rtl w:val="true"/>
          <w:lang w:bidi="ar-SA"/>
        </w:rPr>
        <w:t>.</w:t>
      </w:r>
    </w:p>
    <w:p>
      <w:pPr>
        <w:pStyle w:val="Heading4"/>
        <w:numPr>
          <w:ilvl w:val="3"/>
          <w:numId w:val="1"/>
        </w:numPr>
        <w:rPr/>
      </w:pPr>
      <w:bookmarkStart w:id="3479" w:name="__RefHeading___Toc3809907_1067777946"/>
      <w:bookmarkStart w:id="3480" w:name="_Toc1466"/>
      <w:bookmarkEnd w:id="3479"/>
      <w:r>
        <w:rPr>
          <w:rtl w:val="true"/>
        </w:rPr>
        <w:t>حق مارّه</w:t>
      </w:r>
      <w:bookmarkEnd w:id="348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جائز است اكل عبور كنندگان، از ميوه هاى درخت خرما به شروطى كه در محلش مذكور است، و آنكه حكم، عامّ به غير آن از اشجار و زرع است يا نه</w:t>
      </w:r>
      <w:r>
        <w:rPr>
          <w:rFonts w:eastAsia="IRNazanin" w:cs="IRNazanin"/>
          <w:color w:val="111111"/>
          <w:sz w:val="28"/>
          <w:szCs w:val="28"/>
          <w:rtl w:val="true"/>
          <w:lang w:bidi="fa-IR"/>
        </w:rPr>
        <w:t>.</w:t>
      </w:r>
    </w:p>
    <w:p>
      <w:pPr>
        <w:pStyle w:val="Heading4"/>
        <w:numPr>
          <w:ilvl w:val="3"/>
          <w:numId w:val="1"/>
        </w:numPr>
        <w:rPr/>
      </w:pPr>
      <w:bookmarkStart w:id="3481" w:name="__RefHeading___Toc3809909_1067777946"/>
      <w:bookmarkStart w:id="3482" w:name="_Toc1467"/>
      <w:bookmarkEnd w:id="3481"/>
      <w:r>
        <w:rPr>
          <w:rtl w:val="true"/>
        </w:rPr>
        <w:t>حكم آب دهان و اشك چشم در صورت تناول نجس و سرمه نجس</w:t>
      </w:r>
      <w:bookmarkEnd w:id="348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تناول نجسى نمايد مسكر يا غير آن، و يا با نجس سرمه كشيده باشد چشم را، آب دهن يا اشك چشم كه خارج مى شود اگر متغير نيست به آن نجس، طاهر است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داند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متغير است يا در خارج، بعض</w:t>
      </w:r>
      <w:bookmarkStart w:id="3483" w:name="pg10265_90347"/>
    </w:p>
    <w:p>
      <w:pPr>
        <w:pStyle w:val="BookText"/>
        <w:rPr/>
      </w:pPr>
      <w:bookmarkEnd w:id="3483"/>
      <w:r>
        <w:rPr>
          <w:rFonts w:ascii="IRNazanin" w:hAnsi="IRNazanin" w:eastAsia="IRNazanin"/>
          <w:color w:val="111111"/>
          <w:sz w:val="28"/>
          <w:sz w:val="28"/>
          <w:szCs w:val="28"/>
          <w:rtl w:val="true"/>
          <w:lang w:bidi="fa-IR"/>
        </w:rPr>
        <w:t>اجزاء نجس داخل است و قبل از خروج، مستهلك نشده است آنچه كه ممكن است استهلاك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كفايت احتمال زوال نجاست سابقه و تغيير سابق و استهلاك در باطن است، و علم به زوال اگر چه عالم به حدوث بوده لازم نيست</w:t>
      </w:r>
      <w:r>
        <w:rPr>
          <w:rFonts w:eastAsia="IRNazanin" w:cs="IRNazanin"/>
          <w:color w:val="111111"/>
          <w:sz w:val="28"/>
          <w:szCs w:val="28"/>
          <w:rtl w:val="true"/>
          <w:lang w:bidi="fa-IR"/>
        </w:rPr>
        <w:t>.</w:t>
      </w:r>
    </w:p>
    <w:p>
      <w:pPr>
        <w:pStyle w:val="Heading4"/>
        <w:numPr>
          <w:ilvl w:val="3"/>
          <w:numId w:val="1"/>
        </w:numPr>
        <w:rPr/>
      </w:pPr>
      <w:bookmarkStart w:id="3484" w:name="__RefHeading___Toc3809911_1067777946"/>
      <w:bookmarkStart w:id="3485" w:name="_Toc1468"/>
      <w:bookmarkEnd w:id="3484"/>
      <w:r>
        <w:rPr>
          <w:rtl w:val="true"/>
        </w:rPr>
        <w:t>ثمن خمر در صورت كه بايع، ذمّى باشد</w:t>
      </w:r>
      <w:bookmarkEnd w:id="348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ذمّى خمر را فروخت به مثل خودش و قبض ثمن نكرده مسلمان شد، مى تواند قبض نمايد آن را بعد از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مسلمان مى تواند دَينى را كه بر ذمى دارد، از ثمن خمرى را كه ذمى بيع كرد و پرداخت به مسلمان، قبض نمايد به عنوان وفاى دين</w:t>
      </w:r>
      <w:r>
        <w:rPr>
          <w:rFonts w:eastAsia="IRNazanin" w:cs="IRNazanin"/>
          <w:color w:val="111111"/>
          <w:sz w:val="28"/>
          <w:szCs w:val="28"/>
          <w:rtl w:val="true"/>
          <w:lang w:bidi="fa-IR"/>
        </w:rPr>
        <w:t>.</w:t>
      </w:r>
    </w:p>
    <w:p>
      <w:pPr>
        <w:pStyle w:val="Heading4"/>
        <w:numPr>
          <w:ilvl w:val="3"/>
          <w:numId w:val="1"/>
        </w:numPr>
        <w:rPr/>
      </w:pPr>
      <w:bookmarkStart w:id="3486" w:name="__RefHeading___Toc3809913_1067777946"/>
      <w:bookmarkStart w:id="3487" w:name="_Toc1469"/>
      <w:bookmarkEnd w:id="3486"/>
      <w:r>
        <w:rPr>
          <w:rtl w:val="true"/>
        </w:rPr>
        <w:t>منقلب شدن خمر به سركه</w:t>
      </w:r>
      <w:bookmarkEnd w:id="3487"/>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خمر منقلب شد به سركه از خودش، حلال و طاهر است؛ و اما به اقسام علاج، پس حليت و طهارت آنها تفصيلش در كتاب طهارت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عدم فرق است بين بقاى آنچه با آن علاج شده و زوال آن قبل از انقلاب، چنانچه مشهور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استهلاك خمر در خلّ يا آب، موجب طهارت و حليت آن نيست</w:t>
      </w:r>
      <w:r>
        <w:rPr>
          <w:rFonts w:eastAsia="Amiri" w:cs="Amiri" w:ascii="Amiri" w:hAnsi="Amiri"/>
          <w:color w:val="111111"/>
          <w:sz w:val="28"/>
          <w:szCs w:val="28"/>
          <w:rtl w:val="true"/>
          <w:lang w:bidi="ar-SA"/>
        </w:rPr>
        <w:t>.</w:t>
      </w:r>
    </w:p>
    <w:p>
      <w:pPr>
        <w:pStyle w:val="Heading4"/>
        <w:numPr>
          <w:ilvl w:val="3"/>
          <w:numId w:val="1"/>
        </w:numPr>
        <w:rPr/>
      </w:pPr>
      <w:bookmarkStart w:id="3488" w:name="__RefHeading___Toc3809915_1067777946"/>
      <w:bookmarkStart w:id="3489" w:name="_Toc1470"/>
      <w:bookmarkEnd w:id="3488"/>
      <w:r>
        <w:rPr>
          <w:rtl w:val="true"/>
        </w:rPr>
        <w:t>استعمال ظرف خمر</w:t>
      </w:r>
      <w:bookmarkEnd w:id="3489"/>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ظروف خمر اگر به نحوى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در باطن آن نفوذ نكرده يا معلوم نيست نفوذ كرده باشد، استعمال آن بعد از تطهير ظاهر مانعى ندارد؛ و اگر معلوم باشد نفوذ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آنكه از چوب باشد و مدتى در آن خمر مانده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تطهير ظاهر و استعمال آن مانعى ندارد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نفوذ 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اتّصال 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باطن به ظاهر حاصل نشود به نحوى كه موجب سرايت رطوبت متنجسه است به ظاهرى كه ملاقاتش به مجرد اتّصال است، و مجرد اتّصال پاك با نجس با رطوبت، منجّس نيست</w:t>
      </w:r>
      <w:r>
        <w:rPr>
          <w:rFonts w:eastAsia="IRNazanin" w:cs="IRNazanin"/>
          <w:color w:val="111111"/>
          <w:sz w:val="28"/>
          <w:szCs w:val="28"/>
          <w:rtl w:val="true"/>
          <w:lang w:bidi="fa-IR"/>
        </w:rPr>
        <w:t>.</w:t>
      </w:r>
      <w:bookmarkStart w:id="3490" w:name="pg10265_90348"/>
    </w:p>
    <w:p>
      <w:pPr>
        <w:pStyle w:val="Heading4"/>
        <w:numPr>
          <w:ilvl w:val="3"/>
          <w:numId w:val="1"/>
        </w:numPr>
        <w:rPr/>
      </w:pPr>
      <w:bookmarkStart w:id="3491" w:name="__RefHeading___Toc3809917_1067777946"/>
      <w:bookmarkStart w:id="3492" w:name="_Toc1471"/>
      <w:bookmarkEnd w:id="3490"/>
      <w:bookmarkEnd w:id="3491"/>
      <w:r>
        <w:rPr>
          <w:rtl w:val="true"/>
        </w:rPr>
        <w:t>حكم مشروبى كه كثير آن مسكر يا مضر است</w:t>
      </w:r>
      <w:bookmarkEnd w:id="3492"/>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مشروبى كه كثير آن مسكر باشد، قليل آن هم حرام است، و اگر كثير آن مضر باشد قليل غير مضر حرام نيست، مثل رُبّ انار و سيب و سكنجبين كثير اينها مسكر نيست و حرام نيست</w:t>
      </w:r>
      <w:r>
        <w:rPr>
          <w:rFonts w:eastAsia="IRNazanin" w:cs="IRNazanin"/>
          <w:color w:val="111111"/>
          <w:sz w:val="28"/>
          <w:szCs w:val="28"/>
          <w:rtl w:val="true"/>
          <w:lang w:bidi="fa-IR"/>
        </w:rPr>
        <w:t>.</w:t>
      </w:r>
    </w:p>
    <w:p>
      <w:pPr>
        <w:pStyle w:val="Heading4"/>
        <w:numPr>
          <w:ilvl w:val="3"/>
          <w:numId w:val="1"/>
        </w:numPr>
        <w:rPr/>
      </w:pPr>
      <w:bookmarkStart w:id="3493" w:name="__RefHeading___Toc3809919_1067777946"/>
      <w:bookmarkStart w:id="3494" w:name="_Toc1472"/>
      <w:bookmarkEnd w:id="3493"/>
      <w:r>
        <w:rPr>
          <w:rtl w:val="true"/>
        </w:rPr>
        <w:t>برخى مكروهات در باب اطعمه و اشربه</w:t>
      </w:r>
      <w:bookmarkEnd w:id="3494"/>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مكروه است سقى مسكرات به بهائم و مطلق 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مكروه است بيع عصير با اجل در سلف و غير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مكروه است خوردن طعامى يا شرابى كه غير مأمون، مباشرت آن نموده از جنب و حائض غير مأمونه و كسانى كه تحفظ از نجاسات نمى نمايند</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مكروه است تناول عصير مغلىّ‌، از كسى كه مستحلّ است آن را قبل از تثليث آن اگر چه اخبار به تثليث آن نمود، اگر چه احوط اجتناب است مگر از مأخوذ از مؤمن غير متّهَم لكن جائز است اخذ از مسلمان مخبر از تثليث بنا بر اظهر</w:t>
      </w:r>
      <w:r>
        <w:rPr>
          <w:rFonts w:eastAsia="IRNazanin" w:cs="IRNazanin"/>
          <w:color w:val="111111"/>
          <w:sz w:val="28"/>
          <w:szCs w:val="28"/>
          <w:rtl w:val="true"/>
          <w:lang w:bidi="fa-IR"/>
        </w:rPr>
        <w:t xml:space="preserve">. </w:t>
      </w:r>
      <w:bookmarkStart w:id="3495" w:name="pg10265_90349"/>
    </w:p>
    <w:p>
      <w:pPr>
        <w:pStyle w:val="Heading3"/>
        <w:numPr>
          <w:ilvl w:val="2"/>
          <w:numId w:val="1"/>
        </w:numPr>
        <w:rPr/>
      </w:pPr>
      <w:bookmarkStart w:id="3496" w:name="__RefHeading___Toc3809921_1067777946"/>
      <w:bookmarkStart w:id="3497" w:name="_Toc1473"/>
      <w:bookmarkEnd w:id="3495"/>
      <w:bookmarkEnd w:id="3496"/>
      <w:r>
        <w:rPr>
          <w:rtl w:val="true"/>
        </w:rPr>
        <w:t>فصل ششم احكام حال اضطرار</w:t>
      </w:r>
      <w:bookmarkEnd w:id="3497"/>
    </w:p>
    <w:p>
      <w:pPr>
        <w:pStyle w:val="Heading4"/>
        <w:numPr>
          <w:ilvl w:val="3"/>
          <w:numId w:val="1"/>
        </w:numPr>
        <w:rPr/>
      </w:pPr>
      <w:bookmarkStart w:id="3498" w:name="__RefHeading___Toc3809923_1067777946"/>
      <w:bookmarkStart w:id="3499" w:name="_Toc1474"/>
      <w:bookmarkEnd w:id="3498"/>
      <w:r>
        <w:rPr>
          <w:rtl w:val="true"/>
        </w:rPr>
        <w:t>اشاره</w:t>
      </w:r>
      <w:bookmarkEnd w:id="3499"/>
    </w:p>
    <w:p>
      <w:pPr>
        <w:pStyle w:val="BookText"/>
        <w:rPr/>
      </w:pPr>
      <w:r>
        <w:rPr>
          <w:rFonts w:ascii="IRNazanin" w:hAnsi="IRNazanin" w:eastAsia="IRNazanin"/>
          <w:color w:val="111111"/>
          <w:sz w:val="28"/>
          <w:sz w:val="28"/>
          <w:szCs w:val="28"/>
          <w:rtl w:val="true"/>
          <w:lang w:bidi="fa-IR"/>
        </w:rPr>
        <w:t>محرمات متقدّمه، تناول آنها در حال اختيار حرام است، و اما در حال اضطرار پس مقدار رافع ضرورت، مانعى ندارد در غير آنچه مذكور خواهد شد</w:t>
      </w:r>
      <w:r>
        <w:rPr>
          <w:rFonts w:eastAsia="IRNazanin" w:cs="IRNazanin"/>
          <w:color w:val="111111"/>
          <w:sz w:val="28"/>
          <w:szCs w:val="28"/>
          <w:rtl w:val="true"/>
          <w:lang w:bidi="fa-IR"/>
        </w:rPr>
        <w:t>.</w:t>
      </w:r>
    </w:p>
    <w:p>
      <w:pPr>
        <w:pStyle w:val="Heading4"/>
        <w:numPr>
          <w:ilvl w:val="3"/>
          <w:numId w:val="1"/>
        </w:numPr>
        <w:rPr/>
      </w:pPr>
      <w:bookmarkStart w:id="3500" w:name="__RefHeading___Toc3809925_1067777946"/>
      <w:bookmarkStart w:id="3501" w:name="_Toc1475"/>
      <w:bookmarkEnd w:id="3500"/>
      <w:r>
        <w:rPr>
          <w:rtl w:val="true"/>
        </w:rPr>
        <w:t>نحوۀ تحقق اضطرار</w:t>
      </w:r>
      <w:bookmarkEnd w:id="3501"/>
    </w:p>
    <w:p>
      <w:pPr>
        <w:pStyle w:val="BookText"/>
        <w:rPr/>
      </w:pPr>
      <w:r>
        <w:rPr>
          <w:rFonts w:ascii="IRNazanin" w:hAnsi="IRNazanin" w:eastAsia="IRNazanin"/>
          <w:color w:val="111111"/>
          <w:sz w:val="28"/>
          <w:sz w:val="28"/>
          <w:szCs w:val="28"/>
          <w:rtl w:val="true"/>
          <w:lang w:bidi="fa-IR"/>
        </w:rPr>
        <w:t xml:space="preserve">اضطرار محقّق مى شود به غير خوف تلف نفس مثل خوف ايجاب ترك تناولِ ميته مثلاً مرض را؛ و هم چنين خوف تلف نفس محترمۀ ديگر مثل حامل نسبت به جنين و مرضعه نسبت به طفل؛ و اكراهى كه در آن خوف اتلاف نفس محترمه يا عرض مسلمان يا مال محترم كه مضر به حال صاحبش باشد تلف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ضررهاى غير متحمَّل به حسب عادت، يا طول مرض و عسر علاج آن اگر مخوف باشد</w:t>
      </w:r>
      <w:r>
        <w:rPr>
          <w:rFonts w:eastAsia="IRNazanin" w:cs="IRNazanin"/>
          <w:color w:val="111111"/>
          <w:sz w:val="28"/>
          <w:szCs w:val="28"/>
          <w:rtl w:val="true"/>
          <w:lang w:bidi="fa-IR"/>
        </w:rPr>
        <w:t>.</w:t>
      </w:r>
    </w:p>
    <w:p>
      <w:pPr>
        <w:pStyle w:val="Heading4"/>
        <w:numPr>
          <w:ilvl w:val="3"/>
          <w:numId w:val="1"/>
        </w:numPr>
        <w:rPr/>
      </w:pPr>
      <w:bookmarkStart w:id="3502" w:name="__RefHeading___Toc3809927_1067777946"/>
      <w:bookmarkStart w:id="3503" w:name="_Toc1476"/>
      <w:bookmarkEnd w:id="3502"/>
      <w:r>
        <w:rPr>
          <w:rtl w:val="true"/>
        </w:rPr>
        <w:t>مراد از باغى و عادى و متجانف اثم</w:t>
      </w:r>
      <w:bookmarkEnd w:id="3503"/>
    </w:p>
    <w:p>
      <w:pPr>
        <w:pStyle w:val="BookText"/>
        <w:rPr/>
      </w:pPr>
      <w:r>
        <w:rPr>
          <w:rFonts w:ascii="Amiri" w:hAnsi="Amiri" w:eastAsia="Amiri" w:cs="Amiri"/>
          <w:color w:val="111111"/>
          <w:sz w:val="28"/>
          <w:sz w:val="28"/>
          <w:szCs w:val="28"/>
          <w:rtl w:val="true"/>
          <w:lang w:bidi="ar-SA"/>
        </w:rPr>
        <w:t>خارج است از حكم مضطرّ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متجانف اثم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به طور مختلف نقل شده است تفسير اين عناوين، و ممكن است اختلاف، در بيان مصاديق باشد و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بر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قاطع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متلذذ به اكل 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انحاى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 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مصاديق مذكورات باشد كه به مناسبت با اكل ميته و نحو آن اختيار ذكر آنها شده است</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شايد مراد از آيۀ شريفه، بغى و عدوان و انحراف به سوى معصيت در امور مربوطۀ به اكل حرام باشد، مثل اينكه در طريق خروج بر امام يا قطع طريق يا </w:t>
      </w:r>
      <w:bookmarkStart w:id="3504" w:name="pg10265_90350"/>
    </w:p>
    <w:p>
      <w:pPr>
        <w:pStyle w:val="BookText"/>
        <w:rPr/>
      </w:pPr>
      <w:bookmarkEnd w:id="3504"/>
      <w:r>
        <w:rPr>
          <w:rFonts w:ascii="IRNazanin" w:hAnsi="IRNazanin" w:eastAsia="IRNazanin"/>
          <w:color w:val="111111"/>
          <w:sz w:val="28"/>
          <w:sz w:val="28"/>
          <w:szCs w:val="28"/>
          <w:rtl w:val="true"/>
          <w:lang w:bidi="fa-IR"/>
        </w:rPr>
        <w:t>سرقت، يا آنكه كار او اكل اين حرام باشد، يا در سفر معصيت اين اضطرار حاصل بشود، و غير اين امور آنچه به حكم آنها است، ملحق به آنها باشد به مساوات يا اولويت؛ و اظهر اين است كه حرمت تناول در مقدار حافظ حيات، دائر است مدار بقاى بر قصد معصيت؛ و به توبۀ مناسبه و عزم بر ترك آن، عنوان زائل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4"/>
        <w:numPr>
          <w:ilvl w:val="3"/>
          <w:numId w:val="1"/>
        </w:numPr>
        <w:rPr/>
      </w:pPr>
      <w:bookmarkStart w:id="3505" w:name="__RefHeading___Toc3809929_1067777946"/>
      <w:bookmarkStart w:id="3506" w:name="_Toc1477"/>
      <w:bookmarkEnd w:id="3505"/>
      <w:r>
        <w:rPr>
          <w:rtl w:val="true"/>
        </w:rPr>
        <w:t>حد اباحۀ محرمات در حال اضطرار</w:t>
      </w:r>
      <w:bookmarkEnd w:id="3506"/>
    </w:p>
    <w:p>
      <w:pPr>
        <w:pStyle w:val="BookText"/>
        <w:rPr/>
      </w:pPr>
      <w:r>
        <w:rPr>
          <w:rFonts w:ascii="IRNazanin" w:hAnsi="IRNazanin" w:eastAsia="IRNazanin"/>
          <w:color w:val="111111"/>
          <w:sz w:val="28"/>
          <w:sz w:val="28"/>
          <w:szCs w:val="28"/>
          <w:rtl w:val="true"/>
          <w:lang w:bidi="fa-IR"/>
        </w:rPr>
        <w:t>و حدّ مباح در صورت اباحه، ازالۀ خوف تلف است؛ و اگر به كمتر از سيرى حاصل شد، تا حد شبع جائز نيست تناول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احتمال مباح و عدم بدهد تا وقتى كه ملحوظ است براى خوف تلف، جائز است بلكه لازم است حمل آن حرام اگر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جائز نيست براى محفوظيت از آن وقت، تناول و اكل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صورت عدم متوقَع، تناول نمايد بقيه را تا زمان زوال خوف</w:t>
      </w:r>
      <w:r>
        <w:rPr>
          <w:rFonts w:eastAsia="IRNazanin" w:cs="IRNazanin"/>
          <w:color w:val="111111"/>
          <w:sz w:val="28"/>
          <w:szCs w:val="28"/>
          <w:rtl w:val="true"/>
          <w:lang w:bidi="fa-IR"/>
        </w:rPr>
        <w:t>.</w:t>
      </w:r>
    </w:p>
    <w:p>
      <w:pPr>
        <w:pStyle w:val="Heading4"/>
        <w:numPr>
          <w:ilvl w:val="3"/>
          <w:numId w:val="1"/>
        </w:numPr>
        <w:rPr/>
      </w:pPr>
      <w:bookmarkStart w:id="3507" w:name="__RefHeading___Toc3809931_1067777946"/>
      <w:bookmarkStart w:id="3508" w:name="_Toc1478"/>
      <w:bookmarkEnd w:id="3507"/>
      <w:r>
        <w:rPr>
          <w:rtl w:val="true"/>
        </w:rPr>
        <w:t>وجوب دفع و بذل به مضطرّ بالفعل</w:t>
      </w:r>
      <w:bookmarkEnd w:id="3508"/>
    </w:p>
    <w:p>
      <w:pPr>
        <w:pStyle w:val="BookText"/>
        <w:rPr/>
      </w:pPr>
      <w:r>
        <w:rPr>
          <w:rFonts w:ascii="IRNazanin" w:hAnsi="IRNazanin" w:eastAsia="IRNazanin"/>
          <w:color w:val="111111"/>
          <w:sz w:val="28"/>
          <w:sz w:val="28"/>
          <w:szCs w:val="28"/>
          <w:rtl w:val="true"/>
          <w:lang w:bidi="fa-IR"/>
        </w:rPr>
        <w:t>و اگر مضطر، ديگرى بود و خودش مضطر بالفعل نبود، اظهر وجوب دفع به آن مضطر بالفعل است بدون عوض، اگر چه توقع اضطرار فيما بعد داشته باشد؛ و در ترجيح اضطرار فعلى بر اضطرار معلوم در زمان بَعد تأمّل است</w:t>
      </w:r>
      <w:r>
        <w:rPr>
          <w:rFonts w:eastAsia="IRNazanin" w:cs="IRNazanin"/>
          <w:color w:val="111111"/>
          <w:sz w:val="28"/>
          <w:szCs w:val="28"/>
          <w:rtl w:val="true"/>
          <w:lang w:bidi="fa-IR"/>
        </w:rPr>
        <w:t>.</w:t>
      </w:r>
    </w:p>
    <w:p>
      <w:pPr>
        <w:pStyle w:val="Heading4"/>
        <w:numPr>
          <w:ilvl w:val="3"/>
          <w:numId w:val="1"/>
        </w:numPr>
        <w:rPr/>
      </w:pPr>
      <w:bookmarkStart w:id="3509" w:name="__RefHeading___Toc3809933_1067777946"/>
      <w:bookmarkStart w:id="3510" w:name="_Toc1479"/>
      <w:bookmarkEnd w:id="3509"/>
      <w:r>
        <w:rPr>
          <w:rtl w:val="true"/>
        </w:rPr>
        <w:t>مسأله استحقاق عوض در بذل به مضطرّ</w:t>
      </w:r>
      <w:bookmarkEnd w:id="3510"/>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مضطر به طعامِ مملوكِ غير باشد و ثمن را نداشته باشد، بر غير،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او؛ و اظهر اين است كه واجب، اعم از بذل مجانى است، بلكه مى تواند در ذمّۀ او ثابت بنمايد به توقع اداء از وجوه مستحقه از بيت المال يا جماعتى از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قيد مجّانيّت دفع مى نمايد واجب است قبول آن اگر چه مستلزم منّت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خودش بذل كرد بدون مطالبه، مشكل است استحقاق عوض، مثل نجات دادن غريق به قصد اجرت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 استحقاق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بذل </w:t>
      </w:r>
      <w:bookmarkStart w:id="3511" w:name="pg10265_90351"/>
    </w:p>
    <w:p>
      <w:pPr>
        <w:pStyle w:val="BookText"/>
        <w:rPr/>
      </w:pPr>
      <w:bookmarkEnd w:id="3511"/>
      <w:r>
        <w:rPr>
          <w:rFonts w:ascii="IRNazanin" w:hAnsi="IRNazanin" w:eastAsia="IRNazanin"/>
          <w:color w:val="111111"/>
          <w:sz w:val="28"/>
          <w:sz w:val="28"/>
          <w:szCs w:val="28"/>
          <w:rtl w:val="true"/>
          <w:lang w:bidi="fa-IR"/>
        </w:rPr>
        <w:t>به عوض كرد و تعيين عوض نكرد، بر او است مثل يا قيمت وقت اتلاف و مكان آن، و در اين صورت سير شدن جائز است اگر مبذول به عوض، مقدّر به سدّ رمق نباشد؛ و اگر تعيين عوض كرد به ثمن المثل، بيع يا در حكم بيع است</w:t>
      </w:r>
      <w:r>
        <w:rPr>
          <w:rFonts w:eastAsia="IRNazanin" w:cs="IRNazanin"/>
          <w:color w:val="111111"/>
          <w:sz w:val="28"/>
          <w:szCs w:val="28"/>
          <w:rtl w:val="true"/>
          <w:lang w:bidi="fa-IR"/>
        </w:rPr>
        <w:t>.</w:t>
      </w:r>
    </w:p>
    <w:p>
      <w:pPr>
        <w:pStyle w:val="Heading4"/>
        <w:numPr>
          <w:ilvl w:val="3"/>
          <w:numId w:val="1"/>
        </w:numPr>
        <w:rPr/>
      </w:pPr>
      <w:bookmarkStart w:id="3512" w:name="__RefHeading___Toc3809935_1067777946"/>
      <w:bookmarkStart w:id="3513" w:name="_Toc1480"/>
      <w:bookmarkEnd w:id="3512"/>
      <w:r>
        <w:rPr>
          <w:rtl w:val="true"/>
        </w:rPr>
        <w:t>عدم جواز بذل كسى كه خود مضطرّ است، به ديگرى</w:t>
      </w:r>
      <w:bookmarkEnd w:id="3513"/>
    </w:p>
    <w:p>
      <w:pPr>
        <w:pStyle w:val="BookText"/>
        <w:rPr/>
      </w:pPr>
      <w:r>
        <w:rPr>
          <w:rFonts w:ascii="IRNazanin" w:hAnsi="IRNazanin" w:eastAsia="IRNazanin"/>
          <w:color w:val="111111"/>
          <w:sz w:val="28"/>
          <w:sz w:val="28"/>
          <w:szCs w:val="28"/>
          <w:rtl w:val="true"/>
          <w:lang w:bidi="fa-IR"/>
        </w:rPr>
        <w:t>و اگر هر دو مضطر بالفعل باشند، جائز نيست براى مالك، دفع به غير اگر خائف تلف باشند، مگر مثل نبىّ و وصىّ‌، و در غير اين دو با قطع به اهميّت بقاى طرف، احتمال جواز بلكه وجوب دفع، قائم است</w:t>
      </w:r>
      <w:r>
        <w:rPr>
          <w:rFonts w:eastAsia="IRNazanin" w:cs="IRNazanin"/>
          <w:color w:val="111111"/>
          <w:sz w:val="28"/>
          <w:szCs w:val="28"/>
          <w:rtl w:val="true"/>
          <w:lang w:bidi="fa-IR"/>
        </w:rPr>
        <w:t>.</w:t>
      </w:r>
    </w:p>
    <w:p>
      <w:pPr>
        <w:pStyle w:val="Heading4"/>
        <w:numPr>
          <w:ilvl w:val="3"/>
          <w:numId w:val="1"/>
        </w:numPr>
        <w:rPr/>
      </w:pPr>
      <w:bookmarkStart w:id="3514" w:name="__RefHeading___Toc3809937_1067777946"/>
      <w:bookmarkStart w:id="3515" w:name="_Toc1481"/>
      <w:bookmarkEnd w:id="3514"/>
      <w:r>
        <w:rPr>
          <w:rtl w:val="true"/>
        </w:rPr>
        <w:t>عدم اختصاص مضطر به مسلم</w:t>
      </w:r>
      <w:bookmarkEnd w:id="3515"/>
    </w:p>
    <w:p>
      <w:pPr>
        <w:pStyle w:val="BookText"/>
        <w:rPr/>
      </w:pPr>
      <w:r>
        <w:rPr>
          <w:rFonts w:ascii="IRNazanin" w:hAnsi="IRNazanin" w:eastAsia="IRNazanin"/>
          <w:color w:val="111111"/>
          <w:sz w:val="28"/>
          <w:sz w:val="28"/>
          <w:szCs w:val="28"/>
          <w:rtl w:val="true"/>
          <w:lang w:bidi="fa-IR"/>
        </w:rPr>
        <w:t xml:space="preserve">و اگر خودش مضطر نباشد دفع به مضطر فى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اعم از مجّانيّت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چه آنكه مسلمان باشد، يا در ذمه اسلام، يا در امان مسلمانها باشد</w:t>
      </w:r>
      <w:r>
        <w:rPr>
          <w:rFonts w:eastAsia="IRNazanin" w:cs="IRNazanin"/>
          <w:color w:val="111111"/>
          <w:sz w:val="28"/>
          <w:szCs w:val="28"/>
          <w:rtl w:val="true"/>
          <w:lang w:bidi="fa-IR"/>
        </w:rPr>
        <w:t>.</w:t>
      </w:r>
    </w:p>
    <w:p>
      <w:pPr>
        <w:pStyle w:val="Heading4"/>
        <w:numPr>
          <w:ilvl w:val="3"/>
          <w:numId w:val="1"/>
        </w:numPr>
        <w:rPr/>
      </w:pPr>
      <w:bookmarkStart w:id="3516" w:name="__RefHeading___Toc3809939_1067777946"/>
      <w:bookmarkStart w:id="3517" w:name="_Toc1482"/>
      <w:bookmarkEnd w:id="3516"/>
      <w:r>
        <w:rPr>
          <w:rtl w:val="true"/>
        </w:rPr>
        <w:t>رجوع به حاكم براى الزام به دفع ضرر مضطر</w:t>
      </w:r>
      <w:bookmarkEnd w:id="3517"/>
    </w:p>
    <w:p>
      <w:pPr>
        <w:pStyle w:val="BookText"/>
        <w:rPr/>
      </w:pPr>
      <w:r>
        <w:rPr>
          <w:rFonts w:ascii="Amiri" w:hAnsi="Amiri" w:eastAsia="Amiri" w:cs="Amiri"/>
          <w:color w:val="111111"/>
          <w:sz w:val="28"/>
          <w:sz w:val="28"/>
          <w:szCs w:val="28"/>
          <w:rtl w:val="true"/>
          <w:lang w:bidi="ar-SA"/>
        </w:rPr>
        <w:t xml:space="preserve">و در وجوب دفع به مضطر بالفعل با توقّع اضطرار متأخّر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طور قطع يا ظنّ يا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خودش يا واجب النفقۀ خودش، بلكه در جواز دفع، تأمّل است</w:t>
      </w:r>
      <w:r>
        <w:rPr>
          <w:rFonts w:eastAsia="Amiri" w:cs="Amiri" w:ascii="Amiri" w:hAnsi="Amiri"/>
          <w:color w:val="111111"/>
          <w:sz w:val="28"/>
          <w:szCs w:val="28"/>
          <w:rtl w:val="true"/>
          <w:lang w:bidi="ar-SA"/>
        </w:rPr>
        <w:t>.</w:t>
      </w:r>
    </w:p>
    <w:p>
      <w:pPr>
        <w:pStyle w:val="Heading4"/>
        <w:numPr>
          <w:ilvl w:val="3"/>
          <w:numId w:val="1"/>
        </w:numPr>
        <w:rPr/>
      </w:pPr>
      <w:bookmarkStart w:id="3518" w:name="__RefHeading___Toc3809941_1067777946"/>
      <w:bookmarkStart w:id="3519" w:name="_Toc1483"/>
      <w:bookmarkEnd w:id="3518"/>
      <w:r>
        <w:rPr>
          <w:rtl w:val="true"/>
        </w:rPr>
        <w:t>دفع به مضطرّ بالفعل با توقع اضطرار در خود</w:t>
      </w:r>
      <w:bookmarkEnd w:id="3519"/>
    </w:p>
    <w:p>
      <w:pPr>
        <w:pStyle w:val="BookText"/>
        <w:rPr/>
      </w:pPr>
      <w:r>
        <w:rPr>
          <w:rFonts w:ascii="IRNazanin" w:hAnsi="IRNazanin" w:eastAsia="IRNazanin"/>
          <w:color w:val="111111"/>
          <w:sz w:val="28"/>
          <w:sz w:val="28"/>
          <w:szCs w:val="28"/>
          <w:rtl w:val="true"/>
          <w:lang w:bidi="fa-IR"/>
        </w:rPr>
        <w:t>و در صورت وجوب دفع اگر امتناع كرد بدون عذر، مى تواند رجوع به حاكم يا عدل مؤمن نمايد براى الزام به دفع، و اگر آن هم متعذر شد خودش مى تواند با اجبار اخذ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اظهر وجوب دفع مقدار سدّ رمق تا زمان وصول به غذاء و شراب به نحو يقين يا 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حسب اختلاف فرض و 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4"/>
        <w:numPr>
          <w:ilvl w:val="3"/>
          <w:numId w:val="1"/>
        </w:numPr>
        <w:rPr/>
      </w:pPr>
      <w:bookmarkStart w:id="3520" w:name="__RefHeading___Toc3809943_1067777946"/>
      <w:bookmarkStart w:id="3521" w:name="_Toc1484"/>
      <w:bookmarkEnd w:id="3520"/>
      <w:r>
        <w:rPr>
          <w:rtl w:val="true"/>
        </w:rPr>
        <w:t>تبعيّت قرينه و اخذ به قول مالك</w:t>
      </w:r>
      <w:bookmarkEnd w:id="3521"/>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مالك، اطعام كرد مضطر را، تابع قرينۀ بر مجّانيّت است عدم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نزاع </w:t>
      </w:r>
      <w:bookmarkStart w:id="3522" w:name="pg10265_90352"/>
    </w:p>
    <w:p>
      <w:pPr>
        <w:pStyle w:val="BookText"/>
        <w:rPr/>
      </w:pPr>
      <w:bookmarkEnd w:id="3522"/>
      <w:r>
        <w:rPr>
          <w:rFonts w:ascii="Amiri" w:hAnsi="Amiri" w:eastAsia="Amiri" w:cs="Amiri"/>
          <w:color w:val="111111"/>
          <w:sz w:val="28"/>
          <w:sz w:val="28"/>
          <w:szCs w:val="28"/>
          <w:rtl w:val="true"/>
          <w:lang w:bidi="ar-SA"/>
        </w:rPr>
        <w:t>در مجّانيّت يا قصد عوض، قول مالك مقدّم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طعام، محتاج به طبخ يا ادخال در حلق مريض و مضطر باشد، محتمل است استحقاق اجرت المثل عمل واجب</w:t>
      </w:r>
      <w:r>
        <w:rPr>
          <w:rFonts w:eastAsia="IRNazanin" w:cs="IRNazanin"/>
          <w:color w:val="111111"/>
          <w:sz w:val="28"/>
          <w:szCs w:val="28"/>
          <w:rtl w:val="true"/>
          <w:lang w:bidi="fa-IR"/>
        </w:rPr>
        <w:t>.</w:t>
      </w:r>
    </w:p>
    <w:p>
      <w:pPr>
        <w:pStyle w:val="Heading4"/>
        <w:numPr>
          <w:ilvl w:val="3"/>
          <w:numId w:val="1"/>
        </w:numPr>
        <w:rPr/>
      </w:pPr>
      <w:bookmarkStart w:id="3523" w:name="__RefHeading___Toc3809945_1067777946"/>
      <w:bookmarkStart w:id="3524" w:name="_Toc1485"/>
      <w:bookmarkEnd w:id="3523"/>
      <w:r>
        <w:rPr>
          <w:rtl w:val="true"/>
        </w:rPr>
        <w:t>حفظ بهائم و بعض صور دوران</w:t>
      </w:r>
      <w:bookmarkEnd w:id="3524"/>
    </w:p>
    <w:p>
      <w:pPr>
        <w:pStyle w:val="BookText"/>
        <w:rPr/>
      </w:pPr>
      <w:r>
        <w:rPr>
          <w:rFonts w:ascii="Amiri" w:hAnsi="Amiri" w:eastAsia="Amiri" w:cs="Amiri"/>
          <w:color w:val="111111"/>
          <w:sz w:val="28"/>
          <w:sz w:val="28"/>
          <w:szCs w:val="28"/>
          <w:rtl w:val="true"/>
          <w:lang w:bidi="ar-SA"/>
        </w:rPr>
        <w:t>احوط بذل مال به عوض است براى ابقاى بهيمۀ محترمۀ مملوكۀ غير، و براى آدمى حربى و كلب عقور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كلب غير عقور و گوسفندى مال غير بودند و هر دو تلف آنها از گرسنگى مخوف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براى سدّ رمق يكى كافى بود، ملاحظۀ اقرب به بقا در نظر مالك مى شود؛ و اگر مرجح نبود ضائع از قيمت گوسفند به واسطۀ ذبح و از كلب ميّت، ملاحظۀ اكثريت ماليت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مال مالك غير حاضر، همان معامله اى كه اگر حاضر بود مى شد به جا آورده مى شود، و قدرت بر عوض فعلاً لازم نيست و كافى است اشتغال ذمّۀ مضطرّ به نحوى كه گذشت</w:t>
      </w:r>
      <w:r>
        <w:rPr>
          <w:rFonts w:eastAsia="IRNazanin" w:cs="IRNazanin"/>
          <w:color w:val="111111"/>
          <w:sz w:val="28"/>
          <w:szCs w:val="28"/>
          <w:rtl w:val="true"/>
          <w:lang w:bidi="fa-IR"/>
        </w:rPr>
        <w:t>.</w:t>
      </w:r>
    </w:p>
    <w:p>
      <w:pPr>
        <w:pStyle w:val="Heading4"/>
        <w:numPr>
          <w:ilvl w:val="3"/>
          <w:numId w:val="1"/>
        </w:numPr>
        <w:rPr/>
      </w:pPr>
      <w:bookmarkStart w:id="3525" w:name="__RefHeading___Toc3809947_1067777946"/>
      <w:bookmarkStart w:id="3526" w:name="_Toc1486"/>
      <w:bookmarkEnd w:id="3525"/>
      <w:r>
        <w:rPr>
          <w:rtl w:val="true"/>
        </w:rPr>
        <w:t>امورى كه بر باذل و بر مضطر به طعام يا شراب، لازم است</w:t>
      </w:r>
      <w:bookmarkEnd w:id="3526"/>
    </w:p>
    <w:p>
      <w:pPr>
        <w:pStyle w:val="BookText"/>
        <w:rPr/>
      </w:pPr>
      <w:r>
        <w:rPr>
          <w:rFonts w:ascii="IRNazanin" w:hAnsi="IRNazanin" w:eastAsia="IRNazanin"/>
          <w:color w:val="111111"/>
          <w:sz w:val="28"/>
          <w:sz w:val="28"/>
          <w:szCs w:val="28"/>
          <w:rtl w:val="true"/>
          <w:lang w:bidi="fa-IR"/>
        </w:rPr>
        <w:t>و بر مضطر واجب است دفع ثمن المثل حاضر، و مطالبۀ دفع بلاعوض، جائز نيست؛ و اگر امتناع كرد از دفع ثمن حاضر، واجب نيست بذل طعام؛ و در صورت بذل واجب بدون قصد مجانيّت، در ذمه او ثابت است اگر چه قاصد اتلاف مجانى بوده است مال باذل را بدون شاهد اختيارى بر مجّانيّت دفع</w:t>
      </w:r>
      <w:r>
        <w:rPr>
          <w:rFonts w:eastAsia="IRNazanin" w:cs="IRNazanin"/>
          <w:color w:val="111111"/>
          <w:sz w:val="28"/>
          <w:szCs w:val="28"/>
          <w:rtl w:val="true"/>
          <w:lang w:bidi="fa-IR"/>
        </w:rPr>
        <w:t>.</w:t>
      </w:r>
    </w:p>
    <w:p>
      <w:pPr>
        <w:pStyle w:val="Heading4"/>
        <w:numPr>
          <w:ilvl w:val="3"/>
          <w:numId w:val="1"/>
        </w:numPr>
        <w:rPr/>
      </w:pPr>
      <w:bookmarkStart w:id="3527" w:name="__RefHeading___Toc3809949_1067777946"/>
      <w:bookmarkStart w:id="3528" w:name="_Toc1487"/>
      <w:bookmarkEnd w:id="3527"/>
      <w:r>
        <w:rPr>
          <w:rtl w:val="true"/>
        </w:rPr>
        <w:t>عدم مطالبۀ ازيد از ثمن براى مالك</w:t>
      </w:r>
      <w:bookmarkEnd w:id="3528"/>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احوط براى مالك طعام، عدم مطالبۀ ازيد از ثمن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معاملۀ با مضطرّ به ضررهايى كه منتهى به تلف نفس يا مرض مى شود به نحوى كه واجب باشد حفظ از آنها بر هر متمكّن</w:t>
      </w:r>
      <w:r>
        <w:rPr>
          <w:rFonts w:eastAsia="Amiri" w:cs="Amiri" w:ascii="Amiri" w:hAnsi="Amiri"/>
          <w:color w:val="111111"/>
          <w:sz w:val="28"/>
          <w:szCs w:val="28"/>
          <w:rtl w:val="true"/>
          <w:lang w:bidi="ar-SA"/>
        </w:rPr>
        <w:t xml:space="preserve">. </w:t>
      </w:r>
      <w:bookmarkStart w:id="3529" w:name="pg10265_90353"/>
    </w:p>
    <w:p>
      <w:pPr>
        <w:pStyle w:val="Heading4"/>
        <w:numPr>
          <w:ilvl w:val="3"/>
          <w:numId w:val="1"/>
        </w:numPr>
        <w:rPr/>
      </w:pPr>
      <w:bookmarkStart w:id="3530" w:name="__RefHeading___Toc3809951_1067777946"/>
      <w:bookmarkStart w:id="3531" w:name="_Toc1488"/>
      <w:bookmarkEnd w:id="3529"/>
      <w:bookmarkEnd w:id="3530"/>
      <w:r>
        <w:rPr>
          <w:rtl w:val="true"/>
        </w:rPr>
        <w:t>احوطيّت عدم منازعه با مالك</w:t>
      </w:r>
      <w:bookmarkEnd w:id="3531"/>
    </w:p>
    <w:p>
      <w:pPr>
        <w:pStyle w:val="BookText"/>
        <w:rPr/>
      </w:pPr>
      <w:r>
        <w:rPr>
          <w:rFonts w:ascii="IRNazanin" w:hAnsi="IRNazanin" w:eastAsia="IRNazanin"/>
          <w:color w:val="111111"/>
          <w:sz w:val="28"/>
          <w:sz w:val="28"/>
          <w:szCs w:val="28"/>
          <w:rtl w:val="true"/>
          <w:lang w:bidi="fa-IR"/>
        </w:rPr>
        <w:t xml:space="preserve">و احوط براى مضطر، عدم منازعه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تمكّن از ازيد مطلوب مالك از ثمن المثل، اگر مجحف به حال مضطر نباشد؛ و در صورت امتناع از غير مجحف، احتمال جواز يا وجوب اجبار، قائم است</w:t>
      </w:r>
      <w:r>
        <w:rPr>
          <w:rFonts w:eastAsia="IRNazanin" w:cs="IRNazanin"/>
          <w:color w:val="111111"/>
          <w:sz w:val="28"/>
          <w:szCs w:val="28"/>
          <w:rtl w:val="true"/>
          <w:lang w:bidi="fa-IR"/>
        </w:rPr>
        <w:t>.</w:t>
      </w:r>
    </w:p>
    <w:p>
      <w:pPr>
        <w:pStyle w:val="Heading4"/>
        <w:numPr>
          <w:ilvl w:val="3"/>
          <w:numId w:val="1"/>
        </w:numPr>
        <w:rPr/>
      </w:pPr>
      <w:bookmarkStart w:id="3532" w:name="__RefHeading___Toc3809953_1067777946"/>
      <w:bookmarkStart w:id="3533" w:name="_Toc1489"/>
      <w:bookmarkEnd w:id="3532"/>
      <w:r>
        <w:rPr>
          <w:rtl w:val="true"/>
        </w:rPr>
        <w:t>عدم ضمان از يد از ثمن المثل</w:t>
      </w:r>
      <w:bookmarkEnd w:id="3533"/>
    </w:p>
    <w:p>
      <w:pPr>
        <w:pStyle w:val="BookText"/>
        <w:rPr/>
      </w:pPr>
      <w:r>
        <w:rPr>
          <w:rFonts w:ascii="Amiri" w:hAnsi="Amiri" w:eastAsia="Amiri" w:cs="Amiri"/>
          <w:color w:val="111111"/>
          <w:sz w:val="28"/>
          <w:sz w:val="28"/>
          <w:szCs w:val="28"/>
          <w:rtl w:val="true"/>
          <w:lang w:bidi="ar-SA"/>
        </w:rPr>
        <w:t xml:space="preserve">و در صورت اطعام مالك، با مباشرت، بدون مطالبه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سبب اغما و نحو آن در 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بدون سبق معامله، اقرب عدم ضمان ازيد از ثمن المثل يا مثل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جايى كه اجبار جائز است، اقرب وجوب احتيال به معاملۀ فاسده با عدم دفع ازيد از ثمن واجب الاداء است، در مقابل منازعۀ منتهيۀ به محرّم بر تقدير عدم اضطرار</w:t>
      </w:r>
      <w:r>
        <w:rPr>
          <w:rFonts w:eastAsia="Amiri" w:cs="Amiri" w:ascii="Amiri" w:hAnsi="Amiri"/>
          <w:color w:val="111111"/>
          <w:sz w:val="28"/>
          <w:szCs w:val="28"/>
          <w:rtl w:val="true"/>
          <w:lang w:bidi="ar-SA"/>
        </w:rPr>
        <w:t>.</w:t>
      </w:r>
    </w:p>
    <w:p>
      <w:pPr>
        <w:pStyle w:val="Heading4"/>
        <w:numPr>
          <w:ilvl w:val="3"/>
          <w:numId w:val="1"/>
        </w:numPr>
        <w:rPr/>
      </w:pPr>
      <w:bookmarkStart w:id="3534" w:name="__RefHeading___Toc3809955_1067777946"/>
      <w:bookmarkStart w:id="3535" w:name="_Toc1490"/>
      <w:bookmarkEnd w:id="3534"/>
      <w:r>
        <w:rPr>
          <w:rtl w:val="true"/>
        </w:rPr>
        <w:t>دوران امر بين اكل ميته و مال غير</w:t>
      </w:r>
      <w:bookmarkEnd w:id="3535"/>
    </w:p>
    <w:p>
      <w:pPr>
        <w:pStyle w:val="BookText"/>
        <w:rPr/>
      </w:pPr>
      <w:r>
        <w:rPr>
          <w:rFonts w:ascii="IRNazanin" w:hAnsi="IRNazanin" w:eastAsia="IRNazanin"/>
          <w:color w:val="111111"/>
          <w:sz w:val="28"/>
          <w:sz w:val="28"/>
          <w:szCs w:val="28"/>
          <w:rtl w:val="true"/>
          <w:lang w:bidi="fa-IR"/>
        </w:rPr>
        <w:t xml:space="preserve">اگر ميتۀ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غيرى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غير، بذل كرد به ثمن المثل، حلال نمى شود ميته؛ و اگر بذل نكرد مگر با ازيد به نحو مجحف، حلال مى شود؛ و اگر به ازيد غير مجحف بذل نمود، محل تأمّل است، و احوط شراء با ازيد از ثمن المثل است اگر مقدور باشد و عدم منازعۀ با مالك در تنزّل به ثمن المثل در صورت قوت مضطر و ضعف صاحب، چنانچه احوط براى مالك، بذل به ثمن المثل است، چنانچه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ازيد مجحف، احتمال جواز يا وجوب اجبار با ضعف مالك و عدم حليت اكل ميته، قائم است، نه در صورت عكس كه اظهر حليت اكل ميته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غائب مثل حاضر است مگر در جريان قوت از دفع از طعام و در احتمال عدم اذن در غير ازيد از ثمن المثل كه مورد احتياط بود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مضطر پيدا نكرد مگر ميّت از آدمى را كه محترم باشد، به قدر امساك رمق </w:t>
      </w:r>
      <w:bookmarkStart w:id="3536" w:name="pg10265_90354"/>
    </w:p>
    <w:p>
      <w:pPr>
        <w:pStyle w:val="BookText"/>
        <w:rPr/>
      </w:pPr>
      <w:bookmarkEnd w:id="3536"/>
      <w:r>
        <w:rPr>
          <w:rFonts w:ascii="IRNazanin" w:hAnsi="IRNazanin" w:eastAsia="IRNazanin"/>
          <w:color w:val="111111"/>
          <w:sz w:val="28"/>
          <w:sz w:val="28"/>
          <w:szCs w:val="28"/>
          <w:rtl w:val="true"/>
          <w:lang w:bidi="fa-IR"/>
        </w:rPr>
        <w:t>تناول نمايد و اگر توانست طبخ ننمايد، مگر آنكه نبى يا وصى نبى باشد؛ و در ميتۀ غير آدمى يا آدمى غير محترم، مطبوخ و غير آن فرقى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ميتۀ آدمى محترم و ميتۀ غير آدمى باشد، دومى مقدّم است در جواز اكل اگر چه خنزير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غير محترم مثل غير آدمى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كه بر او صيد حرام است، اگر پيدا كرد آدمى محترم و صيد را، اختيار مى كند دومى را براى سدّ رمق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امر مُحرِم، دائر بين صيد مذكّى و ميتۀ غير آدمى باشد، پس با تمكّن از فداء، اختيار مى كند صيد را، و با عدم تمكّن و نبودن مرجّح ديگرى، ترجيح، محلّ تأمّل است اگر چه ترجيح صيد و رجوع به بدل 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راجح است؛ و از سدّ رمق تجاوز نمى نمايد مگر با خوف تلف تا زمانى كه حفظ حيات تا آن زمان وصول به حلال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مضطر پيدا نكرد غير آدمى ميّت محترم را امساك رمق از گوشت او مى نمايد مگر آنكه نبى يا وصى نبى باشد، و اگر زنده بود نمى تواند قتل نمايد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فرق بين عبد و سيّد، و ولد و والدين، و شريف و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كافر حربى باشد، نه كافر محترم مثل ذمّى و معاهد، و اگر مباح باشد خون او مثل حربى و مرتد و زانى محصن، مى تواند در حال اضطرار، مرتكب قتل بشود براى حفظ حيات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 غير، حقّ قصاص به قتل دارد و در حال اضطرار پيدا كرد او را نه غير او را، مى تواند از قتل او استفاده حفظ حيات نمايد؛ و در غير اضطرار اكل بعد از قتل، جائز نيست مثل آنكه بعد از قتل متمكّن شد از غير ميتۀ آدمى؛ و در قتل اطفال و زنهاى اهل حرب در حال اضطرار تأمّل است</w:t>
      </w:r>
      <w:r>
        <w:rPr>
          <w:rFonts w:eastAsia="IRNazanin" w:cs="IRNazanin"/>
          <w:color w:val="111111"/>
          <w:sz w:val="28"/>
          <w:szCs w:val="28"/>
          <w:rtl w:val="true"/>
          <w:lang w:bidi="fa-IR"/>
        </w:rPr>
        <w:t>.</w:t>
      </w:r>
    </w:p>
    <w:p>
      <w:pPr>
        <w:pStyle w:val="Heading4"/>
        <w:numPr>
          <w:ilvl w:val="3"/>
          <w:numId w:val="1"/>
        </w:numPr>
        <w:rPr/>
      </w:pPr>
      <w:bookmarkStart w:id="3537" w:name="__RefHeading___Toc3809957_1067777946"/>
      <w:bookmarkStart w:id="3538" w:name="_Toc1491"/>
      <w:bookmarkEnd w:id="3537"/>
      <w:r>
        <w:rPr>
          <w:rtl w:val="true"/>
        </w:rPr>
        <w:t>اگر مضطر، فقط بتواند با قطعه اى از بدن خودش، سد جوع كند</w:t>
      </w:r>
      <w:bookmarkEnd w:id="3538"/>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غير از خودش را پيدا ننمايد و بتواند با قطعه اى از بعض بدنش حفظ حيات نمايد، و خوف بر خودش از جوع، غالب باشد بر خوف از قطع مقدارى از گوشت </w:t>
      </w:r>
      <w:bookmarkStart w:id="3539" w:name="pg10265_90355"/>
    </w:p>
    <w:p>
      <w:pPr>
        <w:pStyle w:val="BookText"/>
        <w:rPr/>
      </w:pPr>
      <w:bookmarkEnd w:id="3539"/>
      <w:r>
        <w:rPr>
          <w:rFonts w:ascii="IRNazanin" w:hAnsi="IRNazanin" w:eastAsia="IRNazanin"/>
          <w:color w:val="111111"/>
          <w:sz w:val="28"/>
          <w:sz w:val="28"/>
          <w:szCs w:val="28"/>
          <w:rtl w:val="true"/>
          <w:lang w:bidi="fa-IR"/>
        </w:rPr>
        <w:t>ران خودش مثلاً به طورى كه بداند يا مطمئن به سلامت خودش از هلاكت باشد با اكل آن قطعه، جائز است بلكه واجب است قطع، به مقدار كافى در حفظ حيات تا زمانى كه مى داند ظفر به غير ميتۀ آدمى نمى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خوف هلاك به سبب جوع، اشدّ باشد از خوف آن به سبب قطع عضو</w:t>
      </w:r>
      <w:r>
        <w:rPr>
          <w:rFonts w:eastAsia="IRNazanin" w:cs="IRNazanin"/>
          <w:color w:val="111111"/>
          <w:sz w:val="28"/>
          <w:szCs w:val="28"/>
          <w:rtl w:val="true"/>
          <w:lang w:bidi="fa-IR"/>
        </w:rPr>
        <w:t>.</w:t>
      </w:r>
    </w:p>
    <w:p>
      <w:pPr>
        <w:pStyle w:val="Heading4"/>
        <w:numPr>
          <w:ilvl w:val="3"/>
          <w:numId w:val="1"/>
        </w:numPr>
        <w:rPr/>
      </w:pPr>
      <w:bookmarkStart w:id="3540" w:name="__RefHeading___Toc3809959_1067777946"/>
      <w:bookmarkStart w:id="3541" w:name="_Toc1492"/>
      <w:bookmarkEnd w:id="3540"/>
      <w:r>
        <w:rPr>
          <w:rtl w:val="true"/>
        </w:rPr>
        <w:t>قطع عضو از شخصى ديگرى براى خود يا از خود براى ديگرى</w:t>
      </w:r>
      <w:bookmarkEnd w:id="3541"/>
    </w:p>
    <w:p>
      <w:pPr>
        <w:pStyle w:val="BookText"/>
        <w:rPr/>
      </w:pPr>
      <w:r>
        <w:rPr>
          <w:rFonts w:ascii="IRNazanin" w:hAnsi="IRNazanin" w:eastAsia="IRNazanin"/>
          <w:color w:val="111111"/>
          <w:sz w:val="28"/>
          <w:sz w:val="28"/>
          <w:szCs w:val="28"/>
          <w:rtl w:val="true"/>
          <w:lang w:bidi="fa-IR"/>
        </w:rPr>
        <w:t>و چنين قطعى از ديگرى كه خون او مباح نيست جائز نيست، اگر چه بداند سالم خواهد بود از مرگ بنا بر احوط، به حسب مرتكزات دينيّه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خودش نمى تواند عضوى از خودش را قطع نمايد براى مضطرى كه خوف هلاكت در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قاطع به سلامت خودش باشد و به هلاكت غير، از جوع در تقدير عدم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احتياط؛ و اگر قطع كرد و زمان وصل آن گذشت يا ممكن نبود، جائز و واجب مى شود اطعام مضطر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مضطر، نبى يا وصى او باشد، جائز است قطع عضو خودش براى مضطر نمايد، اگر چه قاطع به عدم سلامت خودش باشد</w:t>
      </w:r>
      <w:r>
        <w:rPr>
          <w:rFonts w:eastAsia="IRNazanin" w:cs="IRNazanin"/>
          <w:color w:val="111111"/>
          <w:sz w:val="28"/>
          <w:szCs w:val="28"/>
          <w:rtl w:val="true"/>
          <w:lang w:bidi="fa-IR"/>
        </w:rPr>
        <w:t>.</w:t>
      </w:r>
    </w:p>
    <w:p>
      <w:pPr>
        <w:pStyle w:val="Heading4"/>
        <w:numPr>
          <w:ilvl w:val="3"/>
          <w:numId w:val="1"/>
        </w:numPr>
        <w:rPr/>
      </w:pPr>
      <w:bookmarkStart w:id="3542" w:name="__RefHeading___Toc3809961_1067777946"/>
      <w:bookmarkStart w:id="3543" w:name="_Toc1493"/>
      <w:bookmarkEnd w:id="3542"/>
      <w:r>
        <w:rPr>
          <w:rtl w:val="true"/>
        </w:rPr>
        <w:t>اضطرار به شرب بعض مايعات محرّمه</w:t>
      </w:r>
      <w:bookmarkEnd w:id="3543"/>
    </w:p>
    <w:p>
      <w:pPr>
        <w:pStyle w:val="BookText"/>
        <w:rPr/>
      </w:pPr>
      <w:r>
        <w:rPr>
          <w:rFonts w:ascii="IRNazanin" w:hAnsi="IRNazanin" w:eastAsia="IRNazanin"/>
          <w:color w:val="111111"/>
          <w:sz w:val="28"/>
          <w:sz w:val="28"/>
          <w:szCs w:val="28"/>
          <w:rtl w:val="true"/>
          <w:lang w:bidi="fa-IR"/>
        </w:rPr>
        <w:t>و اگر مضطرّ به يكى از خمر و بول نجس بشود و رفع عطش با هر يك مى تواند بنمايد، تقديم مى نمايد بول را؛ و اگر مضطر به يكى از آب متنجس و بول باشد، تقديم مى نمايد آب را؛ و اگر مضطر به يكى از ميته مأكول و ميته غير مأكول باشد، تقديم مى نمايد اولى را</w:t>
      </w:r>
      <w:r>
        <w:rPr>
          <w:rFonts w:eastAsia="IRNazanin" w:cs="IRNazanin"/>
          <w:color w:val="111111"/>
          <w:sz w:val="28"/>
          <w:szCs w:val="28"/>
          <w:rtl w:val="true"/>
          <w:lang w:bidi="fa-IR"/>
        </w:rPr>
        <w:t>.</w:t>
      </w:r>
    </w:p>
    <w:p>
      <w:pPr>
        <w:pStyle w:val="Heading4"/>
        <w:numPr>
          <w:ilvl w:val="3"/>
          <w:numId w:val="1"/>
        </w:numPr>
        <w:rPr/>
      </w:pPr>
      <w:bookmarkStart w:id="3544" w:name="__RefHeading___Toc3809963_1067777946"/>
      <w:bookmarkStart w:id="3545" w:name="_Toc1494"/>
      <w:bookmarkEnd w:id="3544"/>
      <w:r>
        <w:rPr>
          <w:rtl w:val="true"/>
        </w:rPr>
        <w:t>دوران بين ميته و حىّ غير مأكول قابل تذكيه</w:t>
      </w:r>
      <w:bookmarkEnd w:id="3545"/>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مضطر به يكى از ميته مأكول كه نجس است و حىّ غير مأكول كه قابل تذكيه است باشد، تذكيه مى نمايد حىّ را و تناول مى نمايد به مقدار سدّ رمق از مذكّى كه محرّم الأكل است</w:t>
      </w:r>
      <w:r>
        <w:rPr>
          <w:rFonts w:eastAsia="IRNazanin" w:cs="IRNazanin"/>
          <w:color w:val="111111"/>
          <w:sz w:val="28"/>
          <w:szCs w:val="28"/>
          <w:rtl w:val="true"/>
          <w:lang w:bidi="fa-IR"/>
        </w:rPr>
        <w:t xml:space="preserve">. </w:t>
      </w:r>
      <w:bookmarkStart w:id="3546" w:name="pg10265_90356"/>
    </w:p>
    <w:p>
      <w:pPr>
        <w:pStyle w:val="BookText"/>
        <w:rPr/>
      </w:pPr>
      <w:bookmarkEnd w:id="3546"/>
      <w:r>
        <w:rPr>
          <w:rFonts w:ascii="Amiri" w:hAnsi="Amiri" w:eastAsia="Amiri" w:cs="Amiri"/>
          <w:color w:val="111111"/>
          <w:sz w:val="28"/>
          <w:sz w:val="28"/>
          <w:szCs w:val="28"/>
          <w:rtl w:val="true"/>
          <w:lang w:bidi="ar-SA"/>
        </w:rPr>
        <w:t>ميتۀ شرعى مثل مذبوح كافر، بر ميتۀ عرفى و شرعى مقدّم است، و مذبوح كتابى بر مذبوح حربى مقدّم است، و در موارد عدم ترجيح به حسب شرع، تخيير در رفع اضطرار ثابت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مضطر پيدا نكرد غير خمر را اظهر جواز شرب به قدر سد رمق تا زمان بقاى خوف بر نفس است، و هم چنين سائر مسكرات از مشروب و از معجون در مأكول آنها</w:t>
      </w:r>
      <w:r>
        <w:rPr>
          <w:rFonts w:eastAsia="IRNazanin" w:cs="IRNazanin"/>
          <w:color w:val="111111"/>
          <w:sz w:val="28"/>
          <w:szCs w:val="28"/>
          <w:rtl w:val="true"/>
          <w:lang w:bidi="fa-IR"/>
        </w:rPr>
        <w:t>.</w:t>
      </w:r>
    </w:p>
    <w:p>
      <w:pPr>
        <w:pStyle w:val="Heading4"/>
        <w:numPr>
          <w:ilvl w:val="3"/>
          <w:numId w:val="1"/>
        </w:numPr>
        <w:rPr/>
      </w:pPr>
      <w:bookmarkStart w:id="3547" w:name="__RefHeading___Toc3809965_1067777946"/>
      <w:bookmarkStart w:id="3548" w:name="_Toc1495"/>
      <w:bookmarkEnd w:id="3547"/>
      <w:r>
        <w:rPr>
          <w:rtl w:val="true"/>
        </w:rPr>
        <w:t>تداوى با خمر يا يكى از مسكرات</w:t>
      </w:r>
      <w:bookmarkEnd w:id="3548"/>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جائز است تداوى با خمر يا يكى از مسكرات مطلقاً، يا نه مطلقاً، يا اينكه تفصيل است بين ثابت بودن انحصار و غير آن‌؟ اظهر حرمت است با عدم علم يا اطمينان حاصل از قول اهل خبره به انحصار علاج به آن، و در صورت علم يا ثبوت انحصار اظهر جواز است به قدر ضرورت در كمّ و كيف؛ حتى ضميمۀ دواء مقدّم است بر مستقل، و اللّٰه العالم</w:t>
      </w:r>
      <w:r>
        <w:rPr>
          <w:rFonts w:eastAsia="Amiri" w:cs="Amiri" w:ascii="Amiri" w:hAnsi="Amiri"/>
          <w:color w:val="111111"/>
          <w:sz w:val="28"/>
          <w:szCs w:val="28"/>
          <w:rtl w:val="true"/>
          <w:lang w:bidi="ar-SA"/>
        </w:rPr>
        <w:t xml:space="preserve">. </w:t>
      </w:r>
      <w:bookmarkStart w:id="3549" w:name="pg10265_90357"/>
    </w:p>
    <w:p>
      <w:pPr>
        <w:pStyle w:val="Heading3"/>
        <w:numPr>
          <w:ilvl w:val="2"/>
          <w:numId w:val="1"/>
        </w:numPr>
        <w:rPr/>
      </w:pPr>
      <w:bookmarkStart w:id="3550" w:name="__RefHeading___Toc3809967_1067777946"/>
      <w:bookmarkStart w:id="3551" w:name="_Toc1496"/>
      <w:bookmarkEnd w:id="3549"/>
      <w:bookmarkEnd w:id="3550"/>
      <w:r>
        <w:rPr>
          <w:rtl w:val="true"/>
        </w:rPr>
        <w:t>فصل هفتم آداب تناول طعام و شراب</w:t>
      </w:r>
      <w:bookmarkEnd w:id="3551"/>
    </w:p>
    <w:p>
      <w:pPr>
        <w:pStyle w:val="Heading4"/>
        <w:numPr>
          <w:ilvl w:val="3"/>
          <w:numId w:val="1"/>
        </w:numPr>
        <w:rPr/>
      </w:pPr>
      <w:bookmarkStart w:id="3552" w:name="__RefHeading___Toc3809969_1067777946"/>
      <w:bookmarkStart w:id="3553" w:name="_Toc1497"/>
      <w:bookmarkEnd w:id="3552"/>
      <w:r>
        <w:rPr>
          <w:rtl w:val="true"/>
        </w:rPr>
        <w:t>مستحبات از أكل و شرب</w:t>
      </w:r>
      <w:bookmarkEnd w:id="3553"/>
    </w:p>
    <w:p>
      <w:pPr>
        <w:pStyle w:val="BookText"/>
        <w:rPr/>
      </w:pPr>
      <w:r>
        <w:rPr>
          <w:rFonts w:ascii="IRNazanin" w:hAnsi="IRNazanin" w:eastAsia="IRNazanin"/>
          <w:color w:val="111111"/>
          <w:sz w:val="28"/>
          <w:sz w:val="28"/>
          <w:szCs w:val="28"/>
          <w:rtl w:val="true"/>
          <w:lang w:bidi="fa-IR"/>
        </w:rPr>
        <w:t>مستحب است شستن دستها قبل از تناول طعام و بعد از آن، و پاك كردن با منديل بعد از شستن متأخّر از تناول طعام؛ و بعد از غَسل مستحب است مسح روى و ابروها و دعاى مأثور به اينكه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المحسن المجمل المنعم المفضل</w:t>
      </w:r>
      <w:r>
        <w:rPr>
          <w:rFonts w:eastAsia="IRNazanin" w:cs="IRNazanin"/>
          <w:color w:val="111111"/>
          <w:sz w:val="28"/>
          <w:szCs w:val="28"/>
          <w:rtl w:val="true"/>
          <w:lang w:bidi="fa-IR"/>
        </w:rPr>
        <w:t>».</w:t>
      </w:r>
    </w:p>
    <w:p>
      <w:pPr>
        <w:pStyle w:val="Heading4"/>
        <w:numPr>
          <w:ilvl w:val="3"/>
          <w:numId w:val="1"/>
        </w:numPr>
        <w:rPr/>
      </w:pPr>
      <w:bookmarkStart w:id="3554" w:name="__RefHeading___Toc3809971_1067777946"/>
      <w:bookmarkStart w:id="3555" w:name="_Toc1498"/>
      <w:bookmarkEnd w:id="3554"/>
      <w:r>
        <w:rPr>
          <w:rtl w:val="true"/>
        </w:rPr>
        <w:t>استحباب تسميه و تحميد</w:t>
      </w:r>
      <w:bookmarkEnd w:id="3555"/>
    </w:p>
    <w:p>
      <w:pPr>
        <w:pStyle w:val="BookText"/>
        <w:rPr/>
      </w:pPr>
      <w:r>
        <w:rPr>
          <w:rFonts w:ascii="IRNazanin" w:hAnsi="IRNazanin" w:eastAsia="IRNazanin"/>
          <w:color w:val="111111"/>
          <w:sz w:val="28"/>
          <w:sz w:val="28"/>
          <w:szCs w:val="28"/>
          <w:rtl w:val="true"/>
          <w:lang w:bidi="fa-IR"/>
        </w:rPr>
        <w:t>و مستحب است كه وقت شروع در تناول طعام بسم اللّٰه بگويد؛ و هم چنين بگويد بعد از فراغ، الحمد للّٰه؛ و هم چنين بگويد بسم اللّٰه در ابتداى آشاميدن آب، و بگويد الحمد للّٰه در آخر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در اثنا بگويد بسم اللّٰه را اگر در اول آن فراموش نموده باشد؛ و در اول، مستحب است اضافۀ تحميد بر 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اكل جماعتى با هم مجزى است تسميه يكى از ديگران، و شايد اجزاء از مرتبه اى از تأكّد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تحميد در اثنا هم مستحب است، و مروى است كه حضرت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مكرّراً در اثنا مى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الّذى جعلنى اشتهيه</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مستحب است دعاى مأثور بعد از فراغ؛ و مستحب است براى هر لونى از طعام يك دفعه بگويد بسم اللّٰه، و تكرار براى تعدّد ظروف طعام مروى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3556" w:name="pg10265_90358"/>
    </w:p>
    <w:p>
      <w:pPr>
        <w:pStyle w:val="BookText"/>
        <w:rPr/>
      </w:pPr>
      <w:bookmarkEnd w:id="3556"/>
      <w:r>
        <w:rPr>
          <w:rFonts w:ascii="IRNazanin" w:hAnsi="IRNazanin" w:eastAsia="IRNazanin"/>
          <w:color w:val="111111"/>
          <w:sz w:val="28"/>
          <w:sz w:val="28"/>
          <w:szCs w:val="28"/>
          <w:rtl w:val="true"/>
          <w:lang w:bidi="fa-IR"/>
        </w:rPr>
        <w:t>مستحب است كه ناسى اگر متذكّر شد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على اوّله و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مستحب است اعادۀ تسميه اگر بعد از تسميه تكلّم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تناول هر لقمه اى، مستحب است يك تسميه</w:t>
      </w:r>
      <w:r>
        <w:rPr>
          <w:rFonts w:eastAsia="IRNazanin" w:cs="IRNazanin"/>
          <w:color w:val="111111"/>
          <w:sz w:val="28"/>
          <w:szCs w:val="28"/>
          <w:rtl w:val="true"/>
          <w:lang w:bidi="fa-IR"/>
        </w:rPr>
        <w:t>.</w:t>
      </w:r>
    </w:p>
    <w:p>
      <w:pPr>
        <w:pStyle w:val="Heading4"/>
        <w:numPr>
          <w:ilvl w:val="3"/>
          <w:numId w:val="1"/>
        </w:numPr>
        <w:rPr/>
      </w:pPr>
      <w:bookmarkStart w:id="3557" w:name="__RefHeading___Toc3809973_1067777946"/>
      <w:bookmarkStart w:id="3558" w:name="_Toc1499"/>
      <w:bookmarkEnd w:id="3557"/>
      <w:r>
        <w:rPr>
          <w:rtl w:val="true"/>
        </w:rPr>
        <w:t>اكل با دست راست</w:t>
      </w:r>
      <w:bookmarkEnd w:id="3558"/>
    </w:p>
    <w:p>
      <w:pPr>
        <w:pStyle w:val="BookText"/>
        <w:rPr/>
      </w:pPr>
      <w:r>
        <w:rPr>
          <w:rFonts w:ascii="IRNazanin" w:hAnsi="IRNazanin" w:eastAsia="IRNazanin"/>
          <w:color w:val="111111"/>
          <w:sz w:val="28"/>
          <w:sz w:val="28"/>
          <w:szCs w:val="28"/>
          <w:rtl w:val="true"/>
          <w:lang w:bidi="fa-IR"/>
        </w:rPr>
        <w:t>و مستحب است در حال اختيار، با دست راست خوردن طعام، بلكه با دست چپ در حال اختيار مكروه است؛ و هم چنين شرب با دست چپ، بلكه مطلق تناول چيزى در غير مواضع استثنا؛ و خوردن انگور و انار با دست چپ كراهت ندارد</w:t>
      </w:r>
      <w:r>
        <w:rPr>
          <w:rFonts w:eastAsia="IRNazanin" w:cs="IRNazanin"/>
          <w:color w:val="111111"/>
          <w:sz w:val="28"/>
          <w:szCs w:val="28"/>
          <w:rtl w:val="true"/>
          <w:lang w:bidi="fa-IR"/>
        </w:rPr>
        <w:t>.</w:t>
      </w:r>
    </w:p>
    <w:p>
      <w:pPr>
        <w:pStyle w:val="Heading4"/>
        <w:numPr>
          <w:ilvl w:val="3"/>
          <w:numId w:val="1"/>
        </w:numPr>
        <w:rPr/>
      </w:pPr>
      <w:bookmarkStart w:id="3559" w:name="__RefHeading___Toc3809975_1067777946"/>
      <w:bookmarkStart w:id="3560" w:name="_Toc1500"/>
      <w:bookmarkEnd w:id="3559"/>
      <w:r>
        <w:rPr>
          <w:rtl w:val="true"/>
        </w:rPr>
        <w:t>مستحبّات بر صاحب طعام</w:t>
      </w:r>
      <w:bookmarkEnd w:id="3560"/>
    </w:p>
    <w:p>
      <w:pPr>
        <w:pStyle w:val="BookText"/>
        <w:rPr/>
      </w:pPr>
      <w:r>
        <w:rPr>
          <w:rFonts w:ascii="IRNazanin" w:hAnsi="IRNazanin" w:eastAsia="IRNazanin"/>
          <w:color w:val="111111"/>
          <w:sz w:val="28"/>
          <w:sz w:val="28"/>
          <w:szCs w:val="28"/>
          <w:rtl w:val="true"/>
          <w:lang w:bidi="fa-IR"/>
        </w:rPr>
        <w:t>و مستحب است صاحب طعام ابتدا نمايد از غير، و در فراغ تأخير نمايد از غير در اكل با جماعت؛ و اينكه هركجا صاحب طعام در مجلس نشسته باشد براى اكل با جماعت، در ابتداى تناول، اول دست خودش را بشويد بعد دست كسى را كه در طرف راست او است تا آخر جماعت؛ و در وقت فراغ، خودش بعد از همه دست خودش را مى شويد و ابتدا به كسى مى نمايد كه در طرف چپ صاحب منزل است، و محتمل است انحاى ديگر هم محقِّق مستحب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دعاى براى صاحب طعام به مأثور</w:t>
      </w:r>
      <w:r>
        <w:rPr>
          <w:rFonts w:eastAsia="IRNazanin" w:cs="IRNazanin"/>
          <w:color w:val="111111"/>
          <w:sz w:val="28"/>
          <w:szCs w:val="28"/>
          <w:rtl w:val="true"/>
          <w:lang w:bidi="fa-IR"/>
        </w:rPr>
        <w:t>.</w:t>
      </w:r>
    </w:p>
    <w:p>
      <w:pPr>
        <w:pStyle w:val="Heading4"/>
        <w:numPr>
          <w:ilvl w:val="3"/>
          <w:numId w:val="1"/>
        </w:numPr>
        <w:rPr/>
      </w:pPr>
      <w:bookmarkStart w:id="3561" w:name="__RefHeading___Toc3809977_1067777946"/>
      <w:bookmarkStart w:id="3562" w:name="_Toc1501"/>
      <w:bookmarkEnd w:id="3561"/>
      <w:r>
        <w:rPr>
          <w:rtl w:val="true"/>
        </w:rPr>
        <w:t>بعض مستحبات ديگر</w:t>
      </w:r>
      <w:bookmarkEnd w:id="35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غسالۀ غَسل دستها را در يك ظرف جمع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مستحب است استلقاى بعد از اكل، و اينكه در حال استلقاء پاى راست را بر پاى چپ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اكل با سه انگشت يا همه انگشتها، و مخالفت با كسانى كه با دو انگشت غذا مى خورند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آنكه در سفرۀ جماعت، از نزديك خودش بخورد و از نزديك ديگرى بر ندارد</w:t>
      </w:r>
      <w:r>
        <w:rPr>
          <w:rFonts w:eastAsia="IRNazanin" w:cs="IRNazanin"/>
          <w:color w:val="111111"/>
          <w:sz w:val="28"/>
          <w:szCs w:val="28"/>
          <w:rtl w:val="true"/>
          <w:lang w:bidi="fa-IR"/>
        </w:rPr>
        <w:t xml:space="preserve">. </w:t>
      </w:r>
      <w:bookmarkStart w:id="3563" w:name="pg10265_90359"/>
    </w:p>
    <w:p>
      <w:pPr>
        <w:pStyle w:val="Heading4"/>
        <w:numPr>
          <w:ilvl w:val="3"/>
          <w:numId w:val="1"/>
        </w:numPr>
        <w:rPr/>
      </w:pPr>
      <w:bookmarkStart w:id="3564" w:name="__RefHeading___Toc3809979_1067777946"/>
      <w:bookmarkStart w:id="3565" w:name="_Toc1502"/>
      <w:bookmarkEnd w:id="3563"/>
      <w:bookmarkEnd w:id="3564"/>
      <w:r>
        <w:rPr>
          <w:rtl w:val="true"/>
        </w:rPr>
        <w:t>مكروهات در باب أكل و شرب</w:t>
      </w:r>
      <w:bookmarkEnd w:id="3565"/>
    </w:p>
    <w:p>
      <w:pPr>
        <w:pStyle w:val="BookText"/>
        <w:rPr/>
      </w:pPr>
      <w:r>
        <w:rPr>
          <w:rFonts w:ascii="Amiri" w:hAnsi="Amiri" w:eastAsia="Amiri" w:cs="Amiri"/>
          <w:color w:val="111111"/>
          <w:sz w:val="28"/>
          <w:sz w:val="28"/>
          <w:szCs w:val="28"/>
          <w:rtl w:val="true"/>
          <w:lang w:bidi="ar-SA"/>
        </w:rPr>
        <w:t>و مكروه است اتّكا در حال خوردن غذا؛ و اعتماد بر دست در حال اكل، مكروه نيست</w:t>
      </w:r>
      <w:r>
        <w:rPr>
          <w:rFonts w:eastAsia="Amiri" w:cs="Amiri" w:ascii="Amiri" w:hAnsi="Amiri"/>
          <w:color w:val="111111"/>
          <w:sz w:val="28"/>
          <w:szCs w:val="28"/>
          <w:rtl w:val="true"/>
          <w:lang w:bidi="ar-SA"/>
        </w:rPr>
        <w:t>.</w:t>
      </w:r>
    </w:p>
    <w:p>
      <w:pPr>
        <w:pStyle w:val="Heading4"/>
        <w:numPr>
          <w:ilvl w:val="3"/>
          <w:numId w:val="1"/>
        </w:numPr>
        <w:rPr/>
      </w:pPr>
      <w:bookmarkStart w:id="3566" w:name="__RefHeading___Toc3809981_1067777946"/>
      <w:bookmarkStart w:id="3567" w:name="_Toc1503"/>
      <w:bookmarkEnd w:id="3566"/>
      <w:r>
        <w:rPr>
          <w:rtl w:val="true"/>
        </w:rPr>
        <w:t>كراهت اتكاى بر غير دست</w:t>
      </w:r>
      <w:bookmarkEnd w:id="3567"/>
    </w:p>
    <w:p>
      <w:pPr>
        <w:pStyle w:val="BookText"/>
        <w:rPr/>
      </w:pPr>
      <w:r>
        <w:rPr>
          <w:rFonts w:ascii="IRNazanin" w:hAnsi="IRNazanin" w:eastAsia="IRNazanin"/>
          <w:color w:val="111111"/>
          <w:sz w:val="28"/>
          <w:sz w:val="28"/>
          <w:szCs w:val="28"/>
          <w:rtl w:val="true"/>
          <w:lang w:bidi="fa-IR"/>
        </w:rPr>
        <w:t>و مستحب است جلوس به طرف چپ در حال اكل</w:t>
      </w:r>
      <w:r>
        <w:rPr>
          <w:rFonts w:eastAsia="IRNazanin" w:cs="IRNazanin"/>
          <w:color w:val="111111"/>
          <w:sz w:val="28"/>
          <w:szCs w:val="28"/>
          <w:rtl w:val="true"/>
          <w:lang w:bidi="fa-IR"/>
        </w:rPr>
        <w:t>.</w:t>
      </w:r>
    </w:p>
    <w:p>
      <w:pPr>
        <w:pStyle w:val="Heading4"/>
        <w:numPr>
          <w:ilvl w:val="3"/>
          <w:numId w:val="1"/>
        </w:numPr>
        <w:rPr/>
      </w:pPr>
      <w:bookmarkStart w:id="3568" w:name="__RefHeading___Toc3809983_1067777946"/>
      <w:bookmarkStart w:id="3569" w:name="_Toc1504"/>
      <w:bookmarkEnd w:id="3568"/>
      <w:r>
        <w:rPr>
          <w:rtl w:val="true"/>
        </w:rPr>
        <w:t>كراهت پر كردن شكم</w:t>
      </w:r>
      <w:bookmarkEnd w:id="3569"/>
    </w:p>
    <w:p>
      <w:pPr>
        <w:pStyle w:val="BookText"/>
        <w:rPr/>
      </w:pPr>
      <w:r>
        <w:rPr>
          <w:rFonts w:ascii="IRNazanin" w:hAnsi="IRNazanin" w:eastAsia="IRNazanin"/>
          <w:color w:val="111111"/>
          <w:sz w:val="28"/>
          <w:sz w:val="28"/>
          <w:szCs w:val="28"/>
          <w:rtl w:val="true"/>
          <w:lang w:bidi="fa-IR"/>
        </w:rPr>
        <w:t xml:space="preserve">و مكروه است پر كردن شكم از طعام با كثرت اكل؛ و در روايت تطبيق شده كريمۀ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تُسْرِفُوا</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بر كثرت 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اظهر كراهت شبع است از اكل به نحوى كه ضد فراغ براى عبادات باشد؛ و در روايت است چيزى احبّ نزد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از اين كه گرسنه باشد با خوف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تثليث شكم براى محل طعام و شراب و تنفس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افراطِ موجب ضرر و مرض، حرام است؛ و احوط ترك مظنون الضرر و مخوف الضرر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سيرى، خوردن غذا مكروه است و گاهى موجب مرض است</w:t>
      </w:r>
      <w:r>
        <w:rPr>
          <w:rFonts w:eastAsia="IRNazanin" w:cs="IRNazanin"/>
          <w:color w:val="111111"/>
          <w:sz w:val="28"/>
          <w:szCs w:val="28"/>
          <w:rtl w:val="true"/>
          <w:lang w:bidi="fa-IR"/>
        </w:rPr>
        <w:t>.</w:t>
      </w:r>
    </w:p>
    <w:p>
      <w:pPr>
        <w:pStyle w:val="Heading4"/>
        <w:numPr>
          <w:ilvl w:val="3"/>
          <w:numId w:val="1"/>
        </w:numPr>
        <w:rPr/>
      </w:pPr>
      <w:bookmarkStart w:id="3570" w:name="__RefHeading___Toc3809985_1067777946"/>
      <w:bookmarkStart w:id="3571" w:name="_Toc1505"/>
      <w:bookmarkEnd w:id="3570"/>
      <w:r>
        <w:rPr>
          <w:rtl w:val="true"/>
        </w:rPr>
        <w:t>فرق شبع و تملّى</w:t>
      </w:r>
      <w:bookmarkEnd w:id="3571"/>
    </w:p>
    <w:p>
      <w:pPr>
        <w:pStyle w:val="BookText"/>
        <w:rPr/>
      </w:pPr>
      <w:r>
        <w:rPr>
          <w:rFonts w:ascii="IRNazanin" w:hAnsi="IRNazanin" w:eastAsia="IRNazanin"/>
          <w:color w:val="111111"/>
          <w:sz w:val="28"/>
          <w:sz w:val="28"/>
          <w:szCs w:val="28"/>
          <w:rtl w:val="true"/>
          <w:lang w:bidi="fa-IR"/>
        </w:rPr>
        <w:t>و شبع و تملّى، عموم من وجه دارند، و به انتفاى شهوتِ طعام، شبع حاصل مى شود اگر چه تملّى نشده چنانچه در غذاهاى مقوّى معلوم است، و تملّى هم احياناً به واسطۀ مرض و غير آن، از شبع، افتراق مى نمايد چنانچه به معاويه منسوب است</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تجشّؤ به جانب بالا مكروه است؛ و هم چنين آب دهن ريختن به جانب بالا</w:t>
      </w:r>
      <w:r>
        <w:rPr>
          <w:rFonts w:eastAsia="IRNazanin" w:cs="IRNazanin"/>
          <w:color w:val="111111"/>
          <w:sz w:val="28"/>
          <w:szCs w:val="28"/>
          <w:rtl w:val="true"/>
          <w:lang w:bidi="fa-IR"/>
        </w:rPr>
        <w:t xml:space="preserve">. </w:t>
      </w:r>
      <w:bookmarkStart w:id="3572" w:name="pg10265_90360"/>
    </w:p>
    <w:p>
      <w:pPr>
        <w:pStyle w:val="Heading4"/>
        <w:numPr>
          <w:ilvl w:val="3"/>
          <w:numId w:val="1"/>
        </w:numPr>
        <w:rPr/>
      </w:pPr>
      <w:bookmarkStart w:id="3573" w:name="__RefHeading___Toc3809987_1067777946"/>
      <w:bookmarkStart w:id="3574" w:name="_Toc1506"/>
      <w:bookmarkEnd w:id="3572"/>
      <w:bookmarkEnd w:id="3573"/>
      <w:r>
        <w:rPr>
          <w:rtl w:val="true"/>
        </w:rPr>
        <w:t>حرمت اكل از مائدۀ شرب خمر يا مسكر</w:t>
      </w:r>
      <w:bookmarkEnd w:id="3574"/>
    </w:p>
    <w:p>
      <w:pPr>
        <w:pStyle w:val="BookText"/>
        <w:rPr/>
      </w:pPr>
      <w:r>
        <w:rPr>
          <w:rFonts w:ascii="IRNazanin" w:hAnsi="IRNazanin" w:eastAsia="IRNazanin"/>
          <w:color w:val="111111"/>
          <w:sz w:val="28"/>
          <w:sz w:val="28"/>
          <w:szCs w:val="28"/>
          <w:rtl w:val="true"/>
          <w:lang w:bidi="fa-IR"/>
        </w:rPr>
        <w:t>حرام است اكل از مائده اى كه در آن شرب خمر يا مسكر ديگرى مثل فقاع مى شود، يعنى در حال شرب، و احوط ترك جلوس است بر آن مائده در حال شرب، به خلاف ما بعد از وقوع شرب؛ و در تعدى به سائر مجالس معصيت تأمّل است، بلكه نهى از منكر با شرائط آن واجب است، مگر آنكه احراز شود اهميت معصيت از شرب خمر در نظر شرع با موافقت با مورد اين حكم در خصوصيّات</w:t>
      </w:r>
      <w:r>
        <w:rPr>
          <w:rFonts w:eastAsia="IRNazanin" w:cs="IRNazanin"/>
          <w:color w:val="111111"/>
          <w:sz w:val="28"/>
          <w:szCs w:val="28"/>
          <w:rtl w:val="true"/>
          <w:lang w:bidi="fa-IR"/>
        </w:rPr>
        <w:t>.</w:t>
      </w:r>
    </w:p>
    <w:p>
      <w:pPr>
        <w:pStyle w:val="Heading4"/>
        <w:numPr>
          <w:ilvl w:val="3"/>
          <w:numId w:val="1"/>
        </w:numPr>
        <w:rPr/>
      </w:pPr>
      <w:bookmarkStart w:id="3575" w:name="__RefHeading___Toc3809989_1067777946"/>
      <w:bookmarkStart w:id="3576" w:name="_Toc1507"/>
      <w:bookmarkEnd w:id="3575"/>
      <w:r>
        <w:rPr>
          <w:rtl w:val="true"/>
        </w:rPr>
        <w:t>حرمت اكل از مال مسلمان بدون دعوت و كسى را همراه بردن</w:t>
      </w:r>
      <w:bookmarkEnd w:id="3576"/>
    </w:p>
    <w:p>
      <w:pPr>
        <w:pStyle w:val="BookText"/>
        <w:rPr/>
      </w:pPr>
      <w:r>
        <w:rPr>
          <w:rFonts w:ascii="IRNazanin" w:hAnsi="IRNazanin" w:eastAsia="IRNazanin"/>
          <w:color w:val="111111"/>
          <w:sz w:val="28"/>
          <w:sz w:val="28"/>
          <w:szCs w:val="28"/>
          <w:rtl w:val="true"/>
          <w:lang w:bidi="fa-IR"/>
        </w:rPr>
        <w:t>حرام است اكل از مال مسلمان و يا به حكم او بدون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است با خود ديگرى را مثل ولد بردن براى اكل، مگر با فحوى و اذن مستفاد از شاهد حال، نه با شكّ در اذن و رضاى صاحب طعام</w:t>
      </w:r>
      <w:r>
        <w:rPr>
          <w:rFonts w:eastAsia="IRNazanin" w:cs="IRNazanin"/>
          <w:color w:val="111111"/>
          <w:sz w:val="28"/>
          <w:szCs w:val="28"/>
          <w:rtl w:val="true"/>
          <w:lang w:bidi="fa-IR"/>
        </w:rPr>
        <w:t>.</w:t>
      </w:r>
    </w:p>
    <w:p>
      <w:pPr>
        <w:pStyle w:val="Heading4"/>
        <w:numPr>
          <w:ilvl w:val="3"/>
          <w:numId w:val="1"/>
        </w:numPr>
        <w:rPr/>
      </w:pPr>
      <w:bookmarkStart w:id="3577" w:name="__RefHeading___Toc3809991_1067777946"/>
      <w:bookmarkStart w:id="3578" w:name="_Toc1508"/>
      <w:bookmarkEnd w:id="3577"/>
      <w:r>
        <w:rPr>
          <w:rtl w:val="true"/>
        </w:rPr>
        <w:t>برخى ديگر از مستحبّات و مكروهات</w:t>
      </w:r>
      <w:bookmarkEnd w:id="3578"/>
    </w:p>
    <w:p>
      <w:pPr>
        <w:pStyle w:val="BookText"/>
        <w:rPr/>
      </w:pPr>
      <w:r>
        <w:rPr>
          <w:rFonts w:ascii="IRNazanin" w:hAnsi="IRNazanin" w:eastAsia="IRNazanin"/>
          <w:color w:val="111111"/>
          <w:sz w:val="28"/>
          <w:sz w:val="28"/>
          <w:szCs w:val="28"/>
          <w:rtl w:val="true"/>
          <w:lang w:bidi="fa-IR"/>
        </w:rPr>
        <w:t>مكروه است اكل در حال مشى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خوردن آنچه ساقط شده از سفره طعام، در غير صحراء كه براى طيور و حيوانات گذاشته مى شود؛ و آنكه ثريد را از اطراف آن اكل نمايد؛ و آنكه ابتدا به نمك و اختتام به آن نمايد، و مستحب است ابتدا و اختتام به هر يك از نمك و سركه، لكن اگر اختلاف را اختيار كرد ابتدا به نمك نمايد و اختتام به سركه، نه عكس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تفصيل مستحبات از اطعمه و اشربه در كتب احاديث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 اللّٰه جامعه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فقهيّۀ مفصّله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 الله مصنّفه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المقام بحمده تعالى علىٰ يد العبد محمد تقى بن محمود الجيلانى عفى</w:t>
      </w:r>
    </w:p>
    <w:p>
      <w:pPr>
        <w:pStyle w:val="BookText"/>
        <w:rPr/>
      </w:pPr>
      <w:r>
        <w:rPr>
          <w:rFonts w:ascii="Amiri" w:hAnsi="Amiri" w:eastAsia="Amiri" w:cs="Amiri"/>
          <w:color w:val="111111"/>
          <w:sz w:val="28"/>
          <w:sz w:val="28"/>
          <w:szCs w:val="28"/>
          <w:rtl w:val="true"/>
          <w:lang w:bidi="ar-SA"/>
        </w:rPr>
        <w:t>عنهما، يوم الخميس السابع من شهر صفر الخير من سنة ألف و أربعمائة</w:t>
      </w:r>
    </w:p>
    <w:p>
      <w:pPr>
        <w:pStyle w:val="BookText"/>
        <w:rPr/>
      </w:pPr>
      <w:r>
        <w:rPr>
          <w:rFonts w:ascii="Amiri" w:hAnsi="Amiri" w:eastAsia="Amiri" w:cs="Amiri"/>
          <w:color w:val="111111"/>
          <w:sz w:val="28"/>
          <w:sz w:val="28"/>
          <w:szCs w:val="28"/>
          <w:rtl w:val="true"/>
          <w:lang w:bidi="ar-SA"/>
        </w:rPr>
        <w:t>هجرية علىٰ مهاجرها ألف سلام و تحيّة و الصلاة علىٰ سيّد الأنبياء</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و آله سادة الأوصياء الطاهرين</w:t>
      </w:r>
      <w:r>
        <w:rPr>
          <w:rFonts w:eastAsia="Amiri" w:cs="Amiri" w:ascii="Amiri" w:hAnsi="Amiri"/>
          <w:color w:val="111111"/>
          <w:sz w:val="28"/>
          <w:szCs w:val="28"/>
          <w:rtl w:val="true"/>
          <w:lang w:bidi="ar-SA"/>
        </w:rPr>
        <w:t xml:space="preserve">.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79" w:name="pg10265_90362"/>
      <w:bookmarkStart w:id="3580" w:name="pg10265_90362"/>
      <w:bookmarkEnd w:id="3580"/>
    </w:p>
    <w:p>
      <w:pPr>
        <w:pStyle w:val="Heading2"/>
        <w:numPr>
          <w:ilvl w:val="1"/>
          <w:numId w:val="1"/>
        </w:numPr>
        <w:rPr/>
      </w:pPr>
      <w:bookmarkStart w:id="3581" w:name="pg10265_90362"/>
      <w:bookmarkStart w:id="3582" w:name="__RefHeading___Toc3809993_1067777946"/>
      <w:bookmarkStart w:id="3583" w:name="_Toc1509"/>
      <w:bookmarkEnd w:id="3581"/>
      <w:bookmarkEnd w:id="3582"/>
      <w:r>
        <w:rPr>
          <w:rtl w:val="true"/>
        </w:rPr>
        <w:t>كتاب غصب</w:t>
      </w:r>
      <w:bookmarkEnd w:id="3583"/>
    </w:p>
    <w:p>
      <w:pPr>
        <w:pStyle w:val="Heading3"/>
        <w:numPr>
          <w:ilvl w:val="2"/>
          <w:numId w:val="1"/>
        </w:numPr>
        <w:rPr/>
      </w:pPr>
      <w:bookmarkStart w:id="3584" w:name="__RefHeading___Toc3809995_1067777946"/>
      <w:bookmarkStart w:id="3585" w:name="_Toc1510"/>
      <w:bookmarkEnd w:id="3584"/>
      <w:r>
        <w:rPr>
          <w:rtl w:val="true"/>
        </w:rPr>
        <w:t>اشاره</w:t>
      </w:r>
      <w:bookmarkEnd w:id="3585"/>
    </w:p>
    <w:p>
      <w:pPr>
        <w:pStyle w:val="BookText"/>
        <w:rPr/>
      </w:pPr>
      <w:r>
        <w:rPr>
          <w:rFonts w:ascii="IRNazanin" w:hAnsi="IRNazanin" w:eastAsia="IRNazanin"/>
          <w:color w:val="111111"/>
          <w:sz w:val="28"/>
          <w:sz w:val="28"/>
          <w:szCs w:val="28"/>
          <w:rtl w:val="true"/>
          <w:lang w:bidi="fa-IR"/>
        </w:rPr>
        <w:t>معنى و اسباب غصب</w:t>
      </w:r>
    </w:p>
    <w:p>
      <w:pPr>
        <w:pStyle w:val="BookText"/>
        <w:rPr/>
      </w:pPr>
      <w:r>
        <w:rPr>
          <w:rFonts w:ascii="Amiri" w:hAnsi="Amiri" w:eastAsia="Amiri" w:cs="Amiri"/>
          <w:color w:val="111111"/>
          <w:sz w:val="28"/>
          <w:sz w:val="28"/>
          <w:szCs w:val="28"/>
          <w:rtl w:val="true"/>
          <w:lang w:bidi="ar-SA"/>
        </w:rPr>
        <w:t>حكم غصب</w:t>
      </w:r>
    </w:p>
    <w:p>
      <w:pPr>
        <w:pStyle w:val="BookText"/>
        <w:rPr/>
      </w:pPr>
      <w:r>
        <w:rPr>
          <w:rFonts w:ascii="IRNazanin" w:hAnsi="IRNazanin" w:eastAsia="IRNazanin"/>
          <w:color w:val="111111"/>
          <w:sz w:val="28"/>
          <w:sz w:val="28"/>
          <w:szCs w:val="28"/>
          <w:rtl w:val="true"/>
          <w:lang w:bidi="fa-IR"/>
        </w:rPr>
        <w:t>لواحق غصب</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تنازع در غصب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86" w:name="pg10265_90364"/>
      <w:bookmarkStart w:id="3587" w:name="pg10265_90364"/>
      <w:bookmarkEnd w:id="3587"/>
    </w:p>
    <w:p>
      <w:pPr>
        <w:pStyle w:val="Heading3"/>
        <w:numPr>
          <w:ilvl w:val="2"/>
          <w:numId w:val="1"/>
        </w:numPr>
        <w:rPr/>
      </w:pPr>
      <w:bookmarkStart w:id="3588" w:name="pg10265_90364"/>
      <w:bookmarkStart w:id="3589" w:name="__RefHeading___Toc3809997_1067777946"/>
      <w:bookmarkStart w:id="3590" w:name="_Toc1511"/>
      <w:bookmarkEnd w:id="3588"/>
      <w:bookmarkEnd w:id="3589"/>
      <w:r>
        <w:rPr>
          <w:rtl w:val="true"/>
        </w:rPr>
        <w:t>فصل اوّل معنى و اسباب غصب</w:t>
      </w:r>
      <w:bookmarkEnd w:id="3590"/>
    </w:p>
    <w:p>
      <w:pPr>
        <w:pStyle w:val="Heading4"/>
        <w:numPr>
          <w:ilvl w:val="3"/>
          <w:numId w:val="1"/>
        </w:numPr>
        <w:rPr/>
      </w:pPr>
      <w:bookmarkStart w:id="3591" w:name="__RefHeading___Toc3809999_1067777946"/>
      <w:bookmarkStart w:id="3592" w:name="_Toc1512"/>
      <w:bookmarkEnd w:id="3591"/>
      <w:r>
        <w:rPr>
          <w:rtl w:val="true"/>
        </w:rPr>
        <w:t>اشاره</w:t>
      </w:r>
      <w:bookmarkEnd w:id="3592"/>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الصلاة علىٰ سيّدنا و نبيّنا سيّد الأنبياء محمّد</w:t>
      </w:r>
    </w:p>
    <w:p>
      <w:pPr>
        <w:pStyle w:val="BookText"/>
        <w:rPr/>
      </w:pPr>
      <w:r>
        <w:rPr>
          <w:rFonts w:ascii="Amiri" w:hAnsi="Amiri" w:eastAsia="Amiri" w:cs="Amiri"/>
          <w:color w:val="111111"/>
          <w:sz w:val="28"/>
          <w:sz w:val="28"/>
          <w:szCs w:val="28"/>
          <w:rtl w:val="true"/>
          <w:lang w:bidi="ar-SA"/>
        </w:rPr>
        <w:t>و علىٰ عترته الطاهرين سادة الأوصياء و اللعن علىٰ أعدائهم أجمعين</w:t>
      </w:r>
    </w:p>
    <w:p>
      <w:pPr>
        <w:pStyle w:val="Heading4"/>
        <w:numPr>
          <w:ilvl w:val="3"/>
          <w:numId w:val="1"/>
        </w:numPr>
        <w:rPr/>
      </w:pPr>
      <w:bookmarkStart w:id="3593" w:name="__RefHeading___Toc3810001_1067777946"/>
      <w:bookmarkStart w:id="3594" w:name="_Toc1513"/>
      <w:bookmarkEnd w:id="3593"/>
      <w:r>
        <w:rPr>
          <w:rtl w:val="true"/>
        </w:rPr>
        <w:t>معناى غصب</w:t>
      </w:r>
      <w:bookmarkEnd w:id="3594"/>
    </w:p>
    <w:p>
      <w:pPr>
        <w:pStyle w:val="BookText"/>
        <w:rPr/>
      </w:pPr>
      <w:r>
        <w:rPr>
          <w:rFonts w:ascii="Amiri" w:hAnsi="Amiri" w:eastAsia="Amiri" w:cs="Amiri"/>
          <w:color w:val="111111"/>
          <w:sz w:val="28"/>
          <w:sz w:val="28"/>
          <w:szCs w:val="28"/>
          <w:rtl w:val="true"/>
          <w:lang w:bidi="ar-SA"/>
        </w:rPr>
        <w:t xml:space="preserve">غصب در عرف عبارت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استيلاء بر مملوك يا مستحَق غير، از روى ظلم و عدوان يعنى با علم و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اخص است موضوعاً و حكماً از مطلق اخذ محكوم به ضمان</w:t>
      </w:r>
      <w:r>
        <w:rPr>
          <w:rFonts w:eastAsia="Amiri" w:cs="Amiri" w:ascii="Amiri" w:hAnsi="Amiri"/>
          <w:color w:val="111111"/>
          <w:sz w:val="28"/>
          <w:szCs w:val="28"/>
          <w:rtl w:val="true"/>
          <w:lang w:bidi="ar-SA"/>
        </w:rPr>
        <w:t>.</w:t>
      </w:r>
    </w:p>
    <w:p>
      <w:pPr>
        <w:pStyle w:val="Heading4"/>
        <w:numPr>
          <w:ilvl w:val="3"/>
          <w:numId w:val="1"/>
        </w:numPr>
        <w:rPr/>
      </w:pPr>
      <w:bookmarkStart w:id="3595" w:name="__RefHeading___Toc3810003_1067777946"/>
      <w:bookmarkStart w:id="3596" w:name="_Toc1514"/>
      <w:bookmarkEnd w:id="3595"/>
      <w:r>
        <w:rPr>
          <w:rtl w:val="true"/>
        </w:rPr>
        <w:t>غصب از اعظم محرّمات است</w:t>
      </w:r>
      <w:bookmarkEnd w:id="3596"/>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غصب در اموال، از اعظم محرمات است بعد از ظلم در نفوس و اعراض؛ و حكم آن ثابت است از طريق حكم عقل به تقبيح، و اطباق عقلاء، و اتفاق اهل اديان اصيله و مسلّم بودن نزد همۀ آنها، و همۀ اهل دين حق كامل اسلام، چنانچه با وضوح در نزد اهل اسلام مروى است از نبى اكرم صلوات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غصب شبراً من الأرض، طوّقه اللّٰه من سبع ارضين يوم القيمة؛ و من خان جاره شبراً من الأرض، جعله اللّٰه طوقاً في عنقه من تخوم الأرض السابعة حتى يلقى اللّٰه يوم القيامة مطوّقاً إلا أن يتوب و يرجع؛ و من أخذ ارضاً بغير حق، كلّف أن يحمل ترابها إلى المحشر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دخول مغصوب در عهده و ضمانِ غاصب، از امور واضحۀ دينيّه است</w:t>
      </w:r>
      <w:r>
        <w:rPr>
          <w:rFonts w:eastAsia="IRNazanin" w:cs="IRNazanin"/>
          <w:color w:val="111111"/>
          <w:sz w:val="28"/>
          <w:szCs w:val="28"/>
          <w:rtl w:val="true"/>
          <w:lang w:bidi="fa-IR"/>
        </w:rPr>
        <w:t xml:space="preserve">. </w:t>
      </w:r>
      <w:bookmarkStart w:id="3597" w:name="pg10265_90365"/>
    </w:p>
    <w:p>
      <w:pPr>
        <w:pStyle w:val="Heading4"/>
        <w:numPr>
          <w:ilvl w:val="3"/>
          <w:numId w:val="1"/>
        </w:numPr>
        <w:rPr/>
      </w:pPr>
      <w:bookmarkStart w:id="3598" w:name="__RefHeading___Toc3810005_1067777946"/>
      <w:bookmarkStart w:id="3599" w:name="_Toc1515"/>
      <w:bookmarkEnd w:id="3597"/>
      <w:bookmarkEnd w:id="3598"/>
      <w:r>
        <w:rPr>
          <w:rtl w:val="true"/>
        </w:rPr>
        <w:t>اعتبار استيلاء در غصب</w:t>
      </w:r>
      <w:bookmarkEnd w:id="3599"/>
    </w:p>
    <w:p>
      <w:pPr>
        <w:pStyle w:val="BookText"/>
        <w:rPr/>
      </w:pPr>
      <w:r>
        <w:rPr>
          <w:rFonts w:ascii="IRNazanin" w:hAnsi="IRNazanin" w:eastAsia="IRNazanin"/>
          <w:color w:val="111111"/>
          <w:sz w:val="28"/>
          <w:sz w:val="28"/>
          <w:szCs w:val="28"/>
          <w:rtl w:val="true"/>
          <w:lang w:bidi="fa-IR"/>
        </w:rPr>
        <w:t>و فرموده اند در توضيح اعتبار استيلاء در غصب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احتراز از ازعاج مالك از مال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نيست و موجب ضمان به تلف يا اتلاف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اگر اجماعى نباشد، مورد تأمّل است، به جهت الغاى خصوصيّت عرفاً در دليل اخذ يا اتلاف؛ و هم چنين حبس حرّ از اعمال خاصۀ او مثل خياطت خياط و بناى بنّا</w:t>
      </w:r>
      <w:r>
        <w:rPr>
          <w:rFonts w:eastAsia="IRNazanin" w:cs="IRNazanin"/>
          <w:color w:val="111111"/>
          <w:sz w:val="28"/>
          <w:szCs w:val="28"/>
          <w:rtl w:val="true"/>
          <w:lang w:bidi="fa-IR"/>
        </w:rPr>
        <w:t>.</w:t>
      </w:r>
    </w:p>
    <w:p>
      <w:pPr>
        <w:pStyle w:val="Heading4"/>
        <w:numPr>
          <w:ilvl w:val="3"/>
          <w:numId w:val="1"/>
        </w:numPr>
        <w:rPr/>
      </w:pPr>
      <w:bookmarkStart w:id="3600" w:name="__RefHeading___Toc3810007_1067777946"/>
      <w:bookmarkStart w:id="3601" w:name="_Toc1516"/>
      <w:bookmarkEnd w:id="3600"/>
      <w:r>
        <w:rPr>
          <w:rtl w:val="true"/>
        </w:rPr>
        <w:t>گونه هاى مختلف غصب عين و منفعت</w:t>
      </w:r>
      <w:bookmarkEnd w:id="3601"/>
    </w:p>
    <w:p>
      <w:pPr>
        <w:pStyle w:val="BookText"/>
        <w:rPr/>
      </w:pPr>
      <w:r>
        <w:rPr>
          <w:rFonts w:ascii="IRNazanin" w:hAnsi="IRNazanin" w:eastAsia="IRNazanin"/>
          <w:color w:val="111111"/>
          <w:sz w:val="28"/>
          <w:sz w:val="28"/>
          <w:szCs w:val="28"/>
          <w:rtl w:val="true"/>
          <w:lang w:bidi="fa-IR"/>
        </w:rPr>
        <w:t>و غصب، متصوّر است در غصب عين و منفعت با هم، و مجرد از ديگرى؛ پس غصب عين موجَرة از مالكها از قِبَل غير موجر و مستأجر و عين غير موجَره از مالك آن و منفعت، صورت اجتماع است؛ و غصب موجَره بدون مزاحمت با مستأجر، افتراق اول يعنى عين است، و اين غصب از خود مستأجر كه مانع باشد مالك را از اثبات يد بر عين، متصوّر مى شود؛ و اخراج مستأجر و انتفاع بدل او بدون مزاحمت با مالك مستولى بر عين، افتراق دومى يعنى منفعت است، و اين غصب از خود مالك عين هم متصور مى شود كه مانع از استفادۀ مستأجر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ضمان، ملاحظۀ خصوص مغصوب به و مغصوب منه مى شود</w:t>
      </w:r>
      <w:r>
        <w:rPr>
          <w:rFonts w:eastAsia="IRNazanin" w:cs="IRNazanin"/>
          <w:color w:val="111111"/>
          <w:sz w:val="28"/>
          <w:szCs w:val="28"/>
          <w:rtl w:val="true"/>
          <w:lang w:bidi="fa-IR"/>
        </w:rPr>
        <w:t>.</w:t>
      </w:r>
    </w:p>
    <w:p>
      <w:pPr>
        <w:pStyle w:val="Heading4"/>
        <w:numPr>
          <w:ilvl w:val="3"/>
          <w:numId w:val="1"/>
        </w:numPr>
        <w:rPr/>
      </w:pPr>
      <w:bookmarkStart w:id="3602" w:name="__RefHeading___Toc3810009_1067777946"/>
      <w:bookmarkStart w:id="3603" w:name="_Toc1517"/>
      <w:bookmarkEnd w:id="3602"/>
      <w:r>
        <w:rPr>
          <w:rtl w:val="true"/>
        </w:rPr>
        <w:t>فرض غصب حق</w:t>
      </w:r>
      <w:bookmarkEnd w:id="3603"/>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غصب متصوّر مى شود در حق متعلّق بر مال غير مملوك شخصى، مثل استيلاء غير مستحق بر عين محجَّره و مرتهَنه، و اخراج منتفعين به مساجد و مدارس و قناطر و خانات و طرق و شوارع عامه از آنها، با اختلاف با سائر موارد در حكم وضعى و در اينكه در اخراج ساكن، غصب حق شخصى است و در سدّ باب مدرسه و منع در سكنى غصب حق نوع است</w:t>
      </w:r>
      <w:r>
        <w:rPr>
          <w:rFonts w:eastAsia="Amiri" w:cs="Amiri" w:ascii="Amiri" w:hAnsi="Amiri"/>
          <w:color w:val="111111"/>
          <w:sz w:val="28"/>
          <w:szCs w:val="28"/>
          <w:rtl w:val="true"/>
          <w:lang w:bidi="ar-SA"/>
        </w:rPr>
        <w:t xml:space="preserve">. </w:t>
      </w:r>
      <w:bookmarkStart w:id="3604" w:name="pg10265_90366"/>
    </w:p>
    <w:p>
      <w:pPr>
        <w:pStyle w:val="Heading4"/>
        <w:numPr>
          <w:ilvl w:val="3"/>
          <w:numId w:val="1"/>
        </w:numPr>
        <w:rPr/>
      </w:pPr>
      <w:bookmarkStart w:id="3605" w:name="__RefHeading___Toc3810011_1067777946"/>
      <w:bookmarkStart w:id="3606" w:name="_Toc1518"/>
      <w:bookmarkEnd w:id="3604"/>
      <w:bookmarkEnd w:id="3605"/>
      <w:r>
        <w:rPr>
          <w:rtl w:val="true"/>
        </w:rPr>
        <w:t>عدم عصبيّت اثبات يد بر مال خود</w:t>
      </w:r>
      <w:bookmarkEnd w:id="3606"/>
    </w:p>
    <w:p>
      <w:pPr>
        <w:pStyle w:val="BookText"/>
        <w:rPr/>
      </w:pPr>
      <w:r>
        <w:rPr>
          <w:rFonts w:ascii="IRNazanin" w:hAnsi="IRNazanin" w:eastAsia="IRNazanin"/>
          <w:color w:val="111111"/>
          <w:sz w:val="28"/>
          <w:sz w:val="28"/>
          <w:szCs w:val="28"/>
          <w:rtl w:val="true"/>
          <w:lang w:bidi="fa-IR"/>
        </w:rPr>
        <w:t>و اثبات يد بر مال خود اگر چه حرام باشد، غصب نيست، مثل مرهون مبنى بر بقاى در يد مرتهن، و هم چنين مال غير اگر ظلم و تعدى نباشد، مثل مرتهن و ولىّ و وكيل و مستأجر و مأذون</w:t>
      </w:r>
      <w:r>
        <w:rPr>
          <w:rFonts w:eastAsia="IRNazanin" w:cs="IRNazanin"/>
          <w:color w:val="111111"/>
          <w:sz w:val="28"/>
          <w:szCs w:val="28"/>
          <w:rtl w:val="true"/>
          <w:lang w:bidi="fa-IR"/>
        </w:rPr>
        <w:t>.</w:t>
      </w:r>
    </w:p>
    <w:p>
      <w:pPr>
        <w:pStyle w:val="Heading4"/>
        <w:numPr>
          <w:ilvl w:val="3"/>
          <w:numId w:val="1"/>
        </w:numPr>
        <w:rPr/>
      </w:pPr>
      <w:bookmarkStart w:id="3607" w:name="__RefHeading___Toc3810013_1067777946"/>
      <w:bookmarkStart w:id="3608" w:name="_Toc1519"/>
      <w:bookmarkEnd w:id="3607"/>
      <w:r>
        <w:rPr>
          <w:rtl w:val="true"/>
        </w:rPr>
        <w:t>فرق بين حكم تكليفى و وضعى غصب</w:t>
      </w:r>
      <w:bookmarkEnd w:id="3608"/>
    </w:p>
    <w:p>
      <w:pPr>
        <w:pStyle w:val="BookText"/>
        <w:rPr/>
      </w:pPr>
      <w:r>
        <w:rPr>
          <w:rFonts w:ascii="IRNazanin" w:hAnsi="IRNazanin" w:eastAsia="IRNazanin"/>
          <w:color w:val="111111"/>
          <w:sz w:val="28"/>
          <w:sz w:val="28"/>
          <w:szCs w:val="28"/>
          <w:rtl w:val="true"/>
          <w:lang w:bidi="fa-IR"/>
        </w:rPr>
        <w:t xml:space="preserve">حكم تكليفى 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حرمت استيلاء حدوثاً و بقاءً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لازمۀ دوّم، وجوب رد به مالك يا ولىّ او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جميع اقسام غصب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حكم وضعى غصب، پس در موارد آن مختلف است، چنانكه خواهد آمد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سكنى با مالك بدون اذن او با تمكّن مالك از دفع او، موجب ضمان اتلاف منفعت است في الجمله، نه غصب كه بدون اثبات يد و نحو آن نمى شود</w:t>
      </w:r>
      <w:r>
        <w:rPr>
          <w:rFonts w:eastAsia="Amiri" w:cs="Amiri" w:ascii="Amiri" w:hAnsi="Amiri"/>
          <w:color w:val="111111"/>
          <w:sz w:val="28"/>
          <w:szCs w:val="28"/>
          <w:rtl w:val="true"/>
          <w:lang w:bidi="ar-SA"/>
        </w:rPr>
        <w:t>.</w:t>
      </w:r>
    </w:p>
    <w:p>
      <w:pPr>
        <w:pStyle w:val="Heading4"/>
        <w:numPr>
          <w:ilvl w:val="3"/>
          <w:numId w:val="1"/>
        </w:numPr>
        <w:rPr/>
      </w:pPr>
      <w:bookmarkStart w:id="3609" w:name="__RefHeading___Toc3810015_1067777946"/>
      <w:bookmarkStart w:id="3610" w:name="_Toc1520"/>
      <w:bookmarkEnd w:id="3609"/>
      <w:r>
        <w:rPr>
          <w:rtl w:val="true"/>
        </w:rPr>
        <w:t>اشتراك دو نفر در غصب</w:t>
      </w:r>
      <w:bookmarkEnd w:id="3610"/>
    </w:p>
    <w:p>
      <w:pPr>
        <w:pStyle w:val="BookText"/>
        <w:rPr/>
      </w:pPr>
      <w:r>
        <w:rPr>
          <w:rFonts w:ascii="Amiri" w:hAnsi="Amiri" w:eastAsia="Amiri" w:cs="Amiri"/>
          <w:color w:val="111111"/>
          <w:sz w:val="28"/>
          <w:sz w:val="28"/>
          <w:szCs w:val="28"/>
          <w:rtl w:val="true"/>
          <w:lang w:bidi="ar-SA"/>
        </w:rPr>
        <w:t>و در اشتراك دو نفر در غصب يك مال مثلاً، استيلاء بر نصف مشاع، از هر كدام محقَّق است؛ و مضمون، نصف مشاع است از هر كدام؛ و در صورت تلف تمام در يد، مطالبۀ تمام از هر كدام نمى شود</w:t>
      </w:r>
      <w:r>
        <w:rPr>
          <w:rFonts w:eastAsia="Amiri" w:cs="Amiri" w:ascii="Amiri" w:hAnsi="Amiri"/>
          <w:color w:val="111111"/>
          <w:sz w:val="28"/>
          <w:szCs w:val="28"/>
          <w:rtl w:val="true"/>
          <w:lang w:bidi="ar-SA"/>
        </w:rPr>
        <w:t>.</w:t>
      </w:r>
    </w:p>
    <w:p>
      <w:pPr>
        <w:pStyle w:val="Heading4"/>
        <w:numPr>
          <w:ilvl w:val="3"/>
          <w:numId w:val="1"/>
        </w:numPr>
        <w:rPr/>
      </w:pPr>
      <w:bookmarkStart w:id="3611" w:name="__RefHeading___Toc3810017_1067777946"/>
      <w:bookmarkStart w:id="3612" w:name="_Toc1521"/>
      <w:bookmarkEnd w:id="3611"/>
      <w:r>
        <w:rPr>
          <w:rtl w:val="true"/>
        </w:rPr>
        <w:t>حكم جاهل به موضوع غصب</w:t>
      </w:r>
      <w:bookmarkEnd w:id="3612"/>
    </w:p>
    <w:p>
      <w:pPr>
        <w:pStyle w:val="BookText"/>
        <w:rPr/>
      </w:pPr>
      <w:r>
        <w:rPr>
          <w:rFonts w:ascii="IRNazanin" w:hAnsi="IRNazanin" w:eastAsia="IRNazanin"/>
          <w:color w:val="111111"/>
          <w:sz w:val="28"/>
          <w:sz w:val="28"/>
          <w:szCs w:val="28"/>
          <w:rtl w:val="true"/>
          <w:lang w:bidi="fa-IR"/>
        </w:rPr>
        <w:t>و جاهل به موضوع مال غير بدون اذن مالك، اگر مستولى شد ضامن است به يد نه به غصب، به جهت فقدان تعدى، به سبب اعتقاد مالكيّت يا مأذونيّت از مالك</w:t>
      </w:r>
      <w:r>
        <w:rPr>
          <w:rFonts w:eastAsia="IRNazanin" w:cs="IRNazanin"/>
          <w:color w:val="111111"/>
          <w:sz w:val="28"/>
          <w:szCs w:val="28"/>
          <w:rtl w:val="true"/>
          <w:lang w:bidi="fa-IR"/>
        </w:rPr>
        <w:t>.</w:t>
      </w:r>
    </w:p>
    <w:p>
      <w:pPr>
        <w:pStyle w:val="Heading4"/>
        <w:numPr>
          <w:ilvl w:val="3"/>
          <w:numId w:val="1"/>
        </w:numPr>
        <w:rPr/>
      </w:pPr>
      <w:bookmarkStart w:id="3613" w:name="__RefHeading___Toc3810019_1067777946"/>
      <w:bookmarkStart w:id="3614" w:name="_Toc1522"/>
      <w:bookmarkEnd w:id="3613"/>
      <w:r>
        <w:rPr>
          <w:rtl w:val="true"/>
        </w:rPr>
        <w:t>ضمان بر مستولى بر صغير يا مجنون</w:t>
      </w:r>
      <w:bookmarkEnd w:id="3614"/>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مستولى بر صغير عاجز يا مجنون اگر تلف شدند به سببى مثل گزيدن مار يا وقوع ديوار بر آنها، ضامن است به تسبيب به اتلاف نه به غصب يا يد</w:t>
      </w:r>
      <w:r>
        <w:rPr>
          <w:rFonts w:eastAsia="IRNazanin" w:cs="IRNazanin"/>
          <w:color w:val="111111"/>
          <w:sz w:val="28"/>
          <w:szCs w:val="28"/>
          <w:rtl w:val="true"/>
          <w:lang w:bidi="fa-IR"/>
        </w:rPr>
        <w:t xml:space="preserve">. </w:t>
      </w:r>
      <w:bookmarkStart w:id="3615" w:name="pg10265_90367"/>
    </w:p>
    <w:p>
      <w:pPr>
        <w:pStyle w:val="Heading4"/>
        <w:numPr>
          <w:ilvl w:val="3"/>
          <w:numId w:val="1"/>
        </w:numPr>
        <w:rPr/>
      </w:pPr>
      <w:bookmarkStart w:id="3616" w:name="__RefHeading___Toc3810021_1067777946"/>
      <w:bookmarkStart w:id="3617" w:name="_Toc1523"/>
      <w:bookmarkEnd w:id="3615"/>
      <w:bookmarkEnd w:id="3616"/>
      <w:r>
        <w:rPr>
          <w:rtl w:val="true"/>
        </w:rPr>
        <w:t>اعميّت ضمان از تحقق غصب</w:t>
      </w:r>
      <w:bookmarkEnd w:id="3617"/>
    </w:p>
    <w:p>
      <w:pPr>
        <w:pStyle w:val="BookText"/>
        <w:rPr/>
      </w:pPr>
      <w:r>
        <w:rPr>
          <w:rFonts w:ascii="IRNazanin" w:hAnsi="IRNazanin" w:eastAsia="IRNazanin"/>
          <w:color w:val="111111"/>
          <w:sz w:val="28"/>
          <w:sz w:val="28"/>
          <w:szCs w:val="28"/>
          <w:rtl w:val="true"/>
          <w:lang w:bidi="fa-IR"/>
        </w:rPr>
        <w:t xml:space="preserve">و ثبوت ضمان در تفويت بُضع با عدم ماليّت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تعمّد رضاع محرّم يا رجوع شاهدين بر طلاق،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استيلاء راهن بر مرهون عدواناً با مالكيّت نفس ضامن، و در بعض غير املاك مثل متعلَّق حق تحجير بر تقدير ضمان، و هم چنين اوقافى كه ملتزم باشيم در آنها به فكّ ملك يا مالكيّت خداى تعالى با التزام به ضمان مستولى به عدوان، اعم از تحقّق غصب است به جهت عدم دليل بر انحصار تضمين در غصب يا يد يا اتلاف مال غير</w:t>
      </w:r>
      <w:r>
        <w:rPr>
          <w:rFonts w:eastAsia="IRNazanin" w:cs="IRNazanin"/>
          <w:color w:val="111111"/>
          <w:sz w:val="28"/>
          <w:szCs w:val="28"/>
          <w:rtl w:val="true"/>
          <w:lang w:bidi="fa-IR"/>
        </w:rPr>
        <w:t>.</w:t>
      </w:r>
    </w:p>
    <w:p>
      <w:pPr>
        <w:pStyle w:val="Heading4"/>
        <w:numPr>
          <w:ilvl w:val="3"/>
          <w:numId w:val="1"/>
        </w:numPr>
        <w:rPr/>
      </w:pPr>
      <w:bookmarkStart w:id="3618" w:name="__RefHeading___Toc3810023_1067777946"/>
      <w:bookmarkStart w:id="3619" w:name="_Toc1524"/>
      <w:bookmarkEnd w:id="3618"/>
      <w:r>
        <w:rPr>
          <w:rtl w:val="true"/>
        </w:rPr>
        <w:t>عدم اعتبار با قهر و استعلا در مفهوم غصب</w:t>
      </w:r>
      <w:bookmarkEnd w:id="3619"/>
    </w:p>
    <w:p>
      <w:pPr>
        <w:pStyle w:val="BookText"/>
        <w:rPr/>
      </w:pPr>
      <w:r>
        <w:rPr>
          <w:rFonts w:ascii="Amiri" w:hAnsi="Amiri" w:eastAsia="Amiri" w:cs="Amiri"/>
          <w:color w:val="111111"/>
          <w:sz w:val="28"/>
          <w:sz w:val="28"/>
          <w:szCs w:val="28"/>
          <w:rtl w:val="true"/>
          <w:lang w:bidi="ar-SA"/>
        </w:rPr>
        <w:t xml:space="preserve">و اظهر عدم اعتبار جهر با قهر و استعلاء در مفهوم عرفى و در حكم شرعى غصب است، بلكه سرقت، غصب خاصى است كه احكام خاصه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p>
    <w:p>
      <w:pPr>
        <w:pStyle w:val="Heading4"/>
        <w:numPr>
          <w:ilvl w:val="3"/>
          <w:numId w:val="1"/>
        </w:numPr>
        <w:rPr/>
      </w:pPr>
      <w:bookmarkStart w:id="3620" w:name="__RefHeading___Toc3810025_1067777946"/>
      <w:bookmarkStart w:id="3621" w:name="_Toc1525"/>
      <w:bookmarkEnd w:id="3620"/>
      <w:r>
        <w:rPr>
          <w:rtl w:val="true"/>
        </w:rPr>
        <w:t>منع مالك در مال خودش بدون اثبات يد غاصب</w:t>
      </w:r>
      <w:bookmarkEnd w:id="3621"/>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مثلِ منع مالك از امساك دابّۀ خود، يا قعود بر بساط خود تا واقعيت تلف عين بدون اثبات يد از متعدى بر مال غير، يا منع مالك از بيع متاع خود تا زمان نقصان قيمت، عدم غصب و عدم ضمان، منسوب به مشهور است در محكىّ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ضمان، موافق ارتكاز در عرف عام و عرف متشرعه است، و الغاى خصوصيّت در دليل غصب، مؤيّد آن است، و قاعدۀ ضرر، موافق تحريم و تضمين است؛ و ترديد محكىّ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ضمان در بعض صور متقدّمه و نسبت عدم آن به بعض علماى ما، مناسب شهرت مطلقۀ عدم ضمان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در صورت تسبيب به اتلاف عين، ضمان، خالى از اشكال است؛ و در سائر موارد، قاعدۀ نفى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معلوم است استفادۀ ضمان مضافاً به حرمت در آنها از فهم اصحاب، و استدلال به آن براى هر 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است در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دعواى اجماع بر خلاف اين قاعده در موارد مذكوره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بعض آنها، ادعاى قطع به عدم ضمان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خالى از غرابت </w:t>
      </w:r>
      <w:bookmarkStart w:id="3622" w:name="pg10265_90368"/>
    </w:p>
    <w:p>
      <w:pPr>
        <w:pStyle w:val="BookText"/>
        <w:rPr/>
      </w:pPr>
      <w:bookmarkEnd w:id="3622"/>
      <w:r>
        <w:rPr>
          <w:rFonts w:ascii="IRNazanin" w:hAnsi="IRNazanin" w:eastAsia="IRNazanin"/>
          <w:color w:val="111111"/>
          <w:sz w:val="28"/>
          <w:sz w:val="28"/>
          <w:szCs w:val="28"/>
          <w:rtl w:val="true"/>
          <w:lang w:bidi="fa-IR"/>
        </w:rPr>
        <w:t>نيست، مگر در صورتى كه تلف به آفت سماويه باشد كه هيچ گونه مزاحمت با مالك تأثيرى در آن نداشته باشد بلكه مربوط به فعل يا ترك از مالك نباشد، كه عدم ضمان در اين صورت اقرب است</w:t>
      </w:r>
      <w:r>
        <w:rPr>
          <w:rFonts w:eastAsia="IRNazanin" w:cs="IRNazanin"/>
          <w:color w:val="111111"/>
          <w:sz w:val="28"/>
          <w:szCs w:val="28"/>
          <w:rtl w:val="true"/>
          <w:lang w:bidi="fa-IR"/>
        </w:rPr>
        <w:t>.</w:t>
      </w:r>
    </w:p>
    <w:p>
      <w:pPr>
        <w:pStyle w:val="Heading4"/>
        <w:numPr>
          <w:ilvl w:val="3"/>
          <w:numId w:val="1"/>
        </w:numPr>
        <w:rPr/>
      </w:pPr>
      <w:bookmarkStart w:id="3623" w:name="__RefHeading___Toc3810027_1067777946"/>
      <w:bookmarkStart w:id="3624" w:name="_Toc1526"/>
      <w:bookmarkEnd w:id="3623"/>
      <w:r>
        <w:rPr>
          <w:rtl w:val="true"/>
        </w:rPr>
        <w:t>منع مالك و اثبات يد بر مال او</w:t>
      </w:r>
      <w:bookmarkEnd w:id="3624"/>
    </w:p>
    <w:p>
      <w:pPr>
        <w:pStyle w:val="BookText"/>
        <w:rPr/>
      </w:pPr>
      <w:r>
        <w:rPr>
          <w:rFonts w:ascii="IRNazanin" w:hAnsi="IRNazanin" w:eastAsia="IRNazanin"/>
          <w:color w:val="111111"/>
          <w:sz w:val="28"/>
          <w:sz w:val="28"/>
          <w:szCs w:val="28"/>
          <w:rtl w:val="true"/>
          <w:lang w:bidi="fa-IR"/>
        </w:rPr>
        <w:t xml:space="preserve">و اگر ضميمه شد به منع مالك از ابقاى مال تحت يد خودش، استيلاء اجنبى بر مال، مثل قعود بر بساط او يا ركوب دابۀ او به نحوى كه غصب محقّق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چه نقل منقول واقع نشود، بلكه مجرد استيلاء بدون اذن باشد، با صدق غصب به مثل قهر قوى ضعيف را با علم مطلق و عدم تخفّى، پس گفته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الضعيف أو السارق او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ترتّب ضمانِ عين، اشكالى نيست چنانچه گذشت مضافاً به ضمان منفعت به انتفاع و استيفا</w:t>
      </w:r>
      <w:r>
        <w:rPr>
          <w:rFonts w:eastAsia="IRNazanin" w:cs="IRNazanin"/>
          <w:color w:val="111111"/>
          <w:sz w:val="28"/>
          <w:szCs w:val="28"/>
          <w:rtl w:val="true"/>
          <w:lang w:bidi="fa-IR"/>
        </w:rPr>
        <w:t>.</w:t>
      </w:r>
    </w:p>
    <w:p>
      <w:pPr>
        <w:pStyle w:val="Heading4"/>
        <w:numPr>
          <w:ilvl w:val="3"/>
          <w:numId w:val="1"/>
        </w:numPr>
        <w:rPr/>
      </w:pPr>
      <w:bookmarkStart w:id="3625" w:name="__RefHeading___Toc3810029_1067777946"/>
      <w:bookmarkStart w:id="3626" w:name="_Toc1527"/>
      <w:bookmarkEnd w:id="3625"/>
      <w:r>
        <w:rPr>
          <w:rtl w:val="true"/>
        </w:rPr>
        <w:t>كفايت استيلا در تحقق غصب</w:t>
      </w:r>
      <w:bookmarkEnd w:id="3626"/>
    </w:p>
    <w:p>
      <w:pPr>
        <w:pStyle w:val="BookText"/>
        <w:rPr/>
      </w:pPr>
      <w:r>
        <w:rPr>
          <w:rFonts w:ascii="IRNazanin" w:hAnsi="IRNazanin" w:eastAsia="IRNazanin"/>
          <w:color w:val="111111"/>
          <w:sz w:val="28"/>
          <w:sz w:val="28"/>
          <w:szCs w:val="28"/>
          <w:rtl w:val="true"/>
          <w:lang w:bidi="fa-IR"/>
        </w:rPr>
        <w:t>و دخول مستولى بر دار غير، معتبر در تحقّق غصب نيست، و هم چنين ادخال غير؛ و با استيلاء و لو فى الجمله مثل سكناى مستولى با مالك با تساوى در استيلاء، موجب غصب نصف مثلاً و ضمان نصف خانه است يعنى به نسبت استيلاء و انتفاع؛ و مضمون، عين و منفعت است</w:t>
      </w:r>
      <w:r>
        <w:rPr>
          <w:rFonts w:eastAsia="IRNazanin" w:cs="IRNazanin"/>
          <w:color w:val="111111"/>
          <w:sz w:val="28"/>
          <w:szCs w:val="28"/>
          <w:rtl w:val="true"/>
          <w:lang w:bidi="fa-IR"/>
        </w:rPr>
        <w:t>.</w:t>
      </w:r>
    </w:p>
    <w:p>
      <w:pPr>
        <w:pStyle w:val="Heading4"/>
        <w:numPr>
          <w:ilvl w:val="3"/>
          <w:numId w:val="1"/>
        </w:numPr>
        <w:rPr/>
      </w:pPr>
      <w:bookmarkStart w:id="3627" w:name="__RefHeading___Toc3810031_1067777946"/>
      <w:bookmarkStart w:id="3628" w:name="_Toc1528"/>
      <w:bookmarkEnd w:id="3627"/>
      <w:r>
        <w:rPr>
          <w:rtl w:val="true"/>
        </w:rPr>
        <w:t>عدم اناطۀ ضمان به تحقق غصب</w:t>
      </w:r>
      <w:bookmarkEnd w:id="3628"/>
    </w:p>
    <w:p>
      <w:pPr>
        <w:pStyle w:val="BookText"/>
        <w:rPr/>
      </w:pPr>
      <w:r>
        <w:rPr>
          <w:rFonts w:ascii="IRNazanin" w:hAnsi="IRNazanin" w:eastAsia="IRNazanin"/>
          <w:color w:val="111111"/>
          <w:sz w:val="28"/>
          <w:sz w:val="28"/>
          <w:szCs w:val="28"/>
          <w:rtl w:val="true"/>
          <w:lang w:bidi="fa-IR"/>
        </w:rPr>
        <w:t xml:space="preserve">و در ضمان، غصب لازم نيست، بلكه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 بر عينى، ضامن عين و منفعت ميشود اگر چه غصب محقّق نباشد و اگر چه مستولى استيفاى منفعت نكرده باشد؛ و با انتفاع و استيفاى منفعت مال غير، ضامن خصوص مستوفىٰ مى شود اگر چه مستولىٖ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تعدّد مالكها، مضمون، مستولىٰ و منتفع مطلقاً با حفظ نسبت است</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غاصب ثلث و مستولى بر ثلث و منتفع به ثلث، ضامن ثلث است نه ازيد، </w:t>
      </w:r>
      <w:bookmarkStart w:id="3629" w:name="pg10265_90369"/>
    </w:p>
    <w:p>
      <w:pPr>
        <w:pStyle w:val="BookText"/>
        <w:rPr/>
      </w:pPr>
      <w:bookmarkEnd w:id="3629"/>
      <w:r>
        <w:rPr>
          <w:rFonts w:ascii="Amiri" w:hAnsi="Amiri" w:eastAsia="Amiri" w:cs="Amiri"/>
          <w:color w:val="111111"/>
          <w:sz w:val="28"/>
          <w:sz w:val="28"/>
          <w:szCs w:val="28"/>
          <w:rtl w:val="true"/>
          <w:lang w:bidi="ar-SA"/>
        </w:rPr>
        <w:t>مثل صورت تعدّد غاصب با اتحاد در غصب و استيلاء و انتفاع يا اختلاف در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اينكه ممكن است استيلاء بر نصف و انتفاع به ثلثين كه مضمونِ عينى، نصف است و مضمونِ منفعتى، ثلثين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فرض، انتفاع به ثلث باشد يا آنكه اصلاً انتفاع نباشد پس مضمونِ منفعتى، تابع مضمون عينى است و به تنصيف است</w:t>
      </w:r>
      <w:r>
        <w:rPr>
          <w:rFonts w:eastAsia="IRNazanin" w:cs="IRNazanin"/>
          <w:color w:val="111111"/>
          <w:sz w:val="28"/>
          <w:szCs w:val="28"/>
          <w:rtl w:val="true"/>
          <w:lang w:bidi="fa-IR"/>
        </w:rPr>
        <w:t>.</w:t>
      </w:r>
    </w:p>
    <w:p>
      <w:pPr>
        <w:pStyle w:val="Heading4"/>
        <w:numPr>
          <w:ilvl w:val="3"/>
          <w:numId w:val="1"/>
        </w:numPr>
        <w:rPr/>
      </w:pPr>
      <w:bookmarkStart w:id="3630" w:name="__RefHeading___Toc3810033_1067777946"/>
      <w:bookmarkStart w:id="3631" w:name="_Toc1529"/>
      <w:bookmarkEnd w:id="3630"/>
      <w:r>
        <w:rPr>
          <w:rtl w:val="true"/>
        </w:rPr>
        <w:t>در ضمان به يد، فرقى بين قوت و ضعف ساكن، نيست</w:t>
      </w:r>
      <w:bookmarkEnd w:id="3631"/>
    </w:p>
    <w:p>
      <w:pPr>
        <w:pStyle w:val="BookText"/>
        <w:rPr/>
      </w:pPr>
      <w:r>
        <w:rPr>
          <w:rFonts w:ascii="IRNazanin" w:hAnsi="IRNazanin" w:eastAsia="IRNazanin"/>
          <w:color w:val="111111"/>
          <w:sz w:val="28"/>
          <w:sz w:val="28"/>
          <w:szCs w:val="28"/>
          <w:rtl w:val="true"/>
          <w:lang w:bidi="fa-IR"/>
        </w:rPr>
        <w:t xml:space="preserve">و فرقى بين قوّت ساكن و ضعف او در ضمان به يد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ضمان به انتفاع در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كه استيلاء از ساكن، محقّق باشد، اگر چه قهر و قوّت در غصب معتبر باشد؛ بلكه قوّت خارجيّه تا اثرش در استيلاء اجنبى ظاهر نشود به حدى كه مانع از غاصبيت او در عرف باشد، اثرى ندارد، زيرا غصب ضعيف به قصد غلبه بر قوى كه اتفاق افتاده است و قوى ضعيف شده است، از امور واقعه در خارج است، پس با غيبت مالك، ممكن است تأثير داشته باشد قوّت او در منع غصب، و با حضور او ممكن است تأثير نداشته باشد قوّت او در منع آن، و ضمانْ‌، به استيلاء و تلف در يد و به انتفاع و اتلاف مباشرى يا تسبيبى محقّق شود، غصب محقّق باشد يا نه</w:t>
      </w:r>
      <w:r>
        <w:rPr>
          <w:rFonts w:eastAsia="IRNazanin" w:cs="IRNazanin"/>
          <w:color w:val="111111"/>
          <w:sz w:val="28"/>
          <w:szCs w:val="28"/>
          <w:rtl w:val="true"/>
          <w:lang w:bidi="fa-IR"/>
        </w:rPr>
        <w:t>.</w:t>
      </w:r>
    </w:p>
    <w:p>
      <w:pPr>
        <w:pStyle w:val="Heading4"/>
        <w:numPr>
          <w:ilvl w:val="3"/>
          <w:numId w:val="1"/>
        </w:numPr>
        <w:rPr/>
      </w:pPr>
      <w:bookmarkStart w:id="3632" w:name="__RefHeading___Toc3810035_1067777946"/>
      <w:bookmarkStart w:id="3633" w:name="_Toc1530"/>
      <w:bookmarkEnd w:id="3632"/>
      <w:r>
        <w:rPr>
          <w:rtl w:val="true"/>
        </w:rPr>
        <w:t>مأخوذ براى نظر</w:t>
      </w:r>
      <w:bookmarkEnd w:id="3633"/>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براى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مأذونٌ فيه است؛ و در فرض عدم اذن و تحقّق استيلاء اگر چه غايت، نظر و موقّت باشد، ضمان، متّجه است</w:t>
      </w:r>
      <w:r>
        <w:rPr>
          <w:rFonts w:eastAsia="IRNazanin" w:cs="IRNazanin"/>
          <w:color w:val="111111"/>
          <w:sz w:val="28"/>
          <w:szCs w:val="28"/>
          <w:rtl w:val="true"/>
          <w:lang w:bidi="fa-IR"/>
        </w:rPr>
        <w:t>.</w:t>
      </w:r>
    </w:p>
    <w:p>
      <w:pPr>
        <w:pStyle w:val="Heading4"/>
        <w:numPr>
          <w:ilvl w:val="3"/>
          <w:numId w:val="1"/>
        </w:numPr>
        <w:rPr/>
      </w:pPr>
      <w:bookmarkStart w:id="3634" w:name="__RefHeading___Toc3810037_1067777946"/>
      <w:bookmarkStart w:id="3635" w:name="_Toc1531"/>
      <w:bookmarkEnd w:id="3634"/>
      <w:r>
        <w:rPr>
          <w:rtl w:val="true"/>
        </w:rPr>
        <w:t>اجتماع سه نفر براى غصب دابه</w:t>
      </w:r>
      <w:bookmarkEnd w:id="3635"/>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صورت اجتماع قائد و سائق و راكب دابه، ضامن نسبت به عين تالفه و جنايت دابه، مستولى و ذو اليد است عرفاً؛ پس در صورت تحقّق استيلاء سه نفر، هر كدام از سه نفر ضامن ثلث مى شوند؛ و در صورت استقلال و اختصاص به بعض، </w:t>
      </w:r>
      <w:bookmarkStart w:id="3636" w:name="pg10265_90370"/>
    </w:p>
    <w:p>
      <w:pPr>
        <w:pStyle w:val="BookText"/>
        <w:rPr/>
      </w:pPr>
      <w:bookmarkEnd w:id="3636"/>
      <w:r>
        <w:rPr>
          <w:rFonts w:ascii="Amiri" w:hAnsi="Amiri" w:eastAsia="Amiri" w:cs="Amiri"/>
          <w:color w:val="111111"/>
          <w:sz w:val="28"/>
          <w:sz w:val="28"/>
          <w:szCs w:val="28"/>
          <w:rtl w:val="true"/>
          <w:lang w:bidi="ar-SA"/>
        </w:rPr>
        <w:t>خصوص مستولى ضامن است؛ و ممكن است دخالت قهر و قوّت مؤثّره نسبت به صدق استيلاء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ضمانِ منفعت، مربوط به مستوفى به مباشرت يا تسبيب است؛ و در صورت عدم استيفا، ضامنِ عين، ضامنِ منفعت است؛ و حكم به تنصيف بين متنازعين مبتنى بر صدق استيلاء هر دو است وگرنه محكوم له ذو اليد است تماماً بدون بيّنۀ خارج؛ و تحقّق غصب، لازم در حكم به ضمان نيست اگر چه از اسباب آن است</w:t>
      </w:r>
      <w:r>
        <w:rPr>
          <w:rFonts w:eastAsia="IRNazanin" w:cs="IRNazanin"/>
          <w:color w:val="111111"/>
          <w:sz w:val="28"/>
          <w:szCs w:val="28"/>
          <w:rtl w:val="true"/>
          <w:lang w:bidi="fa-IR"/>
        </w:rPr>
        <w:t>.</w:t>
      </w:r>
    </w:p>
    <w:p>
      <w:pPr>
        <w:pStyle w:val="Heading4"/>
        <w:numPr>
          <w:ilvl w:val="3"/>
          <w:numId w:val="1"/>
        </w:numPr>
        <w:rPr/>
      </w:pPr>
      <w:bookmarkStart w:id="3637" w:name="__RefHeading___Toc3810039_1067777946"/>
      <w:bookmarkStart w:id="3638" w:name="_Toc1532"/>
      <w:bookmarkEnd w:id="3637"/>
      <w:r>
        <w:rPr>
          <w:rtl w:val="true"/>
        </w:rPr>
        <w:t>غصب امۀ حامل</w:t>
      </w:r>
      <w:bookmarkEnd w:id="3638"/>
    </w:p>
    <w:p>
      <w:pPr>
        <w:pStyle w:val="BookText"/>
        <w:rPr/>
      </w:pPr>
      <w:r>
        <w:rPr>
          <w:rFonts w:ascii="IRNazanin" w:hAnsi="IRNazanin" w:eastAsia="IRNazanin"/>
          <w:color w:val="111111"/>
          <w:sz w:val="28"/>
          <w:sz w:val="28"/>
          <w:szCs w:val="28"/>
          <w:rtl w:val="true"/>
          <w:lang w:bidi="fa-IR"/>
        </w:rPr>
        <w:t>و غصب امۀ حامل، غصب حمل است اگر چه يكى استيلاء بالاصاله و ديگرى بالتبع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صورت اسقاط و بقاى امه، ضامن سقط به ضمان تفاوت بين حامل و حائل است در صورت وقوع به امر غير منسوب به 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اَمه هم تلف شد بعد از غصب، ضامن هر كدام از سقط و اَمه است به قيمت آن در وقت تلف يعنى قيمت امۀ حائل و قيمت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مفروض شود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ضامن اكثر از قيمت ولد و اَمه در حال حمل است اگر اعتبار به اكثر باشد، وگرنه ضامن قيمت يوم التلف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عبارت خالى از اجمال نيست، و شرح احتمالى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خالى از تكلّف نيست اگر چه في نفسه صحيح است و موافقت دارد با آنچه مقدّم شد اختيار آن</w:t>
      </w:r>
      <w:r>
        <w:rPr>
          <w:rFonts w:eastAsia="IRNazanin" w:cs="IRNazanin"/>
          <w:color w:val="111111"/>
          <w:sz w:val="28"/>
          <w:szCs w:val="28"/>
          <w:rtl w:val="true"/>
          <w:lang w:bidi="fa-IR"/>
        </w:rPr>
        <w:t>.</w:t>
      </w:r>
    </w:p>
    <w:p>
      <w:pPr>
        <w:pStyle w:val="Heading4"/>
        <w:numPr>
          <w:ilvl w:val="3"/>
          <w:numId w:val="1"/>
        </w:numPr>
        <w:rPr/>
      </w:pPr>
      <w:bookmarkStart w:id="3639" w:name="__RefHeading___Toc3810041_1067777946"/>
      <w:bookmarkStart w:id="3640" w:name="_Toc1533"/>
      <w:bookmarkEnd w:id="3639"/>
      <w:r>
        <w:rPr>
          <w:rtl w:val="true"/>
        </w:rPr>
        <w:t>ضمان در حمل امۀ مبتاعه به بيع فاسد</w:t>
      </w:r>
      <w:bookmarkEnd w:id="3640"/>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موجب ضمان در حمل امۀ مبتاعه به بيع فاسد، يد است با عدم اذن مطلق غير اذن بيعى مكشوف الفساد، اگر چه شرط دخول حمل در مبيع نباشد</w:t>
      </w:r>
      <w:r>
        <w:rPr>
          <w:rFonts w:eastAsia="IRNazanin" w:cs="IRNazanin"/>
          <w:color w:val="111111"/>
          <w:sz w:val="28"/>
          <w:szCs w:val="28"/>
          <w:rtl w:val="true"/>
          <w:lang w:bidi="fa-IR"/>
        </w:rPr>
        <w:t xml:space="preserve">. </w:t>
      </w:r>
      <w:bookmarkStart w:id="3641" w:name="pg10265_90371"/>
    </w:p>
    <w:p>
      <w:pPr>
        <w:pStyle w:val="Heading4"/>
        <w:numPr>
          <w:ilvl w:val="3"/>
          <w:numId w:val="1"/>
        </w:numPr>
        <w:rPr/>
      </w:pPr>
      <w:bookmarkStart w:id="3642" w:name="__RefHeading___Toc3810043_1067777946"/>
      <w:bookmarkStart w:id="3643" w:name="_Toc1534"/>
      <w:bookmarkEnd w:id="3641"/>
      <w:bookmarkEnd w:id="3642"/>
      <w:r>
        <w:rPr>
          <w:rtl w:val="true"/>
        </w:rPr>
        <w:t>حمل مقبوض به سَوم</w:t>
      </w:r>
      <w:bookmarkEnd w:id="3643"/>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مقبوض 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يد و اذن، موجود است، ضمان نيست، چنانچه مقتضاى قاعده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مقبوض 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ضمان است</w:t>
      </w:r>
      <w:r>
        <w:rPr>
          <w:rFonts w:eastAsia="IRNazanin" w:cs="IRNazanin"/>
          <w:color w:val="111111"/>
          <w:sz w:val="28"/>
          <w:szCs w:val="28"/>
          <w:rtl w:val="true"/>
          <w:lang w:bidi="fa-IR"/>
        </w:rPr>
        <w:t>.</w:t>
      </w:r>
    </w:p>
    <w:p>
      <w:pPr>
        <w:pStyle w:val="Heading4"/>
        <w:numPr>
          <w:ilvl w:val="3"/>
          <w:numId w:val="1"/>
        </w:numPr>
        <w:rPr/>
      </w:pPr>
      <w:bookmarkStart w:id="3644" w:name="__RefHeading___Toc3810045_1067777946"/>
      <w:bookmarkStart w:id="3645" w:name="_Toc1535"/>
      <w:bookmarkEnd w:id="3644"/>
      <w:r>
        <w:rPr>
          <w:rtl w:val="true"/>
        </w:rPr>
        <w:t>ضمان غصب مسجد و مدرسه</w:t>
      </w:r>
      <w:bookmarkEnd w:id="3645"/>
    </w:p>
    <w:p>
      <w:pPr>
        <w:pStyle w:val="BookText"/>
        <w:rPr/>
      </w:pPr>
      <w:r>
        <w:rPr>
          <w:rFonts w:ascii="Amiri" w:hAnsi="Amiri" w:eastAsia="Amiri" w:cs="Amiri"/>
          <w:color w:val="111111"/>
          <w:sz w:val="28"/>
          <w:sz w:val="28"/>
          <w:szCs w:val="28"/>
          <w:rtl w:val="true"/>
          <w:lang w:bidi="ar-SA"/>
        </w:rPr>
        <w:t>و ضمان غاصبِ مثل مسجد و رباط و مدرسه، عين و منفعت را، مبنى بر مالكيّت مستحقين انتفاع به آنها است مثل طرق و شوارع، در مقابل فكّ ملك به تحرير يا مشعريّت در مخلوقيّت</w:t>
      </w:r>
      <w:r>
        <w:rPr>
          <w:rFonts w:eastAsia="Amiri" w:cs="Amiri" w:ascii="Amiri" w:hAnsi="Amiri"/>
          <w:color w:val="111111"/>
          <w:sz w:val="28"/>
          <w:szCs w:val="28"/>
          <w:rtl w:val="true"/>
          <w:lang w:bidi="ar-SA"/>
        </w:rPr>
        <w:t>.</w:t>
      </w:r>
    </w:p>
    <w:p>
      <w:pPr>
        <w:pStyle w:val="Heading4"/>
        <w:numPr>
          <w:ilvl w:val="3"/>
          <w:numId w:val="1"/>
        </w:numPr>
        <w:rPr/>
      </w:pPr>
      <w:bookmarkStart w:id="3646" w:name="__RefHeading___Toc3810047_1067777946"/>
      <w:bookmarkStart w:id="3647" w:name="_Toc1536"/>
      <w:bookmarkEnd w:id="3646"/>
      <w:r>
        <w:rPr>
          <w:rtl w:val="true"/>
        </w:rPr>
        <w:t>تعاقب ايدى بر مغصوب</w:t>
      </w:r>
      <w:bookmarkEnd w:id="3647"/>
    </w:p>
    <w:p>
      <w:pPr>
        <w:pStyle w:val="BookText"/>
        <w:rPr/>
      </w:pPr>
      <w:r>
        <w:rPr>
          <w:rFonts w:ascii="IRNazanin" w:hAnsi="IRNazanin" w:eastAsia="IRNazanin"/>
          <w:color w:val="111111"/>
          <w:sz w:val="28"/>
          <w:sz w:val="28"/>
          <w:szCs w:val="28"/>
          <w:rtl w:val="true"/>
          <w:lang w:bidi="fa-IR"/>
        </w:rPr>
        <w:t xml:space="preserve">در صورت تعاقب ايدى غاصبه بر مغصوب واحد يا آنچه به حكم غصب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مختلف باشند در غصب و مجرد يد، با اشتراك در سبب ضمان يا تلف مغصوب در يد بعض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مغصوب منه يا مأخوذ منه، مخير است در رجوع به هر كدام از آنها تمام مغصوب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اختلاف در مقدار رجوع به هر كدام، تمام بدل واحد تالف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رجوع به غير آنكه تلف مال در يد او شده يا اتلاف كرده است، رجوع مى نمايد مرجوعٌ اليه به آنكه اخيراً ضمان او مستقر و تحقيقى است</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رجوع كرد مالك به ضامن اخير، او رجوع نمى نمايد به احدى از ضامنها، به جهت زيادتى خصوصيّت در اخير كه موجب اولويّت به قرار ضمان 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اشتراك همه در سبب ضمان، در صورت عدم زيادتى ديگرى در عين كه مخصوص است غير آخرى به ضمان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حكم اين است مثل دوشيدن غير آخرى شير گوسفند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اختصاص بعض ديگر به خصوصيّتى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مغرور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تلف در يد عاديه، به منزلۀ اتلاف صاحب يد است در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آخرى با اداء به مالك بدل را، مالك مى شود آنچه را كه ذمۀ او مشغول بود، و </w:t>
      </w:r>
      <w:bookmarkStart w:id="3648" w:name="pg10265_90372"/>
    </w:p>
    <w:p>
      <w:pPr>
        <w:pStyle w:val="BookText"/>
        <w:rPr/>
      </w:pPr>
      <w:bookmarkEnd w:id="3648"/>
      <w:r>
        <w:rPr>
          <w:rFonts w:ascii="Amiri" w:hAnsi="Amiri" w:eastAsia="Amiri" w:cs="Amiri"/>
          <w:color w:val="111111"/>
          <w:sz w:val="28"/>
          <w:sz w:val="28"/>
          <w:szCs w:val="28"/>
          <w:rtl w:val="true"/>
          <w:lang w:bidi="ar-SA"/>
        </w:rPr>
        <w:t xml:space="preserve">حق مطالبه مملوك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آخرى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حكم مذكور، مربوط به يد غير مأذونه است، چه آنكه عالم به مالكيّت غير باشد يا جاهل باشد، اگر چه عالم، مختص به اثم به سبب غاصب بودن فقط يا با مغرور نمودن ديگرى ايضاً باشد</w:t>
      </w:r>
      <w:r>
        <w:rPr>
          <w:rFonts w:eastAsia="IRNazanin" w:cs="IRNazanin"/>
          <w:color w:val="111111"/>
          <w:sz w:val="28"/>
          <w:szCs w:val="28"/>
          <w:rtl w:val="true"/>
          <w:lang w:bidi="fa-IR"/>
        </w:rPr>
        <w:t>.</w:t>
      </w:r>
    </w:p>
    <w:p>
      <w:pPr>
        <w:pStyle w:val="Heading4"/>
        <w:numPr>
          <w:ilvl w:val="3"/>
          <w:numId w:val="1"/>
        </w:numPr>
        <w:rPr/>
      </w:pPr>
      <w:bookmarkStart w:id="3649" w:name="__RefHeading___Toc3810049_1067777946"/>
      <w:bookmarkStart w:id="3650" w:name="_Toc1537"/>
      <w:bookmarkEnd w:id="3649"/>
      <w:r>
        <w:rPr>
          <w:rtl w:val="true"/>
        </w:rPr>
        <w:t>نحوۀ ضمان در حبس انسان</w:t>
      </w:r>
      <w:bookmarkEnd w:id="3650"/>
    </w:p>
    <w:p>
      <w:pPr>
        <w:pStyle w:val="BookText"/>
        <w:rPr/>
      </w:pPr>
      <w:r>
        <w:rPr>
          <w:rFonts w:ascii="IRNazanin" w:hAnsi="IRNazanin" w:eastAsia="IRNazanin"/>
          <w:color w:val="111111"/>
          <w:sz w:val="28"/>
          <w:sz w:val="28"/>
          <w:szCs w:val="28"/>
          <w:rtl w:val="true"/>
          <w:lang w:bidi="fa-IR"/>
        </w:rPr>
        <w:t xml:space="preserve">حرّ متموَّل عرفى نيست و قابل بيع و شراء نيست، و غصب 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پس مغصوب نمى شود و به غصب مضمون نمى شود در عين يا منفعت؛ و فقط با جنايت مباشريه يا تسبيبيّه در عين و استيفاى در منفعت يا ازاله منفعت يا نقص آن به جنايت يا حكم آن، محل ضمان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حرق و غرق در يد حابس و متعدى اگر خالى از تسبيب و مباشرت او باشد، موجب ضمان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غلام يا كنيز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 و در موارد تسبيب، مثل القاى در محل درنده، علم لازم نيست، مثل اتلاف مباشرى در ضمان مالى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فرقى در حكم مذكور بين كبير و صغير و عاقل و مجنون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حبس، موجب ضمان تالف بدون تسبيب حابس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به اهمال از حفظ لازم براى محبوس با خصوصيّات مكانيّه و زمانيّه و عدم تمكّن محبوس از حفظ نفس يا ممنوعيت از آن به طورى كه تسبيب حابس به تلف محبوس محقّق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پس ضمان از ناحيۀ سبب شدن واقعى حبس براى تلف است، نه براى غصب يا يَد يا اتلاف مباشرى</w:t>
      </w:r>
      <w:r>
        <w:rPr>
          <w:rFonts w:eastAsia="IRNazanin" w:cs="IRNazanin"/>
          <w:color w:val="111111"/>
          <w:sz w:val="28"/>
          <w:szCs w:val="28"/>
          <w:rtl w:val="true"/>
          <w:lang w:bidi="fa-IR"/>
        </w:rPr>
        <w:t>.</w:t>
      </w:r>
    </w:p>
    <w:p>
      <w:pPr>
        <w:pStyle w:val="Heading4"/>
        <w:numPr>
          <w:ilvl w:val="3"/>
          <w:numId w:val="1"/>
        </w:numPr>
        <w:rPr/>
      </w:pPr>
      <w:bookmarkStart w:id="3651" w:name="__RefHeading___Toc3810051_1067777946"/>
      <w:bookmarkStart w:id="3652" w:name="_Toc1538"/>
      <w:bookmarkEnd w:id="3651"/>
      <w:r>
        <w:rPr>
          <w:rtl w:val="true"/>
        </w:rPr>
        <w:t>لزوم اداء اجرت اجير و لو اكراهى باشد</w:t>
      </w:r>
      <w:bookmarkEnd w:id="3652"/>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استخدام نمايد آزاد را براى عملى، لازم است اجرت عمل را به او يا به ولىّ او در صورت قاصر بودن تأديه نمايد، اگر چه با اكراه انجام بگيرد</w:t>
      </w:r>
      <w:r>
        <w:rPr>
          <w:rFonts w:eastAsia="IRNazanin" w:cs="IRNazanin"/>
          <w:color w:val="111111"/>
          <w:sz w:val="28"/>
          <w:szCs w:val="28"/>
          <w:rtl w:val="true"/>
          <w:lang w:bidi="fa-IR"/>
        </w:rPr>
        <w:t xml:space="preserve">. </w:t>
      </w:r>
      <w:bookmarkStart w:id="3653" w:name="pg10265_90373"/>
    </w:p>
    <w:p>
      <w:pPr>
        <w:pStyle w:val="Heading4"/>
        <w:numPr>
          <w:ilvl w:val="3"/>
          <w:numId w:val="1"/>
        </w:numPr>
        <w:rPr/>
      </w:pPr>
      <w:bookmarkStart w:id="3654" w:name="__RefHeading___Toc3810053_1067777946"/>
      <w:bookmarkStart w:id="3655" w:name="_Toc1539"/>
      <w:bookmarkEnd w:id="3653"/>
      <w:bookmarkEnd w:id="3654"/>
      <w:r>
        <w:rPr>
          <w:rtl w:val="true"/>
        </w:rPr>
        <w:t>حبس صنعتگر از عمل، بدون استيفاى عمل او</w:t>
      </w:r>
      <w:bookmarkEnd w:id="3655"/>
    </w:p>
    <w:p>
      <w:pPr>
        <w:pStyle w:val="BookText"/>
        <w:rPr/>
      </w:pPr>
      <w:r>
        <w:rPr>
          <w:rFonts w:ascii="IRNazanin" w:hAnsi="IRNazanin" w:eastAsia="IRNazanin"/>
          <w:color w:val="111111"/>
          <w:sz w:val="28"/>
          <w:sz w:val="28"/>
          <w:szCs w:val="28"/>
          <w:rtl w:val="true"/>
          <w:lang w:bidi="fa-IR"/>
        </w:rPr>
        <w:t>اگر حبس كرد صانعى را و منتفع نشد از او به استيفاى عمل او و سبب شد حبس براى تفويت منفعت به حيثيتى كه اگر حبس نمى كرد به طور يقين انجام عمل و تحصيل اجرت مى نمود، پس ضمان در فرض، خالى از وجه نيست اگر اجماع بر خلاف نباشد، به جهت الغاى خصوصيّت عرفاً از اتلاف و استيفاى منفعت، نه غصب و يد و اتلاف استيفايى به نحوى كه در عبد كه مال است و منافع او مال مى باشند محقّق است و در يَد داخل مى شوند و تلف آنها موجب ضمان مى شود</w:t>
      </w:r>
      <w:r>
        <w:rPr>
          <w:rFonts w:eastAsia="IRNazanin" w:cs="IRNazanin"/>
          <w:color w:val="111111"/>
          <w:sz w:val="28"/>
          <w:szCs w:val="28"/>
          <w:rtl w:val="true"/>
          <w:lang w:bidi="fa-IR"/>
        </w:rPr>
        <w:t>.</w:t>
      </w:r>
    </w:p>
    <w:p>
      <w:pPr>
        <w:pStyle w:val="Heading4"/>
        <w:numPr>
          <w:ilvl w:val="3"/>
          <w:numId w:val="1"/>
        </w:numPr>
        <w:rPr/>
      </w:pPr>
      <w:bookmarkStart w:id="3656" w:name="__RefHeading___Toc3810055_1067777946"/>
      <w:bookmarkStart w:id="3657" w:name="_Toc1540"/>
      <w:bookmarkEnd w:id="3656"/>
      <w:r>
        <w:rPr>
          <w:rtl w:val="true"/>
        </w:rPr>
        <w:t>حبس اجير از عمل يا عدم سكنى در خانۀ اجاره شده</w:t>
      </w:r>
      <w:bookmarkEnd w:id="3657"/>
    </w:p>
    <w:p>
      <w:pPr>
        <w:pStyle w:val="BookText"/>
        <w:rPr/>
      </w:pPr>
      <w:r>
        <w:rPr>
          <w:rFonts w:ascii="IRNazanin" w:hAnsi="IRNazanin" w:eastAsia="IRNazanin"/>
          <w:color w:val="111111"/>
          <w:sz w:val="28"/>
          <w:sz w:val="28"/>
          <w:szCs w:val="28"/>
          <w:rtl w:val="true"/>
          <w:lang w:bidi="fa-IR"/>
        </w:rPr>
        <w:t>و هم چنين اگر بعد از عقد اجاره، اجير را حبس كرد و مانع شد از عمل تا زمان مضىّ وقت اجاره، يا آنكه خانه اى را اجاره كرد و در آن سكنى نكرد تا گذشتن وقت اجاره، كه مسلّم است در اينها ضمان اجرت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عمل، مورد اجاره بود و زمان معيّن شرط نشده بود، پس تا مدتى كه ممكن بود ايجاد آن عمل، مستأجر، حبس نمود موجر را و بعد، ايجاد عمل، ممكن باشد، پس ضمان اجرت مسماة، به ايجاد عمل و تسليم آن است، و ضمان منفعت معطّله نسبت به حرّ، چنان است كه ذكر شد در شئون خاصّۀ حرّ</w:t>
      </w:r>
      <w:r>
        <w:rPr>
          <w:rFonts w:eastAsia="IRNazanin" w:cs="IRNazanin"/>
          <w:color w:val="111111"/>
          <w:sz w:val="28"/>
          <w:szCs w:val="28"/>
          <w:rtl w:val="true"/>
          <w:lang w:bidi="fa-IR"/>
        </w:rPr>
        <w:t>.</w:t>
      </w:r>
    </w:p>
    <w:p>
      <w:pPr>
        <w:pStyle w:val="Heading4"/>
        <w:numPr>
          <w:ilvl w:val="3"/>
          <w:numId w:val="1"/>
        </w:numPr>
        <w:rPr/>
      </w:pPr>
      <w:bookmarkStart w:id="3658" w:name="__RefHeading___Toc3810057_1067777946"/>
      <w:bookmarkStart w:id="3659" w:name="_Toc1541"/>
      <w:bookmarkEnd w:id="3658"/>
      <w:r>
        <w:rPr>
          <w:rtl w:val="true"/>
        </w:rPr>
        <w:t>اجاره بر عملى و سپس استيفاى موضع اجاره</w:t>
      </w:r>
      <w:bookmarkEnd w:id="3659"/>
    </w:p>
    <w:p>
      <w:pPr>
        <w:pStyle w:val="BookText"/>
        <w:rPr/>
      </w:pPr>
      <w:r>
        <w:rPr>
          <w:rFonts w:ascii="IRNazanin" w:hAnsi="IRNazanin" w:eastAsia="IRNazanin"/>
          <w:color w:val="111111"/>
          <w:sz w:val="28"/>
          <w:sz w:val="28"/>
          <w:szCs w:val="28"/>
          <w:rtl w:val="true"/>
          <w:lang w:bidi="fa-IR"/>
        </w:rPr>
        <w:t>و اگر اجاره كرد براى كندن دندان و نحو آن، پس بُرء حاصل شد به نحوى كه محلى براى علاج و كشيدن دندان نماند، پس انفساخ اجاره از زمان انتفاى موضوع، موافق قاعده است، و هم چنين عدم استحقاق اجرت كه منوط به تسليم عمل است</w:t>
      </w:r>
      <w:r>
        <w:rPr>
          <w:rFonts w:eastAsia="IRNazanin" w:cs="IRNazanin"/>
          <w:color w:val="111111"/>
          <w:sz w:val="28"/>
          <w:szCs w:val="28"/>
          <w:rtl w:val="true"/>
          <w:lang w:bidi="fa-IR"/>
        </w:rPr>
        <w:t>.</w:t>
      </w:r>
    </w:p>
    <w:p>
      <w:pPr>
        <w:pStyle w:val="Heading4"/>
        <w:numPr>
          <w:ilvl w:val="3"/>
          <w:numId w:val="1"/>
        </w:numPr>
        <w:rPr/>
      </w:pPr>
      <w:bookmarkStart w:id="3660" w:name="__RefHeading___Toc3810059_1067777946"/>
      <w:bookmarkStart w:id="3661" w:name="_Toc1542"/>
      <w:bookmarkEnd w:id="3660"/>
      <w:r>
        <w:rPr>
          <w:rtl w:val="true"/>
        </w:rPr>
        <w:t>تأخير مستأجر با بذل موجر در استيفاى منفعت</w:t>
      </w:r>
      <w:bookmarkEnd w:id="3661"/>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تأخير مستأجر با بذل موجر و مضىّ مدت امكان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مدتى كه ممكن بود ايجاد عمل در آن مدت، نه مدت امكان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سببيّت آن براى اجرت </w:t>
      </w:r>
      <w:bookmarkStart w:id="3662" w:name="pg10265_90374"/>
    </w:p>
    <w:p>
      <w:pPr>
        <w:pStyle w:val="BookText"/>
        <w:rPr/>
      </w:pPr>
      <w:bookmarkEnd w:id="3662"/>
      <w:r>
        <w:rPr>
          <w:rFonts w:ascii="IRNazanin" w:hAnsi="IRNazanin" w:eastAsia="IRNazanin"/>
          <w:color w:val="111111"/>
          <w:sz w:val="28"/>
          <w:sz w:val="28"/>
          <w:szCs w:val="28"/>
          <w:rtl w:val="true"/>
          <w:lang w:bidi="fa-IR"/>
        </w:rPr>
        <w:t>المثل فائت از منفعت حرّ به تفويت مستأجر يا عدم آن، مبنىّ بر آنچه كه ذكر شد در نظير 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اجرت مسماة، پس ضمان آن مبنىّ بر مضىّ مدت اجاره يا مدت عمل مقيد به وقت خاصى با تسليم اجير خود را براى عمل در آن مدت و تقصير مستأجر در استيفا در آن وقت است، و اين قريب است با 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حواشى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موجر حاضر شد و تسليم نفس براى عمل نمود در اول وقت امكان كه بعيد است الزام يكى از متعاقدان به غير آن وقت، و مستأجر اختياراً حاضر نشد براى تسلّم عمل، موجر به تمام آنچه معقودٌ عليه بوده كه تسليم عمل از ناحيۀ خودش باشد وفا نموده و مستحق اجرت مسماة است، حتى اگر انتفاى موضوع بعد از اول وقتِ امكانِ عمل بشود بدون تقييد به وقتى ديگر</w:t>
      </w:r>
      <w:r>
        <w:rPr>
          <w:rFonts w:eastAsia="IRNazanin" w:cs="IRNazanin"/>
          <w:color w:val="111111"/>
          <w:sz w:val="28"/>
          <w:szCs w:val="28"/>
          <w:rtl w:val="true"/>
          <w:lang w:bidi="fa-IR"/>
        </w:rPr>
        <w:t>.</w:t>
      </w:r>
    </w:p>
    <w:p>
      <w:pPr>
        <w:pStyle w:val="Heading4"/>
        <w:numPr>
          <w:ilvl w:val="3"/>
          <w:numId w:val="1"/>
        </w:numPr>
        <w:rPr/>
      </w:pPr>
      <w:bookmarkStart w:id="3663" w:name="__RefHeading___Toc3810061_1067777946"/>
      <w:bookmarkStart w:id="3664" w:name="_Toc1543"/>
      <w:bookmarkEnd w:id="3663"/>
      <w:r>
        <w:rPr>
          <w:rtl w:val="true"/>
        </w:rPr>
        <w:t>عدم استيفاى منفعت توسط مستأجر در مورد دابه و عبد</w:t>
      </w:r>
      <w:bookmarkEnd w:id="3664"/>
    </w:p>
    <w:p>
      <w:pPr>
        <w:pStyle w:val="BookText"/>
        <w:rPr/>
      </w:pPr>
      <w:r>
        <w:rPr>
          <w:rFonts w:ascii="IRNazanin" w:hAnsi="IRNazanin" w:eastAsia="IRNazanin"/>
          <w:color w:val="111111"/>
          <w:sz w:val="28"/>
          <w:sz w:val="28"/>
          <w:szCs w:val="28"/>
          <w:rtl w:val="true"/>
          <w:lang w:bidi="fa-IR"/>
        </w:rPr>
        <w:t>و اگر اين مطلب در مثل دابّۀ مستأجَره و عبد مستأجَر واقع شد، پس اگر استيفاى منفعت در مدت امكان با تسليم عين به تأخير افتاد از قِبَل مستأجِر تا مضىّ زمان اجاره، پس ضمان اجرت ثابت است اگر چه مستأجِر اختيار استيفاى منفعت نكرده است</w:t>
      </w:r>
      <w:r>
        <w:rPr>
          <w:rFonts w:eastAsia="IRNazanin" w:cs="IRNazanin"/>
          <w:color w:val="111111"/>
          <w:sz w:val="28"/>
          <w:szCs w:val="28"/>
          <w:rtl w:val="true"/>
          <w:lang w:bidi="fa-IR"/>
        </w:rPr>
        <w:t>.</w:t>
      </w:r>
    </w:p>
    <w:p>
      <w:pPr>
        <w:pStyle w:val="Heading4"/>
        <w:numPr>
          <w:ilvl w:val="3"/>
          <w:numId w:val="1"/>
        </w:numPr>
        <w:rPr/>
      </w:pPr>
      <w:bookmarkStart w:id="3665" w:name="__RefHeading___Toc3810063_1067777946"/>
      <w:bookmarkStart w:id="3666" w:name="_Toc1544"/>
      <w:bookmarkEnd w:id="3665"/>
      <w:r>
        <w:rPr>
          <w:rtl w:val="true"/>
        </w:rPr>
        <w:t>غصب خمر و خنزير و ضمان در اين دو</w:t>
      </w:r>
      <w:bookmarkEnd w:id="3666"/>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غصب خمر مسلِم، از غاصب مسلم يا كافر، موجب ضمان آن به تلف نيست اگر چه اتخاذ آن براى تخليل باشد بنا بر اظهر، اگر چه در اين فرض تكليفاً جائز نيست مزاحمت با متّخِذ در صورتى كه مغصوبٌ منه مسلِم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دست متعدى بر مسلِم، خمر سركه شد، احوط وجوب رد به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تلف بعد از تخليل در يد متعدى بر مسلم، احوط ضمان بدل است براى مسلم؛ و جريانش در غير متخذ براى تخليل، خالى از اشكال نيست</w:t>
      </w:r>
      <w:r>
        <w:rPr>
          <w:rFonts w:eastAsia="IRNazanin" w:cs="IRNazanin"/>
          <w:color w:val="111111"/>
          <w:sz w:val="28"/>
          <w:szCs w:val="28"/>
          <w:rtl w:val="true"/>
          <w:lang w:bidi="fa-IR"/>
        </w:rPr>
        <w:t xml:space="preserve">. </w:t>
      </w:r>
      <w:bookmarkStart w:id="3667" w:name="pg10265_90375"/>
    </w:p>
    <w:p>
      <w:pPr>
        <w:pStyle w:val="BookText"/>
        <w:rPr/>
      </w:pPr>
      <w:bookmarkEnd w:id="3667"/>
      <w:r>
        <w:rPr>
          <w:rFonts w:ascii="IRNazanin" w:hAnsi="IRNazanin" w:eastAsia="IRNazanin"/>
          <w:color w:val="111111"/>
          <w:sz w:val="28"/>
          <w:sz w:val="28"/>
          <w:szCs w:val="28"/>
          <w:rtl w:val="true"/>
          <w:lang w:bidi="fa-IR"/>
        </w:rPr>
        <w:t>و غصب خمر ذمّى متستّر، از غاصب مسلم يا كافر، موجب ضمان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خمر متظاهر، مضمون نيست به غصب، چه آنكه غاصب، مسلم باشد يا كافر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خنزير در ضمان و عدم، مربوط به مسلم يا كافر ذمى متستر يا متظاهر، در حكم خمر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مضمون كه ثابت در ذمۀ غاصب مى شود از خمر و خنزير در صورت تلف، قيمت آنها در نزد آنها كه حلال مى دانند آنها را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است رد آنها در تقدير مذكور با شرط مذكور، در صورت بقاى عين مغصوبه و عهده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ضمان به مثل در مثلى، خالى از شبهه نيست، نظر به بُعد تكليف مسلم به اداء خمر مثلى، و به اينكه ضد اخفا، به سبب سوء اختيار غاصب است نه به اعلان ذمّى پس تا اعلان ذمّى محقّق نباشد، احترام مال او به اداء عين غير تالفه و مثل تالف محفوظ است، و احتياط در صلح و لو به ازيد از قيمت است</w:t>
      </w:r>
      <w:r>
        <w:rPr>
          <w:rFonts w:eastAsia="IRNazanin" w:cs="IRNazanin"/>
          <w:color w:val="111111"/>
          <w:sz w:val="28"/>
          <w:szCs w:val="28"/>
          <w:rtl w:val="true"/>
          <w:lang w:bidi="fa-IR"/>
        </w:rPr>
        <w:t>.</w:t>
      </w:r>
    </w:p>
    <w:p>
      <w:pPr>
        <w:pStyle w:val="Heading4"/>
        <w:numPr>
          <w:ilvl w:val="3"/>
          <w:numId w:val="1"/>
        </w:numPr>
        <w:rPr/>
      </w:pPr>
      <w:bookmarkStart w:id="3668" w:name="__RefHeading___Toc3810065_1067777946"/>
      <w:bookmarkStart w:id="3669" w:name="_Toc1545"/>
      <w:bookmarkEnd w:id="3668"/>
      <w:r>
        <w:rPr>
          <w:rtl w:val="true"/>
        </w:rPr>
        <w:t>اسباب ديگرِ ضمان، غير از غصب</w:t>
      </w:r>
      <w:bookmarkEnd w:id="3669"/>
    </w:p>
    <w:p>
      <w:pPr>
        <w:pStyle w:val="Heading5"/>
        <w:numPr>
          <w:ilvl w:val="4"/>
          <w:numId w:val="1"/>
        </w:numPr>
        <w:rPr/>
      </w:pPr>
      <w:bookmarkStart w:id="3670" w:name="__RefHeading___Toc3810067_1067777946"/>
      <w:bookmarkStart w:id="3671" w:name="_Toc1546"/>
      <w:bookmarkEnd w:id="3670"/>
      <w:r>
        <w:rPr/>
        <w:t>1</w:t>
      </w:r>
      <w:r>
        <w:rPr>
          <w:rtl w:val="true"/>
        </w:rPr>
        <w:t xml:space="preserve"> </w:t>
      </w:r>
      <w:r>
        <w:rPr>
          <w:rtl w:val="true"/>
        </w:rPr>
        <w:t xml:space="preserve">و </w:t>
      </w:r>
      <w:r>
        <w:rPr/>
        <w:t>2</w:t>
      </w:r>
      <w:r>
        <w:rPr>
          <w:rtl w:val="true"/>
        </w:rPr>
        <w:t xml:space="preserve">. </w:t>
      </w:r>
      <w:r>
        <w:rPr>
          <w:rtl w:val="true"/>
        </w:rPr>
        <w:t>مباشرت اتلاف، تسبيب اتلاف</w:t>
      </w:r>
      <w:bookmarkEnd w:id="3671"/>
    </w:p>
    <w:p>
      <w:pPr>
        <w:pStyle w:val="Heading6"/>
        <w:numPr>
          <w:ilvl w:val="5"/>
          <w:numId w:val="1"/>
        </w:numPr>
        <w:rPr/>
      </w:pPr>
      <w:bookmarkStart w:id="3672" w:name="__RefHeading___Toc3810069_1067777946"/>
      <w:bookmarkStart w:id="3673" w:name="_Toc1547"/>
      <w:bookmarkEnd w:id="3672"/>
      <w:r>
        <w:rPr>
          <w:rtl w:val="true"/>
        </w:rPr>
        <w:t>اشاره</w:t>
      </w:r>
      <w:bookmarkEnd w:id="3673"/>
    </w:p>
    <w:p>
      <w:pPr>
        <w:pStyle w:val="BookText"/>
        <w:rPr/>
      </w:pPr>
      <w:r>
        <w:rPr>
          <w:rFonts w:ascii="IRNazanin" w:hAnsi="IRNazanin" w:eastAsia="IRNazanin"/>
          <w:color w:val="111111"/>
          <w:sz w:val="28"/>
          <w:sz w:val="28"/>
          <w:szCs w:val="28"/>
          <w:rtl w:val="true"/>
          <w:lang w:bidi="fa-IR"/>
        </w:rPr>
        <w:t>ضمان به مباشرتِ اتلاف در نفس يا مال اگر چه منفعت باشد، در موضوع و حكم،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به تسبيب به ايجاد سبب اتلاف با امكان تخلف سبب از 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حفر بئر، يا نصب مانعى از استطراق در طريق، كه متعقب به اِهلاك نفسى يا مالى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ضمان به آن فى الجمله خالى از اشكال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3674" w:name="__RefHeading___Toc3810071_1067777946"/>
      <w:bookmarkStart w:id="3675" w:name="_Toc1548"/>
      <w:bookmarkEnd w:id="3674"/>
      <w:r>
        <w:rPr>
          <w:rtl w:val="true"/>
        </w:rPr>
        <w:t>اجتماع سبب و مباشر</w:t>
      </w:r>
      <w:bookmarkEnd w:id="3675"/>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صورت اجتماع سبب و مباشرت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آنكه اتلاف به توسط دفع ثالثى در بئر مذكور واقع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اقوى بودن مباشر مثل مثال مذكور، ضمان مباشر و تقديم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سبب فى الجمله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اين كليّت خالى از اشكال در </w:t>
      </w:r>
      <w:bookmarkStart w:id="3676" w:name="pg10265_90376"/>
    </w:p>
    <w:p>
      <w:pPr>
        <w:pStyle w:val="BookText"/>
        <w:rPr/>
      </w:pPr>
      <w:bookmarkEnd w:id="3676"/>
      <w:r>
        <w:rPr>
          <w:rFonts w:ascii="Amiri" w:hAnsi="Amiri" w:eastAsia="Amiri" w:cs="Amiri"/>
          <w:color w:val="111111"/>
          <w:sz w:val="28"/>
          <w:sz w:val="28"/>
          <w:szCs w:val="28"/>
          <w:rtl w:val="true"/>
          <w:lang w:bidi="ar-SA"/>
        </w:rPr>
        <w:t>بعض مصاديق آن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اينكه مباشر و موجد سبب با اين قصد عمل نمايند؛ و اقرب در اين صورت ايضاً ضمان مباشر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 اينكه مباشر، عالم به عمل موجد سبب نباشد به واسطۀ ظلمت يا غير آن، و عمل مباشر جامع بين متلف و غير بود اگر نبود عمل موجد سبب؛ و در اين صورت ضمان هر دو به اشتراك محتمل است بلكه خالى از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ضمان هر دو به نحو تخيير در رجوع، بى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اينكه در آنِ سقوط در چاه، كسى دفع نمود، كه اجتماع، صورى است و ضمان بر سبب است بنا بر اظهر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بعض صور تبانى بين حافر و دافع از اين قبيل است، و بعض صور تبانى كه به دفع احتياج هست مورد ضمان هر دو به اشتراك است</w:t>
      </w:r>
      <w:r>
        <w:rPr>
          <w:rFonts w:eastAsia="Amiri" w:cs="Amiri" w:ascii="Amiri" w:hAnsi="Amiri"/>
          <w:color w:val="111111"/>
          <w:sz w:val="28"/>
          <w:szCs w:val="28"/>
          <w:rtl w:val="true"/>
          <w:lang w:bidi="ar-SA"/>
        </w:rPr>
        <w:t>.</w:t>
      </w:r>
    </w:p>
    <w:p>
      <w:pPr>
        <w:pStyle w:val="Heading6"/>
        <w:numPr>
          <w:ilvl w:val="5"/>
          <w:numId w:val="1"/>
        </w:numPr>
        <w:rPr/>
      </w:pPr>
      <w:bookmarkStart w:id="3677" w:name="__RefHeading___Toc3810073_1067777946"/>
      <w:bookmarkStart w:id="3678" w:name="_Toc1549"/>
      <w:bookmarkEnd w:id="3677"/>
      <w:r>
        <w:rPr>
          <w:rtl w:val="true"/>
        </w:rPr>
        <w:t>اجتماع دو سبب</w:t>
      </w:r>
      <w:bookmarkEnd w:id="3678"/>
    </w:p>
    <w:p>
      <w:pPr>
        <w:pStyle w:val="BookText"/>
        <w:rPr/>
      </w:pPr>
      <w:r>
        <w:rPr>
          <w:rFonts w:ascii="IRNazanin" w:hAnsi="IRNazanin" w:eastAsia="IRNazanin"/>
          <w:color w:val="111111"/>
          <w:sz w:val="28"/>
          <w:sz w:val="28"/>
          <w:szCs w:val="28"/>
          <w:rtl w:val="true"/>
          <w:lang w:bidi="fa-IR"/>
        </w:rPr>
        <w:t xml:space="preserve">و در صورت اجتماع دو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اينكه حفر از يكى و نصب چيزى كه موجب لغزش و سقوط است از ديگرى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تأثير هر دو، اشتراك است، وگرنه ضامن، خصوص ايجاد مؤثّر است در اتلاف، و اناطه به تقديم با معيّتِ در ايجادِ سبب ندارد بنا 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صورتى كه اگر دفع نبود سقوط نمى كرد و تحفظ مى كرد، اقوائيّت دافع از حافر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در فرع سابق اگر نصب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عثرت و سقوط در بئر واقع نمى شد و از آن محافظه مى شد</w:t>
      </w:r>
      <w:r>
        <w:rPr>
          <w:rFonts w:eastAsia="IRNazanin" w:cs="IRNazanin"/>
          <w:color w:val="111111"/>
          <w:sz w:val="28"/>
          <w:szCs w:val="28"/>
          <w:rtl w:val="true"/>
          <w:lang w:bidi="fa-IR"/>
        </w:rPr>
        <w:t>.</w:t>
      </w:r>
    </w:p>
    <w:p>
      <w:pPr>
        <w:pStyle w:val="Heading6"/>
        <w:numPr>
          <w:ilvl w:val="5"/>
          <w:numId w:val="1"/>
        </w:numPr>
        <w:rPr/>
      </w:pPr>
      <w:bookmarkStart w:id="3679" w:name="__RefHeading___Toc3810075_1067777946"/>
      <w:bookmarkStart w:id="3680" w:name="_Toc1550"/>
      <w:bookmarkEnd w:id="3679"/>
      <w:r>
        <w:rPr>
          <w:rtl w:val="true"/>
        </w:rPr>
        <w:t>ضمان اسبق در جنايت</w:t>
      </w:r>
      <w:bookmarkEnd w:id="3680"/>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ضمان اسبق در جنايت نه در خصوص احداث سبب، خالى از وجه نيست، مثل اينكه واقع شد در بئر و قبل از وصول به عمق، موت حاصل شد به سبب نصب </w:t>
      </w:r>
      <w:bookmarkStart w:id="3681" w:name="pg10265_90377"/>
    </w:p>
    <w:p>
      <w:pPr>
        <w:pStyle w:val="BookText"/>
        <w:rPr/>
      </w:pPr>
      <w:bookmarkEnd w:id="3681"/>
      <w:r>
        <w:rPr>
          <w:rFonts w:ascii="IRNazanin" w:hAnsi="IRNazanin" w:eastAsia="IRNazanin"/>
          <w:color w:val="111111"/>
          <w:sz w:val="28"/>
          <w:sz w:val="28"/>
          <w:szCs w:val="28"/>
          <w:rtl w:val="true"/>
          <w:lang w:bidi="fa-IR"/>
        </w:rPr>
        <w:t>سكّين مثلاً در وسط مسافت بين دهنۀ چاه و عمق آن، در صورتى كه اگر نصب نبود، ممكن بود وفات نكند مگر بعد از مدتى كه اخراج نشود در آن، يا اينكه نصب، سبب تعجيل موت شد و اگر نصب نبود قدرى ديرتر موت واقع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خصوص اين مثال خالى از اشكال نيست به جهت اشتراك به ايجاد شرط؛ پس محلّ سكين به منزلۀ عمق چاه است و به اشتراك، تلف محقّق مى شود و ضمان بر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دو سببِ غير مرتبط احداث شد به نحو ترتّب كه اگر اوّلى مؤثّر نشد، دوّمى مؤثّر بشود، پس هر كدام مؤثّر شد موجب ضمان موجد است اگر چه احداث متأخّر در زمان باشد نه جنايت</w:t>
      </w:r>
      <w:r>
        <w:rPr>
          <w:rFonts w:eastAsia="IRNazanin" w:cs="IRNazanin"/>
          <w:color w:val="111111"/>
          <w:sz w:val="28"/>
          <w:szCs w:val="28"/>
          <w:rtl w:val="true"/>
          <w:lang w:bidi="fa-IR"/>
        </w:rPr>
        <w:t>.</w:t>
      </w:r>
    </w:p>
    <w:p>
      <w:pPr>
        <w:pStyle w:val="Heading6"/>
        <w:numPr>
          <w:ilvl w:val="5"/>
          <w:numId w:val="1"/>
        </w:numPr>
        <w:rPr/>
      </w:pPr>
      <w:bookmarkStart w:id="3682" w:name="__RefHeading___Toc3810077_1067777946"/>
      <w:bookmarkStart w:id="3683" w:name="_Toc1551"/>
      <w:bookmarkEnd w:id="3682"/>
      <w:r>
        <w:rPr>
          <w:rtl w:val="true"/>
        </w:rPr>
        <w:t>ضمان سبب در صورت ضعف مباشر</w:t>
      </w:r>
      <w:bookmarkEnd w:id="3683"/>
    </w:p>
    <w:p>
      <w:pPr>
        <w:pStyle w:val="BookText"/>
        <w:rPr/>
      </w:pPr>
      <w:r>
        <w:rPr>
          <w:rFonts w:ascii="IRNazanin" w:hAnsi="IRNazanin" w:eastAsia="IRNazanin"/>
          <w:color w:val="111111"/>
          <w:sz w:val="28"/>
          <w:sz w:val="28"/>
          <w:szCs w:val="28"/>
          <w:rtl w:val="true"/>
          <w:lang w:bidi="fa-IR"/>
        </w:rPr>
        <w:t>و اگر مباشر به سبب غرور يا اكراه ضعيف باشد، پس ضمان بر محدثِ سبب است كه اقوى است، مثل اينكه تقديم طعام مسموم نمود نزد جاهل و امر كرد به تناول و صرف آن، كه ضمان بر آمرِ اقوى است، و خواهش كننده اقوى از مباشر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صورت تقديم طعامِ غير متلِف نزد مالك به عنوان مالكيّتِ تقديم كننده و در واقع آكل مالك بود، متّجه ضمان سبب است كه اقوىٰ از مباشرِ مغرور و جاهل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اعتبار مزيد خوف كه براى شخص 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تحمل نيست، احوط است</w:t>
      </w:r>
      <w:r>
        <w:rPr>
          <w:rFonts w:eastAsia="Amiri" w:cs="Amiri" w:ascii="Amiri" w:hAnsi="Amiri"/>
          <w:color w:val="111111"/>
          <w:sz w:val="28"/>
          <w:szCs w:val="28"/>
          <w:rtl w:val="true"/>
          <w:lang w:bidi="ar-SA"/>
        </w:rPr>
        <w:t>.</w:t>
      </w:r>
    </w:p>
    <w:p>
      <w:pPr>
        <w:pStyle w:val="Heading6"/>
        <w:numPr>
          <w:ilvl w:val="5"/>
          <w:numId w:val="1"/>
        </w:numPr>
        <w:rPr/>
      </w:pPr>
      <w:bookmarkStart w:id="3684" w:name="__RefHeading___Toc3810079_1067777946"/>
      <w:bookmarkStart w:id="3685" w:name="_Toc1552"/>
      <w:bookmarkEnd w:id="3684"/>
      <w:r>
        <w:rPr>
          <w:rtl w:val="true"/>
        </w:rPr>
        <w:t>ضمان مغرور و مكرَه و رجوع او به غارّ و مكرِه</w:t>
      </w:r>
      <w:bookmarkEnd w:id="3685"/>
    </w:p>
    <w:p>
      <w:pPr>
        <w:pStyle w:val="BookText"/>
        <w:rPr/>
      </w:pPr>
      <w:r>
        <w:rPr>
          <w:rFonts w:ascii="IRNazanin" w:hAnsi="IRNazanin" w:eastAsia="IRNazanin"/>
          <w:color w:val="111111"/>
          <w:sz w:val="28"/>
          <w:sz w:val="28"/>
          <w:szCs w:val="28"/>
          <w:rtl w:val="true"/>
          <w:lang w:bidi="fa-IR"/>
        </w:rPr>
        <w:t>مغرور ضامن است به سبب تلف در يد يا اتلاف، و رجوع به غارّ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فرق بين الجاء و غير آن، و ضمان مباشر با رجوع به مكرِه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عدم ضمان مباشر رأساً، محل تأمّل است</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ضمان 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سبب يد در غير يد مأذونه و مستودعه، يا اتلاف </w:t>
      </w:r>
      <w:bookmarkStart w:id="3686" w:name="pg10265_90378"/>
    </w:p>
    <w:p>
      <w:pPr>
        <w:pStyle w:val="BookText"/>
        <w:rPr/>
      </w:pPr>
      <w:bookmarkEnd w:id="3686"/>
      <w:r>
        <w:rPr>
          <w:rFonts w:ascii="IRNazanin" w:hAnsi="IRNazanin" w:eastAsia="IRNazanin"/>
          <w:color w:val="111111"/>
          <w:sz w:val="28"/>
          <w:sz w:val="28"/>
          <w:szCs w:val="28"/>
          <w:rtl w:val="true"/>
          <w:lang w:bidi="fa-IR"/>
        </w:rPr>
        <w:t xml:space="preserve">آنچه در يد متلف نيست، با رجوع به مكرِه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خالى از وجه نيست اگر اجماع بر خلاف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تقدير عدم اجماع، مغرور و مكرَه در ضمان و رجوع مساوى هستند</w:t>
      </w:r>
      <w:r>
        <w:rPr>
          <w:rFonts w:eastAsia="IRNazanin" w:cs="IRNazanin"/>
          <w:color w:val="111111"/>
          <w:sz w:val="28"/>
          <w:szCs w:val="28"/>
          <w:rtl w:val="true"/>
          <w:lang w:bidi="fa-IR"/>
        </w:rPr>
        <w:t>.</w:t>
      </w:r>
    </w:p>
    <w:p>
      <w:pPr>
        <w:pStyle w:val="Heading6"/>
        <w:numPr>
          <w:ilvl w:val="5"/>
          <w:numId w:val="1"/>
        </w:numPr>
        <w:rPr/>
      </w:pPr>
      <w:bookmarkStart w:id="3687" w:name="__RefHeading___Toc3810081_1067777946"/>
      <w:bookmarkStart w:id="3688" w:name="_Toc1553"/>
      <w:bookmarkEnd w:id="3687"/>
      <w:r>
        <w:rPr>
          <w:rtl w:val="true"/>
        </w:rPr>
        <w:t>انحصار حكم اكراه به اموال</w:t>
      </w:r>
      <w:bookmarkEnd w:id="3688"/>
    </w:p>
    <w:p>
      <w:pPr>
        <w:pStyle w:val="BookText"/>
        <w:rPr/>
      </w:pPr>
      <w:r>
        <w:rPr>
          <w:rFonts w:ascii="IRNazanin" w:hAnsi="IRNazanin" w:eastAsia="IRNazanin"/>
          <w:color w:val="111111"/>
          <w:sz w:val="28"/>
          <w:sz w:val="28"/>
          <w:szCs w:val="28"/>
          <w:rtl w:val="true"/>
          <w:lang w:bidi="fa-IR"/>
        </w:rPr>
        <w:t xml:space="preserve">و چون تقيّه در دماء نيست، پس حكم اكراه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مذكور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اموال است</w:t>
      </w:r>
      <w:r>
        <w:rPr>
          <w:rFonts w:eastAsia="IRNazanin" w:cs="IRNazanin"/>
          <w:color w:val="111111"/>
          <w:sz w:val="28"/>
          <w:szCs w:val="28"/>
          <w:rtl w:val="true"/>
          <w:lang w:bidi="fa-IR"/>
        </w:rPr>
        <w:t>.</w:t>
      </w:r>
    </w:p>
    <w:p>
      <w:pPr>
        <w:pStyle w:val="Heading6"/>
        <w:numPr>
          <w:ilvl w:val="5"/>
          <w:numId w:val="1"/>
        </w:numPr>
        <w:rPr/>
      </w:pPr>
      <w:bookmarkStart w:id="3689" w:name="__RefHeading___Toc3810083_1067777946"/>
      <w:bookmarkStart w:id="3690" w:name="_Toc1554"/>
      <w:bookmarkEnd w:id="3689"/>
      <w:r>
        <w:rPr>
          <w:rtl w:val="true"/>
        </w:rPr>
        <w:t>اتلاف مال غير به سبب تصرف در مال خويش</w:t>
      </w:r>
      <w:bookmarkEnd w:id="3690"/>
    </w:p>
    <w:p>
      <w:pPr>
        <w:pStyle w:val="BookText"/>
        <w:rPr/>
      </w:pPr>
      <w:r>
        <w:rPr>
          <w:rFonts w:ascii="IRNazanin" w:hAnsi="IRNazanin" w:eastAsia="IRNazanin"/>
          <w:color w:val="111111"/>
          <w:sz w:val="28"/>
          <w:sz w:val="28"/>
          <w:szCs w:val="28"/>
          <w:rtl w:val="true"/>
          <w:lang w:bidi="fa-IR"/>
        </w:rPr>
        <w:t>اگر در ملك خودش اجراء آب يا ايقاد نار كرد به قدر حاجت خودش، پس غرق كرد مال ديگرى را و سوزاند اموال ديگرى را، پس با علم به تعدّى و اضرار به غير، جائز نيست تكليفاً اگر چه از حاجت خودش تجاوز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عدم علم و ظن به تعدّى و مجرد احتمال اضرار، يا با فرض قطع يا ظن معتبر به عدم تعدى و اضرار، پس اتفاقا اضرار نمود، مقتضاى قاعده ضمان است اگر چه از حاجت موجد سبب تجاوز ننمايد؛ و لكن ادعاى اتفاق بر عدم ضمان شده است در صورت عدم تجاوز از قدر حاجت در 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احوط صلح است؛ و در صورت عدم تجاوز از حاجت و عدم ترقّب سبب به مثل وزيدن بادى بغتةً‌، عدم ضمان اقرب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به حسب تكليف، عدم فعل مذكور با عدم علم يا ظنّ معتبر به عدم تعدّى است، و اقرب جواز است با عدم علم يا ظنّ به تعدّى، اگر چه احوط مطلقاً محافظه كارى به ايجاد مانع و حائل از سرايت و تعدّى است</w:t>
      </w:r>
      <w:r>
        <w:rPr>
          <w:rFonts w:eastAsia="IRNazanin" w:cs="IRNazanin"/>
          <w:color w:val="111111"/>
          <w:sz w:val="28"/>
          <w:szCs w:val="28"/>
          <w:rtl w:val="true"/>
          <w:lang w:bidi="fa-IR"/>
        </w:rPr>
        <w:t>.</w:t>
      </w:r>
    </w:p>
    <w:p>
      <w:pPr>
        <w:pStyle w:val="Heading6"/>
        <w:numPr>
          <w:ilvl w:val="5"/>
          <w:numId w:val="1"/>
        </w:numPr>
        <w:rPr/>
      </w:pPr>
      <w:bookmarkStart w:id="3691" w:name="__RefHeading___Toc3810085_1067777946"/>
      <w:bookmarkStart w:id="3692" w:name="_Toc1555"/>
      <w:bookmarkEnd w:id="3691"/>
      <w:r>
        <w:rPr>
          <w:rtl w:val="true"/>
        </w:rPr>
        <w:t>فروعى از موجب ضمان</w:t>
      </w:r>
      <w:bookmarkEnd w:id="3692"/>
    </w:p>
    <w:p>
      <w:pPr>
        <w:pStyle w:val="Heading6"/>
        <w:numPr>
          <w:ilvl w:val="5"/>
          <w:numId w:val="1"/>
        </w:numPr>
        <w:rPr/>
      </w:pPr>
      <w:bookmarkStart w:id="3693" w:name="__RefHeading___Toc3810087_1067777946"/>
      <w:bookmarkStart w:id="3694" w:name="_Toc1556"/>
      <w:bookmarkEnd w:id="3693"/>
      <w:r>
        <w:rPr>
          <w:rtl w:val="true"/>
        </w:rPr>
        <w:t>اناطۀ تحقق ضمان به تحقق اتلاف يا دخول تحت</w:t>
      </w:r>
      <w:bookmarkEnd w:id="36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القا كرد صبى يا مجنون يا حيوان ضعيفى از دفاع و فرار را در محل سبُع و درنده، مُلقىٖ ضامن است در صورت قتل، اگر چه مال مغصوب تالف تحت</w:t>
      </w:r>
      <w:bookmarkStart w:id="3695" w:name="pg10265_90379"/>
    </w:p>
    <w:p>
      <w:pPr>
        <w:pStyle w:val="BookText"/>
        <w:rPr/>
      </w:pPr>
      <w:bookmarkEnd w:id="3695"/>
      <w:r>
        <w:rPr>
          <w:rFonts w:ascii="IRNazanin" w:hAnsi="IRNazanin" w:eastAsia="IRNazanin"/>
          <w:color w:val="111111"/>
          <w:sz w:val="28"/>
          <w:sz w:val="28"/>
          <w:szCs w:val="28"/>
          <w:rtl w:val="true"/>
          <w:lang w:bidi="fa-IR"/>
        </w:rPr>
        <w:t>يد نباشد، به جهت تسبيب به اتلاف اگر چه به قصد اهلاك تسبيبى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كبير متمكّن از دفاع و تخلص، ضمان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ضعيف در غير محل سباع كه از باب اتّفاق، مورد افتراس سبعى واقع بشود، كه ضمان به واسطۀ استيلاء بر مملوك غير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ضمان مطلقاً مربوط است به تحقّق اتلاف اگر چه تسبيبى باشد و تحت استيلاء متلف نباشد، يا دخول در تحت يد اگر چه تلف اتفاقى باشد</w:t>
      </w:r>
      <w:r>
        <w:rPr>
          <w:rFonts w:eastAsia="IRNazanin" w:cs="IRNazanin"/>
          <w:color w:val="111111"/>
          <w:sz w:val="28"/>
          <w:szCs w:val="28"/>
          <w:rtl w:val="true"/>
          <w:lang w:bidi="fa-IR"/>
        </w:rPr>
        <w:t>.</w:t>
      </w:r>
    </w:p>
    <w:p>
      <w:pPr>
        <w:pStyle w:val="Heading6"/>
        <w:numPr>
          <w:ilvl w:val="5"/>
          <w:numId w:val="1"/>
        </w:numPr>
        <w:rPr/>
      </w:pPr>
      <w:bookmarkStart w:id="3696" w:name="__RefHeading___Toc3810089_1067777946"/>
      <w:bookmarkStart w:id="3697" w:name="_Toc1557"/>
      <w:bookmarkEnd w:id="3696"/>
      <w:r>
        <w:rPr>
          <w:rtl w:val="true"/>
        </w:rPr>
        <w:t>چند مثال اتلاف تسبيبى</w:t>
      </w:r>
      <w:bookmarkEnd w:id="3697"/>
    </w:p>
    <w:p>
      <w:pPr>
        <w:pStyle w:val="BookText"/>
        <w:rPr/>
      </w:pPr>
      <w:r>
        <w:rPr>
          <w:rFonts w:ascii="IRNazanin" w:hAnsi="IRNazanin" w:eastAsia="IRNazanin"/>
          <w:color w:val="111111"/>
          <w:sz w:val="28"/>
          <w:sz w:val="28"/>
          <w:szCs w:val="28"/>
          <w:rtl w:val="true"/>
          <w:lang w:bidi="fa-IR"/>
        </w:rPr>
        <w:t>و از قبيل اتلاف تسبيبى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حفر بئر در معابر، يا طرح اشيايى كه سبب لغزش عابر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پوست خربزه و نحو آن، يا كوبيدن ميخى در طريق كه مضرّ به عابرين باشد، يا نصب چيزى در طريق كه موجب سركشى حيوانات از صاحب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اخراج ميزاب در طريق به نحو مضرّ، در صورت تعقّب به تلف حيوانى يا انسان يا مال او</w:t>
      </w:r>
      <w:r>
        <w:rPr>
          <w:rFonts w:eastAsia="IRNazanin" w:cs="IRNazanin"/>
          <w:color w:val="111111"/>
          <w:sz w:val="28"/>
          <w:szCs w:val="28"/>
          <w:rtl w:val="true"/>
          <w:lang w:bidi="fa-IR"/>
        </w:rPr>
        <w:t>.</w:t>
      </w:r>
    </w:p>
    <w:p>
      <w:pPr>
        <w:pStyle w:val="Heading6"/>
        <w:numPr>
          <w:ilvl w:val="5"/>
          <w:numId w:val="1"/>
        </w:numPr>
        <w:rPr/>
      </w:pPr>
      <w:bookmarkStart w:id="3698" w:name="__RefHeading___Toc3810091_1067777946"/>
      <w:bookmarkStart w:id="3699" w:name="_Toc1558"/>
      <w:bookmarkEnd w:id="3698"/>
      <w:r>
        <w:rPr>
          <w:rtl w:val="true"/>
        </w:rPr>
        <w:t>مسائلى از غصب حيوان</w:t>
      </w:r>
      <w:bookmarkEnd w:id="369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غصب كرد ميشى را مثلاً، پس بچۀ شيرى آن هلاك شد از گرسنگى كه طريق سدّ آن بر حسب عادت منحصر در مغصوب بود، ضامن است اگر چه غصب نسبت به ولد محقّق نيست، بلكه موجب ضمان، اتلاف تسبيبى است به جهت عدم فرق در عرف بين منع منافع لزوميّه و ايصال مضارّ مهلكه، در اتلاف تسبيبى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اگر مانع شد مالكِ رمۀ گوسفند را از حفظ و حراست آنها تا آنكه تلف شدند از همان طريقى كه مالك، مانع از آن بود نه به تلف سماوى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فرق بين وجود مالك با آنها و عدم او در 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جهت آنچه ذكر شد از اتلاف تسبيبى</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چنين اگر غصب كرد دابّه اى را كه صاحب ولد بوده پس ولد تبعيّت كرد از </w:t>
      </w:r>
      <w:bookmarkStart w:id="3700" w:name="pg10265_90380"/>
    </w:p>
    <w:p>
      <w:pPr>
        <w:pStyle w:val="BookText"/>
        <w:rPr/>
      </w:pPr>
      <w:bookmarkEnd w:id="3700"/>
      <w:r>
        <w:rPr>
          <w:rFonts w:ascii="Amiri" w:hAnsi="Amiri" w:eastAsia="Amiri" w:cs="Amiri"/>
          <w:color w:val="111111"/>
          <w:sz w:val="28"/>
          <w:sz w:val="28"/>
          <w:szCs w:val="28"/>
          <w:rtl w:val="true"/>
          <w:lang w:bidi="ar-SA"/>
        </w:rPr>
        <w:t>مادر، كه غصب بالاستلزام نسبت به ولد است و تلف آن در يَد، استلزامى است نه به نحو اصالت و استقلال كه در مادر است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قبيل تسبيب است اگر مانع از بيع حيوان مشرِف به موت شد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تذكيۀ مشترى تا آنكه تلف شد، يا آنكه مانع از تذكيۀ آن شد تا آنكه تلف شد؛ به خلاف آنكه غير مريض را مانع شد از بيع آن تا وقتى كه به سبب سماوى تلف شد در يد مالك آن</w:t>
      </w:r>
      <w:r>
        <w:rPr>
          <w:rFonts w:eastAsia="IRNazanin" w:cs="IRNazanin"/>
          <w:color w:val="111111"/>
          <w:sz w:val="28"/>
          <w:szCs w:val="28"/>
          <w:rtl w:val="true"/>
          <w:lang w:bidi="fa-IR"/>
        </w:rPr>
        <w:t>.</w:t>
      </w:r>
    </w:p>
    <w:p>
      <w:pPr>
        <w:pStyle w:val="Heading6"/>
        <w:numPr>
          <w:ilvl w:val="5"/>
          <w:numId w:val="1"/>
        </w:numPr>
        <w:rPr/>
      </w:pPr>
      <w:bookmarkStart w:id="3701" w:name="__RefHeading___Toc3810093_1067777946"/>
      <w:bookmarkStart w:id="3702" w:name="_Toc1559"/>
      <w:bookmarkEnd w:id="3701"/>
      <w:r>
        <w:rPr>
          <w:rtl w:val="true"/>
        </w:rPr>
        <w:t>رها كردن حيوان و تلف مالى به سبب آن</w:t>
      </w:r>
      <w:bookmarkEnd w:id="370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باز كرد بندِ دابّه اى را پس فرار كرد يا از بنده و كنيز ديوانه پس آبق شد و فرار كرد در صورتى كه براى آنكه فرار نكند بسته شدۀ مالك باشند، ضامن است بازكننده به تسبيب اتلاف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حيوان موذى و متلف را مقيّد كرد، پس ديگرى باز كرد، پس آن حيوان به سبب ايذاء معتاد خودش اتلاف مالى كرد، بازكنندۀ قيد،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باز كرد قفص پرنده را پس پريد، ضامن است</w:t>
      </w:r>
      <w:r>
        <w:rPr>
          <w:rFonts w:eastAsia="IRNazanin" w:cs="IRNazanin"/>
          <w:color w:val="111111"/>
          <w:sz w:val="28"/>
          <w:szCs w:val="28"/>
          <w:rtl w:val="true"/>
          <w:lang w:bidi="fa-IR"/>
        </w:rPr>
        <w:t>.</w:t>
      </w:r>
    </w:p>
    <w:p>
      <w:pPr>
        <w:pStyle w:val="Heading6"/>
        <w:numPr>
          <w:ilvl w:val="5"/>
          <w:numId w:val="1"/>
        </w:numPr>
        <w:rPr/>
      </w:pPr>
      <w:bookmarkStart w:id="3703" w:name="__RefHeading___Toc3810095_1067777946"/>
      <w:bookmarkStart w:id="3704" w:name="_Toc1560"/>
      <w:bookmarkEnd w:id="3703"/>
      <w:r>
        <w:rPr>
          <w:rtl w:val="true"/>
        </w:rPr>
        <w:t>فتح باب و سرقت بخاطر آن، يا فرار مملوك بواسطۀ ازالۀ قيد</w:t>
      </w:r>
      <w:bookmarkEnd w:id="3704"/>
    </w:p>
    <w:p>
      <w:pPr>
        <w:pStyle w:val="BookText"/>
        <w:rPr/>
      </w:pPr>
      <w:r>
        <w:rPr>
          <w:rFonts w:ascii="IRNazanin" w:hAnsi="IRNazanin" w:eastAsia="IRNazanin"/>
          <w:color w:val="111111"/>
          <w:sz w:val="28"/>
          <w:sz w:val="28"/>
          <w:szCs w:val="28"/>
          <w:rtl w:val="true"/>
          <w:lang w:bidi="fa-IR"/>
        </w:rPr>
        <w:t>و هم چنين اگر فتح بابى كرد در معرض خطر سرقت يا در غير آن، تا مدتى كه مستبعد است سارق در آن مدت سرقت ننمايد؛ يا ازالۀ قيد از مملوك عاقل نمود پس اباق را اختيار كرد، در صورتى كه با آنكه عاقل است معتاد به عصيان فرار از مالك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آنكه سرقت سارق، اتفاقى و نادر بوده، و عاقل، فرار او غير مترقب بوده و بستن او براى مخالفتهاى ديگر بوده، كه ضامن نيست باز كنندۀ درب و قيد در اين صورت</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چنين اگر طورى باشد كه قطع حاصل شود كه اگر اخراج از زندان بشود خواهد فرار كرد، كه ضامن است اگر اخراج عبد عاقل غير معتاد به اباق، متعقب به آن باشد</w:t>
      </w:r>
      <w:r>
        <w:rPr>
          <w:rFonts w:eastAsia="IRNazanin" w:cs="IRNazanin"/>
          <w:color w:val="111111"/>
          <w:sz w:val="28"/>
          <w:szCs w:val="28"/>
          <w:rtl w:val="true"/>
          <w:lang w:bidi="fa-IR"/>
        </w:rPr>
        <w:t xml:space="preserve">. </w:t>
      </w:r>
      <w:bookmarkStart w:id="3705" w:name="pg10265_90381"/>
    </w:p>
    <w:p>
      <w:pPr>
        <w:pStyle w:val="Heading6"/>
        <w:numPr>
          <w:ilvl w:val="5"/>
          <w:numId w:val="1"/>
        </w:numPr>
        <w:rPr/>
      </w:pPr>
      <w:bookmarkStart w:id="3706" w:name="__RefHeading___Toc3810097_1067777946"/>
      <w:bookmarkStart w:id="3707" w:name="_Toc1561"/>
      <w:bookmarkEnd w:id="3705"/>
      <w:bookmarkEnd w:id="3706"/>
      <w:r>
        <w:rPr>
          <w:rtl w:val="true"/>
        </w:rPr>
        <w:t>علامت اتلاف تسبيبى</w:t>
      </w:r>
      <w:bookmarkEnd w:id="3707"/>
    </w:p>
    <w:p>
      <w:pPr>
        <w:pStyle w:val="BookText"/>
        <w:rPr/>
      </w:pPr>
      <w:r>
        <w:rPr>
          <w:rFonts w:ascii="IRNazanin" w:hAnsi="IRNazanin" w:eastAsia="IRNazanin"/>
          <w:color w:val="111111"/>
          <w:sz w:val="28"/>
          <w:sz w:val="28"/>
          <w:szCs w:val="28"/>
          <w:rtl w:val="true"/>
          <w:lang w:bidi="fa-IR"/>
        </w:rPr>
        <w:t xml:space="preserve">پس با تحقّق اتلاف تسبيبى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علامت آن اين است كه به قصد اتلاف عمداً چنين عمل يعنى اخراج از سجن 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بين عبد عاقل يا مجنون، آبق يا غير او، بالغ يا صبى نيست در حكم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در مثل اين فرض در دابّه و طائر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علامت كه ذكر شد در افعال مقصوده براى اتلاف تسبيبى، ظاهر مى شود حكم ضمان و عدم در دلالت 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طورى است كه معلوم است سرقت او به دلالت، ضمان دالّ‌، خالى از وجه موافقِ 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اگر چه اقوائيّت مباشر، مقتضى رجوع دالّ بر سارق است بدون عكس؛ و اتّفاق اصحاب بر تقدير تماميت نقل، مستند به قاعدۀ مذكوره است كه اعم از ضمان و قرار است</w:t>
      </w:r>
      <w:r>
        <w:rPr>
          <w:rFonts w:eastAsia="IRNazanin" w:cs="IRNazanin"/>
          <w:color w:val="111111"/>
          <w:sz w:val="28"/>
          <w:szCs w:val="28"/>
          <w:rtl w:val="true"/>
          <w:lang w:bidi="fa-IR"/>
        </w:rPr>
        <w:t>.</w:t>
      </w:r>
    </w:p>
    <w:p>
      <w:pPr>
        <w:pStyle w:val="Heading6"/>
        <w:numPr>
          <w:ilvl w:val="5"/>
          <w:numId w:val="1"/>
        </w:numPr>
        <w:rPr/>
      </w:pPr>
      <w:bookmarkStart w:id="3708" w:name="__RefHeading___Toc3810099_1067777946"/>
      <w:bookmarkStart w:id="3709" w:name="_Toc1562"/>
      <w:bookmarkEnd w:id="3708"/>
      <w:r>
        <w:rPr>
          <w:rtl w:val="true"/>
        </w:rPr>
        <w:t>باز كردن بند ظرف و تأمّل در ضمان موارد نادر و غير محتمل</w:t>
      </w:r>
      <w:bookmarkEnd w:id="3709"/>
    </w:p>
    <w:p>
      <w:pPr>
        <w:pStyle w:val="BookText"/>
        <w:rPr/>
      </w:pPr>
      <w:r>
        <w:rPr>
          <w:rFonts w:ascii="IRNazanin" w:hAnsi="IRNazanin" w:eastAsia="IRNazanin"/>
          <w:color w:val="111111"/>
          <w:sz w:val="28"/>
          <w:sz w:val="28"/>
          <w:szCs w:val="28"/>
          <w:rtl w:val="true"/>
          <w:lang w:bidi="fa-IR"/>
        </w:rPr>
        <w:t>اگر بند ظرفى را كه با آن محكم شده است ازاله نمود پس ريخت آنچه در ظرف بود و تلف شد، ضامن است به مباشرت اتلاف</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بند را باز كرد و نريخت مگر به واسطۀ حدوث بادى يا مثل آن كه قلب نمود ظرف را، يا آنكه ريخت لكن فاسد نشد مگر به واسطۀ تابش شديد آفتاب، پس اگر در محل ترقب قلب و سبب آن باشد و افساد به سبب اذابۀ آفتاب از حيث زمان و مكان، ضمان به تسبيب است؛ و اگر نادر و غير محتمل باشد قلب كننده يا فساد به تابش در آن زمان و مكان، و به اتفاق و نادراً فاسد شد به سبب خاص، پس در ضمان تأمّل است، و اقرب در فرض نادر كه اشاره به آن شد عدم ضمان است؛ چنانچه شاهد آن است كه اين گونه تصرفات براى اغراض عقلائيّه از محسنين واقع مى شود؛ و شاهد ضمان در غير فروض نادره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عمداً به قصد اتلاف، بعضى </w:t>
      </w:r>
      <w:bookmarkStart w:id="3710" w:name="pg10265_90382"/>
    </w:p>
    <w:p>
      <w:pPr>
        <w:pStyle w:val="BookText"/>
        <w:rPr/>
      </w:pPr>
      <w:bookmarkEnd w:id="3710"/>
      <w:r>
        <w:rPr>
          <w:rFonts w:ascii="IRNazanin" w:hAnsi="IRNazanin" w:eastAsia="IRNazanin"/>
          <w:color w:val="111111"/>
          <w:sz w:val="28"/>
          <w:sz w:val="28"/>
          <w:szCs w:val="28"/>
          <w:rtl w:val="true"/>
          <w:lang w:bidi="fa-IR"/>
        </w:rPr>
        <w:t>تسبيب به اتلاف به اين گونه امور مى نمايند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هم چنين ازالۀ اوراق درخت ميوه تا آنكه آفتاب فاسد كرد ميوه را، مگر آنكه دخالت داشته نچيدن ميوه در وقت آن، پس با ترتّب فساد و عدم آن از قبل صاحب سبب يا غير او، حكم به ضمان و عدم آن مختلف مى شود</w:t>
      </w:r>
      <w:r>
        <w:rPr>
          <w:rFonts w:eastAsia="IRNazanin" w:cs="IRNazanin"/>
          <w:color w:val="111111"/>
          <w:sz w:val="28"/>
          <w:szCs w:val="28"/>
          <w:rtl w:val="true"/>
          <w:lang w:bidi="fa-IR"/>
        </w:rPr>
        <w:t>.</w:t>
      </w:r>
    </w:p>
    <w:p>
      <w:pPr>
        <w:pStyle w:val="Heading6"/>
        <w:numPr>
          <w:ilvl w:val="5"/>
          <w:numId w:val="1"/>
        </w:numPr>
        <w:rPr/>
      </w:pPr>
      <w:bookmarkStart w:id="3711" w:name="__RefHeading___Toc3810101_1067777946"/>
      <w:bookmarkStart w:id="3712" w:name="_Toc1563"/>
      <w:bookmarkEnd w:id="3711"/>
      <w:r>
        <w:rPr>
          <w:rtl w:val="true"/>
        </w:rPr>
        <w:t>اجتماع دو سبب يا انفراد يك سبب به احداث دو نفر</w:t>
      </w:r>
      <w:bookmarkEnd w:id="3712"/>
    </w:p>
    <w:p>
      <w:pPr>
        <w:pStyle w:val="BookText"/>
        <w:rPr/>
      </w:pPr>
      <w:r>
        <w:rPr>
          <w:rFonts w:ascii="IRNazanin" w:hAnsi="IRNazanin" w:eastAsia="IRNazanin"/>
          <w:color w:val="111111"/>
          <w:sz w:val="28"/>
          <w:sz w:val="28"/>
          <w:szCs w:val="28"/>
          <w:rtl w:val="true"/>
          <w:lang w:bidi="fa-IR"/>
        </w:rPr>
        <w:t>و اجتماع دو سبب يا انفراد يك سبب به احداث دو نفر مثل دو مباشر اجتماعى، موجب اشتراك در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اجتماع سبب با مباشر، شركت در ضمان با استقلال شأنى در هر كدام، موجب شركت در ضمان نمى شود به حسب قاعدۀ مقدمه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شائبۀ اشكال خالى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اخراج كرد جامدى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ظرف آن، پس ديگرى به سبب نارى آن را افساد كرد، ضمان بر دومى، و اولى در مقدمات عمل كمك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وسيلۀ بستن كشتى را باز كرد تا آنكه غرق شد با ترقب آن، يا به سبب ريح غير عادى و غير مترقب، حكم آن از دو قسم تسبيب ظاهر مى شود</w:t>
      </w:r>
      <w:r>
        <w:rPr>
          <w:rFonts w:eastAsia="IRNazanin" w:cs="IRNazanin"/>
          <w:color w:val="111111"/>
          <w:sz w:val="28"/>
          <w:szCs w:val="28"/>
          <w:rtl w:val="true"/>
          <w:lang w:bidi="fa-IR"/>
        </w:rPr>
        <w:t>.</w:t>
      </w:r>
    </w:p>
    <w:p>
      <w:pPr>
        <w:pStyle w:val="Heading6"/>
        <w:numPr>
          <w:ilvl w:val="5"/>
          <w:numId w:val="1"/>
        </w:numPr>
        <w:rPr/>
      </w:pPr>
      <w:bookmarkStart w:id="3713" w:name="__RefHeading___Toc3810103_1067777946"/>
      <w:bookmarkStart w:id="3714" w:name="_Toc1564"/>
      <w:bookmarkEnd w:id="3713"/>
      <w:r>
        <w:rPr>
          <w:rtl w:val="true"/>
        </w:rPr>
        <w:t>ضمان صاحب ديوار مشرف به انهدام</w:t>
      </w:r>
      <w:bookmarkEnd w:id="3714"/>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ديوار خانۀ متّصل به معبر، مشرف به انهدام شد و مائل به طريق بود يا آنكه سقف معبرى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به سقوط بود و مى توانست ازاله نمايد بس ساقط شد و اصابت كرد به نفسى محترمه يا مال محترم، ضامن است صاحب آن؛ و اگر نتوانست، حاكم شرع از بيت المال آن را هدم مى نمايد به نحوى كه ضررى بر مالك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هدم مشرف به انهدام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نرساند</w:t>
      </w:r>
      <w:r>
        <w:rPr>
          <w:rFonts w:eastAsia="IRNazanin" w:cs="IRNazanin"/>
          <w:color w:val="111111"/>
          <w:sz w:val="28"/>
          <w:szCs w:val="28"/>
          <w:rtl w:val="true"/>
          <w:lang w:bidi="fa-IR"/>
        </w:rPr>
        <w:t xml:space="preserve">. </w:t>
      </w:r>
      <w:bookmarkStart w:id="3715" w:name="pg10265_90383"/>
    </w:p>
    <w:p>
      <w:pPr>
        <w:pStyle w:val="Heading6"/>
        <w:numPr>
          <w:ilvl w:val="5"/>
          <w:numId w:val="1"/>
        </w:numPr>
        <w:rPr/>
      </w:pPr>
      <w:bookmarkStart w:id="3716" w:name="__RefHeading___Toc3810105_1067777946"/>
      <w:bookmarkStart w:id="3717" w:name="_Toc1565"/>
      <w:bookmarkEnd w:id="3715"/>
      <w:bookmarkEnd w:id="3716"/>
      <w:r>
        <w:rPr>
          <w:rtl w:val="true"/>
        </w:rPr>
        <w:t>ضمان حمّال، نسبت به تخريب ديوارى كه به آن تكيه داده</w:t>
      </w:r>
      <w:bookmarkEnd w:id="3717"/>
    </w:p>
    <w:p>
      <w:pPr>
        <w:pStyle w:val="BookText"/>
        <w:rPr/>
      </w:pPr>
      <w:r>
        <w:rPr>
          <w:rFonts w:ascii="IRNazanin" w:hAnsi="IRNazanin" w:eastAsia="IRNazanin"/>
          <w:color w:val="111111"/>
          <w:sz w:val="28"/>
          <w:sz w:val="28"/>
          <w:szCs w:val="28"/>
          <w:rtl w:val="true"/>
          <w:lang w:bidi="fa-IR"/>
        </w:rPr>
        <w:t>از موارد تسبيب يا مباشرت غفلتيّه است اگر حمّالِ بارى تكيه كرد به قصد استراحت بر ديوار خانه بدون اذن مالك، پس ديوار ساقط شد و به سقوط تلف كرد چيزى را متموّل، ضامن ديوار غير متحمّل ثقل بار مخصوص را است، و ضامن آنچه تلف شده است به سبب وقوع ديوار بر او، است</w:t>
      </w:r>
      <w:r>
        <w:rPr>
          <w:rFonts w:eastAsia="IRNazanin" w:cs="IRNazanin"/>
          <w:color w:val="111111"/>
          <w:sz w:val="28"/>
          <w:szCs w:val="28"/>
          <w:rtl w:val="true"/>
          <w:lang w:bidi="fa-IR"/>
        </w:rPr>
        <w:t>.</w:t>
      </w:r>
    </w:p>
    <w:p>
      <w:pPr>
        <w:pStyle w:val="Heading6"/>
        <w:numPr>
          <w:ilvl w:val="5"/>
          <w:numId w:val="1"/>
        </w:numPr>
        <w:rPr/>
      </w:pPr>
      <w:bookmarkStart w:id="3718" w:name="__RefHeading___Toc3810107_1067777946"/>
      <w:bookmarkStart w:id="3719" w:name="_Toc1566"/>
      <w:bookmarkEnd w:id="3718"/>
      <w:r>
        <w:rPr>
          <w:rtl w:val="true"/>
        </w:rPr>
        <w:t>ضمان صاحب حيوان، اموال تلف شده توسط حيوان را</w:t>
      </w:r>
      <w:bookmarkEnd w:id="3719"/>
    </w:p>
    <w:p>
      <w:pPr>
        <w:pStyle w:val="BookText"/>
        <w:rPr/>
      </w:pPr>
      <w:r>
        <w:rPr>
          <w:rFonts w:ascii="IRNazanin" w:hAnsi="IRNazanin" w:eastAsia="IRNazanin"/>
          <w:color w:val="111111"/>
          <w:sz w:val="28"/>
          <w:sz w:val="28"/>
          <w:szCs w:val="28"/>
          <w:rtl w:val="true"/>
          <w:lang w:bidi="fa-IR"/>
        </w:rPr>
        <w:t>اگر حيوانِ كسى اتلاف يا افساد كرد زرع يا غير زرع را از مال ديگرى با وجود صاحب يا راعى يا مستحفظ، ضامن است تالف را كسى كه موظف به حفظ است، چه سائق باشد يا قائد يا غير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نباشد، مثل آنكه از محل خودش فرار كرد و در محل ديگرى اتلاف كرد، پس در وقتى كه موظف به حفظ دوابّ است مثل شب، ضامن است؛ و در وقتى كه مردم موظف به حفظ اموال و امتعۀ خودشان از امثال اين دوابّ هستند مثل روز، ضمان بر مالك دوابّ نيست اگر دابۀ موذى فوق العاده نباشد كه هميشه بايد مالك آن رعايت و مراقبت آن بنمايد و غالب مردم عاجز از دفع آن به مختصرات باشند، وگرنه اظهر ضمان است در اين تقدير</w:t>
      </w:r>
      <w:r>
        <w:rPr>
          <w:rFonts w:eastAsia="IRNazanin" w:cs="IRNazanin"/>
          <w:color w:val="111111"/>
          <w:sz w:val="28"/>
          <w:szCs w:val="28"/>
          <w:rtl w:val="true"/>
          <w:lang w:bidi="fa-IR"/>
        </w:rPr>
        <w:t>.</w:t>
      </w:r>
    </w:p>
    <w:p>
      <w:pPr>
        <w:pStyle w:val="Heading5"/>
        <w:numPr>
          <w:ilvl w:val="4"/>
          <w:numId w:val="1"/>
        </w:numPr>
        <w:rPr/>
      </w:pPr>
      <w:bookmarkStart w:id="3720" w:name="__RefHeading___Toc3810109_1067777946"/>
      <w:bookmarkStart w:id="3721" w:name="_Toc1567"/>
      <w:bookmarkEnd w:id="3720"/>
      <w:r>
        <w:rPr/>
        <w:t>3</w:t>
      </w:r>
      <w:r>
        <w:rPr>
          <w:rtl w:val="true"/>
        </w:rPr>
        <w:t xml:space="preserve">. </w:t>
      </w:r>
      <w:r>
        <w:rPr>
          <w:rtl w:val="true"/>
        </w:rPr>
        <w:t>قبض به عقد فاسد</w:t>
      </w:r>
      <w:bookmarkEnd w:id="3721"/>
    </w:p>
    <w:p>
      <w:pPr>
        <w:pStyle w:val="Heading6"/>
        <w:numPr>
          <w:ilvl w:val="5"/>
          <w:numId w:val="1"/>
        </w:numPr>
        <w:rPr/>
      </w:pPr>
      <w:bookmarkStart w:id="3722" w:name="__RefHeading___Toc3810111_1067777946"/>
      <w:bookmarkStart w:id="3723" w:name="_Toc1568"/>
      <w:bookmarkEnd w:id="3722"/>
      <w:r>
        <w:rPr>
          <w:rtl w:val="true"/>
        </w:rPr>
        <w:t>اشاره</w:t>
      </w:r>
      <w:bookmarkEnd w:id="3723"/>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اسباب موجبۀ ضمان، قبض به عقد فاسد است در آنچه صحيح آن مقتضى ضمان است؛ به خلاف آنكه صحيح، مقتضى ضمان نيست، اگر چه با تقييد اذن در عقود اذنيّه به صحّت، ضمان ثابت است على القاعدة، و با عدم تقييد در معاوضات، ضمان منتفى است على 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مبنا در ضمان و عدم آن، تحقّق سائر موجبات ضمان و عدم آن است؛ 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 اصل و عكس قاعدۀ مذكوره است؛ و در مصاديق آنها از عقود متضمنه و غير آنها مذكور مى شود إن شاء اللّٰه تعالى</w:t>
      </w:r>
      <w:r>
        <w:rPr>
          <w:rFonts w:eastAsia="IRNazanin" w:cs="IRNazanin"/>
          <w:color w:val="111111"/>
          <w:sz w:val="28"/>
          <w:szCs w:val="28"/>
          <w:rtl w:val="true"/>
          <w:lang w:bidi="fa-IR"/>
        </w:rPr>
        <w:t xml:space="preserve">. </w:t>
      </w:r>
      <w:bookmarkStart w:id="3724" w:name="pg10265_90384"/>
    </w:p>
    <w:p>
      <w:pPr>
        <w:pStyle w:val="Heading6"/>
        <w:numPr>
          <w:ilvl w:val="5"/>
          <w:numId w:val="1"/>
        </w:numPr>
        <w:rPr/>
      </w:pPr>
      <w:bookmarkStart w:id="3725" w:name="__RefHeading___Toc3810113_1067777946"/>
      <w:bookmarkStart w:id="3726" w:name="_Toc1569"/>
      <w:bookmarkEnd w:id="3724"/>
      <w:bookmarkEnd w:id="3725"/>
      <w:r>
        <w:rPr>
          <w:rtl w:val="true"/>
        </w:rPr>
        <w:t>حكم مقبوض به سَوم</w:t>
      </w:r>
      <w:bookmarkEnd w:id="3726"/>
    </w:p>
    <w:p>
      <w:pPr>
        <w:pStyle w:val="BookText"/>
        <w:rPr/>
      </w:pPr>
      <w:r>
        <w:rPr>
          <w:rFonts w:ascii="IRNazanin" w:hAnsi="IRNazanin" w:eastAsia="IRNazanin"/>
          <w:color w:val="111111"/>
          <w:sz w:val="28"/>
          <w:sz w:val="28"/>
          <w:szCs w:val="28"/>
          <w:rtl w:val="true"/>
          <w:lang w:bidi="fa-IR"/>
        </w:rPr>
        <w:t xml:space="preserve">و از موارد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مذكورات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مقبوض براى شراء است كه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مقبوض 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شده است، بر حسب حكايت از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اقرب عدم ضمان است به جهت تحقّق اذن مالكى در قبض، پس داخل در مؤتمن است كه ضامن نيست، وفاقاً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جماعتى بعد از ايشان</w:t>
      </w:r>
      <w:r>
        <w:rPr>
          <w:rFonts w:eastAsia="IRNazanin" w:cs="IRNazanin"/>
          <w:color w:val="111111"/>
          <w:sz w:val="28"/>
          <w:szCs w:val="28"/>
          <w:rtl w:val="true"/>
          <w:lang w:bidi="fa-IR"/>
        </w:rPr>
        <w:t>.</w:t>
      </w:r>
    </w:p>
    <w:p>
      <w:pPr>
        <w:pStyle w:val="Heading5"/>
        <w:numPr>
          <w:ilvl w:val="4"/>
          <w:numId w:val="1"/>
        </w:numPr>
        <w:rPr/>
      </w:pPr>
      <w:bookmarkStart w:id="3727" w:name="__RefHeading___Toc3810115_1067777946"/>
      <w:bookmarkStart w:id="3728" w:name="_Toc1570"/>
      <w:bookmarkEnd w:id="3727"/>
      <w:r>
        <w:rPr/>
        <w:t>4</w:t>
      </w:r>
      <w:r>
        <w:rPr>
          <w:rtl w:val="true"/>
        </w:rPr>
        <w:t xml:space="preserve">. </w:t>
      </w:r>
      <w:r>
        <w:rPr>
          <w:rtl w:val="true"/>
        </w:rPr>
        <w:t>انتفاع به اجارۀ فاسده</w:t>
      </w:r>
      <w:bookmarkEnd w:id="3728"/>
    </w:p>
    <w:p>
      <w:pPr>
        <w:pStyle w:val="BookText"/>
        <w:rPr/>
      </w:pPr>
      <w:r>
        <w:rPr>
          <w:rFonts w:ascii="Amiri" w:hAnsi="Amiri" w:eastAsia="Amiri" w:cs="Amiri"/>
          <w:color w:val="111111"/>
          <w:sz w:val="28"/>
          <w:sz w:val="28"/>
          <w:szCs w:val="28"/>
          <w:rtl w:val="true"/>
          <w:lang w:bidi="ar-SA"/>
        </w:rPr>
        <w:t xml:space="preserve">و از آن موارد، استيفاى منفعت به سبب اجارۀ فاسده است كه موجب ضمان منفعت مستوفاة به اجرت المثل است، يا اقلّ از آن و مسمّى؛ كه مورد توافق قاعدۀ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عين، بالاصاله و در منفعت، بالتبع،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احترام مال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در صورت علم مستأجر بالخصوص به فساد، غصب هم محقّق است</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اظهر مضمونيّت عين است در صورت فساد اجاره، به واسطۀ يد و عدم ائتمان؛ و قاعدۀ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متعلّق عقد است مثل عين موهوبه به فاسد نه در سائر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اظهر ضمان عين و منفعت به مجرد قبض مستأجر است به فاسد، اعم از استيفاى سكنى دار مثلاً يا عدم آن، مثل صحيح اجاره و مثل مغصوب مضمون در عين و منفعت</w:t>
      </w:r>
      <w:r>
        <w:rPr>
          <w:rFonts w:eastAsia="Amiri" w:cs="Amiri" w:ascii="Amiri" w:hAnsi="Amiri"/>
          <w:color w:val="111111"/>
          <w:sz w:val="28"/>
          <w:szCs w:val="28"/>
          <w:rtl w:val="true"/>
          <w:lang w:bidi="ar-SA"/>
        </w:rPr>
        <w:t xml:space="preserve">. </w:t>
      </w:r>
      <w:bookmarkStart w:id="3729" w:name="pg10265_90385"/>
    </w:p>
    <w:p>
      <w:pPr>
        <w:pStyle w:val="Heading3"/>
        <w:numPr>
          <w:ilvl w:val="2"/>
          <w:numId w:val="1"/>
        </w:numPr>
        <w:rPr/>
      </w:pPr>
      <w:bookmarkStart w:id="3730" w:name="__RefHeading___Toc3810117_1067777946"/>
      <w:bookmarkStart w:id="3731" w:name="_Toc1571"/>
      <w:bookmarkEnd w:id="3729"/>
      <w:bookmarkEnd w:id="3730"/>
      <w:r>
        <w:rPr>
          <w:rtl w:val="true"/>
        </w:rPr>
        <w:t>فصل دوّم حكم غصب</w:t>
      </w:r>
      <w:bookmarkEnd w:id="3731"/>
    </w:p>
    <w:p>
      <w:pPr>
        <w:pStyle w:val="Heading4"/>
        <w:numPr>
          <w:ilvl w:val="3"/>
          <w:numId w:val="1"/>
        </w:numPr>
        <w:rPr/>
      </w:pPr>
      <w:bookmarkStart w:id="3732" w:name="__RefHeading___Toc3810119_1067777946"/>
      <w:bookmarkStart w:id="3733" w:name="_Toc1572"/>
      <w:bookmarkEnd w:id="3732"/>
      <w:r>
        <w:rPr>
          <w:rtl w:val="true"/>
        </w:rPr>
        <w:t>وجوب رد مغصوب به مغصوب منه</w:t>
      </w:r>
      <w:bookmarkEnd w:id="3733"/>
    </w:p>
    <w:p>
      <w:pPr>
        <w:pStyle w:val="BookText"/>
        <w:rPr/>
      </w:pPr>
      <w:r>
        <w:rPr>
          <w:rFonts w:ascii="IRNazanin" w:hAnsi="IRNazanin" w:eastAsia="IRNazanin"/>
          <w:color w:val="111111"/>
          <w:sz w:val="28"/>
          <w:sz w:val="28"/>
          <w:szCs w:val="28"/>
          <w:rtl w:val="true"/>
          <w:lang w:bidi="fa-IR"/>
        </w:rPr>
        <w:t xml:space="preserve">واجب است رد مغصوب به مغصوبٌ منه، بعين حرمت غصب احداثاً و ابقاءً‌؛ بلكه واجب است رفع يد غير مأذونه از مال غير و تأديۀ آن به صاحبش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ممكن است صدق غصب از زمان علم به مالكيّت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متعسر باشد، مثل داخل كردن چوب غير در كشتى بدون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مالكِ مغصوب واجب نيست اخذ قيمت كه با آن سلب مالكيّت بشود</w:t>
      </w:r>
      <w:r>
        <w:rPr>
          <w:rFonts w:eastAsia="IRNazanin" w:cs="IRNazanin"/>
          <w:color w:val="111111"/>
          <w:sz w:val="28"/>
          <w:szCs w:val="28"/>
          <w:rtl w:val="true"/>
          <w:lang w:bidi="fa-IR"/>
        </w:rPr>
        <w:t>.</w:t>
      </w:r>
    </w:p>
    <w:p>
      <w:pPr>
        <w:pStyle w:val="Heading4"/>
        <w:numPr>
          <w:ilvl w:val="3"/>
          <w:numId w:val="1"/>
        </w:numPr>
        <w:rPr/>
      </w:pPr>
      <w:bookmarkStart w:id="3734" w:name="__RefHeading___Toc3810121_1067777946"/>
      <w:bookmarkStart w:id="3735" w:name="_Toc1573"/>
      <w:bookmarkEnd w:id="3734"/>
      <w:r>
        <w:rPr>
          <w:rtl w:val="true"/>
        </w:rPr>
        <w:t>اگر جدا كردن مال مغصوب مشكل يا موجب تلف است</w:t>
      </w:r>
      <w:bookmarkEnd w:id="3735"/>
    </w:p>
    <w:p>
      <w:pPr>
        <w:pStyle w:val="BookText"/>
        <w:rPr/>
      </w:pPr>
      <w:r>
        <w:rPr>
          <w:rFonts w:ascii="IRNazanin" w:hAnsi="IRNazanin" w:eastAsia="IRNazanin"/>
          <w:color w:val="111111"/>
          <w:sz w:val="28"/>
          <w:sz w:val="28"/>
          <w:szCs w:val="28"/>
          <w:rtl w:val="true"/>
          <w:lang w:bidi="fa-IR"/>
        </w:rPr>
        <w:t>و هم چنين اگر مزج نمود با مال خودش به نحوى كه شاقّ است تمييز آن، مكلّف به تمييز و رد مى شود در صورتى كه عدول مؤمنين يا از بيت المال ترضيۀ خاطر مالك با حاجت و صلاح ننمايند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اگر اخراج، مستلزم تلف عرفى مغصوب است، غاصب، ضامنِ بدل است، و احوط در اين صورت، به مقتضاى جمع بين حقين، اكتفاى به بدل مغصوب يا اجرت آن به طور صلح است اگر چه بقاى حقِ اختصاص با لوازم آن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اخراج، متعيب، مى شود ضامن عيب است بعد از اخراج، و ضامن منفعت و اجرت عين سليمه است تا اخراج و تأديه به مالك</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اظهر اين است كه حكم به اخراج، در موارد ضرر غالب غاصب بر ضرر </w:t>
      </w:r>
      <w:bookmarkStart w:id="3736" w:name="pg10265_90386"/>
    </w:p>
    <w:p>
      <w:pPr>
        <w:pStyle w:val="BookText"/>
        <w:rPr/>
      </w:pPr>
      <w:bookmarkEnd w:id="3736"/>
      <w:r>
        <w:rPr>
          <w:rFonts w:ascii="IRNazanin" w:hAnsi="IRNazanin" w:eastAsia="IRNazanin"/>
          <w:color w:val="111111"/>
          <w:sz w:val="28"/>
          <w:sz w:val="28"/>
          <w:szCs w:val="28"/>
          <w:rtl w:val="true"/>
          <w:lang w:bidi="fa-IR"/>
        </w:rPr>
        <w:t>مغصوب منه، احتياط شرعى در اموال است و محافظت بر عدم غصب است در حقير و متعسّر الردّ و مستلزم تلف اموال عظيمه از غاصب، تا واقع نشود در هتك حرمات در اكثر و اسهل و اضرّ بر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جريان مجموع احكام متقدّمه در آنچه به حكمِ غصب است از حيث 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مأخوذ به جهل به غير عدوان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و هم چنين در مغصوب اگر اخراج، مستلزم تلف نفس محترمه يا مال محترم باشد اگر چه از غاصب باشد در غير لوازم بنا و اخراج در مثل لوح مغصوب كه ادخال در ساختمان كشتى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علم غير غاصب به غصب و ادخال آنچه تلف مى شود به اخراج مذكور، تأمّل است، و دور نيست لحوق اموال او به اموال غاصب در حكم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صورت جواز اخراج، احوط مراجعه به مالك است بلكه طلب مباشرت او است به اخراج حذراً از اضرار زائد بر جائز</w:t>
      </w:r>
      <w:r>
        <w:rPr>
          <w:rFonts w:eastAsia="Amiri" w:cs="Amiri" w:ascii="Amiri" w:hAnsi="Amiri"/>
          <w:color w:val="111111"/>
          <w:sz w:val="28"/>
          <w:szCs w:val="28"/>
          <w:rtl w:val="true"/>
          <w:lang w:bidi="ar-SA"/>
        </w:rPr>
        <w:t>.</w:t>
      </w:r>
    </w:p>
    <w:p>
      <w:pPr>
        <w:pStyle w:val="Heading4"/>
        <w:numPr>
          <w:ilvl w:val="3"/>
          <w:numId w:val="1"/>
        </w:numPr>
        <w:rPr/>
      </w:pPr>
      <w:bookmarkStart w:id="3737" w:name="__RefHeading___Toc3810123_1067777946"/>
      <w:bookmarkStart w:id="3738" w:name="_Toc1574"/>
      <w:bookmarkEnd w:id="3737"/>
      <w:r>
        <w:rPr>
          <w:rtl w:val="true"/>
        </w:rPr>
        <w:t>استفاده از مغصوب در كشتى و بنا و حكم كندن آن</w:t>
      </w:r>
      <w:bookmarkEnd w:id="3738"/>
    </w:p>
    <w:p>
      <w:pPr>
        <w:pStyle w:val="BookText"/>
        <w:rPr/>
      </w:pPr>
      <w:r>
        <w:rPr>
          <w:rFonts w:ascii="IRNazanin" w:hAnsi="IRNazanin" w:eastAsia="IRNazanin"/>
          <w:color w:val="111111"/>
          <w:sz w:val="28"/>
          <w:sz w:val="28"/>
          <w:szCs w:val="28"/>
          <w:rtl w:val="true"/>
          <w:lang w:bidi="fa-IR"/>
        </w:rPr>
        <w:t xml:space="preserve">و در صورت بودن كشتى كه لوحى در آن مغصوب است و مالك، مطالبه مال خود مى نمايد و اگر نزع شود غرق حيوان مملوك محترم، مخوف است، احوط براى مالكِ مال، و غاصب يا عالم به 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مكلّف به ترك اين تصرّف است قبل از وقت حركت كشتى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بر اجرت المثل مغصوب تا زمان وقوف و امكان نزع بدون آن ضرر مخوف است، يا به اخذ بدل حيلولت تا آن زمان، تا اقتصار بر اقل ضرراً بشود و جمع بين حقين لازم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به خلاف مغصوبِ كار شده در بنا است، كه فرقى بين ازمنۀ بودن آن نيست، و جواز تخريب فورى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حقيقت، مستند به خود غاصب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نبودن راهى اقل ضرراً بر غاصب، براى ايصال مملوك مغصوب منه به او است</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احتياط در جمع بين حقين در فروع اين مسأله ترك نشود</w:t>
      </w:r>
      <w:r>
        <w:rPr>
          <w:rFonts w:eastAsia="Amiri" w:cs="Amiri" w:ascii="Amiri" w:hAnsi="Amiri"/>
          <w:color w:val="111111"/>
          <w:sz w:val="28"/>
          <w:szCs w:val="28"/>
          <w:rtl w:val="true"/>
          <w:lang w:bidi="ar-SA"/>
        </w:rPr>
        <w:t xml:space="preserve">. </w:t>
      </w:r>
      <w:bookmarkStart w:id="3739" w:name="pg10265_90387"/>
    </w:p>
    <w:p>
      <w:pPr>
        <w:pStyle w:val="Heading4"/>
        <w:numPr>
          <w:ilvl w:val="3"/>
          <w:numId w:val="1"/>
        </w:numPr>
        <w:rPr/>
      </w:pPr>
      <w:bookmarkStart w:id="3740" w:name="__RefHeading___Toc3810125_1067777946"/>
      <w:bookmarkStart w:id="3741" w:name="_Toc1575"/>
      <w:bookmarkEnd w:id="3739"/>
      <w:bookmarkEnd w:id="3740"/>
      <w:r>
        <w:rPr>
          <w:rtl w:val="true"/>
        </w:rPr>
        <w:t>خياطت ثوب يا جراحت، با خيط مغصوب</w:t>
      </w:r>
      <w:bookmarkEnd w:id="3741"/>
    </w:p>
    <w:p>
      <w:pPr>
        <w:pStyle w:val="BookText"/>
        <w:rPr/>
      </w:pPr>
      <w:r>
        <w:rPr>
          <w:rFonts w:ascii="IRNazanin" w:hAnsi="IRNazanin" w:eastAsia="IRNazanin"/>
          <w:color w:val="111111"/>
          <w:sz w:val="28"/>
          <w:sz w:val="28"/>
          <w:szCs w:val="28"/>
          <w:rtl w:val="true"/>
          <w:lang w:bidi="fa-IR"/>
        </w:rPr>
        <w:t>اگر غاصب، ثوب خود را با خيوط مغصوبه خياطت نمود و مالك مطالبه نمود، پس با امكان نزع، رد به مالك مى شوند اگر چه مستلزم فساد ثوب باشد، مثل خشبه در بنا، و حكم آن جارى است به نحو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نزع، مستلزم نقص قيمت خيوط است، غاصب، ضامن نقص قيمت با رد مغصوب است؛ و اگر مستلزم فساد خيوط است، ضامن قيمت كامله است و نزع، واجب نيست بنا بر اظهر، و به حكم مملوك غاصب بعد از تأديۀ تمام قيمت بعد از مطالبۀ مالك مى شود و تصرّف در آن ثوب مخيط، مانعى ندارد بعد از اداء بدل؛ و هم چنين اگر بدل حيلوله باشد و مأخوذ شد تا زمان حيلولت، تصرفات غاصب بى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غاصب، با خيط مغصوب، جراحت حيوانى را خياطت نمود پس اگر حيوان محترم است و آدمى است و از نزع، خوف تلف او يا تعيّب يا مرض و شين او باشد، نزع نمى شود و قيمت آن بر غاصب است؛ و اگر جراحت خود را خياطت كرده است، ضمان قيمت، مستقر بر خود غاصب است؛ و اگر با اذن او ديگرى جراحت خود را خياطت كرده است، هر دو ضامن هستند و قرار بر مباشر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غير آدمى كه منتفع به او به ذبح نشوند، به حكم آدمى است كه ذكر شد در صورت احترام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منتفع به ذبح آن مى شوند بدون محذورى اگر چه اضرار مالى مُجحف باشد كه عَسِر باشد تحميل آن بر غاصب، لازم است نزع، بنا بر آنچه در لوح مغصوب در سفينه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مال غير غاصب باشد و ممكن باشد شراء غاصب آن را تا ذبح نمايد و اخراج خيط نمايد، لازم است 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در موارد مخالفت با ارتكاز متشرعه، مصالحه مالك است با غاصب بر قيمت عادله يا غير مجحفه كه مناسب مال غاصب از حيث مال نيست</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صورت موت حيوانى كه با خيط مغصوب، جراحت، آن خياطت شده است، پس در صورت محترم بودن آن به طورى كه در حيات و ممات يكسان است، </w:t>
      </w:r>
      <w:bookmarkStart w:id="3742" w:name="pg10265_90388"/>
    </w:p>
    <w:p>
      <w:pPr>
        <w:pStyle w:val="BookText"/>
        <w:rPr/>
      </w:pPr>
      <w:bookmarkEnd w:id="3742"/>
      <w:r>
        <w:rPr>
          <w:rFonts w:ascii="IRNazanin" w:hAnsi="IRNazanin" w:eastAsia="IRNazanin"/>
          <w:color w:val="111111"/>
          <w:sz w:val="28"/>
          <w:sz w:val="28"/>
          <w:szCs w:val="28"/>
          <w:rtl w:val="true"/>
          <w:lang w:bidi="fa-IR"/>
        </w:rPr>
        <w:t xml:space="preserve">آنچه گذشت از مورد عدم جواز نزع، بعد از موت هم نزع نمى شود؛ و در غير محترم كه جائز است اتلاف آن بدون تذكيه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خنزير و كلب عقور و كافر حربى و مرتد فطرى و زانى محصن و مرتد ملى كه واجب القتل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جواز نزع، متجه است در صورت مطالبۀ مالك خيط و عدم رضا به عوض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جارى است آنچه ذكر شد، در نزع لوح مغصوب در سفينه اگر در آن سفينه حيوانى باشد كه اتلاف آن جائز نباشد به طورى كه اشاره شد</w:t>
      </w:r>
      <w:r>
        <w:rPr>
          <w:rFonts w:eastAsia="IRNazanin" w:cs="IRNazanin"/>
          <w:color w:val="111111"/>
          <w:sz w:val="28"/>
          <w:szCs w:val="28"/>
          <w:rtl w:val="true"/>
          <w:lang w:bidi="fa-IR"/>
        </w:rPr>
        <w:t>.</w:t>
      </w:r>
    </w:p>
    <w:p>
      <w:pPr>
        <w:pStyle w:val="Heading4"/>
        <w:numPr>
          <w:ilvl w:val="3"/>
          <w:numId w:val="1"/>
        </w:numPr>
        <w:rPr/>
      </w:pPr>
      <w:bookmarkStart w:id="3743" w:name="__RefHeading___Toc3810127_1067777946"/>
      <w:bookmarkStart w:id="3744" w:name="_Toc1576"/>
      <w:bookmarkEnd w:id="3743"/>
      <w:r>
        <w:rPr>
          <w:rtl w:val="true"/>
        </w:rPr>
        <w:t>حدوث عيب در مغصوب</w:t>
      </w:r>
      <w:bookmarkEnd w:id="3744"/>
    </w:p>
    <w:p>
      <w:pPr>
        <w:pStyle w:val="BookText"/>
        <w:rPr/>
      </w:pPr>
      <w:r>
        <w:rPr>
          <w:rFonts w:ascii="IRNazanin" w:hAnsi="IRNazanin" w:eastAsia="IRNazanin"/>
          <w:color w:val="111111"/>
          <w:sz w:val="28"/>
          <w:sz w:val="28"/>
          <w:szCs w:val="28"/>
          <w:rtl w:val="true"/>
          <w:lang w:bidi="fa-IR"/>
        </w:rPr>
        <w:t>اگر در مغصوب، عيبى حادث شد مستقر، ضامن ارش است، پس رد مى نمايد عين را با ارش نقص حادث، مثل پاره شدن جامه، بدون فرق بين اقسام عيوب مستقره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غير مستقر بود و در ازدياد و اشراف به تلف بود، پس رد عين با ارش عيب تا زمان ردّ، لازم است و ثبوت زائد بر غاصب به سرايت، خالى از وجه نيست؛ و در صورت اهمال مالك در معالجه و استناد زائد به هر دو، ضمان غاصب تمام عوض را خالى از اشكال نيست؛ و احتمال قصاص در اينجا با تعمّد سبب و عدم معالجۀ طرف در قصد مأذون يا تعمّد عدم شدّ و ترك آن از طرف با امكان، خالى از ضعف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 تلف عرفى، ضمان قيمت تماماً و رد عين به جهت بقاى حق اختصاص در صورت عرفيت آن، بى وجه نيست</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عين مغصوبه سالم و بى عيب باقى بود، رد آن به مالك كافى است و تفاوت قيمت سوقيّه مضمون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حكم در موارد تحقّق اتلاف ماليت به حسب حكم، مثل صورت ذهاب ماليت رأساً، خالى از تأمّل نيست، چنانچه از مراجعه به عرف عقلاء در تغريمات به غصب و عدوان نه به مطلق يد استفاده مى شود، و از ملاحظۀ نفى ضرر در ذهاب مراتب ماليت استفاده مى شود</w:t>
      </w:r>
      <w:r>
        <w:rPr>
          <w:rFonts w:eastAsia="IRNazanin" w:cs="IRNazanin"/>
          <w:color w:val="111111"/>
          <w:sz w:val="28"/>
          <w:szCs w:val="28"/>
          <w:rtl w:val="true"/>
          <w:lang w:bidi="fa-IR"/>
        </w:rPr>
        <w:t xml:space="preserve">. </w:t>
      </w:r>
      <w:bookmarkStart w:id="3745" w:name="pg10265_90389"/>
    </w:p>
    <w:p>
      <w:pPr>
        <w:pStyle w:val="Heading4"/>
        <w:numPr>
          <w:ilvl w:val="3"/>
          <w:numId w:val="1"/>
        </w:numPr>
        <w:rPr/>
      </w:pPr>
      <w:bookmarkStart w:id="3746" w:name="__RefHeading___Toc3810129_1067777946"/>
      <w:bookmarkStart w:id="3747" w:name="_Toc1577"/>
      <w:bookmarkEnd w:id="3745"/>
      <w:bookmarkEnd w:id="3746"/>
      <w:r>
        <w:rPr>
          <w:rtl w:val="true"/>
        </w:rPr>
        <w:t>ضمان به مثل و قيمت</w:t>
      </w:r>
      <w:bookmarkEnd w:id="3747"/>
    </w:p>
    <w:p>
      <w:pPr>
        <w:pStyle w:val="BookText"/>
        <w:rPr/>
      </w:pPr>
      <w:r>
        <w:rPr>
          <w:rFonts w:ascii="IRNazanin" w:hAnsi="IRNazanin" w:eastAsia="IRNazanin"/>
          <w:color w:val="111111"/>
          <w:sz w:val="28"/>
          <w:sz w:val="28"/>
          <w:szCs w:val="28"/>
          <w:rtl w:val="true"/>
          <w:lang w:bidi="fa-IR"/>
        </w:rPr>
        <w:t>اگر مغصوب تلف شد در يد غاصب يا مترتّب بر آن، مضمون، مثل است در مثليات، و قيمت است در قيميّات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نوعاً صاحب امثال است در اسم و صفت و رغبت و ماليت محدوده،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مستحَق مالك است، غير آن را حق مطالبه يا الزام ندارد، و به غير آن الزام نمى شود؛ و غير آن كافى نيست مگر با تراضى طرفين، چه مثل باشد چه قيمت از اثمان رايجه در هر مكان</w:t>
      </w:r>
      <w:r>
        <w:rPr>
          <w:rFonts w:eastAsia="IRNazanin" w:cs="IRNazanin"/>
          <w:color w:val="111111"/>
          <w:sz w:val="28"/>
          <w:szCs w:val="28"/>
          <w:rtl w:val="true"/>
          <w:lang w:bidi="fa-IR"/>
        </w:rPr>
        <w:t>.</w:t>
      </w:r>
    </w:p>
    <w:p>
      <w:pPr>
        <w:pStyle w:val="Heading4"/>
        <w:numPr>
          <w:ilvl w:val="3"/>
          <w:numId w:val="1"/>
        </w:numPr>
        <w:rPr/>
      </w:pPr>
      <w:bookmarkStart w:id="3748" w:name="__RefHeading___Toc3810131_1067777946"/>
      <w:bookmarkStart w:id="3749" w:name="_Toc1578"/>
      <w:bookmarkEnd w:id="3748"/>
      <w:r>
        <w:rPr>
          <w:rtl w:val="true"/>
        </w:rPr>
        <w:t>اعتبار به قيمت يوم التلف يا غير آن</w:t>
      </w:r>
      <w:bookmarkEnd w:id="3749"/>
    </w:p>
    <w:p>
      <w:pPr>
        <w:pStyle w:val="BookText"/>
        <w:rPr/>
      </w:pPr>
      <w:r>
        <w:rPr>
          <w:rFonts w:ascii="Amiri" w:hAnsi="Amiri" w:eastAsia="Amiri" w:cs="Amiri"/>
          <w:color w:val="111111"/>
          <w:sz w:val="28"/>
          <w:sz w:val="28"/>
          <w:szCs w:val="28"/>
          <w:rtl w:val="true"/>
          <w:lang w:bidi="ar-SA"/>
        </w:rPr>
        <w:t>مضمون، در قيميّات تالفه و در مثليات متعذره بعد از ميسوريت آنها در زمان تلف، قيمت يوم التلف در اول و يوم الاعواز در دويم است يا نه‌؟ خلافى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شبهه نيست در جواز مطالبه در هر زمان، قيمت تالف را در زمان مطالبه، و امتناع از اداء آن جائز نيست؛ و در صورت عدم مطالبه يا عدم تأديه با مطالبه و عدم اغماض از زائد از متيقن از طرفين، احوط صلح است در ما بين اطراف احتمال كه اول آن زمان غصب و آخر آن زمان اقباض است؛ و جزم به اعلى القيم بين اين دو حدّ، منقول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حاشيۀ شرح 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خالى از وجه مبيَّن از ما سبق نيست، و در اجماع بر خلاف لوازم آن و كشف آن از دليل مفقود، نظر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صورت استناد تنزّل قيمت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نقصى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عين باشد قبل از تلف آن، نه قيمت سوقيّه، ضمان اعلى القيم بالاضافه متفقٌ عليه است در محكىّ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 در عدم تأثير زيادتى قيمت و نقص آن در زمان متأخّر، بر دفع مستحَق از قيمت است اگر چه بدون حكم حاكم باشد، نه بر حكم حاكم به سبب اعوازِ مثل در صورت عدم دفع مستحَق در همان زمان</w:t>
      </w:r>
      <w:r>
        <w:rPr>
          <w:rFonts w:eastAsia="IRNazanin" w:cs="IRNazanin"/>
          <w:color w:val="111111"/>
          <w:sz w:val="28"/>
          <w:szCs w:val="28"/>
          <w:rtl w:val="true"/>
          <w:lang w:bidi="fa-IR"/>
        </w:rPr>
        <w:t xml:space="preserve">. </w:t>
      </w:r>
      <w:bookmarkStart w:id="3750" w:name="pg10265_90390"/>
    </w:p>
    <w:p>
      <w:pPr>
        <w:pStyle w:val="Heading4"/>
        <w:numPr>
          <w:ilvl w:val="3"/>
          <w:numId w:val="1"/>
        </w:numPr>
        <w:rPr/>
      </w:pPr>
      <w:bookmarkStart w:id="3751" w:name="__RefHeading___Toc3810133_1067777946"/>
      <w:bookmarkStart w:id="3752" w:name="_Toc1579"/>
      <w:bookmarkEnd w:id="3750"/>
      <w:bookmarkEnd w:id="3751"/>
      <w:r>
        <w:rPr>
          <w:rtl w:val="true"/>
        </w:rPr>
        <w:t>تالف مثلى</w:t>
      </w:r>
      <w:bookmarkEnd w:id="3752"/>
    </w:p>
    <w:p>
      <w:pPr>
        <w:pStyle w:val="Heading5"/>
        <w:numPr>
          <w:ilvl w:val="4"/>
          <w:numId w:val="1"/>
        </w:numPr>
        <w:rPr/>
      </w:pPr>
      <w:bookmarkStart w:id="3753" w:name="__RefHeading___Toc3810135_1067777946"/>
      <w:bookmarkStart w:id="3754" w:name="_Toc1580"/>
      <w:bookmarkEnd w:id="3753"/>
      <w:r>
        <w:rPr>
          <w:rtl w:val="true"/>
        </w:rPr>
        <w:t>تبدل مثلى به قيمى و بالعكس</w:t>
      </w:r>
      <w:bookmarkEnd w:id="3754"/>
    </w:p>
    <w:p>
      <w:pPr>
        <w:pStyle w:val="BookText"/>
        <w:rPr/>
      </w:pPr>
      <w:r>
        <w:rPr>
          <w:rFonts w:ascii="IRNazanin" w:hAnsi="IRNazanin" w:eastAsia="IRNazanin"/>
          <w:color w:val="111111"/>
          <w:sz w:val="28"/>
          <w:sz w:val="28"/>
          <w:szCs w:val="28"/>
          <w:rtl w:val="true"/>
          <w:lang w:bidi="fa-IR"/>
        </w:rPr>
        <w:t xml:space="preserve">اگر در حين تلف، مثل متعذر بود در مثلىّ‌، پس اداء نشد تا زمان وجود مثل، مضمون، مثل است در حال دفع و اقباض؛ چنانچه در قيمى اگر اتفاقاً منقلب به مثلىّ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واسطۀ حدوث مَعملِ توليد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تأديۀ مستحق، ايضاً مضمون، مثل است در حال اقباض؛ و بايد در هر دو صورت، مدفوع، همان تالف باشد در آن حال عرفاً و عبرت به سبقِ خلاف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مثلىّ‌، تلف در يد غاصب شد يا اتلاف كرد آن را، پس در غير مكان غصب، مثل پيدا شد و در آنجا مطالبه كرد از غاصب مثل را و قيمت آن در آن مكان، اعلى بود از قيمت مكان غصب و تلف، پس احوط صلح است با مالك، ما بين قيمت در دو مكان اگر تراضى به يكى از آنها نشد</w:t>
      </w:r>
      <w:r>
        <w:rPr>
          <w:rFonts w:eastAsia="IRNazanin" w:cs="IRNazanin"/>
          <w:color w:val="111111"/>
          <w:sz w:val="28"/>
          <w:szCs w:val="28"/>
          <w:rtl w:val="true"/>
          <w:lang w:bidi="fa-IR"/>
        </w:rPr>
        <w:t>.</w:t>
      </w:r>
    </w:p>
    <w:p>
      <w:pPr>
        <w:pStyle w:val="Heading5"/>
        <w:numPr>
          <w:ilvl w:val="4"/>
          <w:numId w:val="1"/>
        </w:numPr>
        <w:rPr/>
      </w:pPr>
      <w:bookmarkStart w:id="3755" w:name="__RefHeading___Toc3810137_1067777946"/>
      <w:bookmarkStart w:id="3756" w:name="_Toc1581"/>
      <w:bookmarkEnd w:id="3755"/>
      <w:r>
        <w:rPr>
          <w:rtl w:val="true"/>
        </w:rPr>
        <w:t>از ماليّت خارج شدن تالف مثلى</w:t>
      </w:r>
      <w:bookmarkEnd w:id="3756"/>
    </w:p>
    <w:p>
      <w:pPr>
        <w:pStyle w:val="BookText"/>
        <w:rPr/>
      </w:pPr>
      <w:r>
        <w:rPr>
          <w:rFonts w:ascii="IRNazanin" w:hAnsi="IRNazanin" w:eastAsia="IRNazanin"/>
          <w:color w:val="111111"/>
          <w:sz w:val="28"/>
          <w:sz w:val="28"/>
          <w:szCs w:val="28"/>
          <w:rtl w:val="true"/>
          <w:lang w:bidi="fa-IR"/>
        </w:rPr>
        <w:t>و اگر مغصوب تالف مثلى از قيمت خارج شد، مثل آب در صحراء پس در كنار نهر اجتماع شد بين مالك و غاصب يا آنكه يخ در تابستان اتلاف شد و در زمستان اجتماع شد، ضمان قيمت در مكان غصب و تلف، خالى از وجه نيست</w:t>
      </w:r>
      <w:r>
        <w:rPr>
          <w:rFonts w:eastAsia="IRNazanin" w:cs="IRNazanin"/>
          <w:color w:val="111111"/>
          <w:sz w:val="28"/>
          <w:szCs w:val="28"/>
          <w:rtl w:val="true"/>
          <w:lang w:bidi="fa-IR"/>
        </w:rPr>
        <w:t>.</w:t>
      </w:r>
    </w:p>
    <w:p>
      <w:pPr>
        <w:pStyle w:val="Heading4"/>
        <w:numPr>
          <w:ilvl w:val="3"/>
          <w:numId w:val="1"/>
        </w:numPr>
        <w:rPr/>
      </w:pPr>
      <w:bookmarkStart w:id="3757" w:name="__RefHeading___Toc3810139_1067777946"/>
      <w:bookmarkStart w:id="3758" w:name="_Toc1582"/>
      <w:bookmarkEnd w:id="3757"/>
      <w:r>
        <w:rPr>
          <w:rtl w:val="true"/>
        </w:rPr>
        <w:t>تالف قيمى</w:t>
      </w:r>
      <w:bookmarkEnd w:id="3758"/>
    </w:p>
    <w:p>
      <w:pPr>
        <w:pStyle w:val="Heading5"/>
        <w:numPr>
          <w:ilvl w:val="4"/>
          <w:numId w:val="1"/>
        </w:numPr>
        <w:rPr/>
      </w:pPr>
      <w:bookmarkStart w:id="3759" w:name="__RefHeading___Toc3810141_1067777946"/>
      <w:bookmarkStart w:id="3760" w:name="_Toc1583"/>
      <w:bookmarkEnd w:id="3759"/>
      <w:r>
        <w:rPr>
          <w:rtl w:val="true"/>
        </w:rPr>
        <w:t>وقت تحديد قيمت تالف يا ارش معيب</w:t>
      </w:r>
      <w:bookmarkEnd w:id="3760"/>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تالف، قيمى بود، مضمون، ماليت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وقت تحديدِ قيمتِ تالف العين يا ارشِ تالف الصّحه، خلاف است؛ و چنانچه اجماع كاشف از نقلِ مفقود نباشد، اعلى القيم از زمان غصب تا زمان دفع و رد قيمت يا ارش با عين، مضمون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صحيحۀ أبي داود، متكفل اول وقت وجوب كه يوم المخالفه است و آخر </w:t>
      </w:r>
      <w:bookmarkStart w:id="3761" w:name="pg10265_90391"/>
    </w:p>
    <w:p>
      <w:pPr>
        <w:pStyle w:val="BookText"/>
        <w:rPr/>
      </w:pPr>
      <w:bookmarkEnd w:id="3761"/>
      <w:r>
        <w:rPr>
          <w:rFonts w:ascii="IRNazanin" w:hAnsi="IRNazanin" w:eastAsia="IRNazanin"/>
          <w:color w:val="111111"/>
          <w:sz w:val="28"/>
          <w:sz w:val="28"/>
          <w:szCs w:val="28"/>
          <w:rtl w:val="true"/>
          <w:lang w:bidi="fa-IR"/>
        </w:rPr>
        <w:t>آن كه يوم الرد است، مى باشد و دلالت بر حد قيمت كه مختلف باشد در دو زمان، ندارد، و لذا اكتفاى به تقديم يوم اكتراء در آن شده است كه كاشف نوعى از قيمت فيما بعد است؛ بلكه واجب با ابقاى عين، دفع عين حقيقى؛ و با تلف آن يا تلف وصف، دفع عين يا وصف تنزيلى عرفى است و حين الرد بايد ملاحظۀ تفويت عدوانى بر مالك از زمان غصب تا 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معدّات خلاف اين قول اين است كه در حال زيادتى قيمت جائز است مطالبه و واجب است دفع و اگر عصياناً ترك دفع كرد تا وقت تنزّل قيمت، پس از آن واجب نيست مگر دفع قيمت نازله،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 زمان غصب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مختار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اكثر و تردد او در تأثير اختلاف قيمت، خالى از ميل به بعض مذكور نيست</w:t>
      </w:r>
      <w:r>
        <w:rPr>
          <w:rFonts w:eastAsia="IRNazanin" w:cs="IRNazanin"/>
          <w:color w:val="111111"/>
          <w:sz w:val="28"/>
          <w:szCs w:val="28"/>
          <w:rtl w:val="true"/>
          <w:lang w:bidi="fa-IR"/>
        </w:rPr>
        <w:t>.</w:t>
      </w:r>
    </w:p>
    <w:p>
      <w:pPr>
        <w:pStyle w:val="Heading5"/>
        <w:numPr>
          <w:ilvl w:val="4"/>
          <w:numId w:val="1"/>
        </w:numPr>
        <w:rPr/>
      </w:pPr>
      <w:bookmarkStart w:id="3762" w:name="__RefHeading___Toc3810143_1067777946"/>
      <w:bookmarkStart w:id="3763" w:name="_Toc1584"/>
      <w:bookmarkEnd w:id="3762"/>
      <w:r>
        <w:rPr>
          <w:rtl w:val="true"/>
        </w:rPr>
        <w:t>اگر در قيمى، مثل پيدا شد</w:t>
      </w:r>
      <w:bookmarkEnd w:id="3763"/>
    </w:p>
    <w:p>
      <w:pPr>
        <w:pStyle w:val="BookText"/>
        <w:rPr/>
      </w:pPr>
      <w:r>
        <w:rPr>
          <w:rFonts w:ascii="IRNazanin" w:hAnsi="IRNazanin" w:eastAsia="IRNazanin"/>
          <w:color w:val="111111"/>
          <w:sz w:val="28"/>
          <w:sz w:val="28"/>
          <w:szCs w:val="28"/>
          <w:rtl w:val="true"/>
          <w:lang w:bidi="fa-IR"/>
        </w:rPr>
        <w:t>اگر اتفاقاً مثل در قيمى موجود و ميسور شد، جريان حكم مثلى بى وجه نيست و بعد از انقلاب بى 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دفع بر حسب وظيفه و حصول برائت ذمّه، زيادتى و نقصان قيمت اثرى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اظهر در تفاوت مضمون در مثلى و قيمت بشرط شىء يا لا بشرط است، نه با بشرط لا، يعنى ازيد از قيمت واجب الدفع است در مثلى نه در قيمى</w:t>
      </w:r>
      <w:r>
        <w:rPr>
          <w:rFonts w:eastAsia="Amiri" w:cs="Amiri" w:ascii="Amiri" w:hAnsi="Amiri"/>
          <w:color w:val="111111"/>
          <w:sz w:val="28"/>
          <w:szCs w:val="28"/>
          <w:rtl w:val="true"/>
          <w:lang w:bidi="ar-SA"/>
        </w:rPr>
        <w:t>.</w:t>
      </w:r>
    </w:p>
    <w:p>
      <w:pPr>
        <w:pStyle w:val="Heading5"/>
        <w:numPr>
          <w:ilvl w:val="4"/>
          <w:numId w:val="1"/>
        </w:numPr>
        <w:rPr/>
      </w:pPr>
      <w:bookmarkStart w:id="3764" w:name="__RefHeading___Toc3810145_1067777946"/>
      <w:bookmarkStart w:id="3765" w:name="_Toc1585"/>
      <w:bookmarkEnd w:id="3764"/>
      <w:r>
        <w:rPr>
          <w:rtl w:val="true"/>
        </w:rPr>
        <w:t>ضمان طلا و نقره</w:t>
      </w:r>
      <w:bookmarkEnd w:id="3765"/>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 و نقرۀ مسكوك و غير آن، از مثليات مى باشند، به واسطۀ غلبه وجود امثال در خصوصيّات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مثل در آنها متعذر شد، مضمون به سائر نقود موافقه در قيمت مى شوند مثل سائر قيميّات بالاصل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اختصاص ضمان قيمى به نقد بلد، معلوم نيست،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ماليت لا بشرط در ذمه ثابت مى شود به نحوى كه ضررى در مبادله براى اغراض معامليّه نباشد و آن غالباً در اثمان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شبهه اى در نقد بلد از غير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تضمين تالف از طلا به نقره </w:t>
      </w:r>
      <w:bookmarkStart w:id="3766" w:name="pg10265_90392"/>
    </w:p>
    <w:p>
      <w:pPr>
        <w:pStyle w:val="BookText"/>
        <w:rPr/>
      </w:pPr>
      <w:bookmarkEnd w:id="3766"/>
      <w:r>
        <w:rPr>
          <w:rFonts w:ascii="IRNazanin" w:hAnsi="IRNazanin" w:eastAsia="IRNazanin"/>
          <w:color w:val="111111"/>
          <w:sz w:val="28"/>
          <w:sz w:val="28"/>
          <w:szCs w:val="28"/>
          <w:rtl w:val="true"/>
          <w:lang w:bidi="fa-IR"/>
        </w:rPr>
        <w:t xml:space="preserve">يا 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اما در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نقره به نقره يا طلا به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اتفاقِ وزنى لازم است بنا بر جريان ربا در تغريمات و عدم اختصاص به معاوضات بيعيّه؛ و در صورت اختلاف وزنى با اتحاد جنسى، تقويم به غير جنس مى شود و با غير جنس تأديۀ حق مى نمايند و قيمت آن جنس مخالف را به معاوضۀ ديگر استيفا مى نمايند</w:t>
      </w:r>
      <w:r>
        <w:rPr>
          <w:rFonts w:eastAsia="IRNazanin" w:cs="IRNazanin"/>
          <w:color w:val="111111"/>
          <w:sz w:val="28"/>
          <w:szCs w:val="28"/>
          <w:rtl w:val="true"/>
          <w:lang w:bidi="fa-IR"/>
        </w:rPr>
        <w:t>.</w:t>
      </w:r>
    </w:p>
    <w:p>
      <w:pPr>
        <w:pStyle w:val="Heading4"/>
        <w:numPr>
          <w:ilvl w:val="3"/>
          <w:numId w:val="1"/>
        </w:numPr>
        <w:rPr/>
      </w:pPr>
      <w:bookmarkStart w:id="3767" w:name="__RefHeading___Toc3810147_1067777946"/>
      <w:bookmarkStart w:id="3768" w:name="_Toc1586"/>
      <w:bookmarkEnd w:id="3767"/>
      <w:r>
        <w:rPr>
          <w:rtl w:val="true"/>
        </w:rPr>
        <w:t>تلف صفت</w:t>
      </w:r>
      <w:bookmarkEnd w:id="3768"/>
    </w:p>
    <w:p>
      <w:pPr>
        <w:pStyle w:val="BookText"/>
        <w:rPr/>
      </w:pPr>
      <w:r>
        <w:rPr>
          <w:rFonts w:ascii="IRNazanin" w:hAnsi="IRNazanin" w:eastAsia="IRNazanin"/>
          <w:color w:val="111111"/>
          <w:sz w:val="28"/>
          <w:sz w:val="28"/>
          <w:szCs w:val="28"/>
          <w:rtl w:val="true"/>
          <w:lang w:bidi="fa-IR"/>
        </w:rPr>
        <w:t>اگر در مغصوب، صفت محلَّله بوده و تلف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وحدت عرفيۀ 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مثلى باشد و چه قيمى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در تغريم، ملاحظۀ ربا بشود به اختلاف جنس يا اتفاق وزن؛ و با تعدّد و استقلال صفت و محلش، هر كدام حكم خود را دارد در تغريم و احكامش، و ربويّت و احكامش، در تلف هر دو يا خصوص صفت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صفت محرّمه باشد، پس اصل، مضمون است و صفت، مضمون نيست اگر واجب باشد كسر و ازالۀ صفت به حدى كه قابل انتفاع محرم نباشد، و مجموع واحد عرفى، مضمون نيست؛ و در صورت بقاى انتفاع محللى در آن، ضمان صفت بى وجه نيست، مثل آنيۀ نقدين بنا بر جواز اقتنا، نه اصنام و صلبان و آلات ملاهى و نحو اينها</w:t>
      </w:r>
      <w:r>
        <w:rPr>
          <w:rFonts w:eastAsia="IRNazanin" w:cs="IRNazanin"/>
          <w:color w:val="111111"/>
          <w:sz w:val="28"/>
          <w:szCs w:val="28"/>
          <w:rtl w:val="true"/>
          <w:lang w:bidi="fa-IR"/>
        </w:rPr>
        <w:t>.</w:t>
      </w:r>
    </w:p>
    <w:p>
      <w:pPr>
        <w:pStyle w:val="Heading4"/>
        <w:numPr>
          <w:ilvl w:val="3"/>
          <w:numId w:val="1"/>
        </w:numPr>
        <w:rPr/>
      </w:pPr>
      <w:bookmarkStart w:id="3769" w:name="__RefHeading___Toc3810149_1067777946"/>
      <w:bookmarkStart w:id="3770" w:name="_Toc1587"/>
      <w:bookmarkEnd w:id="3769"/>
      <w:r>
        <w:rPr>
          <w:rtl w:val="true"/>
        </w:rPr>
        <w:t>چند مسأله</w:t>
      </w:r>
      <w:bookmarkEnd w:id="3770"/>
    </w:p>
    <w:p>
      <w:pPr>
        <w:pStyle w:val="Heading5"/>
        <w:numPr>
          <w:ilvl w:val="4"/>
          <w:numId w:val="1"/>
        </w:numPr>
        <w:rPr/>
      </w:pPr>
      <w:bookmarkStart w:id="3771" w:name="__RefHeading___Toc3810151_1067777946"/>
      <w:bookmarkStart w:id="3772" w:name="_Toc1588"/>
      <w:bookmarkEnd w:id="3771"/>
      <w:r>
        <w:rPr>
          <w:rtl w:val="true"/>
        </w:rPr>
        <w:t>جنايت وارده بر دابۀ مغصوبه</w:t>
      </w:r>
      <w:bookmarkEnd w:id="3772"/>
    </w:p>
    <w:p>
      <w:pPr>
        <w:pStyle w:val="BookText"/>
        <w:rPr/>
      </w:pPr>
      <w:r>
        <w:rPr>
          <w:rFonts w:ascii="IRNazanin" w:hAnsi="IRNazanin" w:eastAsia="IRNazanin"/>
          <w:color w:val="111111"/>
          <w:sz w:val="28"/>
          <w:sz w:val="28"/>
          <w:szCs w:val="28"/>
          <w:rtl w:val="true"/>
          <w:lang w:bidi="fa-IR"/>
        </w:rPr>
        <w:t>اگر غاصبِ دابّه، جنايتى بر آن وارد كرد، يا غير غاصب، يا به آفت از قبل خداى متعال، پس نقل اجماع بر ضمان 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احوط صلح است بين ارش و مقدّر در انسان مثل آنچه در انسان 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تمام ديه، و در يكى، نصف ديه است</w:t>
      </w:r>
      <w:r>
        <w:rPr>
          <w:rFonts w:eastAsia="IRNazanin" w:cs="IRNazanin"/>
          <w:color w:val="111111"/>
          <w:sz w:val="28"/>
          <w:szCs w:val="28"/>
          <w:rtl w:val="true"/>
          <w:lang w:bidi="fa-IR"/>
        </w:rPr>
        <w:t>.</w:t>
      </w:r>
    </w:p>
    <w:p>
      <w:pPr>
        <w:pStyle w:val="Heading5"/>
        <w:numPr>
          <w:ilvl w:val="4"/>
          <w:numId w:val="1"/>
        </w:numPr>
        <w:rPr/>
      </w:pPr>
      <w:bookmarkStart w:id="3773" w:name="__RefHeading___Toc3810153_1067777946"/>
      <w:bookmarkStart w:id="3774" w:name="_Toc1589"/>
      <w:bookmarkEnd w:id="3773"/>
      <w:r>
        <w:rPr>
          <w:rtl w:val="true"/>
        </w:rPr>
        <w:t>ضمان اموال اختصاص مثل انگشتر و</w:t>
      </w:r>
      <w:r>
        <w:rPr>
          <w:rtl w:val="true"/>
        </w:rPr>
        <w:t>...</w:t>
      </w:r>
      <w:bookmarkEnd w:id="3774"/>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اختصاصيات از اموال كه نوعاً قيمت آنها نزد مالك بالاتر است، ترضيۀ مالك </w:t>
      </w:r>
      <w:bookmarkStart w:id="3775" w:name="pg10265_90393"/>
    </w:p>
    <w:p>
      <w:pPr>
        <w:pStyle w:val="BookText"/>
        <w:rPr/>
      </w:pPr>
      <w:bookmarkEnd w:id="3775"/>
      <w:r>
        <w:rPr>
          <w:rFonts w:ascii="IRNazanin" w:hAnsi="IRNazanin" w:eastAsia="IRNazanin"/>
          <w:color w:val="111111"/>
          <w:sz w:val="28"/>
          <w:sz w:val="28"/>
          <w:szCs w:val="28"/>
          <w:rtl w:val="true"/>
          <w:lang w:bidi="fa-IR"/>
        </w:rPr>
        <w:t>يا صلح بين قيمت واقعيّه و قيمت نزد مالك خاص است، و از آن جمله انگشتر مختلف به اختلاف اصابع و يكى از دو نعل خاص در صورت تلف آنها در يد غاصب يا مترتّب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است في الجمله سند و حجّت مالكيّت در املاك</w:t>
      </w:r>
      <w:r>
        <w:rPr>
          <w:rFonts w:eastAsia="IRNazanin" w:cs="IRNazanin"/>
          <w:color w:val="111111"/>
          <w:sz w:val="28"/>
          <w:szCs w:val="28"/>
          <w:rtl w:val="true"/>
          <w:lang w:bidi="fa-IR"/>
        </w:rPr>
        <w:t>.</w:t>
      </w:r>
    </w:p>
    <w:p>
      <w:pPr>
        <w:pStyle w:val="Heading5"/>
        <w:numPr>
          <w:ilvl w:val="4"/>
          <w:numId w:val="1"/>
        </w:numPr>
        <w:rPr/>
      </w:pPr>
      <w:bookmarkStart w:id="3776" w:name="__RefHeading___Toc3810155_1067777946"/>
      <w:bookmarkStart w:id="3777" w:name="_Toc1590"/>
      <w:bookmarkEnd w:id="3776"/>
      <w:r>
        <w:rPr>
          <w:rtl w:val="true"/>
        </w:rPr>
        <w:t>قتل مملوك مغصوب</w:t>
      </w:r>
      <w:bookmarkEnd w:id="3777"/>
    </w:p>
    <w:p>
      <w:pPr>
        <w:pStyle w:val="BookText"/>
        <w:rPr/>
      </w:pPr>
      <w:r>
        <w:rPr>
          <w:rFonts w:ascii="IRNazanin" w:hAnsi="IRNazanin" w:eastAsia="IRNazanin"/>
          <w:color w:val="111111"/>
          <w:sz w:val="28"/>
          <w:sz w:val="28"/>
          <w:szCs w:val="28"/>
          <w:rtl w:val="true"/>
          <w:lang w:bidi="fa-IR"/>
        </w:rPr>
        <w:t xml:space="preserve">اگر غصب كرد عبدى را يا كنيزى را، پس كشت او را، يا قاتلى ديگر كشت او را، يا وفات كرد در يد غاصب يا ديگرى، پس قيمت او مضمون است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ديۀ حرّ يا حرة تجاوز ننمايد، و زائد، مضمون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خصوص مقتوليّت مملوك مغصوب، احتياط در زائد بر ديۀ آزاد مطلوب است براى مالك و غاصب، بلكه ترك نشود، يعنى مطالبۀ زيادتى از غاصب و ديه از جانى؛ و اين احتياط، مورد جزم است در صورت وفات مملوك در يد غاصب يا متأخّر؛ پس مضمون است تمام قيمت او اگر چه از ديۀ حرّ زائد باشد بر حسب نقل اجماع</w:t>
      </w:r>
      <w:r>
        <w:rPr>
          <w:rFonts w:eastAsia="IRNazanin" w:cs="IRNazanin"/>
          <w:color w:val="111111"/>
          <w:sz w:val="28"/>
          <w:szCs w:val="28"/>
          <w:rtl w:val="true"/>
          <w:lang w:bidi="fa-IR"/>
        </w:rPr>
        <w:t>.</w:t>
      </w:r>
    </w:p>
    <w:p>
      <w:pPr>
        <w:pStyle w:val="Heading5"/>
        <w:numPr>
          <w:ilvl w:val="4"/>
          <w:numId w:val="1"/>
        </w:numPr>
        <w:rPr/>
      </w:pPr>
      <w:bookmarkStart w:id="3778" w:name="__RefHeading___Toc3810157_1067777946"/>
      <w:bookmarkStart w:id="3779" w:name="_Toc1591"/>
      <w:bookmarkEnd w:id="3778"/>
      <w:r>
        <w:rPr>
          <w:rtl w:val="true"/>
        </w:rPr>
        <w:t>اگر غاصب، مملوك غير را مثله كند</w:t>
      </w:r>
      <w:bookmarkEnd w:id="3779"/>
    </w:p>
    <w:p>
      <w:pPr>
        <w:pStyle w:val="BookText"/>
        <w:rPr/>
      </w:pPr>
      <w:r>
        <w:rPr>
          <w:rFonts w:ascii="IRNazanin" w:hAnsi="IRNazanin" w:eastAsia="IRNazanin"/>
          <w:color w:val="111111"/>
          <w:sz w:val="28"/>
          <w:sz w:val="28"/>
          <w:szCs w:val="28"/>
          <w:rtl w:val="true"/>
          <w:lang w:bidi="fa-IR"/>
        </w:rPr>
        <w:t xml:space="preserve">و در ايجاب تمثيلِ غاصب، مملوكِ غير را، تحرير او را با ضمان قيمت براى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محكىّ از شيخ و مقتضاى عموم مرسل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است؛ و عدم لحوق به تمثيل مالك و به اقعاد و عمىٰ و مجذوميّت در يد غاصب، خالى از وجه نيست</w:t>
      </w:r>
      <w:r>
        <w:rPr>
          <w:rFonts w:eastAsia="IRNazanin" w:cs="IRNazanin"/>
          <w:color w:val="111111"/>
          <w:sz w:val="28"/>
          <w:szCs w:val="28"/>
          <w:rtl w:val="true"/>
          <w:lang w:bidi="fa-IR"/>
        </w:rPr>
        <w:t>.</w:t>
      </w:r>
    </w:p>
    <w:p>
      <w:pPr>
        <w:pStyle w:val="Heading5"/>
        <w:numPr>
          <w:ilvl w:val="4"/>
          <w:numId w:val="1"/>
        </w:numPr>
        <w:rPr/>
      </w:pPr>
      <w:bookmarkStart w:id="3780" w:name="__RefHeading___Toc3810159_1067777946"/>
      <w:bookmarkStart w:id="3781" w:name="_Toc1592"/>
      <w:bookmarkEnd w:id="3780"/>
      <w:r>
        <w:rPr>
          <w:rtl w:val="true"/>
        </w:rPr>
        <w:t>جنايت بر مملوك مغصوب</w:t>
      </w:r>
      <w:bookmarkEnd w:id="3781"/>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جنايتى كه در حرّ، مقدّرى دارد، در مملوك مغصوب به حساب آن مقدّر از قيمت مملوك است، چه آنكه جنايت از غاصب باشد، يا اجنبى بر حسب آنچه مذكور مى شود از جماعتى، و احوط ثبوت اكثر از مقدّر و ارش است در جنايت بعد </w:t>
      </w:r>
      <w:bookmarkStart w:id="3782" w:name="pg10265_90394"/>
    </w:p>
    <w:p>
      <w:pPr>
        <w:pStyle w:val="BookText"/>
        <w:rPr/>
      </w:pPr>
      <w:bookmarkEnd w:id="3782"/>
      <w:r>
        <w:rPr>
          <w:rFonts w:ascii="IRNazanin" w:hAnsi="IRNazanin" w:eastAsia="IRNazanin"/>
          <w:color w:val="111111"/>
          <w:sz w:val="28"/>
          <w:sz w:val="28"/>
          <w:szCs w:val="28"/>
          <w:rtl w:val="true"/>
          <w:lang w:bidi="fa-IR"/>
        </w:rPr>
        <w:t>از غصب از غاصب يا مستولى و در موت در يد عدوانيّه، به خلاف جنايت خاليه از غصب و استيلاء كه به حساب مقدر تضمين مى شود، و اين احتياط در بعض مذكورات، متّجه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مقدّر در حرّ ندارد، در آن تفاوت قيمتِ مملوك است با آن جنايت و بدون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مالك رجوع نمود بر غاصب به اكثر از ارش و مقدر، غاصب رجوع مى نمايد به جانى غير ذى اليد به مقدر؛ و اگر رجوع به جانى به مقدر نموده، زائد را اگر باشد رجوع به غاصب و ذى اليد مى نمايد و قرارِ ضمان مقدّر بر جانى است و قرارِ ضمان زائد بر غاصب است</w:t>
      </w:r>
      <w:r>
        <w:rPr>
          <w:rFonts w:eastAsia="IRNazanin" w:cs="IRNazanin"/>
          <w:color w:val="111111"/>
          <w:sz w:val="28"/>
          <w:szCs w:val="28"/>
          <w:rtl w:val="true"/>
          <w:lang w:bidi="fa-IR"/>
        </w:rPr>
        <w:t>.</w:t>
      </w:r>
    </w:p>
    <w:p>
      <w:pPr>
        <w:pStyle w:val="Heading5"/>
        <w:numPr>
          <w:ilvl w:val="4"/>
          <w:numId w:val="1"/>
        </w:numPr>
        <w:rPr/>
      </w:pPr>
      <w:bookmarkStart w:id="3783" w:name="__RefHeading___Toc3810161_1067777946"/>
      <w:bookmarkStart w:id="3784" w:name="_Toc1593"/>
      <w:bookmarkEnd w:id="3783"/>
      <w:r>
        <w:rPr>
          <w:rtl w:val="true"/>
        </w:rPr>
        <w:t>اگر ديه جنايت در اعضاى مملوك مستغرق قيمت او بود</w:t>
      </w:r>
      <w:bookmarkEnd w:id="3784"/>
    </w:p>
    <w:p>
      <w:pPr>
        <w:pStyle w:val="BookText"/>
        <w:rPr/>
      </w:pPr>
      <w:r>
        <w:rPr>
          <w:rFonts w:ascii="IRNazanin" w:hAnsi="IRNazanin" w:eastAsia="IRNazanin"/>
          <w:color w:val="111111"/>
          <w:sz w:val="28"/>
          <w:sz w:val="28"/>
          <w:szCs w:val="28"/>
          <w:rtl w:val="true"/>
          <w:lang w:bidi="fa-IR"/>
        </w:rPr>
        <w:t>اگر جنايت در اعضاى مملوك، ديۀ آن مستغرق قيمت او بود، مثل جنايت بر انف و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غير غاصب، مخير است مالك بين تسليم مملوك و اخذ قيمت و بين اخذ مملوك بلٰا ديه؛ و در غاصب، پس وجوب تسليم قيمت يا عين بر غاصب اگر چه جنايت از غير او باشد بى وجه نيست، و لازم بر او اكثر الامرين از ارش غير مقيد و قيمت مقيّده به عدم تجاوز از ديۀ حرّ است، بر حسب احتياطى كه در غير مستغرق قيمت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رجوع كرد به جانى بعد از غصب، تمام قيمت را در صورت استغراق، رجوع مى نمايد به غاصب، تفاوت را در اخذ اكثر الامرين از مقدر و ارش غير مقيد به عدم تجاوز از ديۀ 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رجوع به غاصب كرد و مملوك را با اكثر الامرين دفع نمود، غاصب، رجوع به جانى مى نمايد در آنچه مخصوص جنايت است كه قيمت غير متجاوزه از ديۀ حرّ است</w:t>
      </w:r>
      <w:r>
        <w:rPr>
          <w:rFonts w:eastAsia="IRNazanin" w:cs="IRNazanin"/>
          <w:color w:val="111111"/>
          <w:sz w:val="28"/>
          <w:szCs w:val="28"/>
          <w:rtl w:val="true"/>
          <w:lang w:bidi="fa-IR"/>
        </w:rPr>
        <w:t>.</w:t>
      </w:r>
    </w:p>
    <w:p>
      <w:pPr>
        <w:pStyle w:val="Heading5"/>
        <w:numPr>
          <w:ilvl w:val="4"/>
          <w:numId w:val="1"/>
        </w:numPr>
        <w:rPr/>
      </w:pPr>
      <w:bookmarkStart w:id="3785" w:name="__RefHeading___Toc3810163_1067777946"/>
      <w:bookmarkStart w:id="3786" w:name="_Toc1594"/>
      <w:bookmarkEnd w:id="3785"/>
      <w:r>
        <w:rPr>
          <w:rtl w:val="true"/>
        </w:rPr>
        <w:t>جنايتِ مملوك مغصوب</w:t>
      </w:r>
      <w:bookmarkEnd w:id="3786"/>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مملوكِ مغصوب، جنايت كرد به موجب قصاص در نفس يا طرف، و قصاص محقّق شد اگر چه بعد از دفع به مالك باشد، غاصب، ضامنِ مملوك جانى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هم چنين اگر سرقت كرد پس قطع شد، يا مرتد فطرى شد پس مقتول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غصب بعد از جنايت شد، ضامن قيمت آنچه مستحق قصاص است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مملوك مغصوب، جنايتى كرد كه موجب تعلّق مال به رقبۀ او است، محتمل است مساوات در فداء غاصب با فداء مالك در غير صورت غصب، از اقلّ الامرين از ارش جنايت و قيمت، يا قيمت جنايت، اگر چه متجاوز از قيمت جانى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مغصوب، جنايت بر مالك خودش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مالك قصاص نمود، غاصب، ضامن ارش تالف به قصاص است؛ و اگر عفو بر مالى بر مملوك نمود، پس در صورت مصالحه با غاصب در تأديۀ آن مال كه بر تقدير قصاص، تالف در ضمان غاصب بود، بر او است تأديۀ آن مال بر حسب تراضى به صلح، و قدر مال منوط به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ضمان غاصب است جميع نقصهاى واقعه در يد او حتى مثل قطع يد به سبب سرقت حادثه در يد و نحو آن، نه خصوص آنچه به آفت سماويه يا سببى از عبد يا غاصب واقع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جنايت مملوك، از قيمت او افزون شد، پس از آن، مملوك در يد غاصب وفات كرد، پس خودش را ضامن است براى مالك و قيمتش را دفع مى نمايد به او، و جنايتش را ضامن است براى ولىّ جنايت و ارش آن را دفع مى نمايد به ولىّ كه اخذ قيمت از مالك نموده است و در صورت مساوات دو قيمت، عين قيمت مدفوعه به مالك را ولىّ مأخوذ مى داشت از مالك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مملوك وديعه بود و جنايت مستغرقۀ قيمت از او صادر شد، پس مستودع او را به قتل رساند، بر قاتل، قيمت او است و به قيمت ارش جنايت متعلّق مى شود و ولىّ آن را مأخوذ مى دارد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مملوك جنايتى كرد كه مستغرق قيمت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مغصوب شد و در يد غاصب جنايتى مثل اولى نمود، محتمل است كه بيع نمايد مالك، مملوك را و ثمن را تأديه به مجنىّ عليه اوّلاً نمايد، و ضامن باشد غاصب براى مجنى عليه </w:t>
      </w:r>
      <w:bookmarkStart w:id="3787" w:name="pg10265_90396"/>
    </w:p>
    <w:p>
      <w:pPr>
        <w:pStyle w:val="BookText"/>
        <w:rPr/>
      </w:pPr>
      <w:bookmarkEnd w:id="3787"/>
      <w:r>
        <w:rPr>
          <w:rFonts w:ascii="IRNazanin" w:hAnsi="IRNazanin" w:eastAsia="IRNazanin"/>
          <w:color w:val="111111"/>
          <w:sz w:val="28"/>
          <w:sz w:val="28"/>
          <w:szCs w:val="28"/>
          <w:rtl w:val="true"/>
          <w:lang w:bidi="fa-IR"/>
        </w:rPr>
        <w:t>دومى تمام قيمت مملوك را از مال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مملوك وفات كرد در يد غاصب، محتمل است ضمان تمام قيمت براى مجنى عليه اولاً و تمام ديگر را براى مجنى عليه دومى، هر دو را از مال غاصب؛ و در موارد احتمال، صلحى كه در آن رعايت آن احتمال بشود احوط است</w:t>
      </w:r>
      <w:r>
        <w:rPr>
          <w:rFonts w:eastAsia="IRNazanin" w:cs="IRNazanin"/>
          <w:color w:val="111111"/>
          <w:sz w:val="28"/>
          <w:szCs w:val="28"/>
          <w:rtl w:val="true"/>
          <w:lang w:bidi="fa-IR"/>
        </w:rPr>
        <w:t>.</w:t>
      </w:r>
    </w:p>
    <w:p>
      <w:pPr>
        <w:pStyle w:val="Heading5"/>
        <w:numPr>
          <w:ilvl w:val="4"/>
          <w:numId w:val="1"/>
        </w:numPr>
        <w:rPr/>
      </w:pPr>
      <w:bookmarkStart w:id="3788" w:name="__RefHeading___Toc3810165_1067777946"/>
      <w:bookmarkStart w:id="3789" w:name="_Toc1595"/>
      <w:bookmarkEnd w:id="3788"/>
      <w:r>
        <w:rPr>
          <w:rtl w:val="true"/>
        </w:rPr>
        <w:t>حدوث نقص در اعضاى مملوك</w:t>
      </w:r>
      <w:bookmarkEnd w:id="3789"/>
    </w:p>
    <w:p>
      <w:pPr>
        <w:pStyle w:val="BookText"/>
        <w:rPr/>
      </w:pPr>
      <w:r>
        <w:rPr>
          <w:rFonts w:ascii="IRNazanin" w:hAnsi="IRNazanin" w:eastAsia="IRNazanin"/>
          <w:color w:val="111111"/>
          <w:sz w:val="28"/>
          <w:sz w:val="28"/>
          <w:szCs w:val="28"/>
          <w:rtl w:val="true"/>
          <w:lang w:bidi="fa-IR"/>
        </w:rPr>
        <w:t xml:space="preserve">اگر در يد غاصب، نقصى در عضو مملوك شد كه مقدّر نيست ديه براى آن و موجب زيادتى قيمت مملوك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نقص چاقى مفرط، و حلق لحيۀ جاريه كه بعد از آن مو در نيامد، و قطع كردن انگشت زائد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مى كند به مالك، مغصوب را و بر غاصب چيزى نيست؛ به خلاف صورتى كه مقدّرى از ديه براى آن باشد كه منسوب به مشهور رد مملوك با ديۀ مقدرۀ جنايت است، و آن خالى از 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آفتى ساقط شد انگشت زائد، اظهر عدم ضمان قيمت جنايت تقديريه است در صورت عدم نقص قيمت، فضلاً از زيادتى قيمت و عدم تقدير براى غير جنايت؛ پس بر غاصب است رد عين مملوك مغصوب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مدبَّر و مكاتَب و مشروط، حكم آنها حكم مملوك قِنّ است چنانچه بيان شد؛ و اگر بعضى از مملوك متحرّر و آزاد شد، هر كدام از جزء آزاد و جزء مملوك، حكم خود را دارد</w:t>
      </w:r>
      <w:r>
        <w:rPr>
          <w:rFonts w:eastAsia="IRNazanin" w:cs="IRNazanin"/>
          <w:color w:val="111111"/>
          <w:sz w:val="28"/>
          <w:szCs w:val="28"/>
          <w:rtl w:val="true"/>
          <w:lang w:bidi="fa-IR"/>
        </w:rPr>
        <w:t>.</w:t>
      </w:r>
    </w:p>
    <w:p>
      <w:pPr>
        <w:pStyle w:val="Heading5"/>
        <w:numPr>
          <w:ilvl w:val="4"/>
          <w:numId w:val="1"/>
        </w:numPr>
        <w:rPr/>
      </w:pPr>
      <w:bookmarkStart w:id="3790" w:name="__RefHeading___Toc3810167_1067777946"/>
      <w:bookmarkStart w:id="3791" w:name="_Toc1596"/>
      <w:bookmarkEnd w:id="3790"/>
      <w:r>
        <w:rPr>
          <w:rtl w:val="true"/>
        </w:rPr>
        <w:t>بدل حيلولت</w:t>
      </w:r>
      <w:bookmarkEnd w:id="3791"/>
    </w:p>
    <w:p>
      <w:pPr>
        <w:pStyle w:val="Heading6"/>
        <w:numPr>
          <w:ilvl w:val="5"/>
          <w:numId w:val="1"/>
        </w:numPr>
        <w:rPr/>
      </w:pPr>
      <w:bookmarkStart w:id="3792" w:name="__RefHeading___Toc3810169_1067777946"/>
      <w:bookmarkStart w:id="3793" w:name="_Toc1597"/>
      <w:bookmarkEnd w:id="3792"/>
      <w:r>
        <w:rPr>
          <w:rtl w:val="true"/>
        </w:rPr>
        <w:t>اگر تسليم مغصوب عادتاً ممتنع شود</w:t>
      </w:r>
      <w:bookmarkEnd w:id="3793"/>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تسليم مغصوب عادتاً ممتنع شد، بر غاصب است دفع بدل، و مالك مغصوب، مالك بدل مى شود به ملكيت متزلزله، و غاصب، مالك مغصوب نمى شود، پس در وقت عود و امكان تسليم براى هر كدام رجوع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جواز حبس هر كدام تا زمان تسليم ديگرى، مبنى بر جواز در اعواض در معاوضات شرعيّۀ غير اختياريه است </w:t>
      </w:r>
      <w:bookmarkStart w:id="3794" w:name="pg10265_90397"/>
    </w:p>
    <w:p>
      <w:pPr>
        <w:pStyle w:val="BookText"/>
        <w:rPr/>
      </w:pPr>
      <w:bookmarkEnd w:id="37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اختلاف در ملك و يد، يعنى ملك هر كدام در يد ديگرى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به مجرد امكان تسليم، تزلزل رفع مى شود و بدل، مملوكِ مالك اصلى آن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مقاصّه با شروطش جارى است در اينجا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استفادۀ ضمان بدل حيلوله از دليل ضمان به يَد از اين راه است كه مستفاد مى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 بر آخذ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نتيجۀ آن تعهد است با بقا، و ضمان است با 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ضمان در استقرار و تزلزل، تابع مأخوذ غير مؤدى است در تالف بودن حقيقى يا حكمى به تعذر تسليم؛ و تبادل حالات در مأخوذ، لازم آن تبادل انحاى ضمان است در تعهد و ضمان مستقر و ضمان متزلزل؛ و به مجرد امكان تسليم، برمى گردد حال به صورت ما قبل از تعذر كه محكوم به تعهد تسليم عين بوده است با عارضۀ وجود بدل در يد مالك مغصوب</w:t>
      </w:r>
      <w:r>
        <w:rPr>
          <w:rFonts w:eastAsia="IRNazanin" w:cs="IRNazanin"/>
          <w:color w:val="111111"/>
          <w:sz w:val="28"/>
          <w:szCs w:val="28"/>
          <w:rtl w:val="true"/>
          <w:lang w:bidi="fa-IR"/>
        </w:rPr>
        <w:t>.</w:t>
      </w:r>
    </w:p>
    <w:p>
      <w:pPr>
        <w:pStyle w:val="Heading6"/>
        <w:numPr>
          <w:ilvl w:val="5"/>
          <w:numId w:val="1"/>
        </w:numPr>
        <w:rPr/>
      </w:pPr>
      <w:bookmarkStart w:id="3795" w:name="__RefHeading___Toc3810171_1067777946"/>
      <w:bookmarkStart w:id="3796" w:name="_Toc1598"/>
      <w:bookmarkEnd w:id="3795"/>
      <w:r>
        <w:rPr>
          <w:rtl w:val="true"/>
        </w:rPr>
        <w:t>تلف مغصوب و استقرار عوضيّت</w:t>
      </w:r>
      <w:bookmarkEnd w:id="3796"/>
    </w:p>
    <w:p>
      <w:pPr>
        <w:pStyle w:val="BookText"/>
        <w:rPr/>
      </w:pPr>
      <w:r>
        <w:rPr>
          <w:rFonts w:ascii="IRNazanin" w:hAnsi="IRNazanin" w:eastAsia="IRNazanin"/>
          <w:color w:val="111111"/>
          <w:sz w:val="28"/>
          <w:sz w:val="28"/>
          <w:szCs w:val="28"/>
          <w:rtl w:val="true"/>
          <w:lang w:bidi="fa-IR"/>
        </w:rPr>
        <w:t>و با عدم امكان ترادّ به واسطۀ تلف حقيقى مغصوب بعد از دفع بدل حيلولت يا تلف بدل يا اتلاف آن، اظهر رفع تزلزل و استقرار عوضيت است و منقطع مى شود مطالبۀ مالك مگر زيادتى مفروضه؛ پس اگر زائد قيمت مغصوب يوم التلف از زمان حيلولت و سابق بر آن كه زمان غصب بوده مى باشد، ضمان زيادتى خالى از وجه نيست؛ و اگر زائد بدل بود، گذشت احتياط در زيادات تفويت شده به سبب غصب بر مالك مغصوب</w:t>
      </w:r>
      <w:r>
        <w:rPr>
          <w:rFonts w:eastAsia="IRNazanin" w:cs="IRNazanin"/>
          <w:color w:val="111111"/>
          <w:sz w:val="28"/>
          <w:szCs w:val="28"/>
          <w:rtl w:val="true"/>
          <w:lang w:bidi="fa-IR"/>
        </w:rPr>
        <w:t>.</w:t>
      </w:r>
    </w:p>
    <w:p>
      <w:pPr>
        <w:pStyle w:val="Heading6"/>
        <w:numPr>
          <w:ilvl w:val="5"/>
          <w:numId w:val="1"/>
        </w:numPr>
        <w:rPr/>
      </w:pPr>
      <w:bookmarkStart w:id="3797" w:name="__RefHeading___Toc3810173_1067777946"/>
      <w:bookmarkStart w:id="3798" w:name="_Toc1599"/>
      <w:bookmarkEnd w:id="3797"/>
      <w:r>
        <w:rPr>
          <w:rtl w:val="true"/>
        </w:rPr>
        <w:t>تعاقب ايدى بر مغصوب و تعقب به حيلولت</w:t>
      </w:r>
      <w:bookmarkEnd w:id="3798"/>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صورت تعاقب ايدى بر مغصوب و تعقّب به حيلولت، اگر مالك، اخذ بدل از غاصب اوّل كرد و او رجوع به غاصب اخير كه حيلولت نزد او بوده است نمود، حكم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مملوك متزلزل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مالك و غاصب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دافع و آخذ بدل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حكم آن است در صورت وحدت غاصب، و نماى بدل اول، مالِ مالك </w:t>
      </w:r>
      <w:bookmarkStart w:id="3799" w:name="pg10265_90398"/>
    </w:p>
    <w:p>
      <w:pPr>
        <w:pStyle w:val="BookText"/>
        <w:rPr/>
      </w:pPr>
      <w:bookmarkEnd w:id="3799"/>
      <w:r>
        <w:rPr>
          <w:rFonts w:ascii="IRNazanin" w:hAnsi="IRNazanin" w:eastAsia="IRNazanin"/>
          <w:color w:val="111111"/>
          <w:sz w:val="28"/>
          <w:sz w:val="28"/>
          <w:szCs w:val="28"/>
          <w:rtl w:val="true"/>
          <w:lang w:bidi="fa-IR"/>
        </w:rPr>
        <w:t>است و نماى بدل دوم، مالِ غاصب اول است؛ و با ارجاع عين اگر اتّفاق افتاد، استرجاع مى نمايد غاصب اول بدل را از مالك، و غاصب اخير بدل را از غاصب اول؛ و نماءات، مملوك، مالك فعلى صاحب نما است اگر چه ملكيتِ اصل، متزلزل باشد؛ و آنچه از مغصوبِ متعذر، اجرت عرفيّه دارد از منافع، غاصب ضامن آن اجرت است تا وقت دفع بدل نه تا وقت دفع عين اگر ممكن شد بنا بر اظهر</w:t>
      </w:r>
      <w:r>
        <w:rPr>
          <w:rFonts w:eastAsia="IRNazanin" w:cs="IRNazanin"/>
          <w:color w:val="111111"/>
          <w:sz w:val="28"/>
          <w:szCs w:val="28"/>
          <w:rtl w:val="true"/>
          <w:lang w:bidi="fa-IR"/>
        </w:rPr>
        <w:t>.</w:t>
      </w:r>
    </w:p>
    <w:p>
      <w:pPr>
        <w:pStyle w:val="Heading5"/>
        <w:numPr>
          <w:ilvl w:val="4"/>
          <w:numId w:val="1"/>
        </w:numPr>
        <w:rPr/>
      </w:pPr>
      <w:bookmarkStart w:id="3800" w:name="__RefHeading___Toc3810175_1067777946"/>
      <w:bookmarkStart w:id="3801" w:name="_Toc1600"/>
      <w:bookmarkEnd w:id="3800"/>
      <w:r>
        <w:rPr>
          <w:rtl w:val="true"/>
        </w:rPr>
        <w:t>حكم نمائات متصله و منفصله</w:t>
      </w:r>
      <w:bookmarkEnd w:id="3801"/>
    </w:p>
    <w:p>
      <w:pPr>
        <w:pStyle w:val="BookText"/>
        <w:rPr/>
      </w:pPr>
      <w:r>
        <w:rPr>
          <w:rFonts w:ascii="IRNazanin" w:hAnsi="IRNazanin" w:eastAsia="IRNazanin"/>
          <w:color w:val="111111"/>
          <w:sz w:val="28"/>
          <w:sz w:val="28"/>
          <w:szCs w:val="28"/>
          <w:rtl w:val="true"/>
          <w:lang w:bidi="fa-IR"/>
        </w:rPr>
        <w:t>و نمائات متّصله و منفصله در حال تعذر رد عين، مملوك مالك اصلى است اگر چه بدل عين دفع شده باشد، چنانچه مذكور شد، و بايد رد به مالك بشود مع الامكان عيناً، و با عدم امكان بدلاً</w:t>
      </w:r>
      <w:r>
        <w:rPr>
          <w:rFonts w:eastAsia="IRNazanin" w:cs="IRNazanin"/>
          <w:color w:val="111111"/>
          <w:sz w:val="28"/>
          <w:szCs w:val="28"/>
          <w:rtl w:val="true"/>
          <w:lang w:bidi="fa-IR"/>
        </w:rPr>
        <w:t>.</w:t>
      </w:r>
    </w:p>
    <w:p>
      <w:pPr>
        <w:pStyle w:val="Heading5"/>
        <w:numPr>
          <w:ilvl w:val="4"/>
          <w:numId w:val="1"/>
        </w:numPr>
        <w:rPr/>
      </w:pPr>
      <w:bookmarkStart w:id="3802" w:name="__RefHeading___Toc3810177_1067777946"/>
      <w:bookmarkStart w:id="3803" w:name="_Toc1601"/>
      <w:bookmarkEnd w:id="3802"/>
      <w:r>
        <w:rPr>
          <w:rtl w:val="true"/>
        </w:rPr>
        <w:t>ضمان لنگه اى از جفت</w:t>
      </w:r>
      <w:bookmarkEnd w:id="3803"/>
    </w:p>
    <w:p>
      <w:pPr>
        <w:pStyle w:val="BookText"/>
        <w:rPr/>
      </w:pPr>
      <w:r>
        <w:rPr>
          <w:rFonts w:ascii="IRNazanin" w:hAnsi="IRNazanin" w:eastAsia="IRNazanin"/>
          <w:color w:val="111111"/>
          <w:sz w:val="28"/>
          <w:sz w:val="28"/>
          <w:szCs w:val="28"/>
          <w:rtl w:val="true"/>
          <w:lang w:bidi="fa-IR"/>
        </w:rPr>
        <w:t>اگر غصب كرد جفت كفشى را، پس تلف شد يكى از آن دو، ضامن قيمت تالف است در حال اجتماع و بر او است رد باقيمانده با عوض نقص قيمت آن به سبب انفراد؛ و هم چنين در سائر نظائر</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فردى را از جفت كفشى مثلاً غصب كرد كه قيمت آنها در حال اجتماع ده درهم است، پس مغصوب را اتلاف كرد يا در يد غاصب تلف شد و در حال انفراد قيمت آن سه درهم بود، پس بر او است تأديۀ پنج درهم كه دو درهم در مقابل هيئت اجتماعيّه آن بوده؛ و نقص حاصل در فرد غير مغصوب كه فعلاً قيمت آن سه درهم است آيا مضمون است يا نه‌؟ اقرب ضمان به سبب تفويت خاص است، پس مجموع، مضمون به هفت درهم است، اگر چه در سرقت ملاحظۀ قيمت مُخرَج از حرز فى نفسه بشود و جز قيمت آن فى نفسه نصاب بودن آن معتبر نباشد؛ پس تفاوت حاصل مى شود در حكم مسروق و مغصوب و مضمون به تفويت، بر </w:t>
      </w:r>
      <w:bookmarkStart w:id="3804" w:name="pg10265_90399"/>
    </w:p>
    <w:p>
      <w:pPr>
        <w:pStyle w:val="BookText"/>
        <w:rPr/>
      </w:pPr>
      <w:bookmarkEnd w:id="3804"/>
      <w:r>
        <w:rPr>
          <w:rFonts w:ascii="IRNazanin" w:hAnsi="IRNazanin" w:eastAsia="IRNazanin"/>
          <w:color w:val="111111"/>
          <w:sz w:val="28"/>
          <w:sz w:val="28"/>
          <w:szCs w:val="28"/>
          <w:rtl w:val="true"/>
          <w:lang w:bidi="fa-IR"/>
        </w:rPr>
        <w:t xml:space="preserve">حسب نقل اجماع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موافقت با اعتبار؛ بلكه موافقت با صورتى كه فقط يك فرد نزد مالك بود و مغصوب و مسروق شد در تقويم نصاب، محتمل است و محل تأمّل است و احتياط ترك نشود، اگر چه موافقت، راجح است</w:t>
      </w:r>
      <w:r>
        <w:rPr>
          <w:rFonts w:eastAsia="IRNazanin" w:cs="IRNazanin"/>
          <w:color w:val="111111"/>
          <w:sz w:val="28"/>
          <w:szCs w:val="28"/>
          <w:rtl w:val="true"/>
          <w:lang w:bidi="fa-IR"/>
        </w:rPr>
        <w:t>.</w:t>
      </w:r>
    </w:p>
    <w:p>
      <w:pPr>
        <w:pStyle w:val="Heading5"/>
        <w:numPr>
          <w:ilvl w:val="4"/>
          <w:numId w:val="1"/>
        </w:numPr>
        <w:rPr/>
      </w:pPr>
      <w:bookmarkStart w:id="3805" w:name="__RefHeading___Toc3810179_1067777946"/>
      <w:bookmarkStart w:id="3806" w:name="_Toc1602"/>
      <w:bookmarkEnd w:id="3805"/>
      <w:r>
        <w:rPr>
          <w:rtl w:val="true"/>
        </w:rPr>
        <w:t>تغييرات در مغصوب</w:t>
      </w:r>
      <w:bookmarkEnd w:id="3806"/>
    </w:p>
    <w:p>
      <w:pPr>
        <w:pStyle w:val="BookText"/>
        <w:rPr/>
      </w:pPr>
      <w:r>
        <w:rPr>
          <w:rFonts w:ascii="IRNazanin" w:hAnsi="IRNazanin" w:eastAsia="IRNazanin"/>
          <w:color w:val="111111"/>
          <w:sz w:val="28"/>
          <w:sz w:val="28"/>
          <w:szCs w:val="28"/>
          <w:rtl w:val="true"/>
          <w:lang w:bidi="fa-IR"/>
        </w:rPr>
        <w:t>تغييرات غاصب يا بعد از غصب در عين مغصوبه، تأثيرى در مالكيّت غاصب ندارد؛ بلكه تفاوتهاى حاصله به تغيير اگر موجب نقص است، ارش آنها بر غاصب است؛ و اگر موجب زيادتى قيمت است، براى مالك است؛ و در صورت امكان رد به حالت سابقه، بر غاصب است رد با اذن مالك نه با عدم اذن؛ و در حكم به ضمان نقص در صورت امكان رد به حالت سابقه بدون نقص با عدم اذن در تصرّف موجب رد براى مجرد تضمين نقص فعلى، تأمّل است</w:t>
      </w:r>
      <w:r>
        <w:rPr>
          <w:rFonts w:eastAsia="IRNazanin" w:cs="IRNazanin"/>
          <w:color w:val="111111"/>
          <w:sz w:val="28"/>
          <w:szCs w:val="28"/>
          <w:rtl w:val="true"/>
          <w:lang w:bidi="fa-IR"/>
        </w:rPr>
        <w:t>.</w:t>
      </w:r>
    </w:p>
    <w:p>
      <w:pPr>
        <w:pStyle w:val="Heading5"/>
        <w:numPr>
          <w:ilvl w:val="4"/>
          <w:numId w:val="1"/>
        </w:numPr>
        <w:rPr/>
      </w:pPr>
      <w:bookmarkStart w:id="3807" w:name="__RefHeading___Toc3810181_1067777946"/>
      <w:bookmarkStart w:id="3808" w:name="_Toc1603"/>
      <w:bookmarkEnd w:id="3807"/>
      <w:r>
        <w:rPr>
          <w:rtl w:val="true"/>
        </w:rPr>
        <w:t>در اطعام غاصب، طعام مالك را به او</w:t>
      </w:r>
      <w:bookmarkEnd w:id="3808"/>
    </w:p>
    <w:p>
      <w:pPr>
        <w:pStyle w:val="BookText"/>
        <w:rPr/>
      </w:pPr>
      <w:r>
        <w:rPr>
          <w:rFonts w:ascii="IRNazanin" w:hAnsi="IRNazanin" w:eastAsia="IRNazanin"/>
          <w:color w:val="111111"/>
          <w:sz w:val="28"/>
          <w:sz w:val="28"/>
          <w:szCs w:val="28"/>
          <w:rtl w:val="true"/>
          <w:lang w:bidi="fa-IR"/>
        </w:rPr>
        <w:t>اگر مأكول يا مشروبى را غصب كرد و آن را به مالك داد كه بخورد يا بياشامد و خورد يا آشاميد بدون اعلام به مالكيّت آكل و شارب، ضامن است بدل آن را براى مالك</w:t>
      </w:r>
      <w:r>
        <w:rPr>
          <w:rFonts w:eastAsia="IRNazanin" w:cs="IRNazanin"/>
          <w:color w:val="111111"/>
          <w:sz w:val="28"/>
          <w:szCs w:val="28"/>
          <w:rtl w:val="true"/>
          <w:lang w:bidi="fa-IR"/>
        </w:rPr>
        <w:t>.</w:t>
      </w:r>
    </w:p>
    <w:p>
      <w:pPr>
        <w:pStyle w:val="Heading5"/>
        <w:numPr>
          <w:ilvl w:val="4"/>
          <w:numId w:val="1"/>
        </w:numPr>
        <w:rPr/>
      </w:pPr>
      <w:bookmarkStart w:id="3809" w:name="__RefHeading___Toc3810183_1067777946"/>
      <w:bookmarkStart w:id="3810" w:name="_Toc1604"/>
      <w:bookmarkEnd w:id="3809"/>
      <w:r>
        <w:rPr>
          <w:rtl w:val="true"/>
        </w:rPr>
        <w:t>اگر غاصب، شىء مغصوب را، به مالك جاهل، تمليك كند</w:t>
      </w:r>
      <w:bookmarkEnd w:id="3810"/>
    </w:p>
    <w:p>
      <w:pPr>
        <w:pStyle w:val="BookText"/>
        <w:rPr/>
      </w:pPr>
      <w:r>
        <w:rPr>
          <w:rFonts w:ascii="IRNazanin" w:hAnsi="IRNazanin" w:eastAsia="IRNazanin"/>
          <w:color w:val="111111"/>
          <w:sz w:val="28"/>
          <w:sz w:val="28"/>
          <w:szCs w:val="28"/>
          <w:rtl w:val="true"/>
          <w:lang w:bidi="fa-IR"/>
        </w:rPr>
        <w:t>و هم چنين اگر غاصبِ مغصوب، به مالك به عنوان وديعه يا اجاره داد يا عاريۀ غير مضمونه داد يا به رهن داد، در همۀ اينها ضمان باقى است تا تبديل استيلاء عدوانى به استيلاء مالكانه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هبۀ لازمه، اظهر تحقّق تسليم است، چنانچه وفاى دين به قصد آن به صورت هبۀ لازمه مى شود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اقراض كه تسليم از جهتى است نه از حيث ماليت مشتركه بين آن و مثل و قيمت، رفع ضمان غاصب مشكل است</w:t>
      </w:r>
      <w:r>
        <w:rPr>
          <w:rFonts w:eastAsia="Amiri" w:cs="Amiri" w:ascii="Amiri" w:hAnsi="Amiri"/>
          <w:color w:val="111111"/>
          <w:sz w:val="28"/>
          <w:szCs w:val="28"/>
          <w:rtl w:val="true"/>
          <w:lang w:bidi="ar-SA"/>
        </w:rPr>
        <w:t xml:space="preserve">. </w:t>
      </w:r>
      <w:bookmarkStart w:id="3811" w:name="pg10265_90400"/>
    </w:p>
    <w:p>
      <w:pPr>
        <w:pStyle w:val="BookText"/>
        <w:rPr/>
      </w:pPr>
      <w:bookmarkEnd w:id="3811"/>
      <w:r>
        <w:rPr>
          <w:rFonts w:ascii="IRNazanin" w:hAnsi="IRNazanin" w:eastAsia="IRNazanin"/>
          <w:color w:val="111111"/>
          <w:sz w:val="28"/>
          <w:sz w:val="28"/>
          <w:szCs w:val="28"/>
          <w:rtl w:val="true"/>
          <w:lang w:bidi="fa-IR"/>
        </w:rPr>
        <w:t>و هم چنين در مطلق هبه و اهداء كه قابل رجوع است در نظر مالك واقعى، پس اداء دين كه مقصود است در صورت ذمىّ بودن مال به مثل تلف يا اتلاف مغصوب، به آنها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بقاى عين، پس به آنها خروج از عهده و رفع ضمان چنين اتلافى كه مباشر، مالك است، مشكل است چون تبديل استيلاء عدوانى به استيلاء مالكانه نشده است؛ چنانچه اگر فرض تبديل و رجوع به حالت سابقه بر غصب محقّق شد، ضمان، مرتفع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دسّ در ضمن اموال مالك و اخفاى در آنها، حصول اداء دين مقصود در ذمىّ و خروج از عهده در شخصى، به آن، مبنى بر تحقّق تبديل استيلاء است؛ وگرنه اداء دين به آن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شود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از ضمان و عهده عين شخصيّه به آن محقّق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اقرب عدم زوال ضمان و تعهد شخصى است اگر غاصب، تقديم چيزى براى مالك جاهل به حال نمود و امر به اكل آن نمود، پس بيع كرد يا به عكس، به جهت عدم تحقّق استيلاء مالكانه و تسليط تمام محقِق اداء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وفاى دين به مثل آن در موردش محقّق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امر به معنى اذن باشد، نه الزام صورى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تزويج جاريۀ مالك را به مالكِ جاهل و استيلاد او كه نافذ است و ارش، بر غاصب است و برائت از ضمان براى غاصب، محقّق نمى شود</w:t>
      </w:r>
      <w:r>
        <w:rPr>
          <w:rFonts w:eastAsia="IRNazanin" w:cs="IRNazanin"/>
          <w:color w:val="111111"/>
          <w:sz w:val="28"/>
          <w:szCs w:val="28"/>
          <w:rtl w:val="true"/>
          <w:lang w:bidi="fa-IR"/>
        </w:rPr>
        <w:t>.</w:t>
      </w:r>
    </w:p>
    <w:p>
      <w:pPr>
        <w:pStyle w:val="Heading5"/>
        <w:numPr>
          <w:ilvl w:val="4"/>
          <w:numId w:val="1"/>
        </w:numPr>
        <w:rPr/>
      </w:pPr>
      <w:bookmarkStart w:id="3812" w:name="__RefHeading___Toc3810185_1067777946"/>
      <w:bookmarkStart w:id="3813" w:name="_Toc1605"/>
      <w:bookmarkEnd w:id="3812"/>
      <w:r>
        <w:rPr>
          <w:rtl w:val="true"/>
        </w:rPr>
        <w:t>اطعامِ طعامِ مغصوب، به غيرِ مالك</w:t>
      </w:r>
      <w:bookmarkEnd w:id="3813"/>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غاصب، طعام مغصوب را اطعام نمود به غير مالك كه جاهل بود، غاصب و آكل ضامن مى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مالك به هر كدام رجوع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غاصب رجوع نمايد، او رجوع به آكل نمى كند؛ و اگر به آكل مغرور رجوع نمود، او به غاصب غارّ رجوع مى نمايد</w:t>
      </w:r>
      <w:r>
        <w:rPr>
          <w:rFonts w:eastAsia="IRNazanin" w:cs="IRNazanin"/>
          <w:color w:val="111111"/>
          <w:sz w:val="28"/>
          <w:szCs w:val="28"/>
          <w:rtl w:val="true"/>
          <w:lang w:bidi="fa-IR"/>
        </w:rPr>
        <w:t xml:space="preserve">. </w:t>
      </w:r>
      <w:bookmarkStart w:id="3814" w:name="pg10265_90401"/>
    </w:p>
    <w:p>
      <w:pPr>
        <w:pStyle w:val="Heading5"/>
        <w:numPr>
          <w:ilvl w:val="4"/>
          <w:numId w:val="1"/>
        </w:numPr>
        <w:rPr/>
      </w:pPr>
      <w:bookmarkStart w:id="3815" w:name="__RefHeading___Toc3810187_1067777946"/>
      <w:bookmarkStart w:id="3816" w:name="_Toc1606"/>
      <w:bookmarkEnd w:id="3814"/>
      <w:bookmarkEnd w:id="3815"/>
      <w:r>
        <w:rPr>
          <w:rtl w:val="true"/>
        </w:rPr>
        <w:t>غصب فحل ضراب</w:t>
      </w:r>
      <w:bookmarkEnd w:id="3816"/>
    </w:p>
    <w:p>
      <w:pPr>
        <w:pStyle w:val="BookText"/>
        <w:rPr/>
      </w:pPr>
      <w:r>
        <w:rPr>
          <w:rFonts w:ascii="IRNazanin" w:hAnsi="IRNazanin" w:eastAsia="IRNazanin"/>
          <w:color w:val="111111"/>
          <w:sz w:val="28"/>
          <w:sz w:val="28"/>
          <w:szCs w:val="28"/>
          <w:rtl w:val="true"/>
          <w:lang w:bidi="fa-IR"/>
        </w:rPr>
        <w:t xml:space="preserve">اگر غصب كرد فحلى از حيوان مملوك را و سبب مواقعۀ آن با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چه مملوكِ غاصب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 پس ولد، ملك مالك آن ماده است نه مالك فحل، و بر غاصب است اجرت اين ضراب؛ و اگر نقصى يا مَرَضى در فحل حادث شد، آن هم مضمون است بر غاصب</w:t>
      </w:r>
      <w:r>
        <w:rPr>
          <w:rFonts w:eastAsia="IRNazanin" w:cs="IRNazanin"/>
          <w:color w:val="111111"/>
          <w:sz w:val="28"/>
          <w:szCs w:val="28"/>
          <w:rtl w:val="true"/>
          <w:lang w:bidi="fa-IR"/>
        </w:rPr>
        <w:t>.</w:t>
      </w:r>
    </w:p>
    <w:p>
      <w:pPr>
        <w:pStyle w:val="Heading5"/>
        <w:numPr>
          <w:ilvl w:val="4"/>
          <w:numId w:val="1"/>
        </w:numPr>
        <w:rPr/>
      </w:pPr>
      <w:bookmarkStart w:id="3817" w:name="__RefHeading___Toc3810189_1067777946"/>
      <w:bookmarkStart w:id="3818" w:name="_Toc1607"/>
      <w:bookmarkEnd w:id="3817"/>
      <w:r>
        <w:rPr>
          <w:rtl w:val="true"/>
        </w:rPr>
        <w:t>غصب چيزى كه اجرت دارد</w:t>
      </w:r>
      <w:bookmarkEnd w:id="3818"/>
    </w:p>
    <w:p>
      <w:pPr>
        <w:pStyle w:val="BookText"/>
        <w:rPr/>
      </w:pPr>
      <w:r>
        <w:rPr>
          <w:rFonts w:ascii="IRNazanin" w:hAnsi="IRNazanin" w:eastAsia="IRNazanin"/>
          <w:color w:val="111111"/>
          <w:sz w:val="28"/>
          <w:sz w:val="28"/>
          <w:szCs w:val="28"/>
          <w:rtl w:val="true"/>
          <w:lang w:bidi="fa-IR"/>
        </w:rPr>
        <w:t xml:space="preserve">و هم چنين اگر غصب كرد چيزى را كه اجرت داشته باشد و باقى بود تا آنكه نقصى در آن حاصل شد از قبيل هزال دابه و پوسيدن جامه، هر كدام از اجرت مغصوب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مستعمَل يا غير 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نقص حاصل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استعمال حاصل بشود يا به مجرّد بقا در مدتى نزد 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است بدون تداخل</w:t>
      </w:r>
      <w:r>
        <w:rPr>
          <w:rFonts w:eastAsia="IRNazanin" w:cs="IRNazanin"/>
          <w:color w:val="111111"/>
          <w:sz w:val="28"/>
          <w:szCs w:val="28"/>
          <w:rtl w:val="true"/>
          <w:lang w:bidi="fa-IR"/>
        </w:rPr>
        <w:t>.</w:t>
      </w:r>
    </w:p>
    <w:p>
      <w:pPr>
        <w:pStyle w:val="Heading5"/>
        <w:numPr>
          <w:ilvl w:val="4"/>
          <w:numId w:val="1"/>
        </w:numPr>
        <w:rPr/>
      </w:pPr>
      <w:bookmarkStart w:id="3819" w:name="__RefHeading___Toc3810191_1067777946"/>
      <w:bookmarkStart w:id="3820" w:name="_Toc1608"/>
      <w:bookmarkEnd w:id="3819"/>
      <w:r>
        <w:rPr>
          <w:rtl w:val="true"/>
        </w:rPr>
        <w:t>جوشاندن روغن يا عصير مغصوب</w:t>
      </w:r>
      <w:bookmarkEnd w:id="3820"/>
    </w:p>
    <w:p>
      <w:pPr>
        <w:pStyle w:val="BookText"/>
        <w:rPr/>
      </w:pPr>
      <w:r>
        <w:rPr>
          <w:rFonts w:ascii="IRNazanin" w:hAnsi="IRNazanin" w:eastAsia="IRNazanin"/>
          <w:color w:val="111111"/>
          <w:sz w:val="28"/>
          <w:sz w:val="28"/>
          <w:szCs w:val="28"/>
          <w:rtl w:val="true"/>
          <w:lang w:bidi="fa-IR"/>
        </w:rPr>
        <w:t>اگر روغنى مغصوب شد پس غاصب آن را جوشاند پس ناقص شد وزن آن، اظهر ضمان مثل ناقص است اگر چه موجب زيادتى قيمت بر ما قبل غليان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عيناً نقصانى حاصل نشد لكن در قيمت، نقصان مفروض شد، ضامن ارش نقصان قيمت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ناقص شدند، مثل آنچه كم شده است با آنچه باقى است استرداد مى شود؛ پس اگر قيمت عود مى نمايد، چيزى بر او نيست، وگرنه تفاوت قيمت را هم كه ارش نقصان قيمت است رد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تأثيرى به سبب غليان در هيچ يك از عين و قيمت ظاهر نشد، كافى است رد عين</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چنين اگر جوشاند عصير محلَّل مغصوب را تا وزن آن كم شد، با نقص قيمت يا عدم آن، در تفصيل مذكور</w:t>
      </w:r>
      <w:r>
        <w:rPr>
          <w:rFonts w:eastAsia="IRNazanin" w:cs="IRNazanin"/>
          <w:color w:val="111111"/>
          <w:sz w:val="28"/>
          <w:szCs w:val="28"/>
          <w:rtl w:val="true"/>
          <w:lang w:bidi="fa-IR"/>
        </w:rPr>
        <w:t xml:space="preserve">. </w:t>
      </w:r>
      <w:bookmarkStart w:id="3821" w:name="pg10265_90402"/>
    </w:p>
    <w:p>
      <w:pPr>
        <w:pStyle w:val="Heading5"/>
        <w:numPr>
          <w:ilvl w:val="4"/>
          <w:numId w:val="1"/>
        </w:numPr>
        <w:rPr/>
      </w:pPr>
      <w:bookmarkStart w:id="3822" w:name="__RefHeading___Toc3810193_1067777946"/>
      <w:bookmarkStart w:id="3823" w:name="_Toc1609"/>
      <w:bookmarkEnd w:id="3821"/>
      <w:bookmarkEnd w:id="3822"/>
      <w:r>
        <w:rPr>
          <w:rtl w:val="true"/>
        </w:rPr>
        <w:t>متبدّل شدن مغصوب</w:t>
      </w:r>
      <w:bookmarkEnd w:id="3823"/>
    </w:p>
    <w:p>
      <w:pPr>
        <w:pStyle w:val="BookText"/>
        <w:rPr/>
      </w:pPr>
      <w:r>
        <w:rPr>
          <w:rFonts w:ascii="IRNazanin" w:hAnsi="IRNazanin" w:eastAsia="IRNazanin"/>
          <w:color w:val="111111"/>
          <w:sz w:val="28"/>
          <w:sz w:val="28"/>
          <w:szCs w:val="28"/>
          <w:rtl w:val="true"/>
          <w:lang w:bidi="fa-IR"/>
        </w:rPr>
        <w:t>و در تخليل عصير حلال، احوط رد مثل عصير است اگر چه نقصان عين يا قيمت نباشد، به جهت حصول مغايرت عرفيّه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جميع صور، تراضى طرفين با رفع اشكال ربا در مورد آن، كافى است</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چنين است اگر رطب، نزد غاصب، خرما بشود، و انگور كشمش، و شير پنير يا روغن يا كره بشود، در نقص وزن با نقص قيمت يا بدون آن، در جريان تفصيل متقدّم در آنها</w:t>
      </w:r>
      <w:r>
        <w:rPr>
          <w:rFonts w:eastAsia="IRNazanin" w:cs="IRNazanin"/>
          <w:color w:val="111111"/>
          <w:sz w:val="28"/>
          <w:szCs w:val="28"/>
          <w:rtl w:val="true"/>
          <w:lang w:bidi="fa-IR"/>
        </w:rPr>
        <w:t xml:space="preserve">. </w:t>
      </w:r>
      <w:bookmarkStart w:id="3824" w:name="pg10265_90403"/>
    </w:p>
    <w:p>
      <w:pPr>
        <w:pStyle w:val="Heading3"/>
        <w:numPr>
          <w:ilvl w:val="2"/>
          <w:numId w:val="1"/>
        </w:numPr>
        <w:rPr/>
      </w:pPr>
      <w:bookmarkStart w:id="3825" w:name="__RefHeading___Toc3810195_1067777946"/>
      <w:bookmarkStart w:id="3826" w:name="_Toc1610"/>
      <w:bookmarkEnd w:id="3824"/>
      <w:bookmarkEnd w:id="3825"/>
      <w:r>
        <w:rPr>
          <w:rtl w:val="true"/>
        </w:rPr>
        <w:t>فصل سوّم لواحق غصب</w:t>
      </w:r>
      <w:bookmarkEnd w:id="3826"/>
    </w:p>
    <w:p>
      <w:pPr>
        <w:pStyle w:val="Heading4"/>
        <w:numPr>
          <w:ilvl w:val="3"/>
          <w:numId w:val="1"/>
        </w:numPr>
        <w:rPr/>
      </w:pPr>
      <w:bookmarkStart w:id="3827" w:name="__RefHeading___Toc3810197_1067777946"/>
      <w:bookmarkStart w:id="3828" w:name="_Toc1611"/>
      <w:bookmarkEnd w:id="3827"/>
      <w:r>
        <w:rPr>
          <w:rtl w:val="true"/>
        </w:rPr>
        <w:t>زيادتى يا نقصان قيمت مغصوب به سبب فعل غاصب يا غير او</w:t>
      </w:r>
      <w:bookmarkEnd w:id="3828"/>
    </w:p>
    <w:p>
      <w:pPr>
        <w:pStyle w:val="Heading5"/>
        <w:numPr>
          <w:ilvl w:val="4"/>
          <w:numId w:val="1"/>
        </w:numPr>
        <w:rPr/>
      </w:pPr>
      <w:bookmarkStart w:id="3829" w:name="__RefHeading___Toc3810199_1067777946"/>
      <w:bookmarkStart w:id="3830" w:name="_Toc1612"/>
      <w:bookmarkEnd w:id="3829"/>
      <w:r>
        <w:rPr>
          <w:rtl w:val="true"/>
        </w:rPr>
        <w:t>اشاره</w:t>
      </w:r>
      <w:bookmarkEnd w:id="383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زياد شد قيمت به سبب فعل اختيارى غاصب يا غير او، پس در صورتى كه زيادتى عينيّه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تعليم صنعت و خياطت جامه با خيوط مالك و طحن طعام و صياغت 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مغصوب به مالك مى نمايد بدون عوضى براى زيادتى غير مأذونه، چنانچه تلف و اتلاف آن زيادتى بدون اذن هم موجب ضمان زيادتى است</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قيمت مغصوب به سبب آن امر اختيارى، ناقص شد، ضامن ارش است براى مالك اگر ممكن نباشد رد به حالت سابقه و ازالۀ صفت موجبۀ نقص قيمت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ممكن باشد ازالۀ آن و رد به حالت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مالك راضى شد به بقاى آن، براى غاصب، رد آن صفت نيست در صورت احتياج به تصرّفى در مغصوب، و ضمان ارش باقى است با عقلايى بودن منع از ازالۀ موجبۀ عود قيمت سابقه؛ و اگر الزامِ عود به حالت سابقه كرد، لازم است بر غاصب رد آن به حالت سابقه؛ و اگر نقصى از اصل به واسطۀ ازاله صفت باشد بالنسبه به صورت عدم زيادتى آن، ارش آن بر غاصب است؛ و اگر تفاوتى باقى نماند و نقص قيمت زائل شد به سبب اعاده به حالت سابقه، اظهر عدم ضمان نقص زائل است؛ چنانچه نقص صفت با امر مالك، مضمون نيست اگر مقصود از امْر اذن در اتلاف صفت براى تقليل ضرر بر </w:t>
      </w:r>
      <w:bookmarkStart w:id="3831" w:name="pg10265_90404"/>
    </w:p>
    <w:p>
      <w:pPr>
        <w:pStyle w:val="BookText"/>
        <w:rPr/>
      </w:pPr>
      <w:bookmarkEnd w:id="3831"/>
      <w:r>
        <w:rPr>
          <w:rFonts w:ascii="IRNazanin" w:hAnsi="IRNazanin" w:eastAsia="IRNazanin"/>
          <w:color w:val="111111"/>
          <w:sz w:val="28"/>
          <w:sz w:val="28"/>
          <w:szCs w:val="28"/>
          <w:rtl w:val="true"/>
          <w:lang w:bidi="fa-IR"/>
        </w:rPr>
        <w:t>مالك باشد، و هم چنين در نظائرش مثل رد سمين به سمن حادث بر غصب يا سابق بر آن به امر مالك به رد مستلزم هزال؛ بلكه نقص قيمت و ارش بعد از رد به نحو مذكور مضمون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بدون اذن ازاله نمود، پس در ضمان غير نقص قيمت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اصل باشد يا در مصنوع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اگر ازاله كرد بدون اذن به نحوى كه اگر باقى بود ارشِ نقص قيمت كمتر بود، ضامن است آن صفت را و بر غاصب جز ارش نيست، و بر او نيست اصلاح جامه اى كه شكافته است به رَقى يا انائى كه شكسته است به وصل و جبر با عدم اعادۀ حقيقيّه</w:t>
      </w:r>
      <w:r>
        <w:rPr>
          <w:rFonts w:eastAsia="IRNazanin" w:cs="IRNazanin"/>
          <w:color w:val="111111"/>
          <w:sz w:val="28"/>
          <w:szCs w:val="28"/>
          <w:rtl w:val="true"/>
          <w:lang w:bidi="fa-IR"/>
        </w:rPr>
        <w:t>.</w:t>
      </w:r>
    </w:p>
    <w:p>
      <w:pPr>
        <w:pStyle w:val="Heading5"/>
        <w:numPr>
          <w:ilvl w:val="4"/>
          <w:numId w:val="1"/>
        </w:numPr>
        <w:rPr/>
      </w:pPr>
      <w:bookmarkStart w:id="3832" w:name="__RefHeading___Toc3810201_1067777946"/>
      <w:bookmarkStart w:id="3833" w:name="_Toc1613"/>
      <w:bookmarkEnd w:id="3832"/>
      <w:r>
        <w:rPr>
          <w:rtl w:val="true"/>
        </w:rPr>
        <w:t>حاصل شدن زيادتى عينيّه در مغصوب به وسيلۀ فعل غاصب</w:t>
      </w:r>
      <w:bookmarkEnd w:id="3833"/>
    </w:p>
    <w:p>
      <w:pPr>
        <w:pStyle w:val="BookText"/>
        <w:rPr/>
      </w:pPr>
      <w:r>
        <w:rPr>
          <w:rFonts w:ascii="IRNazanin" w:hAnsi="IRNazanin" w:eastAsia="IRNazanin"/>
          <w:color w:val="111111"/>
          <w:sz w:val="28"/>
          <w:sz w:val="28"/>
          <w:szCs w:val="28"/>
          <w:rtl w:val="true"/>
          <w:lang w:bidi="fa-IR"/>
        </w:rPr>
        <w:t xml:space="preserve">و اگر به فعل غاصب، زيادتى قيمت به زيادتى عينيّه در مغصوب حاصل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غرس در اشجار در زمين مغصوب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 مى تواند قلع و اخذ نمايد درختهاى خود را و زمين را تسليم نمايد و اگر نقصى حادث بشود به سبب غرس و قلع، ارش را تأديه مى نمايد</w:t>
      </w:r>
      <w:r>
        <w:rPr>
          <w:rFonts w:eastAsia="IRNazanin" w:cs="IRNazanin"/>
          <w:color w:val="111111"/>
          <w:sz w:val="28"/>
          <w:szCs w:val="28"/>
          <w:rtl w:val="true"/>
          <w:lang w:bidi="fa-IR"/>
        </w:rPr>
        <w:t>.</w:t>
      </w:r>
    </w:p>
    <w:p>
      <w:pPr>
        <w:pStyle w:val="Heading5"/>
        <w:numPr>
          <w:ilvl w:val="4"/>
          <w:numId w:val="1"/>
        </w:numPr>
        <w:rPr/>
      </w:pPr>
      <w:bookmarkStart w:id="3834" w:name="__RefHeading___Toc3810203_1067777946"/>
      <w:bookmarkStart w:id="3835" w:name="_Toc1614"/>
      <w:bookmarkEnd w:id="3834"/>
      <w:r>
        <w:rPr>
          <w:rtl w:val="true"/>
        </w:rPr>
        <w:t>فروعى راجع به رنگ كردن جامۀ مغصوب، توسط غاصب</w:t>
      </w:r>
      <w:bookmarkEnd w:id="3835"/>
    </w:p>
    <w:p>
      <w:pPr>
        <w:pStyle w:val="BookText"/>
        <w:rPr/>
      </w:pPr>
      <w:r>
        <w:rPr>
          <w:rFonts w:ascii="IRNazanin" w:hAnsi="IRNazanin" w:eastAsia="IRNazanin"/>
          <w:color w:val="111111"/>
          <w:sz w:val="28"/>
          <w:sz w:val="28"/>
          <w:szCs w:val="28"/>
          <w:rtl w:val="true"/>
          <w:lang w:bidi="fa-IR"/>
        </w:rPr>
        <w:t>و هم چنين اگر زيادتى به مثل صبغ باشد، مى تواند ازالۀ آنچه با آن، رنگ كرده جامه را نمايد با ضمان ارشِ نقصى كه حاصل بشود در جامه؛ و مالك مى تواند مطالبۀ تخليص مال خود از مال غاصب نمايد با ضمان غاصب، ارش مغصوب را و بدون ضمان مالك، ارش صبغ را اگر باشد؛ چنانچه غاصب مى تواند تخليص نمايد با ضمان ارش مغصوب براى مالك و بدون تضمين ارش آنچه با آن رنگ كرده اگر ارش داشته باشد؛ و استحقاق هر كدام تخليص ملك خودش را از ملك غير، اعم از استحقاق مباشرت در تخليص است</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در صورتى است كه آنچه با آن رنگ شده ملك غاصب بوده و قابل فصل باشد، وگرنه در مجرد تمويه يا از ملك مالك، بايد با اذن ازاله نمايد و بدون اذن </w:t>
      </w:r>
      <w:bookmarkStart w:id="3836" w:name="pg10265_90405"/>
    </w:p>
    <w:p>
      <w:pPr>
        <w:pStyle w:val="BookText"/>
        <w:rPr/>
      </w:pPr>
      <w:bookmarkEnd w:id="3836"/>
      <w:r>
        <w:rPr>
          <w:rFonts w:ascii="IRNazanin" w:hAnsi="IRNazanin" w:eastAsia="IRNazanin"/>
          <w:color w:val="111111"/>
          <w:sz w:val="28"/>
          <w:sz w:val="28"/>
          <w:szCs w:val="28"/>
          <w:rtl w:val="true"/>
          <w:lang w:bidi="fa-IR"/>
        </w:rPr>
        <w:t>نمى تواند، و اگر مالك اجبار كرد بايد ازاله نمايد و ضامن ارش نقص براى مالك مى شود كه رنگ كردن بدون اذن او بوده و بايد كما كان اعاده و رد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عموم اين حكم به صورت تشهّى محض و ارادۀ تغريم غاصب بدون غرض عقلايى شخصى، وجهى است موافق با مأخوذيت غاصب به اشقّ‌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يكى از مالك و غاصب، از ديگرى طلب كرد مال مملوك او را به قيمتش، واجب نمى شود اجابت بر ديگرى، بلكه مى تواند يا بايد ازالۀ رنگ جامه مثلاً نمايد با تأديه يا اخذ ارش نقصان جامه اگر باشد؛ و احتياط در صورت عدم غرض عقلايى و ارادۀ عناد و تشهّى محض، رعايت بشود</w:t>
      </w:r>
      <w:r>
        <w:rPr>
          <w:rFonts w:eastAsia="IRNazanin" w:cs="IRNazanin"/>
          <w:color w:val="111111"/>
          <w:sz w:val="28"/>
          <w:szCs w:val="28"/>
          <w:rtl w:val="true"/>
          <w:lang w:bidi="fa-IR"/>
        </w:rPr>
        <w:t>.</w:t>
      </w:r>
    </w:p>
    <w:p>
      <w:pPr>
        <w:pStyle w:val="Heading5"/>
        <w:numPr>
          <w:ilvl w:val="4"/>
          <w:numId w:val="1"/>
        </w:numPr>
        <w:rPr/>
      </w:pPr>
      <w:bookmarkStart w:id="3837" w:name="__RefHeading___Toc3810205_1067777946"/>
      <w:bookmarkStart w:id="3838" w:name="_Toc1615"/>
      <w:bookmarkEnd w:id="3837"/>
      <w:r>
        <w:rPr>
          <w:rtl w:val="true"/>
        </w:rPr>
        <w:t>بقاى جامه با رنگ آن با رضاى مالك و غاصب</w:t>
      </w:r>
      <w:bookmarkEnd w:id="3838"/>
    </w:p>
    <w:p>
      <w:pPr>
        <w:pStyle w:val="BookText"/>
        <w:rPr/>
      </w:pPr>
      <w:r>
        <w:rPr>
          <w:rFonts w:ascii="IRNazanin" w:hAnsi="IRNazanin" w:eastAsia="IRNazanin"/>
          <w:color w:val="111111"/>
          <w:sz w:val="28"/>
          <w:sz w:val="28"/>
          <w:szCs w:val="28"/>
          <w:rtl w:val="true"/>
          <w:lang w:bidi="fa-IR"/>
        </w:rPr>
        <w:t>و در صورت بقاى جامه با رنگ آن با رضاى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قيمت هيچ كدام از جامه و رنگ آن تغييرى در قيمت واقع نشود، شريك مى شوند و حاصل براى هر دو است به نسبت قيمت هر كدام؛ و اگر زيادتى در قيمت هر دو بود، در زائد شريك مى شوند بالسويه در صورت مساوات زيادتى قيمت در هر دو؛ و اگر ناقص شد قيمت هر دو، نقص بر هر دو واقع مى شود بالسويه در صورت مساوات نقصان؛ و اگر زيادتى در يكى از آن دو به حسب قيمت باشد، حاصل، مخصوص زائد در قيمت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تشخيص قيمت رنگ كردن جامه به ملاحظۀ قيمت آنچه با آن رنگ مى شود و مدت زمانىِ انجام اين عمل است</w:t>
      </w:r>
      <w:r>
        <w:rPr>
          <w:rFonts w:eastAsia="IRNazanin" w:cs="IRNazanin"/>
          <w:color w:val="111111"/>
          <w:sz w:val="28"/>
          <w:szCs w:val="28"/>
          <w:rtl w:val="true"/>
          <w:lang w:bidi="fa-IR"/>
        </w:rPr>
        <w:t>.</w:t>
      </w:r>
    </w:p>
    <w:p>
      <w:pPr>
        <w:pStyle w:val="Heading5"/>
        <w:numPr>
          <w:ilvl w:val="4"/>
          <w:numId w:val="1"/>
        </w:numPr>
        <w:rPr/>
      </w:pPr>
      <w:bookmarkStart w:id="3839" w:name="__RefHeading___Toc3810207_1067777946"/>
      <w:bookmarkStart w:id="3840" w:name="_Toc1616"/>
      <w:bookmarkEnd w:id="3839"/>
      <w:r>
        <w:rPr>
          <w:rtl w:val="true"/>
        </w:rPr>
        <w:t>حصول نقصان در قيمت جامه و در قيمت صبغ</w:t>
      </w:r>
      <w:bookmarkEnd w:id="3840"/>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نقصان قيمت جامه به سبب صبغ باشد، بر غاصب است ارش نقصان يا ازاله آن يا ارش نقص ثوب به سبب ازاله، مگر آنكه رضاى مالك ثوب به بقاى صبغ بدون تضمين نقص باشد، و آنچه در صبغ از نقص قيمت حاصل بشود مالك ثوب، ضامن نيست، چه آنكه ازاله بشود يا باقى باشد با رضاى مالك ثوب يا بدون رضاى او</w:t>
      </w:r>
      <w:r>
        <w:rPr>
          <w:rFonts w:eastAsia="IRNazanin" w:cs="IRNazanin"/>
          <w:color w:val="111111"/>
          <w:sz w:val="28"/>
          <w:szCs w:val="28"/>
          <w:rtl w:val="true"/>
          <w:lang w:bidi="fa-IR"/>
        </w:rPr>
        <w:t xml:space="preserve">. </w:t>
      </w:r>
      <w:bookmarkStart w:id="3841" w:name="pg10265_90406"/>
    </w:p>
    <w:p>
      <w:pPr>
        <w:pStyle w:val="BookText"/>
        <w:rPr/>
      </w:pPr>
      <w:bookmarkEnd w:id="3841"/>
      <w:r>
        <w:rPr>
          <w:rFonts w:ascii="IRNazanin" w:hAnsi="IRNazanin" w:eastAsia="IRNazanin"/>
          <w:color w:val="111111"/>
          <w:sz w:val="28"/>
          <w:sz w:val="28"/>
          <w:szCs w:val="28"/>
          <w:rtl w:val="true"/>
          <w:lang w:bidi="fa-IR"/>
        </w:rPr>
        <w:t>اگر جامه فروخته شد با رنگى كه با آن است و در قيمت صبغ نقصانى واقع شد در فروختن، غاصب استحقاق مقابل صبغ را ندارد مگر بعد از اكمال قيمت جامه و آنچه در مقابل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جامه هم با نقص از قيمت خود فروخته شد، بر غاصب است اتمام قيمت كه ضامن نقص آن بوده در صورتى كه با همان قيمت فروخته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متخالف شد قيمت جامه و صبغ به حسب زياده و نقصان قيمت سوقيّه، مثل اينكه هر كدام قيمت آن پنج درهم بود و مجموع ده درهم بود، و تغيير پيدا شد، جامه به هفت درهم رسيد و رنگ به سه درهم رسيد، براى صاحب جامه و مالك آن هفت درهم از ثمنى كه ده درهم است مى باشد و براى صاحب رنگ كه غاصب است سه درهم؛ و در صورت تغيير به عكس، عكس اين قسمت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ارتفاع سوقى مضمون است در اول بر غاصب، و نقص آن در دوّمى مضمون نيست با تأديۀ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 اشكال در دوّمى كه به تفويت غاصب بر مالك، قيمت عين فوت شده باشد</w:t>
      </w:r>
      <w:r>
        <w:rPr>
          <w:rFonts w:eastAsia="IRNazanin" w:cs="IRNazanin"/>
          <w:color w:val="111111"/>
          <w:sz w:val="28"/>
          <w:szCs w:val="28"/>
          <w:rtl w:val="true"/>
          <w:lang w:bidi="fa-IR"/>
        </w:rPr>
        <w:t>.</w:t>
      </w:r>
    </w:p>
    <w:p>
      <w:pPr>
        <w:pStyle w:val="Heading5"/>
        <w:numPr>
          <w:ilvl w:val="4"/>
          <w:numId w:val="1"/>
        </w:numPr>
        <w:rPr/>
      </w:pPr>
      <w:bookmarkStart w:id="3842" w:name="__RefHeading___Toc3810209_1067777946"/>
      <w:bookmarkStart w:id="3843" w:name="_Toc1617"/>
      <w:bookmarkEnd w:id="3842"/>
      <w:r>
        <w:rPr>
          <w:rtl w:val="true"/>
        </w:rPr>
        <w:t>اگر رنگ از غاصب نباشد</w:t>
      </w:r>
      <w:bookmarkEnd w:id="3843"/>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آنچه با او رنگ كرده از غاصب نباشد بلكه مغصوب از غيرِ مالكِ جامه باشد، پس اگر نقصى در هيچ كدام به حسب قيمت حادث نشده باشد چه به فعل غاصب باشد يا در يد او، چيزى بر او نيست غير از تأديۀ دو عين به مالكها كه شريك شده اند به سبب فعل غاصب؛ و بر غاصب است فصل بين آنها با مطالبۀ دو يا يك مالك؛ و اگر نقصى حادث شده باشد در هر دو يا در يكى از آن دو به فعل غاصب يا در يد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سبب صبغ يا به آفتى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 ضامن است براى مالكها، به واسطۀ فعل او كه موجب نقص قيمت شده، يا به جهت نقصى در عين در يد كه مضمون بوده، يا به جهت تفويت كه گذشت اشكال به سبب آن در صورتى كه تفويت باشد، يعنى به سبب غصب، فوت شد از مالك وگرنه فوت نمى شد</w:t>
      </w:r>
      <w:r>
        <w:rPr>
          <w:rFonts w:eastAsia="IRNazanin" w:cs="IRNazanin"/>
          <w:color w:val="111111"/>
          <w:sz w:val="28"/>
          <w:szCs w:val="28"/>
          <w:rtl w:val="true"/>
          <w:lang w:bidi="fa-IR"/>
        </w:rPr>
        <w:t xml:space="preserve">. </w:t>
      </w:r>
      <w:bookmarkStart w:id="3844" w:name="pg10265_90407"/>
    </w:p>
    <w:p>
      <w:pPr>
        <w:pStyle w:val="BookText"/>
        <w:rPr/>
      </w:pPr>
      <w:bookmarkEnd w:id="3844"/>
      <w:r>
        <w:rPr>
          <w:rFonts w:ascii="IRNazanin" w:hAnsi="IRNazanin" w:eastAsia="IRNazanin"/>
          <w:color w:val="111111"/>
          <w:sz w:val="28"/>
          <w:sz w:val="28"/>
          <w:szCs w:val="28"/>
          <w:rtl w:val="true"/>
          <w:lang w:bidi="fa-IR"/>
        </w:rPr>
        <w:t xml:space="preserve">و در صورتى كه زيادتى قيمت يا نقصان آن به سبب فعل غاصب باشد، يعنى به سبب رنگ كردن جامه يا رنگ كردن با خصوص آن رنگ، زيادتى در قيمت جامه يا نقصان شد و هم زيادتى و نقصان در آن رنگ به سبب اضافه اش با جامۀ مخصوص باشد، پس زيادتى توزيع مى شود بين دو شريك به نسبت قيمت مال آنها؛ و نقصان از قيمت مملوك هر يك لو لا الصبغ، مضمون است بر غاصب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تأديه به مالكها نمايد چون به سبب صفتى از قبل او است نه به واسطۀ تغيّر قيمت سوقيّه؛ و اگر به سبب مجرد تغير قيمت سوقيّه بود يا تأديۀ عين بدون نقص كمّيت و كيفيّت، مضمون نيست مگر با تحقّق تفويت بر حسب احتياط متقدّم</w:t>
      </w:r>
      <w:r>
        <w:rPr>
          <w:rFonts w:eastAsia="IRNazanin" w:cs="IRNazanin"/>
          <w:color w:val="111111"/>
          <w:sz w:val="28"/>
          <w:szCs w:val="28"/>
          <w:rtl w:val="true"/>
          <w:lang w:bidi="fa-IR"/>
        </w:rPr>
        <w:t>.</w:t>
      </w:r>
    </w:p>
    <w:p>
      <w:pPr>
        <w:pStyle w:val="Heading5"/>
        <w:numPr>
          <w:ilvl w:val="4"/>
          <w:numId w:val="1"/>
        </w:numPr>
        <w:rPr/>
      </w:pPr>
      <w:bookmarkStart w:id="3845" w:name="__RefHeading___Toc3810211_1067777946"/>
      <w:bookmarkStart w:id="3846" w:name="_Toc1618"/>
      <w:bookmarkEnd w:id="3845"/>
      <w:r>
        <w:rPr>
          <w:rtl w:val="true"/>
        </w:rPr>
        <w:t>اگر رنگ هم از مالك جامه، غصب شده بود</w:t>
      </w:r>
      <w:bookmarkEnd w:id="3846"/>
    </w:p>
    <w:p>
      <w:pPr>
        <w:pStyle w:val="BookText"/>
        <w:rPr/>
      </w:pPr>
      <w:r>
        <w:rPr>
          <w:rFonts w:ascii="IRNazanin" w:hAnsi="IRNazanin" w:eastAsia="IRNazanin"/>
          <w:color w:val="111111"/>
          <w:sz w:val="28"/>
          <w:sz w:val="28"/>
          <w:szCs w:val="28"/>
          <w:rtl w:val="true"/>
          <w:lang w:bidi="fa-IR"/>
        </w:rPr>
        <w:t>اگر صبغ، مغصوب بود از مالك جامه ايضاً، پس اگر زيادتى و نقصى حاصل نشد يا آنكه زيادتى حاصل شد، به فعل غاصب، بايد تأديه نمايد بدون تغيير مگر با اذن مالك، و بر او چيزى نيست و براى او از زيادتى نصيبى نيست؛ و اگر نقصى در قيمت هر دو يا يكى حاصل شد بر غاصب است تكميل نقص و رسانيدن قيمت به قيمت لو لا الصبغ؛ و در صورت امكان فصل، براى مالك است مطالبه و اجبار بر فصل و براى او است ارش نقص حاصل به سبب فصل در هر دو يا در يكى از آن دو مغصوب</w:t>
      </w:r>
      <w:r>
        <w:rPr>
          <w:rFonts w:eastAsia="IRNazanin" w:cs="IRNazanin"/>
          <w:color w:val="111111"/>
          <w:sz w:val="28"/>
          <w:szCs w:val="28"/>
          <w:rtl w:val="true"/>
          <w:lang w:bidi="fa-IR"/>
        </w:rPr>
        <w:t>.</w:t>
      </w:r>
    </w:p>
    <w:p>
      <w:pPr>
        <w:pStyle w:val="Heading4"/>
        <w:numPr>
          <w:ilvl w:val="3"/>
          <w:numId w:val="1"/>
        </w:numPr>
        <w:rPr/>
      </w:pPr>
      <w:bookmarkStart w:id="3847" w:name="__RefHeading___Toc3810213_1067777946"/>
      <w:bookmarkStart w:id="3848" w:name="_Toc1619"/>
      <w:bookmarkEnd w:id="3847"/>
      <w:r>
        <w:rPr>
          <w:rtl w:val="true"/>
        </w:rPr>
        <w:t>مخلوط كردن روغن مغصوب با روغن خود</w:t>
      </w:r>
      <w:bookmarkEnd w:id="3848"/>
    </w:p>
    <w:p>
      <w:pPr>
        <w:pStyle w:val="Heading5"/>
        <w:numPr>
          <w:ilvl w:val="4"/>
          <w:numId w:val="1"/>
        </w:numPr>
        <w:rPr/>
      </w:pPr>
      <w:bookmarkStart w:id="3849" w:name="__RefHeading___Toc3810215_1067777946"/>
      <w:bookmarkStart w:id="3850" w:name="_Toc1620"/>
      <w:bookmarkEnd w:id="3849"/>
      <w:r>
        <w:rPr>
          <w:rtl w:val="true"/>
        </w:rPr>
        <w:t>اشاره</w:t>
      </w:r>
      <w:bookmarkEnd w:id="385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 زيت يا روغنى ديگر را غصب نمود و مخلوط با زيت ديگرى از مال خود غاصب نمود، پس آن خليط يا مثل زيت مغصوب است، يا اجود به حسب ماليت، يا ادون؛</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مماثلت دارد، رد نفس عين، لازم است بر غاصب و قبول آن لازم است بر مالك، به جهت حصول شركت عرفيّه اعم از حقيقيّه يا حكميّه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حكم فرقى </w:t>
      </w:r>
      <w:bookmarkStart w:id="3851" w:name="pg10265_90408"/>
    </w:p>
    <w:p>
      <w:pPr>
        <w:pStyle w:val="BookText"/>
        <w:rPr/>
      </w:pPr>
      <w:bookmarkEnd w:id="3851"/>
      <w:r>
        <w:rPr>
          <w:rFonts w:ascii="Amiri" w:hAnsi="Amiri" w:eastAsia="Amiri" w:cs="Amiri"/>
          <w:color w:val="111111"/>
          <w:sz w:val="28"/>
          <w:sz w:val="28"/>
          <w:szCs w:val="28"/>
          <w:rtl w:val="true"/>
          <w:lang w:bidi="ar-SA"/>
        </w:rPr>
        <w:t>نيست بين مزج اختيارى غصبى يا غير غصبى يا غير اختيارى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خليط، اجود است پس حكم چنان است بنا بر اظهر در صورتى كه خلط مثل غصب عدوانى و عمدى باشد، و بر غاصب و مالك لازم است تأديه و قبول، مگر آنكه راضى بشود مالك به تأديۀ مثل يا قيمت 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غير اين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آنكه خلط از روى غفلت باشد، يا آنكه در يد او به مباشرت ديگرى باشد به طورى كه تضرر به شركت مقدمٌ عليه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اظهر ضمان مثل است، و تخيير براى غاصب است در تأديه، و قبول بر مالك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خليط ادون باشد، پس حصول شركت متقدّمه در اين صورت، ضرر است بر مالك، و اظهر ضمان مثل است در غير صورت تراضى به تأديۀ حق از عين بدون تفاوت، يا تا مقدارى كه به حسب قيمت، موافق با مثل مى شود و به حسب مقدار، ازيدْ، يا با رد تفاوت از غير آن با محافظت از لزوم ربا به حسب صغرى و كبرى در غير بيع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حكم در اخير به ضمان مثل، حكايت عدم خلاف در آن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 و حكم در دو صورت متقدّمه به لزوم رد عين، منسوب به اكثر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بقاى ملك هر كدام از ملكين در ملك مالك لو لا المزج، و تدارك ضرر به توزيع ثمن به حسب ماليت هر كدام از دو ملك در دو صورت اختلاط به اجود و به ادون، پس مشتمل بر الزام به بيع است و آن خالى از ضرر نيست، يا صلحى است موقوف به تراضى، و در صورت عدم تعيين مملوك از عين يا ثابت در ذمه است در دو صورت، و ظاهر شد وجه تعيين بى محذور شرعى</w:t>
      </w:r>
      <w:r>
        <w:rPr>
          <w:rFonts w:eastAsia="IRNazanin" w:cs="IRNazanin"/>
          <w:color w:val="111111"/>
          <w:sz w:val="28"/>
          <w:szCs w:val="28"/>
          <w:rtl w:val="true"/>
          <w:lang w:bidi="fa-IR"/>
        </w:rPr>
        <w:t>.</w:t>
      </w:r>
    </w:p>
    <w:p>
      <w:pPr>
        <w:pStyle w:val="Heading5"/>
        <w:numPr>
          <w:ilvl w:val="4"/>
          <w:numId w:val="1"/>
        </w:numPr>
        <w:rPr/>
      </w:pPr>
      <w:bookmarkStart w:id="3852" w:name="__RefHeading___Toc3810217_1067777946"/>
      <w:bookmarkStart w:id="3853" w:name="_Toc1621"/>
      <w:bookmarkEnd w:id="3852"/>
      <w:r>
        <w:rPr>
          <w:rtl w:val="true"/>
        </w:rPr>
        <w:t>ممزوج كردن مغصوب با غير جنس</w:t>
      </w:r>
      <w:bookmarkEnd w:id="3853"/>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غاصب ممزوج كرد مغصوب را به غير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زيت با شيره، و آرد گندم با آرد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صورت تلف عرفى مغصوب به سبب استهلاكِ مخرج از تمييز و فائده، مضمون، مثل است؛ و در غير اين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اينكه فائدۀ مهمه معتدٌّ بها </w:t>
      </w:r>
      <w:bookmarkStart w:id="3854" w:name="pg10265_90409"/>
    </w:p>
    <w:p>
      <w:pPr>
        <w:pStyle w:val="BookText"/>
        <w:rPr/>
      </w:pPr>
      <w:bookmarkEnd w:id="3854"/>
      <w:r>
        <w:rPr>
          <w:rFonts w:ascii="Amiri" w:hAnsi="Amiri" w:eastAsia="Amiri" w:cs="Amiri"/>
          <w:color w:val="111111"/>
          <w:sz w:val="28"/>
          <w:sz w:val="28"/>
          <w:szCs w:val="28"/>
          <w:rtl w:val="true"/>
          <w:lang w:bidi="ar-SA"/>
        </w:rPr>
        <w:t xml:space="preserve">براى هر دو بعد از خلط، باقى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اظهر اشتراك است به نسبت قيمت، يعنى با تساوى در قدر، شركت يا تفاضل كه در آن قيمت، ملحوظ و معيّن است حاصل مى شود در صورتى كه توافق به بيع و توزيع ثمن به حسب ماليت لو لا المزج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قيد در مسألۀ سابقه كه خلط به جنس باشد ايضاً رعايت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آنچه منقول است از عدم خلاف در ضمان مثل، مخصوص صورت متقدّمه كه تلف عرفى است باشد</w:t>
      </w:r>
      <w:r>
        <w:rPr>
          <w:rFonts w:eastAsia="IRNazanin" w:cs="IRNazanin"/>
          <w:color w:val="111111"/>
          <w:sz w:val="28"/>
          <w:szCs w:val="28"/>
          <w:rtl w:val="true"/>
          <w:lang w:bidi="fa-IR"/>
        </w:rPr>
        <w:t>.</w:t>
      </w:r>
    </w:p>
    <w:p>
      <w:pPr>
        <w:pStyle w:val="Heading4"/>
        <w:numPr>
          <w:ilvl w:val="3"/>
          <w:numId w:val="1"/>
        </w:numPr>
        <w:rPr/>
      </w:pPr>
      <w:bookmarkStart w:id="3855" w:name="__RefHeading___Toc3810219_1067777946"/>
      <w:bookmarkStart w:id="3856" w:name="_Toc1622"/>
      <w:bookmarkEnd w:id="3855"/>
      <w:r>
        <w:rPr>
          <w:rtl w:val="true"/>
        </w:rPr>
        <w:t>ضمان فوائد مغصوب</w:t>
      </w:r>
      <w:bookmarkEnd w:id="3856"/>
    </w:p>
    <w:p>
      <w:pPr>
        <w:pStyle w:val="Heading5"/>
        <w:numPr>
          <w:ilvl w:val="4"/>
          <w:numId w:val="1"/>
        </w:numPr>
        <w:rPr/>
      </w:pPr>
      <w:bookmarkStart w:id="3857" w:name="__RefHeading___Toc3810221_1067777946"/>
      <w:bookmarkStart w:id="3858" w:name="_Toc1623"/>
      <w:bookmarkEnd w:id="3857"/>
      <w:r>
        <w:rPr>
          <w:rtl w:val="true"/>
        </w:rPr>
        <w:t>اشاره</w:t>
      </w:r>
      <w:bookmarkEnd w:id="385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مغصوب، مملوك مالك قبل از غصب است و مضمون بر غاصب مى باشند اگر چه متجدّد در يد غاصب باشند، از اعيان باشند مثل شير و مو و پشم و ولد و ميوه، يا از منافع مثل سكناى خانه و ركوب دابه؛ و هم چنين منافع عينى كه در عادت به لحاظ آن منفعت، صاحب اجرت هستند و استيجار براى آنها مى شوند، به خلاف منافع نادره كه به لحاظ آنها عادتاً استيجار نمى شود، مثل درخت براى آويزان كردن جامه ها و نحو آن</w:t>
      </w:r>
      <w:r>
        <w:rPr>
          <w:rFonts w:eastAsia="IRNazanin" w:cs="IRNazanin"/>
          <w:color w:val="111111"/>
          <w:sz w:val="28"/>
          <w:szCs w:val="28"/>
          <w:rtl w:val="true"/>
          <w:lang w:bidi="fa-IR"/>
        </w:rPr>
        <w:t>.</w:t>
      </w:r>
    </w:p>
    <w:p>
      <w:pPr>
        <w:pStyle w:val="Heading5"/>
        <w:numPr>
          <w:ilvl w:val="4"/>
          <w:numId w:val="1"/>
        </w:numPr>
        <w:rPr/>
      </w:pPr>
      <w:bookmarkStart w:id="3859" w:name="__RefHeading___Toc3810223_1067777946"/>
      <w:bookmarkStart w:id="3860" w:name="_Toc1624"/>
      <w:bookmarkEnd w:id="3859"/>
      <w:r>
        <w:rPr>
          <w:rtl w:val="true"/>
        </w:rPr>
        <w:t>ضمان غاصب به اعلى المنافع</w:t>
      </w:r>
      <w:bookmarkEnd w:id="3860"/>
    </w:p>
    <w:p>
      <w:pPr>
        <w:pStyle w:val="BookText"/>
        <w:rPr/>
      </w:pPr>
      <w:r>
        <w:rPr>
          <w:rFonts w:ascii="Amiri" w:hAnsi="Amiri" w:eastAsia="Amiri" w:cs="Amiri"/>
          <w:color w:val="111111"/>
          <w:sz w:val="28"/>
          <w:sz w:val="28"/>
          <w:szCs w:val="28"/>
          <w:rtl w:val="true"/>
          <w:lang w:bidi="ar-SA"/>
        </w:rPr>
        <w:t>و در صورت تعدّد منافع غالبۀ ملحوظه در استيجار براى آنها، مثل حياكت و خياطت عبد، مضمون، اعلىٰ به حسب قيمت از آنها است در صورت مساوات در عدم شذوذ و خروج از ندرت و فرض با استيفاى اعلىٰ به حسب قيمت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چنين در منفعت واحده، رعايت معتاد غالب از مثل آن عبد يا عين به حسب كميّت و كيفيّت و زمان و مكان مى شود و تقويم مى شود و تضمين مى نمايند غاصب را</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لازم نيست استيفاى آن منافع از مالك قبل از غصب؛ پس اگر در يد مالك، متروك بود از حيث انتفاع، مضمون است انتفاع مناسب بعد از غصب</w:t>
      </w:r>
      <w:r>
        <w:rPr>
          <w:rFonts w:eastAsia="IRNazanin" w:cs="IRNazanin"/>
          <w:color w:val="111111"/>
          <w:sz w:val="28"/>
          <w:szCs w:val="28"/>
          <w:rtl w:val="true"/>
          <w:lang w:bidi="fa-IR"/>
        </w:rPr>
        <w:t xml:space="preserve">. </w:t>
      </w:r>
      <w:bookmarkStart w:id="3861" w:name="pg10265_90410"/>
    </w:p>
    <w:p>
      <w:pPr>
        <w:pStyle w:val="Heading5"/>
        <w:numPr>
          <w:ilvl w:val="4"/>
          <w:numId w:val="1"/>
        </w:numPr>
        <w:rPr/>
      </w:pPr>
      <w:bookmarkStart w:id="3862" w:name="__RefHeading___Toc3810225_1067777946"/>
      <w:bookmarkStart w:id="3863" w:name="_Toc1625"/>
      <w:bookmarkEnd w:id="3861"/>
      <w:bookmarkEnd w:id="3862"/>
      <w:r>
        <w:rPr>
          <w:rtl w:val="true"/>
        </w:rPr>
        <w:t>پيدايش منفعت در دست غاصب و از بين رفتن آن</w:t>
      </w:r>
      <w:bookmarkEnd w:id="3863"/>
    </w:p>
    <w:p>
      <w:pPr>
        <w:pStyle w:val="Heading6"/>
        <w:numPr>
          <w:ilvl w:val="5"/>
          <w:numId w:val="1"/>
        </w:numPr>
        <w:rPr/>
      </w:pPr>
      <w:bookmarkStart w:id="3864" w:name="__RefHeading___Toc3810227_1067777946"/>
      <w:bookmarkStart w:id="3865" w:name="_Toc1626"/>
      <w:bookmarkEnd w:id="3864"/>
      <w:r>
        <w:rPr>
          <w:rtl w:val="true"/>
        </w:rPr>
        <w:t>اشاره</w:t>
      </w:r>
      <w:bookmarkEnd w:id="3865"/>
    </w:p>
    <w:p>
      <w:pPr>
        <w:pStyle w:val="BookText"/>
        <w:rPr/>
      </w:pPr>
      <w:r>
        <w:rPr>
          <w:rFonts w:ascii="IRNazanin" w:hAnsi="IRNazanin" w:eastAsia="IRNazanin"/>
          <w:color w:val="111111"/>
          <w:sz w:val="28"/>
          <w:sz w:val="28"/>
          <w:szCs w:val="28"/>
          <w:rtl w:val="true"/>
          <w:lang w:bidi="fa-IR"/>
        </w:rPr>
        <w:t>و اگر در يَد غاصب، سمين شد اگر چه به سبب اعتناى غاصب بوده، پس مهزول شد اگر چه مربوط به تساهل غاصب نبوده، مثل آن است كه در يد مالك، سمين بوده و در يد غاصب به سبب عدم محافظت، مهزول شده، و مضمون است وصف سمن بر غاصب به جهت تضمين به غصب و يد در حدوث و بقاى آنها در جميع ازمنۀ استيلاء غاصب؛ پس نسيان صنعت يا علمى بعد از تعلّم اگر چه در يد غاصب بود، موجب ضمان ارش است با نقص قيمت عبد بعد از نسيان از زمان علم، با رد عين مغصوبه؛ و اگر تلف شد عين، موجب ضمان نفس عين و صفات مضمونه قبل از تلف خواهد بود به نحو مذكور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متفرّع مى شود بر اين، دو فرع</w:t>
      </w:r>
      <w:r>
        <w:rPr>
          <w:rFonts w:eastAsia="Amiri" w:cs="Amiri" w:ascii="Amiri" w:hAnsi="Amiri"/>
          <w:color w:val="111111"/>
          <w:sz w:val="28"/>
          <w:szCs w:val="28"/>
          <w:rtl w:val="true"/>
          <w:lang w:bidi="ar-SA"/>
        </w:rPr>
        <w:t>:</w:t>
      </w:r>
    </w:p>
    <w:p>
      <w:pPr>
        <w:pStyle w:val="Heading6"/>
        <w:numPr>
          <w:ilvl w:val="5"/>
          <w:numId w:val="1"/>
        </w:numPr>
        <w:rPr/>
      </w:pPr>
      <w:bookmarkStart w:id="3866" w:name="__RefHeading___Toc3810229_1067777946"/>
      <w:bookmarkStart w:id="3867" w:name="_Toc1627"/>
      <w:bookmarkEnd w:id="3866"/>
      <w:r>
        <w:rPr>
          <w:rtl w:val="true"/>
        </w:rPr>
        <w:t>بالا رفتن قيمت و نقص آن و عود قيمت سابقه</w:t>
      </w:r>
      <w:bookmarkEnd w:id="3867"/>
    </w:p>
    <w:p>
      <w:pPr>
        <w:pStyle w:val="Heading6"/>
        <w:numPr>
          <w:ilvl w:val="5"/>
          <w:numId w:val="1"/>
        </w:numPr>
        <w:rPr/>
      </w:pPr>
      <w:bookmarkStart w:id="3868" w:name="__RefHeading___Toc3810231_1067777946"/>
      <w:bookmarkStart w:id="3869" w:name="_Toc1628"/>
      <w:bookmarkEnd w:id="3868"/>
      <w:r>
        <w:rPr>
          <w:rtl w:val="true"/>
        </w:rPr>
        <w:t>اشاره</w:t>
      </w:r>
      <w:bookmarkEnd w:id="3869"/>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قيمت عبد يا عين ديگرى كه مغصوب است، زائد شد به سبب زيادت صفتى حادثه در يد مالك يا متجدّده در يد غاصب، پس از آن زائل شد و نقص قيمت حاصل 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عود نمود و به قيمت سابقه برگشت، آيا منجبر است زوال صفت سابقه و ضمان آن، به عود آن، پس كافى است رد آن و اگر تلف شده كافى است رد بدل و لازم نيست رد ارش مضمون سابق‌؟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شك در غير مثل تذكر صنعتى يا علمى بعد از نسيان بعد از تعلم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غير صورتى كه زيادتى در صفت سابقه به حسب قيمت باشد بر آنچه ثابت است بعد از عود، مثل زيادتى عودكننده اگر تلف بشود عين</w:t>
      </w:r>
      <w:r>
        <w:rPr>
          <w:rFonts w:eastAsia="IRNazanin" w:cs="IRNazanin"/>
          <w:color w:val="111111"/>
          <w:sz w:val="28"/>
          <w:szCs w:val="28"/>
          <w:rtl w:val="true"/>
          <w:lang w:bidi="fa-IR"/>
        </w:rPr>
        <w:t>.</w:t>
      </w:r>
    </w:p>
    <w:p>
      <w:pPr>
        <w:pStyle w:val="Heading6"/>
        <w:numPr>
          <w:ilvl w:val="5"/>
          <w:numId w:val="1"/>
        </w:numPr>
        <w:rPr/>
      </w:pPr>
      <w:bookmarkStart w:id="3870" w:name="__RefHeading___Toc3810233_1067777946"/>
      <w:bookmarkStart w:id="3871" w:name="_Toc1629"/>
      <w:bookmarkEnd w:id="3870"/>
      <w:r>
        <w:rPr>
          <w:rtl w:val="true"/>
        </w:rPr>
        <w:t>مختار در مسأله</w:t>
      </w:r>
      <w:bookmarkEnd w:id="3871"/>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اظهر در محل بحث، عدم ضمان صفت تالفۀ عائده است و وقوع انجبار است به ملاحظۀ صدق تأديه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مضمون بودن سابقه، مراعىٰ به عدم عود است حين الردّ و </w:t>
      </w:r>
      <w:bookmarkStart w:id="3872" w:name="pg10265_90411"/>
    </w:p>
    <w:p>
      <w:pPr>
        <w:pStyle w:val="BookText"/>
        <w:rPr/>
      </w:pPr>
      <w:bookmarkEnd w:id="3872"/>
      <w:r>
        <w:rPr>
          <w:rFonts w:ascii="Amiri" w:hAnsi="Amiri" w:eastAsia="Amiri" w:cs="Amiri"/>
          <w:color w:val="111111"/>
          <w:sz w:val="28"/>
          <w:sz w:val="28"/>
          <w:szCs w:val="28"/>
          <w:rtl w:val="true"/>
          <w:lang w:bidi="ar-SA"/>
        </w:rPr>
        <w:t>حين الترقب، و ذهاب، موجب ضمان مراعىٰ است، و تجدّد نعمت در غير مثل فرض است كه در آن عود نعمت سابقه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لازمۀ عدم انجبار، تعدّد ارش است با رد موصوفه در صورت تكثّر ذهاب و عود در يد غاصب، بلكه عدم انجبار است در آنچه از محل شك خارج دانستيم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عرفيت عدم ضمان، و عدم مخالفت شرع در معاملات و تغريمات و تضمينات، على الصراحه، كافى در انجبار 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مخالف عدم انجبار محكىّ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حكم به عدم انجبار در سمن زائل عائد در يد غاصب، حكايت منافى آن و انجبار در صحّت زائله به مرض و عائده در يد غاصب شده است</w:t>
      </w:r>
      <w:r>
        <w:rPr>
          <w:rFonts w:eastAsia="IRNazanin" w:cs="IRNazanin"/>
          <w:color w:val="111111"/>
          <w:sz w:val="28"/>
          <w:szCs w:val="28"/>
          <w:rtl w:val="true"/>
          <w:lang w:bidi="fa-IR"/>
        </w:rPr>
        <w:t>.</w:t>
      </w:r>
    </w:p>
    <w:p>
      <w:pPr>
        <w:pStyle w:val="Heading6"/>
        <w:numPr>
          <w:ilvl w:val="5"/>
          <w:numId w:val="1"/>
        </w:numPr>
        <w:rPr/>
      </w:pPr>
      <w:bookmarkStart w:id="3873" w:name="__RefHeading___Toc3810235_1067777946"/>
      <w:bookmarkStart w:id="3874" w:name="_Toc1630"/>
      <w:bookmarkEnd w:id="3873"/>
      <w:r>
        <w:rPr>
          <w:rtl w:val="true"/>
        </w:rPr>
        <w:t>عود مثل زائله يا تجدّد صفت بالاتر</w:t>
      </w:r>
      <w:bookmarkEnd w:id="3874"/>
    </w:p>
    <w:p>
      <w:pPr>
        <w:pStyle w:val="BookText"/>
        <w:rPr/>
      </w:pPr>
      <w:r>
        <w:rPr>
          <w:rFonts w:ascii="IRNazanin" w:hAnsi="IRNazanin" w:eastAsia="IRNazanin"/>
          <w:color w:val="111111"/>
          <w:sz w:val="28"/>
          <w:sz w:val="28"/>
          <w:szCs w:val="28"/>
          <w:rtl w:val="true"/>
          <w:lang w:bidi="fa-IR"/>
        </w:rPr>
        <w:t>و اما اگر عين آن صفت زائله عود نكرد، و متجدّد شد در نزد غاصب، صفتى كه قيمت آن مثل زائله يا ازيد از آن بود، پس اظهر در فرض، ضمان ارش ذاهبه و عدم انجبار به متجدّده و عدم استحقاق غاصب چيزى را به سبب متجدّده است، چنانچه حكايت اجماع بر مختار شده است</w:t>
      </w:r>
      <w:r>
        <w:rPr>
          <w:rFonts w:eastAsia="IRNazanin" w:cs="IRNazanin"/>
          <w:color w:val="111111"/>
          <w:sz w:val="28"/>
          <w:szCs w:val="28"/>
          <w:rtl w:val="true"/>
          <w:lang w:bidi="fa-IR"/>
        </w:rPr>
        <w:t>.</w:t>
      </w:r>
    </w:p>
    <w:p>
      <w:pPr>
        <w:pStyle w:val="Heading6"/>
        <w:numPr>
          <w:ilvl w:val="5"/>
          <w:numId w:val="1"/>
        </w:numPr>
        <w:rPr/>
      </w:pPr>
      <w:bookmarkStart w:id="3875" w:name="__RefHeading___Toc3810237_1067777946"/>
      <w:bookmarkStart w:id="3876" w:name="_Toc1631"/>
      <w:bookmarkEnd w:id="3875"/>
      <w:r>
        <w:rPr>
          <w:rtl w:val="true"/>
        </w:rPr>
        <w:t>تكرر ذهاب و عود يك صفت</w:t>
      </w:r>
      <w:bookmarkEnd w:id="3876"/>
    </w:p>
    <w:p>
      <w:pPr>
        <w:pStyle w:val="BookText"/>
        <w:rPr/>
      </w:pPr>
      <w:r>
        <w:rPr>
          <w:rFonts w:ascii="IRNazanin" w:hAnsi="IRNazanin" w:eastAsia="IRNazanin"/>
          <w:color w:val="111111"/>
          <w:sz w:val="28"/>
          <w:sz w:val="28"/>
          <w:szCs w:val="28"/>
          <w:rtl w:val="true"/>
          <w:lang w:bidi="fa-IR"/>
        </w:rPr>
        <w:t>و اگر مكرر شد ذهاب و عود شخص يك صفت موجبۀ زيادتى قيمت، پس لازمِ مراعات مذكور، انجبار و ضمان يك صفت زائله است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نقصان صفات متعدّده و زيادتى صفات مغايرۀ متعدّده از جهاتى شد، همه نقصانها مضمون است مادام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اعادۀ عين ناقص نباشد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همين ميزان عود و مغايرت، ظاهر مى شود حكم در مثل تناثر ورق درخت پس از آن روييده شود، يا بريدن پشم گوسفند پس از آن روييده شود همان قدر، يا سقوط دندان جاريه پس از آن در همانجا خارج بشود، يا تساقط موى او پس از آن </w:t>
      </w:r>
      <w:bookmarkStart w:id="3877" w:name="pg10265_90412"/>
    </w:p>
    <w:p>
      <w:pPr>
        <w:pStyle w:val="BookText"/>
        <w:rPr/>
      </w:pPr>
      <w:bookmarkEnd w:id="3877"/>
      <w:r>
        <w:rPr>
          <w:rFonts w:ascii="IRNazanin" w:hAnsi="IRNazanin" w:eastAsia="IRNazanin"/>
          <w:color w:val="111111"/>
          <w:sz w:val="28"/>
          <w:sz w:val="28"/>
          <w:szCs w:val="28"/>
          <w:rtl w:val="true"/>
          <w:lang w:bidi="fa-IR"/>
        </w:rPr>
        <w:t>خارج بشود در همان محل؛ كه انجبار در دو مثال اول نيست به جهت مغايرت واضحه نسبت به ارش نقصان در عين به سبب سقوط و جزّ صوف؛ و اما نسبت به خود ورق و صوف، پس ضمان متقوّم از آنها بى اشكال است؛ به خلاف آخريها كه مورد عود و انجبار است مگر آنچه در حرّ مقدرى دارد و در مملوك، قياس به قيمت آن مى شود، مثل دندان بنا بر عدم فرق در ديه و قيمت بين تعقّب به اندمال و نحو آن و عدم تعقّب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موى هم در بعض موارد متقوّم است و محل ضمان است؛ و محل كلام، تفاوت موى دار و غير آن است</w:t>
      </w:r>
      <w:r>
        <w:rPr>
          <w:rFonts w:eastAsia="IRNazanin" w:cs="IRNazanin"/>
          <w:color w:val="111111"/>
          <w:sz w:val="28"/>
          <w:szCs w:val="28"/>
          <w:rtl w:val="true"/>
          <w:lang w:bidi="fa-IR"/>
        </w:rPr>
        <w:t>.</w:t>
      </w:r>
    </w:p>
    <w:p>
      <w:pPr>
        <w:pStyle w:val="Heading6"/>
        <w:numPr>
          <w:ilvl w:val="5"/>
          <w:numId w:val="1"/>
        </w:numPr>
        <w:rPr/>
      </w:pPr>
      <w:bookmarkStart w:id="3878" w:name="__RefHeading___Toc3810239_1067777946"/>
      <w:bookmarkStart w:id="3879" w:name="_Toc1632"/>
      <w:bookmarkEnd w:id="3878"/>
      <w:r>
        <w:rPr>
          <w:rtl w:val="true"/>
        </w:rPr>
        <w:t>ازدياد قيمت مملوك به سبب تعلم صنعت محرّمه</w:t>
      </w:r>
      <w:bookmarkEnd w:id="3879"/>
    </w:p>
    <w:p>
      <w:pPr>
        <w:pStyle w:val="BookText"/>
        <w:rPr/>
      </w:pPr>
      <w:r>
        <w:rPr>
          <w:rFonts w:ascii="IRNazanin" w:hAnsi="IRNazanin" w:eastAsia="IRNazanin"/>
          <w:color w:val="111111"/>
          <w:sz w:val="28"/>
          <w:sz w:val="28"/>
          <w:szCs w:val="28"/>
          <w:rtl w:val="true"/>
          <w:lang w:bidi="fa-IR"/>
        </w:rPr>
        <w:t xml:space="preserve">اگر ازدياد قيمت مملوك به سبب تعلم صنعت محرّمه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غنا و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از آن نسيان صنعت روى داد، اظهر ضمان نقصان است به جهت تقوّم عرفى و قصر حرمت بر استعمال و عمل يا اعم از آن و تعلم كه مفروض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استثناى بعض موارد از عموم حرمت، و عدم حرمت بعض مقدمات داخليّه و تقوّم همان مقدار، و تقوّم و زيادتى و كمى در شخص به واسطۀ وجدان و فقدان آنها</w:t>
      </w:r>
      <w:r>
        <w:rPr>
          <w:rFonts w:eastAsia="IRNazanin" w:cs="IRNazanin"/>
          <w:color w:val="111111"/>
          <w:sz w:val="28"/>
          <w:szCs w:val="28"/>
          <w:rtl w:val="true"/>
          <w:lang w:bidi="fa-IR"/>
        </w:rPr>
        <w:t>.</w:t>
      </w:r>
    </w:p>
    <w:p>
      <w:pPr>
        <w:pStyle w:val="Heading6"/>
        <w:numPr>
          <w:ilvl w:val="5"/>
          <w:numId w:val="1"/>
        </w:numPr>
        <w:rPr/>
      </w:pPr>
      <w:bookmarkStart w:id="3880" w:name="__RefHeading___Toc3810241_1067777946"/>
      <w:bookmarkStart w:id="3881" w:name="_Toc1633"/>
      <w:bookmarkEnd w:id="3880"/>
      <w:r>
        <w:rPr>
          <w:rtl w:val="true"/>
        </w:rPr>
        <w:t>ضمان چاقى مفرط و عدم آن</w:t>
      </w:r>
      <w:bookmarkEnd w:id="3881"/>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چاقى مفرط كه موجب زيادتى قيمت نشود، مضمون نيست به واسطۀ زوال آن در مغصوب، چه سابق بر غصب يا لاحق باشد؛ و اگر در اعضا، مختلف است تأثيرش در تقويم، مختلف است در حكم به ضمان و عدم آن؛ و اگر موجب نقصان قيمت باشد و در يد غاصب حادث شده است، ضامن ارش است نسبت به قيمت معتدل</w:t>
      </w:r>
      <w:r>
        <w:rPr>
          <w:rFonts w:eastAsia="IRNazanin" w:cs="IRNazanin"/>
          <w:color w:val="111111"/>
          <w:sz w:val="28"/>
          <w:szCs w:val="28"/>
          <w:rtl w:val="true"/>
          <w:lang w:bidi="fa-IR"/>
        </w:rPr>
        <w:t>.</w:t>
      </w:r>
    </w:p>
    <w:p>
      <w:pPr>
        <w:pStyle w:val="Heading5"/>
        <w:numPr>
          <w:ilvl w:val="4"/>
          <w:numId w:val="1"/>
        </w:numPr>
        <w:rPr/>
      </w:pPr>
      <w:bookmarkStart w:id="3882" w:name="__RefHeading___Toc3810243_1067777946"/>
      <w:bookmarkStart w:id="3883" w:name="_Toc1634"/>
      <w:bookmarkEnd w:id="3882"/>
      <w:r>
        <w:rPr>
          <w:rtl w:val="true"/>
        </w:rPr>
        <w:t>ميزان در ايجاب نقص قيمت يا عدم آن</w:t>
      </w:r>
      <w:bookmarkEnd w:id="3883"/>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ميزان در ايجاب نقص قيمت يا عدم تأثير در زيادتى قيمت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متجاوز از حد اعتدال </w:t>
      </w:r>
      <w:bookmarkStart w:id="3884" w:name="pg10265_90413"/>
    </w:p>
    <w:p>
      <w:pPr>
        <w:pStyle w:val="BookText"/>
        <w:rPr/>
      </w:pPr>
      <w:bookmarkEnd w:id="3884"/>
      <w:r>
        <w:rPr>
          <w:rFonts w:ascii="Amiri" w:hAnsi="Amiri" w:eastAsia="Amiri" w:cs="Amiri"/>
          <w:color w:val="111111"/>
          <w:sz w:val="28"/>
          <w:sz w:val="28"/>
          <w:szCs w:val="28"/>
          <w:rtl w:val="true"/>
          <w:lang w:bidi="ar-SA"/>
        </w:rPr>
        <w:t>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ممكن است رسيدن به اعتدال و نقص آن، مؤثّر در زيادتى قيمت يا نقص آن بشود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چنين سائر زيادات متّصله كه موجب ازدياد قيمت نمى شوند، يا آنكه موجب نقص قيمت مى شوند</w:t>
      </w:r>
      <w:r>
        <w:rPr>
          <w:rFonts w:eastAsia="IRNazanin" w:cs="IRNazanin"/>
          <w:color w:val="111111"/>
          <w:sz w:val="28"/>
          <w:szCs w:val="28"/>
          <w:rtl w:val="true"/>
          <w:lang w:bidi="fa-IR"/>
        </w:rPr>
        <w:t>.</w:t>
      </w:r>
    </w:p>
    <w:p>
      <w:pPr>
        <w:pStyle w:val="Heading4"/>
        <w:numPr>
          <w:ilvl w:val="3"/>
          <w:numId w:val="1"/>
        </w:numPr>
        <w:rPr/>
      </w:pPr>
      <w:bookmarkStart w:id="3885" w:name="__RefHeading___Toc3810245_1067777946"/>
      <w:bookmarkStart w:id="3886" w:name="_Toc1635"/>
      <w:bookmarkEnd w:id="3885"/>
      <w:r>
        <w:rPr>
          <w:rtl w:val="true"/>
        </w:rPr>
        <w:t>ضمان مبيع به بيع فاسد</w:t>
      </w:r>
      <w:bookmarkEnd w:id="3886"/>
    </w:p>
    <w:p>
      <w:pPr>
        <w:pStyle w:val="Heading5"/>
        <w:numPr>
          <w:ilvl w:val="4"/>
          <w:numId w:val="1"/>
        </w:numPr>
        <w:rPr/>
      </w:pPr>
      <w:bookmarkStart w:id="3887" w:name="__RefHeading___Toc3810247_1067777946"/>
      <w:bookmarkStart w:id="3888" w:name="_Toc1636"/>
      <w:bookmarkEnd w:id="3887"/>
      <w:r>
        <w:rPr>
          <w:rtl w:val="true"/>
        </w:rPr>
        <w:t>اشاره</w:t>
      </w:r>
      <w:bookmarkEnd w:id="388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نمى شود مُشترى آنچه را مى گيرد از بايع به بيع فاسد، و ضامن است آن را و منافع آن را براى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مذكور مى شود حكم در صورت علم بايع بالخصوص به فساد و مغرور بودن مشترى كه تسلّط مأذونٌ فيه است به اذن غير منوط به بيع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استظهار عدم ضمان در صورت علم بايع به فساد، پس موضوع ندارد بحث از ضمان اعلى القيم يا يوم التلف به مناسبت زوال آنچه موجب ازدياد قيمت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ضمان، آنچه موجب زيادتى قيمت مى شود چه سابق بر بيع و قبض چه لاحق باشد، مضمون است؛ پس اگر زائل بشود در يد مشترى، ضامن ارش است در حين رد؛ و اگر تالف است، بر او است بدل موصوف به آن صفت، چه مثل باشد يا قيمت</w:t>
      </w:r>
      <w:r>
        <w:rPr>
          <w:rFonts w:eastAsia="IRNazanin" w:cs="IRNazanin"/>
          <w:color w:val="111111"/>
          <w:sz w:val="28"/>
          <w:szCs w:val="28"/>
          <w:rtl w:val="true"/>
          <w:lang w:bidi="fa-IR"/>
        </w:rPr>
        <w:t>.</w:t>
      </w:r>
    </w:p>
    <w:p>
      <w:pPr>
        <w:pStyle w:val="Heading5"/>
        <w:numPr>
          <w:ilvl w:val="4"/>
          <w:numId w:val="1"/>
        </w:numPr>
        <w:rPr/>
      </w:pPr>
      <w:bookmarkStart w:id="3889" w:name="__RefHeading___Toc3810249_1067777946"/>
      <w:bookmarkStart w:id="3890" w:name="_Toc1637"/>
      <w:bookmarkEnd w:id="3889"/>
      <w:r>
        <w:rPr>
          <w:rtl w:val="true"/>
        </w:rPr>
        <w:t>تعاقب ايدى بر مغصوب</w:t>
      </w:r>
      <w:bookmarkEnd w:id="3890"/>
    </w:p>
    <w:p>
      <w:pPr>
        <w:pStyle w:val="Heading6"/>
        <w:numPr>
          <w:ilvl w:val="5"/>
          <w:numId w:val="1"/>
        </w:numPr>
        <w:rPr/>
      </w:pPr>
      <w:bookmarkStart w:id="3891" w:name="__RefHeading___Toc3810251_1067777946"/>
      <w:bookmarkStart w:id="3892" w:name="_Toc1638"/>
      <w:bookmarkEnd w:id="3891"/>
      <w:r>
        <w:rPr>
          <w:rtl w:val="true"/>
        </w:rPr>
        <w:t>ضمان خريدارِ از غاصب</w:t>
      </w:r>
      <w:bookmarkEnd w:id="3892"/>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مغصوب را شخصى از غاصب خريد، مثل غاصب، ضامنِ عين و منافع آن است در صورت عدم اجازۀ مالك اصلى بيع را؛ و مالك مى تواند مطالبۀ هر كدام از بايع و مشترى نمايد نسبت به عين و منافع آن، حتى آنچه متجدّد در يد مشترى يا غاصب اول شده است در صورت بقاى همه در يد مشترى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بدل تالف از عين و منافع را از مشترى مأخوذ داشت، نمى تواند رجوع نمايد مشترى به بايع در صورت علم مشترى به غصب و استقرار ضمان بر مشترى كه تلف در يد او باشد؛ و </w:t>
      </w:r>
      <w:bookmarkStart w:id="3893" w:name="pg10265_90414"/>
    </w:p>
    <w:p>
      <w:pPr>
        <w:pStyle w:val="BookText"/>
        <w:rPr/>
      </w:pPr>
      <w:bookmarkEnd w:id="3893"/>
      <w:r>
        <w:rPr>
          <w:rFonts w:ascii="IRNazanin" w:hAnsi="IRNazanin" w:eastAsia="IRNazanin"/>
          <w:color w:val="111111"/>
          <w:sz w:val="28"/>
          <w:sz w:val="28"/>
          <w:szCs w:val="28"/>
          <w:rtl w:val="true"/>
          <w:lang w:bidi="fa-IR"/>
        </w:rPr>
        <w:t>اگر رجوع كرد مالك به غاصب، رجوع مى نمايد به مشترى كه تلف در يد او واقع شده و قرار ضمان بر او شده است و عالم به غصب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مشترى جاهل به غصب بوده و به او رجوع شده بوده و تغريم شده بود، رجوع مى نمايد به غاصب به ثمن كه در عوض، دفع به بايع نموده بوده، يا بدل آن در صورت تلف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در يد غاصب از موجبات ضمان محقّق شده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استيفاى بعض منافع و تفويت بعض آنها يا نقصان موجب 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مخصوص به ضمان، همان غاصب است و بايد رجوع به او بشود، و با رجوع به او و تغريمِ او رجوع به مشترى نمى نمايد در خصوص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آنچه مشترى ضامن است، اگر رجوع به او شد و تغريم شد به جهت قرار ضمان به تلف بر او، نمى تواند رجوع به ثمن بر بايع نمايد در صورت علم مشترى به غصب و تلف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بقاى ثمن، پس اظهر جواز رجوع مشترى است به آن در صورت مذكوره، مگر در صورت رجوع به غاصب و تغريم او كه رجوع به مشترى مى نمايد و مشترى بايد بدل را به غاصب بپردازد؛ و اگر نداد، محتمل است جواز حبس غاصب، ثمن را تا اخذ بدل تالف از مشترى، و قبل از رجوع به غاصب و تغريم او، جايز نيست براى مشترى دفع مبيع يا بدل او به غير مالك مغصوب منه</w:t>
      </w:r>
      <w:r>
        <w:rPr>
          <w:rFonts w:eastAsia="IRNazanin" w:cs="IRNazanin"/>
          <w:color w:val="111111"/>
          <w:sz w:val="28"/>
          <w:szCs w:val="28"/>
          <w:rtl w:val="true"/>
          <w:lang w:bidi="fa-IR"/>
        </w:rPr>
        <w:t>.</w:t>
      </w:r>
    </w:p>
    <w:p>
      <w:pPr>
        <w:pStyle w:val="Heading6"/>
        <w:numPr>
          <w:ilvl w:val="5"/>
          <w:numId w:val="1"/>
        </w:numPr>
        <w:rPr/>
      </w:pPr>
      <w:bookmarkStart w:id="3894" w:name="__RefHeading___Toc3810253_1067777946"/>
      <w:bookmarkStart w:id="3895" w:name="_Toc1639"/>
      <w:bookmarkEnd w:id="3894"/>
      <w:r>
        <w:rPr>
          <w:rtl w:val="true"/>
        </w:rPr>
        <w:t>فرض جهل مشترى به غصب</w:t>
      </w:r>
      <w:bookmarkEnd w:id="3895"/>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مشترى جاهل به غصب بود و به او رجوع شد در بدل تالف و اداء كرد به مالك، رجوع مى نمايد به بايع غاصب به ثمن مبيع؛ و اگر مؤدّىٰ ازيد بود از ثمن يا بدل آن، اظهر رجوع او است در زيادتى به بايع غارّ؛ پس مشترى رجوع به بايع در عين مبيع يا بدل او در صورت تأديۀ او به مالك بعد از رجوع نمى نمايد، و رجوع در ثمن در صورت جهل او به غصب به بايع غارّ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بدل ثمن در صورت تلف آن، و هم چنين اغترامهاى ديگر كه در مقابل آن نفعى عائد مشترى نشده باشد، مثل نفقه و عمارت كه بعد از تأديۀ عين يا بدل به مالك، رجوع به بايع غارّ مى نمايد</w:t>
      </w:r>
      <w:r>
        <w:rPr>
          <w:rFonts w:eastAsia="IRNazanin" w:cs="IRNazanin"/>
          <w:color w:val="111111"/>
          <w:sz w:val="28"/>
          <w:szCs w:val="28"/>
          <w:rtl w:val="true"/>
          <w:lang w:bidi="fa-IR"/>
        </w:rPr>
        <w:t xml:space="preserve">. </w:t>
      </w:r>
      <w:bookmarkStart w:id="3896" w:name="pg10265_90415"/>
    </w:p>
    <w:p>
      <w:pPr>
        <w:pStyle w:val="Heading6"/>
        <w:numPr>
          <w:ilvl w:val="5"/>
          <w:numId w:val="1"/>
        </w:numPr>
        <w:rPr/>
      </w:pPr>
      <w:bookmarkStart w:id="3897" w:name="__RefHeading___Toc3810255_1067777946"/>
      <w:bookmarkStart w:id="3898" w:name="_Toc1640"/>
      <w:bookmarkEnd w:id="3896"/>
      <w:bookmarkEnd w:id="3897"/>
      <w:r>
        <w:rPr>
          <w:rtl w:val="true"/>
        </w:rPr>
        <w:t>استيلاد از كنيز مغصوبه با جهل</w:t>
      </w:r>
      <w:bookmarkEnd w:id="3898"/>
    </w:p>
    <w:p>
      <w:pPr>
        <w:pStyle w:val="BookText"/>
        <w:rPr/>
      </w:pPr>
      <w:r>
        <w:rPr>
          <w:rFonts w:ascii="IRNazanin" w:hAnsi="IRNazanin" w:eastAsia="IRNazanin"/>
          <w:color w:val="111111"/>
          <w:sz w:val="28"/>
          <w:sz w:val="28"/>
          <w:szCs w:val="28"/>
          <w:rtl w:val="true"/>
          <w:lang w:bidi="fa-IR"/>
        </w:rPr>
        <w:t>اگر مشترى كنيز غصبى را با جهل او استيلاد نمود، پس ولد آزاد است به جهت تولدش به شبهه از آزاد، و قيمت ولد را به مالك تأديه مى نمايد به سبب تفويت نماى ملك او بر او، و رجوع مى نمايد بعد از تأديه به بايع غارّ؛ پس اگر مالك، مطالبۀ غاصب نمود و تأديه كرد، رجوع به مشترى مغرور نمى نمايد؛ و اگر مطالبۀ مشترى نمود و تأديه كرد، رجوع به بايع غاصب غارّ مى نمايد؛ و مخيّر است مالك در مطالبۀ هر كدام، نسبت به مملوك و منافع آن</w:t>
      </w:r>
      <w:r>
        <w:rPr>
          <w:rFonts w:eastAsia="IRNazanin" w:cs="IRNazanin"/>
          <w:color w:val="111111"/>
          <w:sz w:val="28"/>
          <w:szCs w:val="28"/>
          <w:rtl w:val="true"/>
          <w:lang w:bidi="fa-IR"/>
        </w:rPr>
        <w:t>.</w:t>
      </w:r>
    </w:p>
    <w:p>
      <w:pPr>
        <w:pStyle w:val="Heading6"/>
        <w:numPr>
          <w:ilvl w:val="5"/>
          <w:numId w:val="1"/>
        </w:numPr>
        <w:rPr/>
      </w:pPr>
      <w:bookmarkStart w:id="3899" w:name="__RefHeading___Toc3810257_1067777946"/>
      <w:bookmarkStart w:id="3900" w:name="_Toc1641"/>
      <w:bookmarkEnd w:id="3899"/>
      <w:r>
        <w:rPr>
          <w:rtl w:val="true"/>
        </w:rPr>
        <w:t>ضمان منافع مستوفاة مغصوب</w:t>
      </w:r>
      <w:bookmarkEnd w:id="3900"/>
    </w:p>
    <w:p>
      <w:pPr>
        <w:pStyle w:val="BookText"/>
        <w:rPr/>
      </w:pPr>
      <w:r>
        <w:rPr>
          <w:rFonts w:ascii="IRNazanin" w:hAnsi="IRNazanin" w:eastAsia="IRNazanin"/>
          <w:color w:val="111111"/>
          <w:sz w:val="28"/>
          <w:sz w:val="28"/>
          <w:szCs w:val="28"/>
          <w:rtl w:val="true"/>
          <w:lang w:bidi="fa-IR"/>
        </w:rPr>
        <w:t xml:space="preserve">و آنچه از منافع مغصوب را كه مشترى استيفا نمود و منتفع به آنها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لبن و پشم و سكناى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اظهر آن است كه قرار ضمان بر بايع غاصب غارّ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رجوع به مشترى شد و تأديه كرد بدل آنها را، مى تواند رجوع به بايع 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اقوى از مباشر است و سبب تفويت و اتلاف شده است بر مالك؛ با جهل مشترى به غصب و عالم بودن غاصب در مقام 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 و اگر رجوع به بايع غاصب كرد، نمى تواند بعد از تأديه، رجوع به مباشر و مشترى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اگر جاريۀ بكر را غصب نمود و بيع نمود و مشترى جاهل، افتضاض كرد و رجوع به او در ارش ازالۀ بكارت شد، مى تواند رجوع به غاصب غارّ نمايد</w:t>
      </w:r>
      <w:r>
        <w:rPr>
          <w:rFonts w:eastAsia="IRNazanin" w:cs="IRNazanin"/>
          <w:color w:val="111111"/>
          <w:sz w:val="28"/>
          <w:szCs w:val="28"/>
          <w:rtl w:val="true"/>
          <w:lang w:bidi="fa-IR"/>
        </w:rPr>
        <w:t>.</w:t>
      </w:r>
    </w:p>
    <w:p>
      <w:pPr>
        <w:pStyle w:val="Heading4"/>
        <w:numPr>
          <w:ilvl w:val="3"/>
          <w:numId w:val="1"/>
        </w:numPr>
        <w:rPr/>
      </w:pPr>
      <w:bookmarkStart w:id="3901" w:name="__RefHeading___Toc3810259_1067777946"/>
      <w:bookmarkStart w:id="3902" w:name="_Toc1642"/>
      <w:bookmarkEnd w:id="3901"/>
      <w:r>
        <w:rPr>
          <w:rtl w:val="true"/>
        </w:rPr>
        <w:t>ازالۀ بكارت امۀ مغصوبه، به وطى يا غير آن</w:t>
      </w:r>
      <w:bookmarkEnd w:id="3902"/>
    </w:p>
    <w:p>
      <w:pPr>
        <w:pStyle w:val="Heading5"/>
        <w:numPr>
          <w:ilvl w:val="4"/>
          <w:numId w:val="1"/>
        </w:numPr>
        <w:rPr/>
      </w:pPr>
      <w:bookmarkStart w:id="3903" w:name="__RefHeading___Toc3810261_1067777946"/>
      <w:bookmarkStart w:id="3904" w:name="_Toc1643"/>
      <w:bookmarkEnd w:id="3903"/>
      <w:r>
        <w:rPr>
          <w:rtl w:val="true"/>
        </w:rPr>
        <w:t>اشاره</w:t>
      </w:r>
      <w:bookmarkEnd w:id="3904"/>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امۀ مغصوبه را وطى نمود، پس در صورت تحقّق شبهه در حرمت از طرف واطئ و موطوئه، بر واطى است مهر المثل كه تعيين شده است در روايات به نحو تعبد يا ارشاد در عُشر در بكر و نصف آن در ثيّب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مثل اصبع ازالۀ بكارت كرد پس از آن وطى نمود، اظهر ثبوت ارش بكارت كه ديۀ آن است به سببِ جنايت و ثبوت نصف عشر به سبب استيفاى منفعت بُضع است بدون تداخلِ‌ </w:t>
      </w:r>
      <w:bookmarkStart w:id="3905" w:name="pg10265_90416"/>
    </w:p>
    <w:p>
      <w:pPr>
        <w:pStyle w:val="BookText"/>
        <w:rPr/>
      </w:pPr>
      <w:bookmarkEnd w:id="3905"/>
      <w:r>
        <w:rPr>
          <w:rFonts w:ascii="Amiri" w:hAnsi="Amiri" w:eastAsia="Amiri" w:cs="Amiri"/>
          <w:color w:val="111111"/>
          <w:sz w:val="28"/>
          <w:sz w:val="28"/>
          <w:szCs w:val="28"/>
          <w:rtl w:val="true"/>
          <w:lang w:bidi="ar-SA"/>
        </w:rPr>
        <w:t>محقَق در صورت انتفاى غير وطى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منافع عين مغصوبه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خود 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ضمان غاصب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بيان حكم در صورت تعدّد منافع و ضمان اعلىٰ از آنها يا مستوفاى از آنها يا تفويت شده بر مالك در صورت معرضيّت عين براى آن انتفاعات و خروج از حد فرض و تقدير، حتى آنكه ممكن باشد اجتماع آنها در يك زمان با معرضيّت قريبه كه با آن تقدير، استثناى زمان قليل براى وطى اَمه لازم نيست، و با مجرد فرض ضرر ندارد؛ و استيفا از ضمان اعلىٰ از مستوفىٰ به تفويت با امكان و معرضيت، منافات ندارد</w:t>
      </w:r>
      <w:r>
        <w:rPr>
          <w:rFonts w:eastAsia="IRNazanin" w:cs="IRNazanin"/>
          <w:color w:val="111111"/>
          <w:sz w:val="28"/>
          <w:szCs w:val="28"/>
          <w:rtl w:val="true"/>
          <w:lang w:bidi="fa-IR"/>
        </w:rPr>
        <w:t>.</w:t>
      </w:r>
    </w:p>
    <w:p>
      <w:pPr>
        <w:pStyle w:val="Heading5"/>
        <w:numPr>
          <w:ilvl w:val="4"/>
          <w:numId w:val="1"/>
        </w:numPr>
        <w:rPr/>
      </w:pPr>
      <w:bookmarkStart w:id="3906" w:name="__RefHeading___Toc3810263_1067777946"/>
      <w:bookmarkStart w:id="3907" w:name="_Toc1644"/>
      <w:bookmarkEnd w:id="3906"/>
      <w:r>
        <w:rPr>
          <w:rtl w:val="true"/>
        </w:rPr>
        <w:t>حكم ولد متولد از امۀ مغصوبه در فرض استيلاء غاصب، أمه را</w:t>
      </w:r>
      <w:bookmarkEnd w:id="3907"/>
    </w:p>
    <w:p>
      <w:pPr>
        <w:pStyle w:val="BookText"/>
        <w:rPr/>
      </w:pPr>
      <w:r>
        <w:rPr>
          <w:rFonts w:ascii="IRNazanin" w:hAnsi="IRNazanin" w:eastAsia="IRNazanin"/>
          <w:color w:val="111111"/>
          <w:sz w:val="28"/>
          <w:sz w:val="28"/>
          <w:szCs w:val="28"/>
          <w:rtl w:val="true"/>
          <w:lang w:bidi="fa-IR"/>
        </w:rPr>
        <w:t>و اگر غاصب، احبال كرد اَمه را، ولد ملحق به او مى شود با شبهه، و بر او است قيمت ولد در روزى كه با حيات متولد شده است، كه تفويت شده بر مالك به سبب حرّيت والد؛ و هم چنين ارش نقصان حاصل در اَمه به سبب ولادت، بر غاصب است</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سقوط ولد ميّت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ضمان قيمت ولد بر تقدير رقّيّت با علم به حيات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مثل حركت در بطن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صورت سقوط حىّ است تا زمان علم به موت، و هم چنين در ارش نقصان اَمه به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غير اين صورت، دور نيست اشتراك با صورت سقوط به سبب جنايت كه ضامن مى شود جانى براى غاصب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ولد به او ملحق است به سبب 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ديۀ جنين حرّ را، و غاصب ضامن است براى مالك، ديۀ جنين اَمه را به سبب تفويت بر مالك؛ و محتمل است جنين امه، مقدّر شرعى آن عُشر قيمت مادرش در وقت جنايت باشد بدون فرق بين ذكر و انثىٰ‌، و تفصيل آن در كتاب ديات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ارتباطى بين حق مالك بر غاصب و حق غاصب بر جانى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ديۀ جنين حرّ را جانى براى غاصب والد، ضامن است، و ديه جنين اَمه را غاصب براى مالك، ضامن است؛ و نسبت به دومى، مالك به غاصب رجوع مى كند؛ و نسبت به اولى، غاصب به ضارب جانى مُسقِط رجوع </w:t>
      </w:r>
      <w:bookmarkStart w:id="3908" w:name="pg10265_90417"/>
    </w:p>
    <w:p>
      <w:pPr>
        <w:pStyle w:val="BookText"/>
        <w:rPr/>
      </w:pPr>
      <w:bookmarkEnd w:id="3908"/>
      <w:r>
        <w:rPr>
          <w:rFonts w:ascii="IRNazanin" w:hAnsi="IRNazanin" w:eastAsia="IRNazanin"/>
          <w:color w:val="111111"/>
          <w:sz w:val="28"/>
          <w:sz w:val="28"/>
          <w:szCs w:val="28"/>
          <w:rtl w:val="true"/>
          <w:lang w:bidi="fa-IR"/>
        </w:rPr>
        <w:t>مى كند؛ چنانچه ارش نقصان به ولادت، حق مالك است به غاصب، و ارش نقص خصوص اسقاط را مالك، مستحق است و مى تواند رجوع به هر كدام از غاصب ذى اليد و ضارب جانى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و ضمان زيادتى خصوصيّت اسقاط، بر جانى است، و آنچه مربوط به اصل ولادت است بر غاصب؛ لكن احتياط در صلح با رضاى هر سه، ترك نشود</w:t>
      </w:r>
      <w:r>
        <w:rPr>
          <w:rFonts w:eastAsia="IRNazanin" w:cs="IRNazanin"/>
          <w:color w:val="111111"/>
          <w:sz w:val="28"/>
          <w:szCs w:val="28"/>
          <w:rtl w:val="true"/>
          <w:lang w:bidi="fa-IR"/>
        </w:rPr>
        <w:t>.</w:t>
      </w:r>
    </w:p>
    <w:p>
      <w:pPr>
        <w:pStyle w:val="Heading5"/>
        <w:numPr>
          <w:ilvl w:val="4"/>
          <w:numId w:val="1"/>
        </w:numPr>
        <w:rPr/>
      </w:pPr>
      <w:bookmarkStart w:id="3909" w:name="__RefHeading___Toc3810265_1067777946"/>
      <w:bookmarkStart w:id="3910" w:name="_Toc1645"/>
      <w:bookmarkEnd w:id="3909"/>
      <w:r>
        <w:rPr>
          <w:rtl w:val="true"/>
        </w:rPr>
        <w:t>اگر واطى و موطوئه، عالم به حرمت بودند</w:t>
      </w:r>
      <w:bookmarkEnd w:id="3910"/>
    </w:p>
    <w:p>
      <w:pPr>
        <w:pStyle w:val="BookText"/>
        <w:rPr/>
      </w:pPr>
      <w:r>
        <w:rPr>
          <w:rFonts w:ascii="IRNazanin" w:hAnsi="IRNazanin" w:eastAsia="IRNazanin"/>
          <w:color w:val="111111"/>
          <w:sz w:val="28"/>
          <w:sz w:val="28"/>
          <w:szCs w:val="28"/>
          <w:rtl w:val="true"/>
          <w:lang w:bidi="fa-IR"/>
        </w:rPr>
        <w:t>اگر واطى و موطوئه، عالم به تحريم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اكراه غاصب، براى مولى بر او مهر المثل ثابت است، و هم چنين ارش نقصان مفروض به سبب وطى؛ و ولد هم تابع اُمّ است كه زانيه نيست، و بر غاصب است حدّ زنا؛ و اگر مطاوعت غاصب كرده بوده، پس اظهر عدم ثبوت مهر المثل است به جهت زنا از طرفين، و براى مولى است در بكر، ارش بكارت بلكه ارش نقصانِ مفروض به سبب وطى حرام و ارش نقصان به سبب ولادت در صورت حمل؛ و ولد هم مثل اُمّ‌، رقّ است براى مالك اُمّ‌</w:t>
      </w:r>
      <w:r>
        <w:rPr>
          <w:rFonts w:eastAsia="IRNazanin" w:cs="IRNazanin"/>
          <w:color w:val="111111"/>
          <w:sz w:val="28"/>
          <w:szCs w:val="28"/>
          <w:rtl w:val="true"/>
          <w:lang w:bidi="fa-IR"/>
        </w:rPr>
        <w:t>.</w:t>
      </w:r>
    </w:p>
    <w:p>
      <w:pPr>
        <w:pStyle w:val="Heading4"/>
        <w:numPr>
          <w:ilvl w:val="3"/>
          <w:numId w:val="1"/>
        </w:numPr>
        <w:rPr/>
      </w:pPr>
      <w:bookmarkStart w:id="3911" w:name="__RefHeading___Toc3810267_1067777946"/>
      <w:bookmarkStart w:id="3912" w:name="_Toc1646"/>
      <w:bookmarkEnd w:id="3911"/>
      <w:r>
        <w:rPr>
          <w:rtl w:val="true"/>
        </w:rPr>
        <w:t>غصب دانه و تخم مرغ و تبديل به زرع و جوجه</w:t>
      </w:r>
      <w:bookmarkEnd w:id="3912"/>
    </w:p>
    <w:p>
      <w:pPr>
        <w:pStyle w:val="Heading5"/>
        <w:numPr>
          <w:ilvl w:val="4"/>
          <w:numId w:val="1"/>
        </w:numPr>
        <w:rPr/>
      </w:pPr>
      <w:bookmarkStart w:id="3913" w:name="__RefHeading___Toc3810269_1067777946"/>
      <w:bookmarkStart w:id="3914" w:name="_Toc1647"/>
      <w:bookmarkEnd w:id="3913"/>
      <w:r>
        <w:rPr>
          <w:rtl w:val="true"/>
        </w:rPr>
        <w:t>اشاره</w:t>
      </w:r>
      <w:bookmarkEnd w:id="391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غصب كرد حَبّى را، پس زرع كرد آن را در زمينى تا روئيده شد؛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مرغى را، پس زير مرغى گذاشت و جوجه خارج شد، اظهر بقاى آنچه خارج شده است در ملك مالك حَبّ و تخم است، نه حدوث در ملك غاصب حَبّ و تخم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آن است كه اين حالات، بدون اختيار در زمين مالك اصلى حادث شده بوده بدون غصب؛ و مالكيّت صاحب انثىٰ آنچه را كه متكوّن از منىّ فحل است، خارج به دليل است از اصل كلى</w:t>
      </w:r>
      <w:r>
        <w:rPr>
          <w:rFonts w:eastAsia="IRNazanin" w:cs="IRNazanin"/>
          <w:color w:val="111111"/>
          <w:sz w:val="28"/>
          <w:szCs w:val="28"/>
          <w:rtl w:val="true"/>
          <w:lang w:bidi="fa-IR"/>
        </w:rPr>
        <w:t>.</w:t>
      </w:r>
    </w:p>
    <w:p>
      <w:pPr>
        <w:pStyle w:val="Heading5"/>
        <w:numPr>
          <w:ilvl w:val="4"/>
          <w:numId w:val="1"/>
        </w:numPr>
        <w:rPr/>
      </w:pPr>
      <w:bookmarkStart w:id="3915" w:name="__RefHeading___Toc3810271_1067777946"/>
      <w:bookmarkStart w:id="3916" w:name="_Toc1648"/>
      <w:bookmarkEnd w:id="3915"/>
      <w:r>
        <w:rPr>
          <w:rtl w:val="true"/>
        </w:rPr>
        <w:t>غصب عصير و انقلاب آن به خَلّ يا عكس</w:t>
      </w:r>
      <w:bookmarkEnd w:id="3916"/>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عصيرى حلال را غصب كرد پس در يد غاصب، مستحيل و منقلب به خَلّ شد </w:t>
      </w:r>
      <w:bookmarkStart w:id="3917" w:name="pg10265_90418"/>
    </w:p>
    <w:p>
      <w:pPr>
        <w:pStyle w:val="BookText"/>
        <w:rPr/>
      </w:pPr>
      <w:bookmarkEnd w:id="3917"/>
      <w:r>
        <w:rPr>
          <w:rFonts w:ascii="IRNazanin" w:hAnsi="IRNazanin" w:eastAsia="IRNazanin"/>
          <w:color w:val="111111"/>
          <w:sz w:val="28"/>
          <w:sz w:val="28"/>
          <w:szCs w:val="28"/>
          <w:rtl w:val="true"/>
          <w:lang w:bidi="fa-IR"/>
        </w:rPr>
        <w:t>بعد از آنكه منقلب به خمر شد؛ آيا خلّ‌، رد به مالك مى شود با ضمان ارش نقص قيمت خَلّ از عصير اگر باشد، يا مملوك غاصب است‌؟</w:t>
      </w:r>
    </w:p>
    <w:p>
      <w:pPr>
        <w:pStyle w:val="BookText"/>
        <w:rPr/>
      </w:pPr>
      <w:r>
        <w:rPr>
          <w:rFonts w:ascii="IRNazanin" w:hAnsi="IRNazanin" w:eastAsia="IRNazanin"/>
          <w:color w:val="111111"/>
          <w:sz w:val="28"/>
          <w:sz w:val="28"/>
          <w:szCs w:val="28"/>
          <w:rtl w:val="true"/>
          <w:lang w:bidi="fa-IR"/>
        </w:rPr>
        <w:t>اگر به سبب تخمير، معرض عنه شد به سبب ندرت احتمال خليّت، اظهر ضمان عصير است فقط و لازم نيست رد خلّ به مالك اصلى؛ وگرنه ضامن عصير است و بر او است رد خلّ به مالك آن كه حق اختصاص با امكان اخذ للتخليل براى او باقى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است حكم در غصب خلّ كه منقلب به خمريّت عائده به خليّت باشد، لكن در صورت عدم اعراض، احتمال كفايت رد خلّ به جهت صدق رد مغصوب عرفاً، خالى از 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خمر متخذه براى تخليل با حصول خلّيّت در يد غاصب آن خمر، اعاده به مالك مى شود</w:t>
      </w:r>
      <w:r>
        <w:rPr>
          <w:rFonts w:eastAsia="IRNazanin" w:cs="IRNazanin"/>
          <w:color w:val="111111"/>
          <w:sz w:val="28"/>
          <w:szCs w:val="28"/>
          <w:rtl w:val="true"/>
          <w:lang w:bidi="fa-IR"/>
        </w:rPr>
        <w:t>.</w:t>
      </w:r>
    </w:p>
    <w:p>
      <w:pPr>
        <w:pStyle w:val="Heading4"/>
        <w:numPr>
          <w:ilvl w:val="3"/>
          <w:numId w:val="1"/>
        </w:numPr>
        <w:rPr/>
      </w:pPr>
      <w:bookmarkStart w:id="3918" w:name="__RefHeading___Toc3810273_1067777946"/>
      <w:bookmarkStart w:id="3919" w:name="_Toc1649"/>
      <w:bookmarkEnd w:id="3918"/>
      <w:r>
        <w:rPr>
          <w:rtl w:val="true"/>
        </w:rPr>
        <w:t>غصب زمين و زراعت در آن</w:t>
      </w:r>
      <w:bookmarkEnd w:id="3919"/>
    </w:p>
    <w:p>
      <w:pPr>
        <w:pStyle w:val="Heading5"/>
        <w:numPr>
          <w:ilvl w:val="4"/>
          <w:numId w:val="1"/>
        </w:numPr>
        <w:rPr/>
      </w:pPr>
      <w:bookmarkStart w:id="3920" w:name="__RefHeading___Toc3810275_1067777946"/>
      <w:bookmarkStart w:id="3921" w:name="_Toc1650"/>
      <w:bookmarkEnd w:id="3920"/>
      <w:r>
        <w:rPr>
          <w:rtl w:val="true"/>
        </w:rPr>
        <w:t>اشاره</w:t>
      </w:r>
      <w:bookmarkEnd w:id="392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زمين مغصوب، زرعى يا غرسى نمود، مزروع و مغروس، در ملك زارع و غارس است، و براى صاحب زمين، كرايۀ منفعت زمين است بر زارع و غارس بدون اذن مالك زمين، و بر او است ازالۀ زرع و غرس در صورت مطالبۀ مالك، و هم چنين پُر كردن حفره ها و تفاوت زمين اگر نقصى در آن حاصل بشود به سبب زرع و غرس بعد از ازالۀ آنها؛ و اگر صاحب زمين، قيمت زرع و غرس را بذل نمايد، واجب نيست قبول آن بر غارس و زارع؛ و اگر غاصب، بذل اجرت منفعت زمين را نمايد تا ازاله ننمايد، واجب نيست قبول آن بر مالك زمين</w:t>
      </w:r>
      <w:r>
        <w:rPr>
          <w:rFonts w:eastAsia="IRNazanin" w:cs="IRNazanin"/>
          <w:color w:val="111111"/>
          <w:sz w:val="28"/>
          <w:szCs w:val="28"/>
          <w:rtl w:val="true"/>
          <w:lang w:bidi="fa-IR"/>
        </w:rPr>
        <w:t>.</w:t>
      </w:r>
    </w:p>
    <w:p>
      <w:pPr>
        <w:pStyle w:val="Heading5"/>
        <w:numPr>
          <w:ilvl w:val="4"/>
          <w:numId w:val="1"/>
        </w:numPr>
        <w:rPr/>
      </w:pPr>
      <w:bookmarkStart w:id="3922" w:name="__RefHeading___Toc3810277_1067777946"/>
      <w:bookmarkStart w:id="3923" w:name="_Toc1651"/>
      <w:bookmarkEnd w:id="3922"/>
      <w:r>
        <w:rPr>
          <w:rtl w:val="true"/>
        </w:rPr>
        <w:t>حفر چاه در زمين غصبى</w:t>
      </w:r>
      <w:bookmarkEnd w:id="3923"/>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غاصب، حفر چاهى در زمين مغصوب نمود و حفر هم مأذونٌ فيه نبود، بر او است پُر كردن چاه، و جائز نيست تصرّف غاصب در پر كردن مگر با اذن مالك؛ پس اگر به بقاى چاه راضى شد، ضمان پر كردن ساقط است؛ و اگر اختلاف در </w:t>
      </w:r>
      <w:bookmarkStart w:id="3924" w:name="pg10265_90419"/>
    </w:p>
    <w:p>
      <w:pPr>
        <w:pStyle w:val="BookText"/>
        <w:rPr/>
      </w:pPr>
      <w:bookmarkEnd w:id="3924"/>
      <w:r>
        <w:rPr>
          <w:rFonts w:ascii="IRNazanin" w:hAnsi="IRNazanin" w:eastAsia="IRNazanin"/>
          <w:color w:val="111111"/>
          <w:sz w:val="28"/>
          <w:sz w:val="28"/>
          <w:szCs w:val="28"/>
          <w:rtl w:val="true"/>
          <w:lang w:bidi="fa-IR"/>
        </w:rPr>
        <w:t xml:space="preserve">مباشرت پر كردن باشد، مى تواند مباشرت با مالك يا مأذون او باشد و اجرت پر كردن از غاصب مطالبه شود، كما اينكه غاصب با اثبات عدم فرق در مباشرت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مباشرت نمايد و تأديۀ اجرت ننمايد</w:t>
      </w:r>
      <w:r>
        <w:rPr>
          <w:rFonts w:eastAsia="IRNazanin" w:cs="IRNazanin"/>
          <w:color w:val="111111"/>
          <w:sz w:val="28"/>
          <w:szCs w:val="28"/>
          <w:rtl w:val="true"/>
          <w:lang w:bidi="fa-IR"/>
        </w:rPr>
        <w:t>.</w:t>
      </w:r>
    </w:p>
    <w:p>
      <w:pPr>
        <w:pStyle w:val="Heading4"/>
        <w:numPr>
          <w:ilvl w:val="3"/>
          <w:numId w:val="1"/>
        </w:numPr>
        <w:rPr/>
      </w:pPr>
      <w:bookmarkStart w:id="3925" w:name="__RefHeading___Toc3810279_1067777946"/>
      <w:bookmarkStart w:id="3926" w:name="_Toc1652"/>
      <w:bookmarkEnd w:id="3925"/>
      <w:r>
        <w:rPr>
          <w:rtl w:val="true"/>
        </w:rPr>
        <w:t>فرض عدم امكان اخراج دابه مگر با هدم خانه</w:t>
      </w:r>
      <w:bookmarkEnd w:id="3926"/>
    </w:p>
    <w:p>
      <w:pPr>
        <w:pStyle w:val="Heading5"/>
        <w:numPr>
          <w:ilvl w:val="4"/>
          <w:numId w:val="1"/>
        </w:numPr>
        <w:rPr/>
      </w:pPr>
      <w:bookmarkStart w:id="3927" w:name="__RefHeading___Toc3810281_1067777946"/>
      <w:bookmarkStart w:id="3928" w:name="_Toc1653"/>
      <w:bookmarkEnd w:id="3927"/>
      <w:r>
        <w:rPr>
          <w:rtl w:val="true"/>
        </w:rPr>
        <w:t>اشاره</w:t>
      </w:r>
      <w:bookmarkEnd w:id="392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دابّۀ مملوكه در مثل خانه اى قرار گرفت و ممكن نشد اخراج مگر با هدم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اين قرار به سبب عملى از صاحب خانه بود، الزام به هدم و رد دابّه به مالك مى شود؛ و احوط براى صاحب دابّه در صورت زيادتى ضرر هدم بر ضرر او، رضا به جمع بين حقين است به ذبح حيوان مأكول با اخذ تفاوت يا اخذ بدل از غير مأكول از صاحب خانه اگر تائب شد از عدوانى اگر از او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سبب او نبود بلكه به سبب صاحب دابه بود، پس اگر راضى به غير هدم نشد، ضامن هدم است، بلكه حق الزام به هدم ندارد، و بر او است ذبح مأكول براى اخراج يا اخذ بدل از دابه با رضاى صاحب خانه</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چنين اگر به سبب هيچ كدام نبود، بر صاحب خانه تكليف و ضمانى نيست؛ و با رضاى او تصرّف در خانه و با رضاى صاحب دابه، تصرّف در دابه مى شود؛ و اگر راضى نشد صاحب دابه، مى تواند صاحب دار تفريغ نمايد خانه را به اقل ضرراً بر صاحب دابه از امور ممكنه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اشتراك در ضرر در صورت بقا و اخراج به هدم، و عدم امكان جمع بين حقين بدون ضرر، پس بايد در رعايت وجوب تفريغ مكان و وجوب حفظ حيوان از هلاك في الجمله، رعايت اقل ضرراً بشود در فرض عدم تفريط از هيچ كدام؛ و در صورت تساوى، مصالحه يا قرعه يا دخالت حاكم شرع به فصل به امر 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صلح يا قرعه يا غير اينها كه جائز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bookmarkStart w:id="3929" w:name="pg10265_90420"/>
    </w:p>
    <w:p>
      <w:pPr>
        <w:pStyle w:val="Heading5"/>
        <w:numPr>
          <w:ilvl w:val="4"/>
          <w:numId w:val="1"/>
        </w:numPr>
        <w:rPr/>
      </w:pPr>
      <w:bookmarkStart w:id="3930" w:name="__RefHeading___Toc3810283_1067777946"/>
      <w:bookmarkStart w:id="3931" w:name="_Toc1654"/>
      <w:bookmarkEnd w:id="3929"/>
      <w:bookmarkEnd w:id="3930"/>
      <w:r>
        <w:rPr>
          <w:rtl w:val="true"/>
        </w:rPr>
        <w:t>ادخال دابه، راس خود را در ظرف ديگرى</w:t>
      </w:r>
      <w:bookmarkEnd w:id="3931"/>
    </w:p>
    <w:p>
      <w:pPr>
        <w:pStyle w:val="BookText"/>
        <w:rPr/>
      </w:pPr>
      <w:r>
        <w:rPr>
          <w:rFonts w:ascii="IRNazanin" w:hAnsi="IRNazanin" w:eastAsia="IRNazanin"/>
          <w:color w:val="111111"/>
          <w:sz w:val="28"/>
          <w:sz w:val="28"/>
          <w:szCs w:val="28"/>
          <w:rtl w:val="true"/>
          <w:lang w:bidi="fa-IR"/>
        </w:rPr>
        <w:t xml:space="preserve">و اين حكم جارى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ادخال دابۀ غير، رأس خود را در قِدر مملوك ديگرى، در صورت اختصاص تفريط موجب به ضمان به يكى از دو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تفريط از هيچ كدام كه در آن ملاحظۀ اقل يا اكثر ضرراً مى شود؛ و در صورت تساوى، صلح به نحو متقدّم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جارى است حكم عدم تفريط از مالكين در صورتى كه سيل، درخت شخصى را به زمين شخصى ديگر نقل داد و نقل و ابقاءْ‌، موجب تضرر يكى يا هر دو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امثال اين 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وقوع دينارى يا جوهرى در محبرۀ غير، يا بلع گوسفندى جوهر غير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مذكوره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تفريط از طرفين بود، ضرر واقع مى شود بر اقلّهما ضرراً و مصالحه بر تضرر او مى شود؛ و در صورت تساوى، قرعه يا تعيين با اقراع حاكم يا اجبار او اگر مصلحت دانست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حكم به ضمان، مضمونٌ به ارش است با ثبوت قيمت براى مكسور يا اتلاف شده، و تمام قيمت يا مثل است در صورت عدم قيمت براى آنچه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گذشت احتياط در تضمين مفرط تائب به ايقاع او در ضرر مجحف غير مناسب با ضرر طرف، در مصالحه به مناسب حال او از مقدار بدل و اخذ طرف، آن مقدار را</w:t>
      </w:r>
      <w:r>
        <w:rPr>
          <w:rFonts w:eastAsia="IRNazanin" w:cs="IRNazanin"/>
          <w:color w:val="111111"/>
          <w:sz w:val="28"/>
          <w:szCs w:val="28"/>
          <w:rtl w:val="true"/>
          <w:lang w:bidi="fa-IR"/>
        </w:rPr>
        <w:t>.</w:t>
      </w:r>
    </w:p>
    <w:p>
      <w:pPr>
        <w:pStyle w:val="Heading4"/>
        <w:numPr>
          <w:ilvl w:val="3"/>
          <w:numId w:val="1"/>
        </w:numPr>
        <w:rPr/>
      </w:pPr>
      <w:bookmarkStart w:id="3932" w:name="__RefHeading___Toc3810285_1067777946"/>
      <w:bookmarkStart w:id="3933" w:name="_Toc1655"/>
      <w:bookmarkEnd w:id="3932"/>
      <w:r>
        <w:rPr>
          <w:rtl w:val="true"/>
        </w:rPr>
        <w:t>تصرف در مال غير بدون اذن مالك به جهت خوف ضرر</w:t>
      </w:r>
      <w:bookmarkEnd w:id="3933"/>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بترسد كه ديوار همسايۀ سقوط نمايد، جائز است تكليفاً استناد آن به چوبى و نحو آن از ملك غير، بدون اذن مالك چوب بلكه با منع او، با ضمان عوض آن، چه آنكه خوف تلف نفس يا چيزى كه اهمّ از آن 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صورتى كه طريق ديگرى جائز براى دفع مخوف نباشد</w:t>
      </w:r>
      <w:r>
        <w:rPr>
          <w:rFonts w:eastAsia="IRNazanin" w:cs="IRNazanin"/>
          <w:color w:val="111111"/>
          <w:sz w:val="28"/>
          <w:szCs w:val="28"/>
          <w:rtl w:val="true"/>
          <w:lang w:bidi="fa-IR"/>
        </w:rPr>
        <w:t xml:space="preserve">. </w:t>
      </w:r>
      <w:bookmarkStart w:id="3934" w:name="pg10265_90421"/>
    </w:p>
    <w:p>
      <w:pPr>
        <w:pStyle w:val="Heading4"/>
        <w:numPr>
          <w:ilvl w:val="3"/>
          <w:numId w:val="1"/>
        </w:numPr>
        <w:rPr/>
      </w:pPr>
      <w:bookmarkStart w:id="3935" w:name="__RefHeading___Toc3810287_1067777946"/>
      <w:bookmarkStart w:id="3936" w:name="_Toc1656"/>
      <w:bookmarkEnd w:id="3934"/>
      <w:bookmarkEnd w:id="3935"/>
      <w:r>
        <w:rPr>
          <w:rtl w:val="true"/>
        </w:rPr>
        <w:t>جنايت عمديۀ عبد مغصوب</w:t>
      </w:r>
      <w:bookmarkEnd w:id="3936"/>
    </w:p>
    <w:p>
      <w:pPr>
        <w:pStyle w:val="Heading5"/>
        <w:numPr>
          <w:ilvl w:val="4"/>
          <w:numId w:val="1"/>
        </w:numPr>
        <w:rPr/>
      </w:pPr>
      <w:bookmarkStart w:id="3937" w:name="__RefHeading___Toc3810289_1067777946"/>
      <w:bookmarkStart w:id="3938" w:name="_Toc1657"/>
      <w:bookmarkEnd w:id="3937"/>
      <w:r>
        <w:rPr>
          <w:rtl w:val="true"/>
        </w:rPr>
        <w:t>اشاره</w:t>
      </w:r>
      <w:bookmarkEnd w:id="393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 مغصوب، جنايتى عمديه نمود، پس موجب قصاص محقّق شد و مقتول شد، بر غاصب است ضمان قيمت او در روز تلف به قتل، چه آنكه قتل بعد از رد به مالك باشد يا قبل از آن، در صورتى كه جنايت در يد غاصب بوده، چه آنكه تفريطى در حفظ از جنايت از غاصب بوده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جنايت در يد غاصب شد و رد به مالك كرد، پس از آن وفات كرد عبد در نزد مالك، غاصب، ضامن ارش نقصان قيمت است به سبب استحقاق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اگر غصب، بعد از جنايت موجبۀ قتل يا مجوّز آن بوده است، پس مقتول بشود در يد غاصب، ضامن قيمت مستحَق قتل مى شود، به خلاف صورت سبق غصب بر جنايت عمديه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غصب بعد از مثل ارتداد فطرى يا ملّى يا سرقت بوده باشد و در يد غاصب، مقتول يا مقطوع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ولىّ دم طلب ديه نمود، بر غاصب است اقلّ امرين از قيمت عبد و ديۀ جنايت؛ لكن چون اصلِ ديۀ عمد منوط به رضاى ولىّ دم است پس اگر مطالبۀ ازيد از قيمت نمود، بر غاصب است بذل ازيد، به جهت توقف واجب از رد عين بر دفع زيادتى از قيمت، نه به جهت مساوات ديۀ حرّ و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در موارد ضرر مجحف، جواز مداخلۀ حاكم شرع براى اصلاح يا امر به صلح و لو با تأديۀ مقدارى از بيت المال كه معدّ براى مصالح 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تشخيص او</w:t>
      </w:r>
      <w:r>
        <w:rPr>
          <w:rFonts w:eastAsia="IRNazanin" w:cs="IRNazanin"/>
          <w:color w:val="111111"/>
          <w:sz w:val="28"/>
          <w:szCs w:val="28"/>
          <w:rtl w:val="true"/>
          <w:lang w:bidi="fa-IR"/>
        </w:rPr>
        <w:t>.</w:t>
      </w:r>
    </w:p>
    <w:p>
      <w:pPr>
        <w:pStyle w:val="Heading5"/>
        <w:numPr>
          <w:ilvl w:val="4"/>
          <w:numId w:val="1"/>
        </w:numPr>
        <w:rPr/>
      </w:pPr>
      <w:bookmarkStart w:id="3939" w:name="__RefHeading___Toc3810291_1067777946"/>
      <w:bookmarkStart w:id="3940" w:name="_Toc1658"/>
      <w:bookmarkEnd w:id="3939"/>
      <w:r>
        <w:rPr>
          <w:rtl w:val="true"/>
        </w:rPr>
        <w:t>وفات عبد مغصوب جانى</w:t>
      </w:r>
      <w:bookmarkEnd w:id="3940"/>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عبد مذكور وفات نمود، ولىّ مجنىّ عليه، بدل او را كه قيمت آن است از غاصب يا مالك اگر بدلِ مغصوب، مدفوع به او شده بوده مأخوذ مى نمايد، و مالك، بدل مغصوب را از غاصب مأخوذ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بدل عبد از غاصب به مالك برسد و بدل جنايت مقتضيۀ قصاص از غاصب به ولىّ مجنى عليه برسد به واسطۀ مالك يا </w:t>
      </w:r>
      <w:bookmarkStart w:id="3941" w:name="pg10265_90422"/>
    </w:p>
    <w:p>
      <w:pPr>
        <w:pStyle w:val="BookText"/>
        <w:rPr/>
      </w:pPr>
      <w:bookmarkEnd w:id="3941"/>
      <w:r>
        <w:rPr>
          <w:rFonts w:ascii="Amiri" w:hAnsi="Amiri" w:eastAsia="Amiri" w:cs="Amiri"/>
          <w:color w:val="111111"/>
          <w:sz w:val="28"/>
          <w:sz w:val="28"/>
          <w:szCs w:val="28"/>
          <w:rtl w:val="true"/>
          <w:lang w:bidi="ar-SA"/>
        </w:rPr>
        <w:t>بدون واسطۀ او؛ و مثل ديۀ كامله است در مقام قتل، ارش نقص در مقام قطع اقتصاصى كه غاصب، ضامن آن است براى ولى مجنى عليه مضافاً به ضمان نفس عبد براى مالك</w:t>
      </w:r>
      <w:r>
        <w:rPr>
          <w:rFonts w:eastAsia="Amiri" w:cs="Amiri" w:ascii="Amiri" w:hAnsi="Amiri"/>
          <w:color w:val="111111"/>
          <w:sz w:val="28"/>
          <w:szCs w:val="28"/>
          <w:rtl w:val="true"/>
          <w:lang w:bidi="ar-SA"/>
        </w:rPr>
        <w:t>.</w:t>
      </w:r>
    </w:p>
    <w:p>
      <w:pPr>
        <w:pStyle w:val="Heading5"/>
        <w:numPr>
          <w:ilvl w:val="4"/>
          <w:numId w:val="1"/>
        </w:numPr>
        <w:rPr/>
      </w:pPr>
      <w:bookmarkStart w:id="3942" w:name="__RefHeading___Toc3810293_1067777946"/>
      <w:bookmarkStart w:id="3943" w:name="_Toc1659"/>
      <w:bookmarkEnd w:id="3942"/>
      <w:r>
        <w:rPr>
          <w:rtl w:val="true"/>
        </w:rPr>
        <w:t>جنايت عبد در يد مالك و جنايت دوم او پس از غصب</w:t>
      </w:r>
      <w:bookmarkEnd w:id="3943"/>
    </w:p>
    <w:p>
      <w:pPr>
        <w:pStyle w:val="BookText"/>
        <w:rPr/>
      </w:pPr>
      <w:r>
        <w:rPr>
          <w:rFonts w:ascii="IRNazanin" w:hAnsi="IRNazanin" w:eastAsia="IRNazanin"/>
          <w:color w:val="111111"/>
          <w:sz w:val="28"/>
          <w:sz w:val="28"/>
          <w:szCs w:val="28"/>
          <w:rtl w:val="true"/>
          <w:lang w:bidi="fa-IR"/>
        </w:rPr>
        <w:t>اگر جنايت كرد مملوك در يد مالك خود به مستوعب، پس از آن مغصوب شد پس جنايت ديگرى به مستوعب نمود و حكم براى اول قبل از غصب نشده بود، بيع مى شود در دو جنايت، و مالك به غاصب رجوع مى نمايد به آنچه دومى از آنها مأخوذ داشته بود، چون جنايت اولى مضمون بر غاصب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ظاهراً حق مجنى عليه اعم از اخذ ثمن بيع و استرقاق است، و بيع، اجبارى نيست و مى تواند اولى استرقاق نمايد؛ و اگر استرقاق كرد پس از آن جنايت ثانيه نمود، مختص به دومى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ولى مجنى عليه به جنايت دومى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و اگر استرقاقى نبود تا تحقّق جنايت ثانيه، شريك مى شود دو ولىّ دو جنايت در مملوك، در استرقاق هر كدام نصف را در صورت مفروضه كه جنايت مستوعبه باشد در هر دو، بنا بر عدم ترجيح اولى يا دوّمى در اين دو جنايت؛ و هم چنين بيع مملوك براى دو جنايت و شركت دو مجنى عليه در ثمن او؛ و ضامن مى شود براى مالك، آنچه را كه اداء كرده است براى جنايت در يد غاصب كه نصف ثمن مى شود؛ و بعد از اخذ از غاصب، رجوع مجنى عليه اول به مالك در همان نصف كه مأخوذ از غاصب است محل اشكال، و اظهر عدم استحقاق رجوع، و احوط صلح است</w:t>
      </w:r>
      <w:r>
        <w:rPr>
          <w:rFonts w:eastAsia="IRNazanin" w:cs="IRNazanin"/>
          <w:color w:val="111111"/>
          <w:sz w:val="28"/>
          <w:szCs w:val="28"/>
          <w:rtl w:val="true"/>
          <w:lang w:bidi="fa-IR"/>
        </w:rPr>
        <w:t>.</w:t>
      </w:r>
    </w:p>
    <w:p>
      <w:pPr>
        <w:pStyle w:val="Heading5"/>
        <w:numPr>
          <w:ilvl w:val="4"/>
          <w:numId w:val="1"/>
        </w:numPr>
        <w:rPr/>
      </w:pPr>
      <w:bookmarkStart w:id="3944" w:name="__RefHeading___Toc3810295_1067777946"/>
      <w:bookmarkStart w:id="3945" w:name="_Toc1660"/>
      <w:bookmarkEnd w:id="3944"/>
      <w:r>
        <w:rPr>
          <w:rtl w:val="true"/>
        </w:rPr>
        <w:t>وفات عبد در يد غاصب بعد از دو جنايت</w:t>
      </w:r>
      <w:bookmarkEnd w:id="3945"/>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وفات عبد در يد غاصب بعد از دو جنايت واقع شد، هم چنين تقسيم مى شود قيمت مملوك بين دو مجنى عليه، و مالك بعد از تأديۀ تمام قيمت رجوع مى نمايد </w:t>
      </w:r>
      <w:bookmarkStart w:id="3946" w:name="pg10265_90423"/>
    </w:p>
    <w:p>
      <w:pPr>
        <w:pStyle w:val="BookText"/>
        <w:rPr/>
      </w:pPr>
      <w:bookmarkEnd w:id="3946"/>
      <w:r>
        <w:rPr>
          <w:rFonts w:ascii="IRNazanin" w:hAnsi="IRNazanin" w:eastAsia="IRNazanin"/>
          <w:color w:val="111111"/>
          <w:sz w:val="28"/>
          <w:sz w:val="28"/>
          <w:szCs w:val="28"/>
          <w:rtl w:val="true"/>
          <w:lang w:bidi="fa-IR"/>
        </w:rPr>
        <w:t>به غاصب در نصف قيمت كه ضامن مملوك جانى به جنايت اُولىٰ به نصف قيمت او بوده؛ و رجوع مجنى عليه در اين نصف به مالك، مثل سابق است در حكم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چنين است در صورت هبۀ مجنى عليه به جنايت ثانيه به مالك در رجوع به نصف به غاصب، مگر آنكه مرجع هبه به ابراء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هبۀ مجنى عليه ثانياً به غاصب بر تقدير صحّت، ظاهراً رجوع به مالك در نصف نمى نمايد تا مالك رجوع به غاصب نمايد</w:t>
      </w:r>
      <w:r>
        <w:rPr>
          <w:rFonts w:eastAsia="IRNazanin" w:cs="IRNazanin"/>
          <w:color w:val="111111"/>
          <w:sz w:val="28"/>
          <w:szCs w:val="28"/>
          <w:rtl w:val="true"/>
          <w:lang w:bidi="fa-IR"/>
        </w:rPr>
        <w:t>.</w:t>
      </w:r>
    </w:p>
    <w:p>
      <w:pPr>
        <w:pStyle w:val="Heading5"/>
        <w:numPr>
          <w:ilvl w:val="4"/>
          <w:numId w:val="1"/>
        </w:numPr>
        <w:rPr/>
      </w:pPr>
      <w:bookmarkStart w:id="3947" w:name="__RefHeading___Toc3810297_1067777946"/>
      <w:bookmarkStart w:id="3948" w:name="_Toc1661"/>
      <w:bookmarkEnd w:id="3947"/>
      <w:r>
        <w:rPr>
          <w:rtl w:val="true"/>
        </w:rPr>
        <w:t>اگر عبد در يد غاصب، جنايتى بر مالك مرتكب شد</w:t>
      </w:r>
      <w:bookmarkEnd w:id="3948"/>
    </w:p>
    <w:p>
      <w:pPr>
        <w:pStyle w:val="BookText"/>
        <w:rPr/>
      </w:pPr>
      <w:r>
        <w:rPr>
          <w:rFonts w:ascii="IRNazanin" w:hAnsi="IRNazanin" w:eastAsia="IRNazanin"/>
          <w:color w:val="111111"/>
          <w:sz w:val="28"/>
          <w:sz w:val="28"/>
          <w:szCs w:val="28"/>
          <w:rtl w:val="true"/>
          <w:lang w:bidi="fa-IR"/>
        </w:rPr>
        <w:t>اگر در يد غاصب، جنايت بر مالك نمود پس ولىّ اقتصاص كرد، غاصب، ضامن قيمت او است براى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قصاص مثل جنايت در طرف بود، احتياطاً اكثر الامرين از ارش و ديۀ جنايت را به مالك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جنايت خطايى يا شبه عمد بود كه ديه آور است، چيزى از قبل جنايت بر غاصب مثل جانى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ناقص باشد به سبب جنايت، و جرأت بر مالك، غاصب، ضامن اين نقص است نه ارش جنايت لكن فرض آن در خطأ، بى خفا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سيّد عفو از قصاص كرد بر مالى يا ولىّ سيّد، بر غاصب است فداء براى انقاذ از قصاص؛ و احوط عدم مجاوزت است در فداء از مقدارى كه اگر قصاص مى شد همان قدر بر غاصب براى سيّد يا ولىّ او بود، و اللّٰه العالم</w:t>
      </w:r>
      <w:r>
        <w:rPr>
          <w:rFonts w:eastAsia="IRNazanin" w:cs="IRNazanin"/>
          <w:color w:val="111111"/>
          <w:sz w:val="28"/>
          <w:szCs w:val="28"/>
          <w:rtl w:val="true"/>
          <w:lang w:bidi="fa-IR"/>
        </w:rPr>
        <w:t>.</w:t>
      </w:r>
    </w:p>
    <w:p>
      <w:pPr>
        <w:pStyle w:val="Heading4"/>
        <w:numPr>
          <w:ilvl w:val="3"/>
          <w:numId w:val="1"/>
        </w:numPr>
        <w:rPr/>
      </w:pPr>
      <w:bookmarkStart w:id="3949" w:name="__RefHeading___Toc3810299_1067777946"/>
      <w:bookmarkStart w:id="3950" w:name="_Toc1662"/>
      <w:bookmarkEnd w:id="3949"/>
      <w:r>
        <w:rPr>
          <w:rtl w:val="true"/>
        </w:rPr>
        <w:t>لزوم اعاده مغصوب به بلد غصب</w:t>
      </w:r>
      <w:bookmarkEnd w:id="395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نقل كرد مغصوب را به سوى بلدى ديگر، بر او است اعاده به بلد غصب در صورتى كه مالك در آنجا باشد؛ و اگر مالك در بلدى ديگر باشد، امر آن به سوى مالك است مى تواند قبض نمايد و مى تواند امر به رد به مكان غصب نمايد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بلى ممكن است دعواى صدق تأديه با عدم اختلاف در خصوصيّات دو مكان در صدق اداء در عرف</w:t>
      </w:r>
      <w:r>
        <w:rPr>
          <w:rFonts w:eastAsia="Amiri" w:cs="Amiri" w:ascii="Amiri" w:hAnsi="Amiri"/>
          <w:color w:val="111111"/>
          <w:sz w:val="28"/>
          <w:szCs w:val="28"/>
          <w:rtl w:val="true"/>
          <w:lang w:bidi="ar-SA"/>
        </w:rPr>
        <w:t xml:space="preserve">. </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صورت وجوب اعاده به بلد غصب، اگر متوقف شد اعاده بر اجرت نقل، اظهر ثبوت اجرت بر غاصب است؛ و هم چنين اگر غاصب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 به آن بلد، مى تواند مطالبۀ اجرت نقل از غاصب نمايد كه اقدام به ضرر حاصل از توقف اداء بر نقل نموده است، نه آنكه فقط مكلّف به عمل است و بر او ضمان مال لازم الصرف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امر به نقل، محض تشهّى باشد، نه تكليف ثابت است و نه ضمان،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مالك راضى به بقاى آن در مكان ديگرى كوتاه تر از بلد غصب شد، غاصب حق الزام او به اعادۀ خودش به بلد غصب را ندارد</w:t>
      </w:r>
      <w:r>
        <w:rPr>
          <w:rFonts w:eastAsia="IRNazanin" w:cs="IRNazanin"/>
          <w:color w:val="111111"/>
          <w:sz w:val="28"/>
          <w:szCs w:val="28"/>
          <w:rtl w:val="true"/>
          <w:lang w:bidi="fa-IR"/>
        </w:rPr>
        <w:t xml:space="preserve">. </w:t>
      </w:r>
      <w:bookmarkStart w:id="3951" w:name="pg10265_90425"/>
    </w:p>
    <w:p>
      <w:pPr>
        <w:pStyle w:val="Heading3"/>
        <w:numPr>
          <w:ilvl w:val="2"/>
          <w:numId w:val="1"/>
        </w:numPr>
        <w:rPr/>
      </w:pPr>
      <w:bookmarkStart w:id="3952" w:name="__RefHeading___Toc3810301_1067777946"/>
      <w:bookmarkStart w:id="3953" w:name="_Toc1663"/>
      <w:bookmarkEnd w:id="3951"/>
      <w:bookmarkEnd w:id="3952"/>
      <w:r>
        <w:rPr>
          <w:rtl w:val="true"/>
        </w:rPr>
        <w:t>فصل چهارم تنازع در غصب</w:t>
      </w:r>
      <w:bookmarkEnd w:id="3953"/>
    </w:p>
    <w:p>
      <w:pPr>
        <w:pStyle w:val="Heading4"/>
        <w:numPr>
          <w:ilvl w:val="3"/>
          <w:numId w:val="1"/>
        </w:numPr>
        <w:rPr/>
      </w:pPr>
      <w:bookmarkStart w:id="3954" w:name="__RefHeading___Toc3810303_1067777946"/>
      <w:bookmarkStart w:id="3955" w:name="_Toc1664"/>
      <w:bookmarkEnd w:id="3954"/>
      <w:r>
        <w:rPr>
          <w:rtl w:val="true"/>
        </w:rPr>
        <w:t>تلف مغصوب و اختلاف طرفين در قيمت آن</w:t>
      </w:r>
      <w:bookmarkEnd w:id="3955"/>
    </w:p>
    <w:p>
      <w:pPr>
        <w:pStyle w:val="BookText"/>
        <w:rPr/>
      </w:pPr>
      <w:r>
        <w:rPr>
          <w:rFonts w:ascii="IRNazanin" w:hAnsi="IRNazanin" w:eastAsia="IRNazanin"/>
          <w:color w:val="111111"/>
          <w:sz w:val="28"/>
          <w:sz w:val="28"/>
          <w:szCs w:val="28"/>
          <w:rtl w:val="true"/>
          <w:lang w:bidi="fa-IR"/>
        </w:rPr>
        <w:t>فصل چهارم تنازع در غصب</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مغصوب تلف شد در يد غاصب و اختلاف كردند در قيمت مغصوب، قول غاصب با يمين او مقدّم است در انكار زياده تا مالك اثبات زياده با بينه نمايد؛ و هم چنين قول منكر زياده كه ضامن به غير غصب است؛ و هم چنين اگر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ثبوت يا حدوث صفتى كه ايجاب زيادتى قيمت مغصوب مى كند بعد از غصب</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ادعا كرد ضامن، قيمت معلوم الخلاف را، ساقط است قول او؛ و در سقوط انكار او قيمت واقعه در دعواى مالك، تأمّل است پس اقرب مطالبۀ او است در بيان امرى محتمل تا حدّ قبول قول او در غير صورت تعليل انكار به دعواى معلوم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يمين او با علم حاكم به كذب، مسموع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حاكم، رد يمين به مالك نموده براى فصل خصومت، و اثبات دعواى او بنمايد؛ و </w:t>
      </w:r>
      <w:bookmarkStart w:id="3956" w:name="pg10265_90426"/>
    </w:p>
    <w:p>
      <w:pPr>
        <w:pStyle w:val="BookText"/>
        <w:rPr/>
      </w:pPr>
      <w:bookmarkEnd w:id="3956"/>
      <w:r>
        <w:rPr>
          <w:rFonts w:ascii="IRNazanin" w:hAnsi="IRNazanin" w:eastAsia="IRNazanin"/>
          <w:color w:val="111111"/>
          <w:sz w:val="28"/>
          <w:sz w:val="28"/>
          <w:szCs w:val="28"/>
          <w:rtl w:val="true"/>
          <w:lang w:bidi="fa-IR"/>
        </w:rPr>
        <w:t>محتمل است به جهت انحلال محل دعوىٰ و انكار يا به جهت بلوغ انكار به مراتب بعد از مطالبۀ بيان، همين امر مذكور در آخر مرتبۀ احتمال صدق عملى شود كه اگر تبديل شود معلوم الكذب از منكر است، اگر حاكم نتوانست ظفر بر بيّنۀ مدّعىٖ نمايد اگر چه به تأخير و انتظار باشد يا به جهت فاصليت يمين مدّعى در صورت عدم بيّنۀ او و عدم قبول قول منكر با يمين او به جهت حصر فصل در بينه و يمين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اختلاف در وقت حصول زيادتى قيمت شد و به دعواى مالك قبل از تلف بوده و به قول ذى اليد بعد از آن بوده، قول منكر مقدّم است، مثل اختلاف در حصول زيادتى قيمت</w:t>
      </w:r>
      <w:r>
        <w:rPr>
          <w:rFonts w:eastAsia="IRNazanin" w:cs="IRNazanin"/>
          <w:color w:val="111111"/>
          <w:sz w:val="28"/>
          <w:szCs w:val="28"/>
          <w:rtl w:val="true"/>
          <w:lang w:bidi="fa-IR"/>
        </w:rPr>
        <w:t>.</w:t>
      </w:r>
    </w:p>
    <w:p>
      <w:pPr>
        <w:pStyle w:val="Heading4"/>
        <w:numPr>
          <w:ilvl w:val="3"/>
          <w:numId w:val="1"/>
        </w:numPr>
        <w:rPr/>
      </w:pPr>
      <w:bookmarkStart w:id="3957" w:name="__RefHeading___Toc3810305_1067777946"/>
      <w:bookmarkStart w:id="3958" w:name="_Toc1665"/>
      <w:bookmarkEnd w:id="3957"/>
      <w:r>
        <w:rPr>
          <w:rtl w:val="true"/>
        </w:rPr>
        <w:t>اختلاف در حدوث صفت كمال يا صفت نقص</w:t>
      </w:r>
      <w:bookmarkEnd w:id="395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آنچه مذكور شد در اختلاف در زيادتى قيمت سوقيّه در وقت تلف، معلوم مى شود حكم اختلاف در حدوث صفت كمال موجبۀ زيادتى قيمت يا صفت نقص موجبۀ نقصان قيمت؛ پس منكر تغيّر از حالت سابقه در زمان تلف، قول او مقدّم است، چه حدوث كمال باشد چه زوال صفت كمال، مگر آنچه به حسب زمان در مثل تالف، نموّ و زيادتى صفت در وقت معلوم تلف باشد، يا زوال صفات كمال در وقت تلف باشد كه غلبۀ مقدمات فساد در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در دعواى تخلّل خمر، قول منكر كه انكار قيمت مى نمايد مقدّم است با يمين او و عدم بيّنۀ مدّعىٖ‌</w:t>
      </w:r>
      <w:r>
        <w:rPr>
          <w:rFonts w:eastAsia="IRNazanin" w:cs="IRNazanin"/>
          <w:color w:val="111111"/>
          <w:sz w:val="28"/>
          <w:szCs w:val="28"/>
          <w:rtl w:val="true"/>
          <w:lang w:bidi="fa-IR"/>
        </w:rPr>
        <w:t>.</w:t>
      </w:r>
    </w:p>
    <w:p>
      <w:pPr>
        <w:pStyle w:val="Heading4"/>
        <w:numPr>
          <w:ilvl w:val="3"/>
          <w:numId w:val="1"/>
        </w:numPr>
        <w:rPr/>
      </w:pPr>
      <w:bookmarkStart w:id="3959" w:name="__RefHeading___Toc3810307_1067777946"/>
      <w:bookmarkStart w:id="3960" w:name="_Toc1666"/>
      <w:bookmarkEnd w:id="3959"/>
      <w:r>
        <w:rPr>
          <w:rtl w:val="true"/>
        </w:rPr>
        <w:t>ادعاى غاصب، معيب بودن عبد را نزد مالك</w:t>
      </w:r>
      <w:bookmarkEnd w:id="3960"/>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غاصب، مدّعى عيبى در نزد مالك مثل عِوَر بود، مالك و مدّعى صحّت در يد مالك، قول او موافق اصلِ سلامت از عيوب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اختلاف بعد از وفات عبد در يد غاصب، در معيب بودن او بود، قول مالك مقدّم است به جهت موافقت با اصل سلامت</w:t>
      </w:r>
      <w:r>
        <w:rPr>
          <w:rFonts w:eastAsia="IRNazanin" w:cs="IRNazanin"/>
          <w:color w:val="111111"/>
          <w:sz w:val="28"/>
          <w:szCs w:val="28"/>
          <w:rtl w:val="true"/>
          <w:lang w:bidi="fa-IR"/>
        </w:rPr>
        <w:t xml:space="preserve">. </w:t>
      </w:r>
      <w:bookmarkStart w:id="3961" w:name="pg10265_90427"/>
    </w:p>
    <w:p>
      <w:pPr>
        <w:pStyle w:val="BookText"/>
        <w:rPr/>
      </w:pPr>
      <w:bookmarkEnd w:id="3961"/>
      <w:r>
        <w:rPr>
          <w:rFonts w:ascii="IRNazanin" w:hAnsi="IRNazanin" w:eastAsia="IRNazanin"/>
          <w:color w:val="111111"/>
          <w:sz w:val="28"/>
          <w:sz w:val="28"/>
          <w:szCs w:val="28"/>
          <w:rtl w:val="true"/>
          <w:lang w:bidi="fa-IR"/>
        </w:rPr>
        <w:t xml:space="preserve">و اگر اختلاف با علم به عيب، در سبق در يد مالك و تأخّر و حدوث در يد غاصب بود، پس مستصحب، سلامت در يد مالك است و آن مقدّم است بر اصل برائت ذمۀ غاصب، به جهت ترتّب ضمان سالم بر تقدير تلف و اينكه راجع به اصالة السلامة در زمان شك است از آن عيب، چنانچه موافق با موجّه در محكىّ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962" w:name="__RefHeading___Toc3810309_1067777946"/>
      <w:bookmarkStart w:id="3963" w:name="_Toc1667"/>
      <w:bookmarkEnd w:id="3962"/>
      <w:r>
        <w:rPr>
          <w:rtl w:val="true"/>
        </w:rPr>
        <w:t>فرض تملّك عين مغصوبه بعد از بيع آن</w:t>
      </w:r>
      <w:bookmarkEnd w:id="396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غاصب بيع كرد مغصوب را، پس از آن منتقل شد عين مغصوبه به غاصب به سبب صحيحى مثل ميراث و هبه، پس گفت به مشترى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بيع غير مملوك نموده بودم و فعلاً مملوك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اقامۀ بيّنه بر آن نمود، اظهر قبول بيّنۀ او است بنا بر احتياج فرض به اجازۀ مالك در مسألۀ بيع فضولى متعقب به مالكيّت او؛ مگر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بيع نمودم آنچه را كه ملك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با غاصب بودن او به حسب اقرار او جمع نمى شود</w:t>
      </w:r>
      <w:r>
        <w:rPr>
          <w:rFonts w:eastAsia="IRNazanin" w:cs="IRNazanin"/>
          <w:color w:val="111111"/>
          <w:sz w:val="28"/>
          <w:szCs w:val="28"/>
          <w:rtl w:val="true"/>
          <w:lang w:bidi="fa-IR"/>
        </w:rPr>
        <w:t>.</w:t>
      </w:r>
    </w:p>
    <w:p>
      <w:pPr>
        <w:pStyle w:val="Heading4"/>
        <w:numPr>
          <w:ilvl w:val="3"/>
          <w:numId w:val="1"/>
        </w:numPr>
        <w:rPr/>
      </w:pPr>
      <w:bookmarkStart w:id="3964" w:name="__RefHeading___Toc3810311_1067777946"/>
      <w:bookmarkStart w:id="3965" w:name="_Toc1668"/>
      <w:bookmarkEnd w:id="3964"/>
      <w:r>
        <w:rPr>
          <w:rtl w:val="true"/>
        </w:rPr>
        <w:t>ادعاى غصبيت مبيع بعد از بيع، و انكار مشترى</w:t>
      </w:r>
      <w:bookmarkEnd w:id="3965"/>
    </w:p>
    <w:p>
      <w:pPr>
        <w:pStyle w:val="BookText"/>
        <w:rPr/>
      </w:pPr>
      <w:r>
        <w:rPr>
          <w:rFonts w:ascii="IRNazanin" w:hAnsi="IRNazanin" w:eastAsia="IRNazanin"/>
          <w:color w:val="111111"/>
          <w:sz w:val="28"/>
          <w:sz w:val="28"/>
          <w:szCs w:val="28"/>
          <w:rtl w:val="true"/>
          <w:lang w:bidi="fa-IR"/>
        </w:rPr>
        <w:t>و اگر بعد از بيع، ادعاى غصبيّت مبيع نمود و مشترى تكذيب كرد قبل از انتقال به او به سبب صحيح، پس بايع در صورت اجازۀ مالك، غرامت مى دهد به مالك، ثمن را؛ و اگر اجازه نكرد، قيمت مغصوب را كه با بيع، حيلولت از مالك نموده است، كمتر از ثمن باشد يا زائد، و مشترى نمى تواند مطالبۀ ثمن نمايد بعد از تكذيب، و بايع هم از مشترى مطالبۀ اقل از ثمن و قيمت مى نمايد به حسب اقرار او به غصبيّت مبيع</w:t>
      </w:r>
      <w:r>
        <w:rPr>
          <w:rFonts w:eastAsia="IRNazanin" w:cs="IRNazanin"/>
          <w:color w:val="111111"/>
          <w:sz w:val="28"/>
          <w:szCs w:val="28"/>
          <w:rtl w:val="true"/>
          <w:lang w:bidi="fa-IR"/>
        </w:rPr>
        <w:t>.</w:t>
      </w:r>
    </w:p>
    <w:p>
      <w:pPr>
        <w:pStyle w:val="Heading4"/>
        <w:numPr>
          <w:ilvl w:val="3"/>
          <w:numId w:val="1"/>
        </w:numPr>
        <w:rPr/>
      </w:pPr>
      <w:bookmarkStart w:id="3966" w:name="__RefHeading___Toc3810313_1067777946"/>
      <w:bookmarkStart w:id="3967" w:name="_Toc1669"/>
      <w:bookmarkEnd w:id="3966"/>
      <w:r>
        <w:rPr>
          <w:rtl w:val="true"/>
        </w:rPr>
        <w:t>عود مبيع به بايع در فرض اقرار بايع به غصبيت مبيع</w:t>
      </w:r>
      <w:bookmarkEnd w:id="3967"/>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فرض اقرار بايع به غصبيّت مبيع، اگر عود نمود به سوى او مبيع به سبب فسخ يا غير آن اگر چه سبب محرّم باشد، واجب است رد به مالك و استرجاع مدفوع؛ و </w:t>
      </w:r>
      <w:bookmarkStart w:id="3968" w:name="pg10265_90428"/>
    </w:p>
    <w:p>
      <w:pPr>
        <w:pStyle w:val="BookText"/>
        <w:rPr/>
      </w:pPr>
      <w:bookmarkEnd w:id="3968"/>
      <w:r>
        <w:rPr>
          <w:rFonts w:ascii="IRNazanin" w:hAnsi="IRNazanin" w:eastAsia="IRNazanin"/>
          <w:color w:val="111111"/>
          <w:sz w:val="28"/>
          <w:sz w:val="28"/>
          <w:szCs w:val="28"/>
          <w:rtl w:val="true"/>
          <w:lang w:bidi="fa-IR"/>
        </w:rPr>
        <w:t>اگر در ظاهر محكوم باشد در سبب محرّم، بر او است غرامت آن براى مالك ظاهرى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اقرار در مدت خيار فسخ بايع مقِرّ غاصب باشد، اظهر عدم احتياج به انشاى فسخ است، بلكه به مجرد اقرار، منفسخ است بر مقِرّ</w:t>
      </w:r>
      <w:r>
        <w:rPr>
          <w:rFonts w:eastAsia="IRNazanin" w:cs="IRNazanin"/>
          <w:color w:val="111111"/>
          <w:sz w:val="28"/>
          <w:szCs w:val="28"/>
          <w:rtl w:val="true"/>
          <w:lang w:bidi="fa-IR"/>
        </w:rPr>
        <w:t>.</w:t>
      </w:r>
    </w:p>
    <w:p>
      <w:pPr>
        <w:pStyle w:val="Heading4"/>
        <w:numPr>
          <w:ilvl w:val="3"/>
          <w:numId w:val="1"/>
        </w:numPr>
        <w:rPr/>
      </w:pPr>
      <w:bookmarkStart w:id="3969" w:name="__RefHeading___Toc3810315_1067777946"/>
      <w:bookmarkStart w:id="3970" w:name="_Toc1670"/>
      <w:bookmarkEnd w:id="3969"/>
      <w:r>
        <w:rPr>
          <w:rtl w:val="true"/>
        </w:rPr>
        <w:t>اگر مقر به غصبيت مبيع، خصوص مشترى باشد</w:t>
      </w:r>
      <w:bookmarkEnd w:id="3970"/>
    </w:p>
    <w:p>
      <w:pPr>
        <w:pStyle w:val="BookText"/>
        <w:rPr/>
      </w:pPr>
      <w:r>
        <w:rPr>
          <w:rFonts w:ascii="IRNazanin" w:hAnsi="IRNazanin" w:eastAsia="IRNazanin"/>
          <w:color w:val="111111"/>
          <w:sz w:val="28"/>
          <w:sz w:val="28"/>
          <w:szCs w:val="28"/>
          <w:rtl w:val="true"/>
          <w:lang w:bidi="fa-IR"/>
        </w:rPr>
        <w:t>و اگر مقِر به غصبيّت عبد مبيع، خصوص مشترى باشد، بر او است رد به مالك او؛ و چون اقرار او در حق بايع نافذ نيست، بر او است تأديۀ ثمن به 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 مخالفت ظاهر با واقع مى تواند با شروط مقاصّه به غرض واصل شود</w:t>
      </w:r>
      <w:r>
        <w:rPr>
          <w:rFonts w:eastAsia="IRNazanin" w:cs="IRNazanin"/>
          <w:color w:val="111111"/>
          <w:sz w:val="28"/>
          <w:szCs w:val="28"/>
          <w:rtl w:val="true"/>
          <w:lang w:bidi="fa-IR"/>
        </w:rPr>
        <w:t>.</w:t>
      </w:r>
    </w:p>
    <w:p>
      <w:pPr>
        <w:pStyle w:val="Heading4"/>
        <w:numPr>
          <w:ilvl w:val="3"/>
          <w:numId w:val="1"/>
        </w:numPr>
        <w:rPr/>
      </w:pPr>
      <w:bookmarkStart w:id="3971" w:name="__RefHeading___Toc3810317_1067777946"/>
      <w:bookmarkStart w:id="3972" w:name="_Toc1671"/>
      <w:bookmarkEnd w:id="3971"/>
      <w:r>
        <w:rPr>
          <w:rtl w:val="true"/>
        </w:rPr>
        <w:t>عتق مشترى، مملوك مبيع مغصوب را</w:t>
      </w:r>
      <w:bookmarkEnd w:id="3972"/>
    </w:p>
    <w:p>
      <w:pPr>
        <w:pStyle w:val="BookText"/>
        <w:rPr/>
      </w:pPr>
      <w:r>
        <w:rPr>
          <w:rFonts w:ascii="IRNazanin" w:hAnsi="IRNazanin" w:eastAsia="IRNazanin"/>
          <w:color w:val="111111"/>
          <w:sz w:val="28"/>
          <w:sz w:val="28"/>
          <w:szCs w:val="28"/>
          <w:rtl w:val="true"/>
          <w:lang w:bidi="fa-IR"/>
        </w:rPr>
        <w:t xml:space="preserve">و اگر مشترى عتق كرد مملوك مبيع مغصوب را و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بايع و مشترى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غصبيّت كردند، نافذ نيست در 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كدام بايد غرامت به مالك رد نمايند و مستقر بر 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اگر مشترى بيع نمود به ثالثى كه تصديق بايع و مشترى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كرد بايع و مشترى را كه مدّعى غصبيّت هستند، اظهر قبول قول مالك است كه مدّعى بلا منازع است</w:t>
      </w:r>
      <w:r>
        <w:rPr>
          <w:rFonts w:eastAsia="IRNazanin" w:cs="IRNazanin"/>
          <w:color w:val="111111"/>
          <w:sz w:val="28"/>
          <w:szCs w:val="28"/>
          <w:rtl w:val="true"/>
          <w:lang w:bidi="fa-IR"/>
        </w:rPr>
        <w:t>.</w:t>
      </w:r>
    </w:p>
    <w:p>
      <w:pPr>
        <w:pStyle w:val="Heading4"/>
        <w:numPr>
          <w:ilvl w:val="3"/>
          <w:numId w:val="1"/>
        </w:numPr>
        <w:rPr/>
      </w:pPr>
      <w:bookmarkStart w:id="3973" w:name="__RefHeading___Toc3810319_1067777946"/>
      <w:bookmarkStart w:id="3974" w:name="_Toc1672"/>
      <w:bookmarkEnd w:id="3973"/>
      <w:r>
        <w:rPr>
          <w:rtl w:val="true"/>
        </w:rPr>
        <w:t>اختلاف در رد مغصوب يا موت مغصوب</w:t>
      </w:r>
      <w:bookmarkEnd w:id="397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اختلاف شد بين مالك و غاصب در رد مغصوب و عدم آن يا در رد بدل آن از مثل يا قيمت و عدم آن، قول مالك با يمين او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اتفاق بر رد بود و بر موت حيوان مملوك مغصوب، و اختلاف در موت نزد غاصب يا نزد مالك بود، قول غاصب مقدّم است، زيرا رد بعد از موت كه مدعاى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الخلاف يا غير عقلايى و مستبعد است در فروض غالبه، پس مسموع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تعارض بيّنتين ايضاً، بيّنۀ غاصب بر تقدم رد بر موت، مقدّم است بنا بر اظهر و مؤيَّد</w:t>
      </w:r>
    </w:p>
    <w:p>
      <w:pPr>
        <w:pStyle w:val="BookText"/>
        <w:rPr/>
      </w:pPr>
      <w:r>
        <w:rPr>
          <w:rFonts w:ascii="Amiri" w:hAnsi="Amiri" w:eastAsia="Amiri" w:cs="Amiri"/>
          <w:color w:val="111111"/>
          <w:sz w:val="28"/>
          <w:sz w:val="28"/>
          <w:szCs w:val="28"/>
          <w:rtl w:val="true"/>
          <w:lang w:bidi="ar-SA"/>
        </w:rPr>
        <w:t>به اصالة البراءة و اصل عدم اشتغال ذمه به مثل يا قيمت بعد از اتفاق بر سقوط تكليف به رد عين با سقوط اصل ضمان، زيرا متيقن آن بر تقدير تلف در يد غاصب است و نحو آن نه مطلقاً، و وقوع موت در يد غاصب محل اختلاف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ممكن است رجوع اختلاف در مسألۀ مفروضه در تحقّق رد است كه مراد تأديۀ نفس به تأديۀ حىّ است، پس قول مالك مقدّم است حتى در فروض غالبه فضلاً از نادره كه احتمال رد حىّ و ميّت متساوى است و واقع مى شود؛ و در تعارض بيّنتين، بيّنۀ منكر و خارج كه مالك است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وجه، ادقّ و اقرب به كلمات مشهور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اختلاف شد بين مالك و غاصب در تلف عين مغصوبه، پس معروف، تقديم قول غاصب با يمين او است؛ و احوط حبس غاصب و تحرّى حاكم در شواهد تلف يا بقاى عين است؛ و پس از يأس يا ظهور تلف، اخذ به قول غاصب است با يمين او به واسطۀ جمع بين حق مالك در عين و حق غاصب در ترك تخليه با احتمال صدق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اختلاف شد در آنچه با عين مغصوبه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انگشتر و ثياب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كدام از مالك عبد مثلاً و غاصب، ادعاى مالكيّت آن را نمودند، قول غاصب مقدّم است به واسطۀ حكم به مالكيّت به سبب يد اگر چه فى الجمله، عدوانيّه باشد در غير معلوم الخلاف</w:t>
      </w:r>
      <w:r>
        <w:rPr>
          <w:rFonts w:eastAsia="IRNazanin" w:cs="IRNazanin"/>
          <w:color w:val="111111"/>
          <w:sz w:val="28"/>
          <w:szCs w:val="28"/>
          <w:rtl w:val="true"/>
          <w:lang w:bidi="fa-IR"/>
        </w:rPr>
        <w:t>.</w:t>
      </w:r>
      <w:r>
        <w:rPr>
          <w:rStyle w:val="FootnoteAnchor"/>
          <w:rtl w:val="true"/>
        </w:rPr>
        <w:footnoteReference w:id="21"/>
      </w:r>
      <w:bookmarkStart w:id="3975" w:name="pg10265_90430"/>
    </w:p>
    <w:p>
      <w:pPr>
        <w:pStyle w:val="Heading2"/>
        <w:numPr>
          <w:ilvl w:val="1"/>
          <w:numId w:val="1"/>
        </w:numPr>
        <w:rPr/>
      </w:pPr>
      <w:bookmarkStart w:id="3976" w:name="__RefHeading___Toc3810321_1067777946"/>
      <w:bookmarkStart w:id="3977" w:name="_Toc1673"/>
      <w:bookmarkEnd w:id="3975"/>
      <w:bookmarkEnd w:id="3976"/>
      <w:r>
        <w:rPr>
          <w:rtl w:val="true"/>
        </w:rPr>
        <w:t>فهرست تفصيلى مطالب</w:t>
      </w:r>
      <w:bookmarkEnd w:id="3977"/>
    </w:p>
    <w:p>
      <w:pPr>
        <w:pStyle w:val="Heading3"/>
        <w:numPr>
          <w:ilvl w:val="2"/>
          <w:numId w:val="1"/>
        </w:numPr>
        <w:rPr/>
      </w:pPr>
      <w:bookmarkStart w:id="3978" w:name="__RefHeading___Toc3810323_1067777946"/>
      <w:bookmarkStart w:id="3979" w:name="_Toc1674"/>
      <w:bookmarkEnd w:id="3978"/>
      <w:r>
        <w:rPr>
          <w:rtl w:val="true"/>
        </w:rPr>
        <w:t>ادامه كتاب نكاح</w:t>
      </w:r>
      <w:bookmarkEnd w:id="3979"/>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نكاح منقطع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صيغۀ عقد منقطع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عدم جواز مناكحۀ مؤمنه با غير مسلم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حكم تمتّع مسلمان با كافره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حكم تمتّع با كنيز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جريان برخى احكام نكاح دائم در متعه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حكم تمتُّع با متّهمه و زانيه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كراهت تمتع از غير ثيّب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حكم عقد انقطاعى بعد از اختيار اسلام توسّط يكى از زوجين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مهر در نكاح منقطع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لزوم مملوك شدن مهر توسط زن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لزوم علم به مقدار مهر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لزوم دفع مهر بعد از عقد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ابراء موجب تنصيف مهر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فرض استقرار تمام مهر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اخلال زن به تمكين در بعض مدت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حكم استحقاق مهر بر فرض بطلان عقد منقطع </w:t>
      </w:r>
      <w:r>
        <w:rPr>
          <w:rFonts w:eastAsia="Amiri" w:cs="Amiri" w:ascii="Amiri" w:hAnsi="Amiri"/>
          <w:color w:val="111111"/>
          <w:sz w:val="28"/>
          <w:szCs w:val="28"/>
          <w:lang w:bidi="ar-SA"/>
        </w:rPr>
        <w:t>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تعيين زمان در عقد منقطع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فرض انقلاب به عقد دائم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مقدار مدّت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لزوم تشخّص و تعيّن در مدت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جواز تعيين مدّت متّصله و منفصله در عقد منقطع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عدم وقوع متعه با تعيين دفعه و بدون تعيين مدت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احكام نكاح منقطع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لزوم ذكر مهر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لزوم شرايط ضمن عقد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صحّت اشتراط عدم دخول و يا اشتراط دفعات با تعيين زمان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حكم جواز و عدم جواز امتناع از تمتع در مدّت مقرّره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جواز عزل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احكام نفى ولد در عقد انقطاعى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عدم وجود طلاق در نكاح منقطع و بيان نحوۀ حصول جدايى در آن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عدم حصول ايلاء و لعان در عقد منقطع و حكم وقوع ظهار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عدم توارث بين زوجين در متعه </w:t>
      </w:r>
      <w:r>
        <w:rPr>
          <w:rFonts w:eastAsia="Amiri" w:cs="Amiri" w:ascii="Amiri" w:hAnsi="Amiri"/>
          <w:color w:val="111111"/>
          <w:sz w:val="28"/>
          <w:szCs w:val="28"/>
          <w:lang w:bidi="ar-SA"/>
        </w:rPr>
        <w:t>14</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عدۀ متعه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عدم جواز تجديد عقد قبل از تمام شدن مدّت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 عبيد و اماء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 اماء به عقد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لزوم اذن در عقد غير حرّه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حكم ولد در صورت عدم اجازه در عقد عبد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ازدواج امه بدون اذن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اشتراط رقيّت ولد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ظهور مملوكيّت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ازدواج حرّه با عبد بدون اذن مالك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عدم مهر در صورت بغى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فرض شراكت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طوارى عقد اماء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عتق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ثبوت خيار بعد از عتق امه و فوريت خيار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عدم خيار براى عبد در صورت عتق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حكم مهر در صورت اختيار فسخ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تساوى نكاحين در خيار فسخ در فرض مسأله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وقوع عتق در عدّۀ رجعيه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فرض اختيار بقاى زوجيّت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عدم ثبوت خيار با عتق بعض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جواز جعل عتق امه به عنوان مهر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احكام انعتاق ام ولد </w:t>
      </w:r>
      <w:r>
        <w:rPr>
          <w:rFonts w:eastAsia="Amiri" w:cs="Amiri" w:ascii="Amiri" w:hAnsi="Amiri"/>
          <w:color w:val="111111"/>
          <w:sz w:val="28"/>
          <w:szCs w:val="28"/>
          <w:lang w:bidi="ar-SA"/>
        </w:rPr>
        <w:t>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بيع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بيع امۀ مزوّجه موجب خيار در عقد نكاح است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حكم خيار در وقف عبد متزوّج يا اعطاى او به عنوان خمس يا زكات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حكم نكاح منقطع و تحليل در فرض مسأله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فوريّت خيار ثابت براى مشترى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خيار در بيع دو زوج مملوك به دو نفر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سببيّت تزويج امه براى مالكيّت مهر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اختيار طلاق در نكاح عبد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 اماء به ملك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ملك رقبه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عدم حصر عددى در ملك يمين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ديگر احكام ملك يمين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جواز استنقاذ اماى ذات بعل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دو مسأله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لزوم استبرا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فرض جواز عقد بدون استبرا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ملك منفعت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اناطۀ تحليل براى غير به صيغه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ملك يمين بودن ملك منفعت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چند مسأله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اقتصار بر مدلول لفظ در صورت تحليل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حريت ولد محلّلۀ براى حرّ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عدم لزوم تعيين مدت در تحليل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امورى كه با آنها رد نكاح مى شود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عيوب مرد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جنون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خصاء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الحاق و جاء به خصاء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عنن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عيوب ديگر مرد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عدم قدرت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انكشاف خنثى بودن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عيوب زن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جنون، جذام، برص </w:t>
      </w:r>
      <w:r>
        <w:rPr>
          <w:rFonts w:eastAsia="IRNazanin" w:cs="IRNazanin"/>
          <w:color w:val="111111"/>
          <w:sz w:val="28"/>
          <w:szCs w:val="28"/>
          <w:lang w:bidi="fa-IR"/>
        </w:rPr>
        <w:t>34</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قَرَن و عَفَل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افضا، عمى، عرج، زمانت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رتق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عدم موجبيّت خيار به سبب عَوَر و زنا و محدوديّت به زنا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در احكام عيوب متقدمه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زمان حدوث عيوبِ موجب خيار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فوريّت خيار فسخ نكاح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طلاق نبودن فسخ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اختصاص مباشرت فسخ به صاحب خيار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اختلاف در عيب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استحقاق و عدم استحقاق مهر در فرض فسخ زوج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اختلاف در تدليس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استحقاق و عدم استحقاق مهر در فرض فسخ زوجه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مواقعه قبل از علم به عيب و تاثير آن در سقوط خيار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مانعيّت علم به عيب قبل از عقد، از فسخ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فرض رضاى به عيب و اتساع يا حدوث مجدّد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اقامۀ بينه در فرض خفاى عيب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راههاى اثبات عنن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ادّعاى قدرت توسط مرد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سقوط خيار با صبر و اسقاط آن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اقلّ آنچه با آن عنن منتفى مى شود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نحوۀ اثبات عيوب غير از عنن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ثبوت خيار براى زوجين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علم به عيب بعد از طلاقِ قبل از دخول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ثبوت خيار عيب براى ولى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تدليس و احكام آن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نحوۀ تحقق تدليس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عيب بدون تدليس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انكشاف كنيز بودن زن با فرض شرط حريّت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انكشاف رقيّت مرد با فرض شرط حريّت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انكشاف كنيز بودن دختر با فرض شرط حريّت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اغراى به تبديل زوجه با غير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انكشاف ثيبوبت با شرط بكارت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حكم مهر در صورت عدم خيار فسخ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حكم فسخ با كشف ثيبوبت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لوازم اختيار فسخ و بقا در فرض مسأله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انكشاف كتابيه بودن يا مسلمان بودن در عقد مشروط به يكى از آن دو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تبدّل واطى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جهل به تعيين در فرض تحقق دو عقد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حكم مهر در فرض مسأله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اخذ به قرعه در فروض متقدّمه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حكم مهر در موارد بطلان عقد و در موارد فسخ آن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شرط استيلاد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غرور به حرّيت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ديۀ حمل در فرض مسأله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مراجعۀ مغرور به غارّ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ضابطه موجب خيار فسخ در صورت تخلّف شرط صفت يا فعل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آنچه مهر قرار دادن آن صحيح است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مقدار مهر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مهر قرار دادن خمر و خنزير در نكاح ذمّى با ذمّيه </w:t>
      </w:r>
      <w:r>
        <w:rPr>
          <w:rFonts w:eastAsia="Amiri" w:cs="Amiri" w:ascii="Amiri" w:hAnsi="Amiri"/>
          <w:color w:val="111111"/>
          <w:sz w:val="28"/>
          <w:szCs w:val="28"/>
          <w:lang w:bidi="ar-SA"/>
        </w:rPr>
        <w:t>50</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مهر قرار دادن خمر يا خنزير در نكاح زوجين و يا زوج مسلمان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كفايت مشاهدۀ عين يا توصيف آن به نحو رافع معظم جهالت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جواز ازدواج دو زن به يك مهر و جواز جمع عقود متعدّد در واحد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تزويج دو امه به دو يا يك نفر به صداق واحد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تزويج چند دختر با تعيين به چند پسر با تعيين زوجين به صداق واحد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اگر عبارت نكاح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كتاب اللّٰه و سنّة 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قرار دادن چيزى داخل مهر، و يا در شرط ضمن عقد براى غير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تعيين رافع معظم جهالت در مهر به تعليم و احكام مترتّب بر آن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اگر امهار كرد تعليم سوره اى را كه زوج نمى داند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مهر قرار دادن چيزى و انكشاف عدم ماليّت يا مستحقّ غير بودن آن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امهار دو عبد و انكشاف خلاف در يكى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تغاير اصداق در اعلان و اسرار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ضمان زوج در مهر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ظهور عيب سابق بر عقد در مهر يا تعيّب بعد از عقد در دست زوج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جواز امتناع زوجه از تمكين تا قبض مهر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عدم جواز امتناع از تمكين در فرض مؤجّل بودن مهر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عدم جواز امتناع بعد از دخول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حكم تمكين و تسليم مهر در صغيره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امتناع زن از تمكين بعد از اخذ مهر </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تفويض بضع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عدم ذكر مهر در عقد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نحوۀ تعيين مهر المثل در فرض مسأله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نحوۀ تعيين متعه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جواز حبس جهت تعيين مهر در فرض تفويض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حكم مهر در عقد مملوكه و خريد او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عدم تحقّق تفويض از غير بالغۀ رشيده مگر با مباشرت ولى فى الجمله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تزويج امه با تفويض بضع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بيع يا عتق امه بعد از تزويج او با تفويض بضع </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تفويض مهر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فرق تفويض مهر و تفويض بضع و نحوۀ تعيين مهر در مفوّضة المهر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طلاق مفوّضة المهر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جنون يا وفات حاكم به شرط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احكام مهر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عدم سقوط مهر با دخول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دخول موجب مهر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طلاق قبل از دخول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حكم صورت تلف شدنِ عين و آنچه به منزله تلف است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اگر زوجه عين را رهن و يا اجاره داده باشد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حصول نقص در عين يا صفت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حصول زيادات متّصله در عين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حصول زيادتى و نقص با هم در عين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نماى منفصل عين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اگر صداق، تعليم صنعت يا سوره باشد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ابراء شوهر و طلاق قبل از دخول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طلاق قبل از دخول بعد از معاوضه مهر، موجب رد نصف مسمّى است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امهار مدبّره </w:t>
      </w:r>
      <w:r>
        <w:rPr>
          <w:rFonts w:eastAsia="IRNazanin" w:cs="IRNazanin"/>
          <w:color w:val="111111"/>
          <w:sz w:val="28"/>
          <w:szCs w:val="28"/>
          <w:lang w:bidi="fa-IR"/>
        </w:rPr>
        <w:t>66</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مخالف شرع در عقد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شرط بطلان عقد در فرض عدم تسليم مهر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شرط عدم وطى و عدم ازالۀ بكارت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شرط باقى ماندن در بلد و امثال آن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طلاق قبل از دخول بعد از تزويج در عدّۀ طلاق بائن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طلاق قبل از دخول بعد از هبۀ نصف مشاع مهر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طلاق قبل از دخول بعد از امهار به غلامين و وفات يكى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شرط خيار فسخ در نكاح و اِمهار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تمام مهر به عقد نكاح مملوك زوجه است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عفو و ابراء و هبۀ مهر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اختيار ولىّ زوجه در عفو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توقف حصول مالكيّت عين بر قبض در هبه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عدم جواز امتناع از تمكين در مهر مؤجّل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تغيير صفت در عين مهر و حصول طلاق قبل از دخول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جواز جمع بين نكاح و بيع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طلاق قبل از دخول بعد از امهار و عتق يا تدبير عبد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تزويج به كمتر يا بيشتر از مهر المثل توسط ولى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تلف غير معلوم الوزن و ابراء آن و فرض فساد مهر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حكم امهار براى صغير از مال ولى يا خودش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تبرّع مهر از صغير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طلاق قبل از دخول بعد از تبرّع مهر از ولد كبير توسط والد يا اجنبى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تنازع زوجين در مهر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اختلاف زوجين در اصل استحقاق مهر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اختلاف در وصول مهر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اختلاف در مقدار، وصف و تأجيل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اختلاف در دو وصف مباين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اختلاف در تسليم مهر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تسلّم بر دفع و اختلاف به عنوان هبه يا صداق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ادّعاى مواقعه توسط زوجه و انكار زوج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صداق بودن سوره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فصل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قَسم و ساير حقوق زوجين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عدم تلازم اسقاط حق يكى با اسقاط حق ديگرى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فرض جنون و تكفّل قسمت توسط ولى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قابليت حق براى قضا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فرض خوف از مجنونه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وجوبى بودن حق قسمت و عدم آن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متعلَّقِ حقّ قَسم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قرعه براى تعيين در ابتداى شروع به قسمت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واجب در قسمت، مضاجعۀ متعارفه در شب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وجوب بيتوتۀ متعارفه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افرادى كه شغل آنها در شب است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قسمت بين حرّه و مملوكه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گونه هاى مختلف تحقق حق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استحقاق مبيت خصوصى براى زفاف بكر و ثيّب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اعتبار موالات در شبهاى اختصاصى به بكر يا ثيّب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ديگر احكام شبهاى اختصاصى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سقوط قسمت به سفر و مراعات عدل در صورت مصاحبت زنها در سفر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قسمت امۀ مزوّجه </w:t>
      </w:r>
      <w:r>
        <w:rPr>
          <w:rFonts w:eastAsia="IRNazanin" w:cs="IRNazanin"/>
          <w:color w:val="111111"/>
          <w:sz w:val="28"/>
          <w:szCs w:val="28"/>
          <w:lang w:bidi="fa-IR"/>
        </w:rPr>
        <w:t>83</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استحباب تسويه بين زنها در غير واجبات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هبه يا اسقاط قسمت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رجوع از هبه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صلح قسمت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عدم ثبوت قسمت براى ناشزه و بعض اقسام صغيره و مجنونه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ناشزه بودن مسافرۀ بدون اذن و ضرورت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جواز زيارت ضرّه در ليلۀ ديگرى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قضا براى مريضه و غير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جور در قسمت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حق ناشزه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طلاق يكى از اربعه بعد از دخول ليلۀ او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اقامۀ ده روزه در بلد يك زوجه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به سفر بردن بعضى و مسألۀ قسمت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نشوز و شقاق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تعريف نشوز و شقاق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نشوز زوج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نشوز طرفين و ارسال حَكَم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شرايط و وظايف حَكَم و وكيل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اختلاف بين حَكَمين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غيبت يا جنون يا اغماى زوجين يا يكى از آن دو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لزوم شروط حَكَمين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فصل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اولاد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ولد موطوئۀ به عقد دائم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شرايط الحاق اولاد به زوج در عقد دائم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گذشتن شش ماه هلالى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نگذشتن از اقصى مدت حمل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نفى ولد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الحاق به زوج در فرض امكان استناد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حكم الحاق اگر وطى غير زوج به شبهه باشد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اختلاف بين طرفين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عدم جواز نفى ولد با تحقق شروط الحاق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تولد بعد از طلاق و عدّه و وطى ديگرى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حكم ولد در صورت ازدواجِ بعد از حمل از زنا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ولد موطوئۀ به ملك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ولد موطوئۀ به شبهه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تعدّد واطى به شبهه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ازدواج با اعتقاد شوهردار نبودن و حكم ولد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آداب ولادت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رسيدگى به امور حامل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آداب مستحبّۀ ولادت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مستحبّات و مكروهات نام گذارى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آداب روز هفتم ولادت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حلق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ختان و سوراخ نمودن گوش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عقيقه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اختصاصات قابله از عقيقه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عقيقه در فرض فوت طفل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كراهت خوردن اهل خانه از عقيقه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كيفيّت مصرف عقيقه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احكام شير دادن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عدم وجوب ارضاع بر اُم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مطالبۀ اجرت شير دادن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جواز استيجار نفس براى شير دادن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حد شير دادن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استحقاق اجرت شير دادن در فرض عدم تبرّع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تقدم اُم در رضاع و فرض استيجار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حضانت </w:t>
      </w:r>
      <w:r>
        <w:rPr>
          <w:rFonts w:eastAsia="IRNazanin" w:cs="IRNazanin"/>
          <w:color w:val="111111"/>
          <w:sz w:val="28"/>
          <w:szCs w:val="28"/>
          <w:lang w:bidi="fa-IR"/>
        </w:rPr>
        <w:t>102</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حضانت مادر و شرايط آن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اختلاف در مهايات يا استيجار متصدى حضانت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موارد سقوط حضانت اُم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مسقطيّت ازدواج جديد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ميزان انتهاى حضانت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حق حضانت در صورت فوت والدين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شرايط حضانت اب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مفقود شدن ابوين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عدم حضانت بعد از بلوغ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وجوب و عدم وجوب حق حضانت، بر غير والدين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عود حضانت بعد از طلاق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نفقات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نفقۀ زوجه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شرايط وجوب نفقۀ زوجه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نفقۀ صغيره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نفقۀ حائض و امثال آن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نفقه در عدّه و زمان حمل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عدم نفقه در عدّه بائن مگر حامل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ثمرات تفرقه بين ثبوت نفقه براى حامل يا حمل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نفقۀ حاملى كه زوجش وفات نموده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مقدار نفقۀ زوجه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رعايت متعارف اهل بلد به حسب مرتبه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عدم قدرت زوج، بر نفقۀ لازمه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رعايت عادت امثال در لوازم زندگى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آنچه براى بقاى خود زن لازم است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معاشرت به معروف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احكام نفقۀ زوجه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تخيير در نحوۀ خدمت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وجوب نفقۀ هر روز و اناطه به تمكين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مقدّمات اطعام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استقرار در ذمّه با تمكين و عدم دفع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استرداد در فرض موت يا طلاق يا نشوز زوجه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مالكيّت زن بر نفقه و لو صرف نكند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وفات شوهر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موارد تمليك و اباحه در نفقه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اسقاط حق مطالبه با شركت در اكل و شرب با زوج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حكم نفقه در فرض غايب بودن زوج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حكم ارتداد و نشوز در فرض مسأله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ادّعاى حمل توسط مطلّقۀ بائن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ثبوت نفقه براى بائن حامل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نفقه در فرض لعان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نفقۀ زوجۀ مملوك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اختلاف در تقدم و تأخّر حمل از طلاق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بدهكار بودن زن و تقاصّ آن از نفقه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تقدم نفقۀ نفس بر نفقۀ زوجه و نفقۀ زوجه بر نفقۀ اقارب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در نفقۀ اقارب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نزديكانى كه نفقۀ آنها واجب است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اعتبار فقر در وجوب انفاق بر قريب و عدم اعتبار نقصان خلقت يا محجوريّت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طفل قادر بر كسب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عدم مانعيت فسق و كفر از وجوب انفاق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وجوب تكسّب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تزويج واجب النفقه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نفقۀ همسر پدر يا فرزند </w:t>
      </w:r>
      <w:r>
        <w:rPr>
          <w:rFonts w:eastAsia="IRNazanin" w:cs="IRNazanin"/>
          <w:color w:val="111111"/>
          <w:sz w:val="28"/>
          <w:szCs w:val="28"/>
          <w:lang w:bidi="fa-IR"/>
        </w:rPr>
        <w:t>118</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قضايى نبودن و ذمّى نبودن نفقۀ اقارب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bookmarkStart w:id="3980" w:name="pg10265_90437"/>
    </w:p>
    <w:p>
      <w:pPr>
        <w:pStyle w:val="BookText"/>
        <w:rPr/>
      </w:pPr>
      <w:bookmarkEnd w:id="3980"/>
      <w:r>
        <w:rPr>
          <w:rFonts w:ascii="Amiri" w:hAnsi="Amiri" w:eastAsia="Amiri" w:cs="Amiri"/>
          <w:color w:val="111111"/>
          <w:sz w:val="28"/>
          <w:sz w:val="28"/>
          <w:szCs w:val="28"/>
          <w:rtl w:val="true"/>
          <w:lang w:bidi="ar-SA"/>
        </w:rPr>
        <w:t xml:space="preserve">احكام نفقۀ اقارب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ترتيب در منفِق در نفقۀ اقارب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چندين مسأله دربارۀ ترتيب در انفاق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امتناع از انفاق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نفقۀ مملوك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نفقۀ غلام و كنيز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نفقۀ بهائم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وجوب انفاق بر بهائم مملوكه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احكام دوشيدن شير حيوان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نفقۀ اموال </w:t>
      </w:r>
      <w:r>
        <w:rPr>
          <w:rFonts w:eastAsia="IRNazanin" w:cs="IRNazanin"/>
          <w:color w:val="111111"/>
          <w:sz w:val="28"/>
          <w:szCs w:val="28"/>
          <w:lang w:bidi="fa-IR"/>
        </w:rPr>
        <w:t>123</w:t>
      </w:r>
    </w:p>
    <w:p>
      <w:pPr>
        <w:pStyle w:val="Heading3"/>
        <w:numPr>
          <w:ilvl w:val="2"/>
          <w:numId w:val="1"/>
        </w:numPr>
        <w:rPr/>
      </w:pPr>
      <w:bookmarkStart w:id="3981" w:name="__RefHeading___Toc3810325_1067777946"/>
      <w:bookmarkStart w:id="3982" w:name="_Toc1675"/>
      <w:bookmarkEnd w:id="3981"/>
      <w:r>
        <w:rPr>
          <w:rtl w:val="true"/>
        </w:rPr>
        <w:t>كتاب طلاق</w:t>
      </w:r>
      <w:bookmarkEnd w:id="3982"/>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شرايط طلاق دهنده </w:t>
      </w:r>
      <w:r>
        <w:rPr>
          <w:rFonts w:eastAsia="Amiri" w:cs="Amiri" w:ascii="Amiri" w:hAnsi="Amiri"/>
          <w:color w:val="111111"/>
          <w:sz w:val="28"/>
          <w:szCs w:val="28"/>
          <w:lang w:bidi="ar-SA"/>
        </w:rPr>
        <w:t>127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بلوغ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طلاق مجنون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قصد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نحوۀ تحقق اكراه در طلاق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طلاق مضطرّ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تخيير اكراهى بين طلاق يا دفع مال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اكراه بر طلاق يكىِ معيّن و غير معيّن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قدرت بر فرار از ضرر يا توريه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ايقاع بودن طلاق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عدم تأثير اختيار بعد از اكراه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شرايط مطلَّقه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زوجيّت و دوام آن </w:t>
      </w:r>
      <w:r>
        <w:rPr>
          <w:rFonts w:eastAsia="Amiri" w:cs="Amiri" w:ascii="Amiri" w:hAnsi="Amiri"/>
          <w:color w:val="111111"/>
          <w:sz w:val="28"/>
          <w:szCs w:val="28"/>
          <w:lang w:bidi="ar-SA"/>
        </w:rPr>
        <w:t>131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طُهر غير مواقعه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طلاق در غيبت و احكام آن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حكم محبوس از زن و نظاير آن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موارد جواز طلاق در طهر مواقعه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عدم اكتفا به طهر بعد از مواقعه در اثناى حيض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طلاق مسترابه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تعيين مطلَّقه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چند مسأله در صيغۀ طلاق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شرط و تعليق در صيغۀ طلاق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اجراى صيغۀ طلاق واحدِ مفسَّرِ به دو يا سه طلاق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سه طلاق بدون تخلّل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حكم جريان و يا عدم جريان قاعده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اشهاد در طلاق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كفايت سماع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عدم لزوم اجتماع شهود بر اقرار به طلاق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لزوم اجتماع دو شاهد و مرد بودن آن دو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لزوم تغاير شاهدين با وكيل و موكّل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اشتراط عدالت در شاهد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كفايت احتمال عدالت توسط مجرى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فرض علم مجرى به عدالت و علم ديگران به فسق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طلاق و صيغۀ آن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اقسام طلاق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طلاق بائن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طلاق عدّه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نياز به محلّل در همه طلاقهاى مقدّم بر طلاق سوم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شرط تحقق طلاق سوّم </w:t>
      </w:r>
      <w:r>
        <w:rPr>
          <w:rFonts w:eastAsia="IRNazanin" w:cs="IRNazanin"/>
          <w:color w:val="111111"/>
          <w:sz w:val="28"/>
          <w:szCs w:val="28"/>
          <w:lang w:bidi="fa-IR"/>
        </w:rPr>
        <w:t>138</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صيغۀ طلاق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عربى يا غير عربى بودن صيغه و طلاق اخرس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طلاق با كتابت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اگر مرد اختيار طلاق را به همسر خود بسپارد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زيادى قيد در طلاق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اجراى صيغه با احتمال خلل در شرط و مانع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تعليق به مستقبل و غير آن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ادّعاى سبق لسان در لفظ طالق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حكم بعضى از گونه هاى بيان صيغه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طلاق اكثر از واحده به يك صيغه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استثنا در صيغۀ طلاق به اِلّا و غير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ادّعاى سبق لسان در اسم مطلّقه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اضراب به بل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بقيۀ مسائل مربوط به اقسام طلاق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در حامل سه طلاق دادن تصوير دارد به خلاف نه طلاق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عدم اناطه سه طلاق دادن به مواقعه بعد از هر طلاق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شك در اصل طلاق يا عدد آن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غايب و مريض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طلاق شخص غايب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طلاق غايب و اعلام به آن بعد از حضور و مقاربت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طلاق رجعى توسط غايب و ارادۀ ازدواج با اخت و امثال آن </w:t>
      </w:r>
      <w:r>
        <w:rPr>
          <w:rFonts w:eastAsia="Amiri" w:cs="Amiri" w:ascii="Amiri" w:hAnsi="Amiri"/>
          <w:color w:val="111111"/>
          <w:sz w:val="28"/>
          <w:szCs w:val="28"/>
          <w:lang w:bidi="ar-SA"/>
        </w:rPr>
        <w:t>144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طلاق مريض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كراهت شديدۀ طلاق مريض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حكم ارث مرد از زوجۀ مطلّقه در صورت فوت او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حكم ارث مطلّقه از شوهر در صورت فوت او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ادّعاى طلاق در حال صحّت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بينونت به غير طلاق مريض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ارث ثابت است و لو طلاق مريض به درخواست زوجه انجام شود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حكم ارث بعد از طلاق امه توسط شوهر مريض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حكم ارث بعد از طلاق كتابيّه توسّط مريض مسلمان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اختلاف زن و ورثه در تقدم و تأخر طلاق و مرض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حكم ارث در صورت وفات مريض بعد طلاق اربعه و نكاح اربعه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اختصاص توارث به صورت وفات به سبب مرض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تحليل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هدم مطلق طلاق توسط نكاح محلّل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سه طلاق در اهل ذمّه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دو طلاق در امه موجب حرمت قبل از نكاح محلّل است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حصول تحليل به نكاح خصى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ارتداد محلّل يا زوجه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حكم ادّعاى نكاح با محلّل و دخول او، توسط زن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رجوع از ادّعا قبل يا بعد از عقد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حصول تحليل به وسيلۀ وطى محرّمِ محلّل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به نكاح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نحوۀ حصول رجوع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ارتداد زوجه يا زوج </w:t>
      </w:r>
      <w:r>
        <w:rPr>
          <w:rFonts w:eastAsia="Amiri" w:cs="Amiri" w:ascii="Amiri" w:hAnsi="Amiri"/>
          <w:color w:val="111111"/>
          <w:sz w:val="28"/>
          <w:szCs w:val="28"/>
          <w:lang w:bidi="ar-SA"/>
        </w:rPr>
        <w:t>152</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طلاق ذميّه و رجوع در عده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 رجوع با انكار دخول و عدّه توسّط زن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كفايت اشارۀ مفهمه در رجوع اخرس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ادّعاى انقضاى عده توسط زن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نزاع در تقدّم و تأخّر رجوع از انقضاى عدّه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در استعمال حيل شرعيّه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توريۀ در يمين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و اقسام آن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معناى عدّه و شرايط تحقّق آن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كلام در عده ها است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غير مدخول بها عدّه ندارد مگر در صورت وفات زوج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ميزان تحقق دخول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حكم عدّه در صورت انزال بدون دخول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حكم مسأله در صورت اختلاف در اصابه </w:t>
      </w:r>
      <w:r>
        <w:rPr>
          <w:rFonts w:eastAsia="Amiri" w:cs="Amiri" w:ascii="Amiri" w:hAnsi="Amiri"/>
          <w:color w:val="111111"/>
          <w:sz w:val="28"/>
          <w:szCs w:val="28"/>
          <w:lang w:bidi="ar-SA"/>
        </w:rPr>
        <w:t>156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عدۀ مستقيمة الحيض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اقل عدّه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اگر طلاق در آخر طهر متصل به حيض واقع شود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اختلاف در انقضاى عده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عدّه زنى كه حيض نمى بيند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زنى كه در بيش از سه ماه، يك عادت مى بيند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عدّۀ يائسۀ مسترابه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حكم عدّۀ شابّۀ مستقيمة الحيض اگر بعد از طلاق در سه ماه يك حيض ببيند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ديدن يك يا دو حيض بعد از طلاق و يائسه شدن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نحوۀ تعيين عدّه مستقيمة الحيض مبتلىٰ به استمرار خون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ارتياب حمل و تبيّن حمل </w:t>
      </w:r>
      <w:r>
        <w:rPr>
          <w:rFonts w:eastAsia="Amiri" w:cs="Amiri" w:ascii="Amiri" w:hAnsi="Amiri"/>
          <w:color w:val="111111"/>
          <w:sz w:val="28"/>
          <w:szCs w:val="28"/>
          <w:lang w:bidi="ar-SA"/>
        </w:rPr>
        <w:t>160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عدّۀ حامل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معيار در حمل و وضع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اگر بعد از طلاق ادّعاى حمل كرد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تعدّد حمل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حكم عدّۀ در صورت وفات زوج در اثناى عدّۀ طلاق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عدم عدّۀ حمل در حمل از زنا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حكم عدّه در صورت اجتماع وطى به شبهه و طلاق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اختلاف بين زوجين در تاريخ طلاق يا وضع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تولد فرزند بعد از اقرار به انقضاى عدّۀ طلاق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ادّعاى زن بعد از موت زوج به رجوع در عدّه يا ازدواج جديد </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عدۀ وفات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وجوب ترك زينت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طلاق يكى از زوجات بدون تعيين، و وفات شوهر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عدّۀ طلاق متعقّب به وفات در صورت تعيين مطلّقه </w:t>
      </w:r>
      <w:r>
        <w:rPr>
          <w:rFonts w:eastAsia="Amiri" w:cs="Amiri" w:ascii="Amiri" w:hAnsi="Amiri"/>
          <w:color w:val="111111"/>
          <w:sz w:val="28"/>
          <w:szCs w:val="28"/>
          <w:lang w:bidi="ar-SA"/>
        </w:rPr>
        <w:t>165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زوجۀ شخص مفقود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قرار دادن چهار سال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عدم اختصاص حكم مفقود به مسافر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احكام مذكور مربوط به زوجۀ دائميّه است نه متمتع بها و نه ارث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حكم نفقۀ مأخوذه در فرض انكشاف موت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وجه جمع بين طلاق و عدّۀ وفات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انكشاف وقت وفات زوج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حكم نفقه در اثناى عدّه و هم چنين حكم طلاق و ظهار و ايلاء زوج </w:t>
      </w:r>
      <w:r>
        <w:rPr>
          <w:rFonts w:eastAsia="IRNazanin" w:cs="IRNazanin"/>
          <w:color w:val="111111"/>
          <w:sz w:val="28"/>
          <w:szCs w:val="28"/>
          <w:lang w:bidi="fa-IR"/>
        </w:rPr>
        <w:t>167</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توارث در اثناى عدّه و بعد آن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bookmarkStart w:id="3983" w:name="pg10265_90440"/>
    </w:p>
    <w:p>
      <w:pPr>
        <w:pStyle w:val="BookText"/>
        <w:rPr/>
      </w:pPr>
      <w:bookmarkEnd w:id="3983"/>
      <w:r>
        <w:rPr>
          <w:rFonts w:ascii="Amiri" w:hAnsi="Amiri" w:eastAsia="Amiri" w:cs="Amiri"/>
          <w:color w:val="111111"/>
          <w:sz w:val="28"/>
          <w:sz w:val="28"/>
          <w:szCs w:val="28"/>
          <w:rtl w:val="true"/>
          <w:lang w:bidi="ar-SA"/>
        </w:rPr>
        <w:t xml:space="preserve">اشتباه حاكم در حساب و وقوع تزويج </w:t>
      </w:r>
      <w:r>
        <w:rPr>
          <w:rFonts w:eastAsia="Amiri" w:cs="Amiri" w:ascii="Amiri" w:hAnsi="Amiri"/>
          <w:color w:val="111111"/>
          <w:sz w:val="28"/>
          <w:szCs w:val="28"/>
          <w:lang w:bidi="ar-SA"/>
        </w:rPr>
        <w:t>168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عدۀ امه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اقل ايام عدۀ امه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عدّه امه مسترابه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وقوع عتق و عدّۀ طلاق امه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عدّۀ ذميّه در موت و طلاق و هم چنين عدّۀ امه از وفات زوج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احكام وطى امه در صورت ابتياع و مكاتبه و ارتداد و طلاق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مسائلى از طلاق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موارد عدم جواز و جواز اخراج مطلّقۀ رجعيه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نفقۀ رجعيه و بائن حامل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فروع سكناى مطلّقه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انهدام مسكن مطلّقۀ رجعيّه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توسعه و تضييق مسكن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خلوت و نظر بر مطلقۀ رجعيّه با قصد عدم رجوع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خلوت با اجنبيّه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فروش محل سكونت مطلّقه رجعيّه در ايّام عدّه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سكنى و نفقۀ مطلقه رجعيّه و وقوع حجر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مطلقه رجعيه بعد از وفات زوج حق سكنى ندارد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انتقال با اذن قبل از طلاق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نهى از اخراج و خروج شرط صحّت اعتداد نيست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سكناى بَدَوِيۀ رجعيّه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اعتداد در سفينه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حكم استحقاق اجرت سكنى در صورت سكونت در غير منزل زوج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عدم استحقاق نفقه براى عدّۀ وفات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تزويج در عدّه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وطى به شبهه در اثناى عدّه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مبدأ عدّه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حكم عدّۀ طلاق دوّم واقع در اثناى عدّۀ طلاق اوّل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عدۀ وطى به شبهه و ساير احكام مترتّب بر آن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وطى به شبهه توسّط مطلّق در ايّام عدّه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فرض تحقق حمل در صورت وطى به شبهه توسّط مطلّق در ايّام عدّه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فسخ مطلقۀ رجعيه در اثناى عده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نكاح با مشتبه در اثناى عدۀ رجعيّه </w:t>
      </w:r>
      <w:r>
        <w:rPr>
          <w:rFonts w:eastAsia="Amiri" w:cs="Amiri" w:ascii="Amiri" w:hAnsi="Amiri"/>
          <w:color w:val="111111"/>
          <w:sz w:val="28"/>
          <w:szCs w:val="28"/>
          <w:lang w:bidi="ar-SA"/>
        </w:rPr>
        <w:t>183</w:t>
      </w:r>
    </w:p>
    <w:p>
      <w:pPr>
        <w:pStyle w:val="Heading3"/>
        <w:numPr>
          <w:ilvl w:val="2"/>
          <w:numId w:val="1"/>
        </w:numPr>
        <w:rPr/>
      </w:pPr>
      <w:bookmarkStart w:id="3984" w:name="__RefHeading___Toc3810327_1067777946"/>
      <w:bookmarkStart w:id="3985" w:name="_Toc1676"/>
      <w:bookmarkEnd w:id="3984"/>
      <w:r>
        <w:rPr>
          <w:rtl w:val="true"/>
        </w:rPr>
        <w:t>كتاب خُلع</w:t>
      </w:r>
      <w:bookmarkEnd w:id="3985"/>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صيغۀ خُلع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تعريف خُلع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صيغۀ خُلع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بعضى از موارد صدق و يا عدم صدق خُلع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فديه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علم و جهل به فداء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غير مملوك بودن فدا و يا مستحق غير بودن آن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بذل فداء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خلع در مرض موت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اگر فدا، شير دادن يا نفقۀ طفل باشد </w:t>
      </w:r>
      <w:r>
        <w:rPr>
          <w:rFonts w:eastAsia="IRNazanin" w:cs="IRNazanin"/>
          <w:color w:val="111111"/>
          <w:sz w:val="28"/>
          <w:szCs w:val="28"/>
          <w:lang w:bidi="fa-IR"/>
        </w:rPr>
        <w:t>191</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 فدا قبل از قبض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bookmarkStart w:id="3986" w:name="pg10265_90441"/>
    </w:p>
    <w:p>
      <w:pPr>
        <w:pStyle w:val="BookText"/>
        <w:rPr/>
      </w:pPr>
      <w:bookmarkEnd w:id="3986"/>
      <w:r>
        <w:rPr>
          <w:rFonts w:ascii="Amiri" w:hAnsi="Amiri" w:eastAsia="Amiri" w:cs="Amiri"/>
          <w:color w:val="111111"/>
          <w:sz w:val="28"/>
          <w:sz w:val="28"/>
          <w:szCs w:val="28"/>
          <w:rtl w:val="true"/>
          <w:lang w:bidi="ar-SA"/>
        </w:rPr>
        <w:t xml:space="preserve">انكشاف عيب يا خلاف در وصف فدا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لزوم ظهور انشاى بذل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خلع اكثر از يكى به يك فدا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انكشاف بودن عين، مال غير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جواز بذل توسط امه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شرايط صحّت خُلع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شرايط معتبر در خلُع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شرايط مختلعه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خلع حامل و يائسه و غير مدخول بها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لزوم حضور دو شاهد عادل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صحّت خلع از محجور عليه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بذل مختلعه سفيهه و مفلّسه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خلع ذمى و حربى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شرط حق رجوع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تعليق در خلع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خُلع و تنازع در خُلع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خلع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اكراه بر فداء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عدم صحّت خلع بدون كراهت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بدسلوكى در فرض ارتكاب فاحشه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احكام رجوع در بذل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بطلان شرط رجوع در خلع و حكم صحّت و عدم صحّت طلاق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بعد از خلع بودن رجوع، طلاق و ظهار و ايلاء محقّق نمى شود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تقاضاى سه طلاق در مقابل مبلغى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تقاضاى يك طلاق به مبلغى و اجراى سه طلاق توسّط زوج به طور ارسال و توالى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تقاضاى طلاق و ابراء از مهر توسط ولى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توكيل در خلع و بذل </w:t>
      </w:r>
      <w:r>
        <w:rPr>
          <w:rFonts w:eastAsia="Amiri" w:cs="Amiri" w:ascii="Amiri" w:hAnsi="Amiri"/>
          <w:color w:val="111111"/>
          <w:sz w:val="28"/>
          <w:szCs w:val="28"/>
          <w:lang w:bidi="ar-SA"/>
        </w:rPr>
        <w:t>201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تنازع در خُلع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مبارات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تعريف، شروط و صيغۀ مبارات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اعتبار شروط طلاق و خلع در مبارات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احكام رجوع در مبارات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افتراق مبارات از خلع </w:t>
      </w:r>
      <w:r>
        <w:rPr>
          <w:rFonts w:eastAsia="IRNazanin" w:cs="IRNazanin"/>
          <w:color w:val="111111"/>
          <w:sz w:val="28"/>
          <w:szCs w:val="28"/>
          <w:lang w:bidi="fa-IR"/>
        </w:rPr>
        <w:t>204</w:t>
      </w:r>
    </w:p>
    <w:p>
      <w:pPr>
        <w:pStyle w:val="Heading3"/>
        <w:numPr>
          <w:ilvl w:val="2"/>
          <w:numId w:val="1"/>
        </w:numPr>
        <w:rPr/>
      </w:pPr>
      <w:bookmarkStart w:id="3987" w:name="__RefHeading___Toc3810329_1067777946"/>
      <w:bookmarkStart w:id="3988" w:name="_Toc1677"/>
      <w:bookmarkEnd w:id="3987"/>
      <w:r>
        <w:rPr>
          <w:rtl w:val="true"/>
        </w:rPr>
        <w:t>كتاب ظهار</w:t>
      </w:r>
      <w:bookmarkEnd w:id="3988"/>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صيغۀ ظهار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فروض تحقّق و عدم تحقّق ظهار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اعتبار حضور دو شاهد عادل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صُوَر تعليق در ظهار و حكم هر كدام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مُظاهِر و مُظاهرَه معتبر است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شرايط معتبر در مُظاهِر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شرايط معتبر در مُظاهَره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ظهار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حرمت ظهار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زمان وجوب كفّاره بر مظاهِر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تكرّر كفّاره به تعدّد وطى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حرمت وطى قبل تكفير اگر بعد از ظهار طلاق رجعى بدهد و</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اگر با زوجۀ امۀ خود ظهار كند و</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صورتهاى مختلف تعليق ظهار و حكم هر كدام </w:t>
      </w:r>
      <w:r>
        <w:rPr>
          <w:rFonts w:eastAsia="Amiri" w:cs="Amiri" w:ascii="Amiri" w:hAnsi="Amiri"/>
          <w:color w:val="111111"/>
          <w:sz w:val="28"/>
          <w:szCs w:val="28"/>
          <w:lang w:bidi="ar-SA"/>
        </w:rPr>
        <w:t>215</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ظهار از چهار زن با يك صيغه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ظهار مكرّر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حكم ظهار مطلق و معلّق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حكم تعليق ظهار بر نفى فعل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حكم تعليق ظهار بر حمل زن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حكم تعليق ظهار بر حيض زن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حكم تعليق ظهار بر دخول زن به خانه و 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حكم تعليق ظهار بر مخالفت امر زوج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حكم تعليق ظهار بر قذف زيد يا تكلّم با او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حكم تعليق ظهار بر رؤيت زيد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حكم تعليق ظهار بر مسّ زيد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حكم تعليق ظهار بر ماه مخصوص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حكم تعليق ظهار بر امر غير اختيارى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حرمت وطى قبل از تكفير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اگر مظاهر از اداى كفّاره عاجز بود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اگر مظاهر به وظيفۀ خود عمل نكرد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كفّارات ظهار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اقسام كفّاره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موارد كفّاره مرتّبه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موارد كفّاره مخيّره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كفّاره مطلق نذر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كفّاره يمين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كفّاره جمع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چند مسأله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حلف بر برائت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كندن مو يا كشيدن آن در مصيبت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كفارۀ كندن مو يا شكافتن جامه در مصيبت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كفارۀ وطى امۀ حائض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استحباب تكفير به پنج صاع آرد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حكم خواب در وقت نماز عشا تا نصف شب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طارى شدن عجز در صوم نذرى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خصال كفّاره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عتق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اوصاف معتبره در رقبه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ايمان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سلامتى از عيوب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تماميّت مِلك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امور معتبره در صحّت عتق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نيّت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بودن از عوض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نبودن سبب </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صوم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مراد از وجدان و عدم آن در خصال كفاره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حكم افطار در كفارۀ پى درپى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اطعام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كافى بودن تسليم طعام و مقدار طعام در كفاره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دادن چند كفاره به فقير واحد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چيزهايى كه براى اطعام كفايت مى كند و حدّ اطعام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اعتبار قصد قربت در خصال كفاره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موارد مختلفۀ جواز اطعام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دادن كفارۀ طعام به صغير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فقيرى كه كفاره به او تعلّق مى گيرد </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كِسوه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مراد از لباس در كسوه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چند مسأله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كفارۀ ايلاء از افراد كفارۀ يمين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استحباب عتق مملوك در صورت زدن او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كفايت دو ماه قمرى در كفاره </w:t>
      </w:r>
      <w:r>
        <w:rPr>
          <w:rFonts w:eastAsia="Amiri" w:cs="Amiri" w:ascii="Amiri" w:hAnsi="Amiri"/>
          <w:color w:val="111111"/>
          <w:sz w:val="28"/>
          <w:szCs w:val="28"/>
          <w:lang w:bidi="ar-SA"/>
        </w:rPr>
        <w:t>237</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مراد از عجز و قدرت در خصال كفاره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bookmarkStart w:id="3989" w:name="pg10265_90443"/>
    </w:p>
    <w:p>
      <w:pPr>
        <w:pStyle w:val="BookText"/>
        <w:rPr/>
      </w:pPr>
      <w:bookmarkEnd w:id="3989"/>
      <w:r>
        <w:rPr>
          <w:rFonts w:ascii="Amiri" w:hAnsi="Amiri" w:eastAsia="Amiri" w:cs="Amiri"/>
          <w:color w:val="111111"/>
          <w:sz w:val="28"/>
          <w:sz w:val="28"/>
          <w:szCs w:val="28"/>
          <w:rtl w:val="true"/>
          <w:lang w:bidi="ar-SA"/>
        </w:rPr>
        <w:t xml:space="preserve">وجوب عتق بر عبد بعد از تمكّن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لزوم صبر براى وصول مال غائب، در كفاره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اگر در وسط صوم قادر بر عتق شود و مانند آن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عدم اجزاى عتق قبل از عود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كيفيّت دفع كفّاره به طفل و مجنون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عدم جواز پرداخت نفقه به واجب النفقه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وجوب تقديم تكفير از ظهار بر مقاربت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تكميل يا تفريق هر خصلت كفّاره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عدم كفايت پرداخت قيمت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كسى كه كفارۀ دو ماه بر او واجب شده و قادر نيست </w:t>
      </w:r>
      <w:r>
        <w:rPr>
          <w:rFonts w:eastAsia="Amiri" w:cs="Amiri" w:ascii="Amiri" w:hAnsi="Amiri"/>
          <w:color w:val="111111"/>
          <w:sz w:val="28"/>
          <w:szCs w:val="28"/>
          <w:lang w:bidi="ar-SA"/>
        </w:rPr>
        <w:t>240</w:t>
      </w:r>
    </w:p>
    <w:p>
      <w:pPr>
        <w:pStyle w:val="Heading3"/>
        <w:numPr>
          <w:ilvl w:val="2"/>
          <w:numId w:val="1"/>
        </w:numPr>
        <w:rPr/>
      </w:pPr>
      <w:bookmarkStart w:id="3990" w:name="__RefHeading___Toc3810331_1067777946"/>
      <w:bookmarkStart w:id="3991" w:name="_Toc1678"/>
      <w:bookmarkEnd w:id="3990"/>
      <w:r>
        <w:rPr>
          <w:rtl w:val="true"/>
        </w:rPr>
        <w:t>كتاب ايلاء</w:t>
      </w:r>
      <w:bookmarkEnd w:id="3991"/>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صيغۀ ايلاء و شرايط مُولىٖ و مُولىٰ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تعريف ايلاء </w:t>
      </w:r>
      <w:r>
        <w:rPr>
          <w:rFonts w:eastAsia="Amiri" w:cs="Amiri" w:ascii="Amiri" w:hAnsi="Amiri"/>
          <w:color w:val="111111"/>
          <w:sz w:val="28"/>
          <w:szCs w:val="28"/>
          <w:lang w:bidi="ar-SA"/>
        </w:rPr>
        <w:t>245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صيغۀ ايلاء و شروط آن </w:t>
      </w:r>
      <w:r>
        <w:rPr>
          <w:rFonts w:eastAsia="Amiri" w:cs="Amiri" w:ascii="Amiri" w:hAnsi="Amiri"/>
          <w:color w:val="111111"/>
          <w:sz w:val="28"/>
          <w:szCs w:val="28"/>
          <w:lang w:bidi="ar-SA"/>
        </w:rPr>
        <w:t>245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شرائط ايلاءكننده </w:t>
      </w:r>
      <w:r>
        <w:rPr>
          <w:rFonts w:eastAsia="Amiri" w:cs="Amiri" w:ascii="Amiri" w:hAnsi="Amiri"/>
          <w:color w:val="111111"/>
          <w:sz w:val="28"/>
          <w:szCs w:val="28"/>
          <w:lang w:bidi="ar-SA"/>
        </w:rPr>
        <w:t>246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شرائط ايلاء شونده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ايلاء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حدّ اقل زمانى كه با آن ايلاء محقق مى شود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مدت انتظار در ايلاء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حكم اختلاف در انقضاى مدت و زمان وقوع ايلاء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حكم وجود مانع از وطى بعد از انقضاى مدت انتظار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حدوث جنون بعد از گذشت مدت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حكم انقضاى مدت در حال احرام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حكم ايلاء بعد از ظهار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حكم ارتداد بعد از ايلاء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حكم وطى بعد از ايلاء و در اثناى مدت انتظار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وطى بدون التفات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حكم اختلاف در اصابت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زمان شروع مدت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اگر زوجين ذمّى بودند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فئۀ قادر و فئۀ عاجز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حكم ايلاء حرّ با زوجۀ امه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حكم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لأوطأتكنّ‌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 مختلف قصد گويند و حكم هر يك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صحّت ايلاء مطلّقۀ رجعيّه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عدم سببيّت تكرار يمين براى تكرار كفّاره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حكم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لأوطأتك فى السنة الّا مرّة</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Heading3"/>
        <w:numPr>
          <w:ilvl w:val="2"/>
          <w:numId w:val="1"/>
        </w:numPr>
        <w:rPr/>
      </w:pPr>
      <w:bookmarkStart w:id="3992" w:name="__RefHeading___Toc3810333_1067777946"/>
      <w:bookmarkStart w:id="3993" w:name="_Toc1679"/>
      <w:bookmarkEnd w:id="3992"/>
      <w:r>
        <w:rPr>
          <w:rtl w:val="true"/>
        </w:rPr>
        <w:t>كتاب لعان</w:t>
      </w:r>
      <w:bookmarkEnd w:id="3993"/>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لعان </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قذف است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شرايط تحقق لعان به قذف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برخى موارد تحقق و يا عدم تحقق قذف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تحقّق لعان در عدّۀ رجعيّه به سبب قذف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اختلاف در تقدّم و تأخّر قذف و زوجيّت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عدم ثبوت لعان در صورت قذف به مستحق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قذف مجنونه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نسبت زنا به غير اختيار </w:t>
      </w:r>
      <w:r>
        <w:rPr>
          <w:rFonts w:eastAsia="Amiri" w:cs="Amiri" w:ascii="Amiri" w:hAnsi="Amiri"/>
          <w:color w:val="111111"/>
          <w:sz w:val="28"/>
          <w:szCs w:val="28"/>
          <w:lang w:bidi="ar-SA"/>
        </w:rPr>
        <w:t>263</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قذف چند نفر با يك لفظ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انكار ولد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شرايط تحقّق لعان به انكار ولد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اعتبار تماميّت حمل و دوام عقد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اعتبار امكان و احتمال لحوق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رابطۀ بلوغ با لحوق و لعان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معيوب بودن زوج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اقرار و عدم اقرار زوج حاضر در وقت ولادت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انكار و ادّعاى بعد از طلاق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ولادت بعد از طلاق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ملاعن و ملاعنه </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اوصاف مُلاعِن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بلوغ و عقل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لعان بين ذمّيّين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لعان اخرس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زوال مرض بعد از لعانِ با اشاره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نفى ولد مجنونه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تحقق نفى در ولد شبهه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وجوب نفى ولد بر زوج با اختلال شروط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حرمت انكار ولد با علم يا تحقّق شروط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عدم جواز انكار به مجرّد شبهه يا ظن </w:t>
      </w:r>
      <w:r>
        <w:rPr>
          <w:rFonts w:eastAsia="Amiri" w:cs="Amiri" w:ascii="Amiri" w:hAnsi="Amiri"/>
          <w:color w:val="111111"/>
          <w:sz w:val="28"/>
          <w:szCs w:val="28"/>
          <w:lang w:bidi="ar-SA"/>
        </w:rPr>
        <w:t>270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اوصاف مُلاعِنه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قذف شخص لال يا ناشنوا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اعتبار دوام عقد و حكم ولد متعه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عدم اعتبار حرّيت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صحّت لعان حامل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عدم كفايت مجرّد ملك براى تحقّق فراش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اناطۀ جواز نفى ولد به علم به مخالفت قاعدۀ فراش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الحاق متمتّع بها به امه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كيفيّت لعان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صحّت لعان نزد نائب عام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كيفيّت لعان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شرايط شهادت و الفاظ لعان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مستحبّات لعان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استحباب تغليظ در ايقاع لعان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ايقاع لعان در مساجد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عدم ترتب ثمره بر اينكه لعان يمين است يا شهادت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لعان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ثبوت حد بر مرد به وسيلۀ قذف و سقوط با لعان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نكول زوج از لعان يا اعتراف به كذب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سقوط حد از زوجين با لعان هر دو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اقرار يا نكول زن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اعتراف زوج به كذب بعد از لعان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اعتراف زوجه به كذب بعد از لعان خودش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اقامۀ بيّنه و تكذيب آن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حكم عدم قدرت لسانى بر لعان بعد از قذف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ادّعاى قذف توسط زن و سكوت زوج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صورت سقوط حدّ در فرض لعان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تعدّد حدّ قذف با فرض تعدّد متعلّق آن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قذف و اقرار بعد از آن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قذف زوجه و ادّعاى اقرار او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فوت زوجه قبل از لعان و مسألۀ ارث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فروض تعدّد و عدم تعدّد در حدّ قذف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ترتّب حدّ يا قبول شهادت در فرض شهادت زوج با سه شاهد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عدم ترتّب آثار لعان با اخلال به الفاظ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فسخ بودن لعان </w:t>
      </w:r>
      <w:r>
        <w:rPr>
          <w:rFonts w:eastAsia="IRNazanin" w:cs="IRNazanin"/>
          <w:color w:val="111111"/>
          <w:sz w:val="28"/>
          <w:szCs w:val="28"/>
          <w:lang w:bidi="fa-IR"/>
        </w:rPr>
        <w:t>282</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تولّد توأم دو طفل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bookmarkStart w:id="3994" w:name="pg10265_90445"/>
    </w:p>
    <w:p>
      <w:pPr>
        <w:pStyle w:val="Heading3"/>
        <w:numPr>
          <w:ilvl w:val="2"/>
          <w:numId w:val="1"/>
        </w:numPr>
        <w:rPr/>
      </w:pPr>
      <w:bookmarkStart w:id="3995" w:name="__RefHeading___Toc3810335_1067777946"/>
      <w:bookmarkStart w:id="3996" w:name="_Toc1680"/>
      <w:bookmarkEnd w:id="3994"/>
      <w:bookmarkEnd w:id="3995"/>
      <w:r>
        <w:rPr>
          <w:rtl w:val="true"/>
        </w:rPr>
        <w:t>كتاب عتق</w:t>
      </w:r>
      <w:bookmarkEnd w:id="3996"/>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عتق و بيان متعلّق آن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فضيلت عتق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اختصاص استرقاق به اهل حرب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اعقاب رقّ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استرقاق حربى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اقرار و انكار رقّيّت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عدم قبول ادّعاى عبد به حرّيّت در سوق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ملتقَط در دار الحرب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ترتب احكام مالك بر ولد يا زوجه يا ارحام خريدارى شده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جواز استرقاق براى مؤمن مطلقا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اسباب ازالۀ رقّيّت </w:t>
      </w:r>
      <w:r>
        <w:rPr>
          <w:rFonts w:eastAsia="Amiri" w:cs="Amiri" w:ascii="Amiri" w:hAnsi="Amiri"/>
          <w:color w:val="111111"/>
          <w:sz w:val="28"/>
          <w:szCs w:val="28"/>
          <w:lang w:bidi="ar-SA"/>
        </w:rPr>
        <w:t>290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عتق به مباشرت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فرض اتّحاد اسم امه با صيغۀ عتق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لزوم اطلاق عتق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تعليق عتق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استناد تحرير اعضا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عدم لزوم تعيين در عتق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اختلاف عبد و مولىٰ در مقصود به عتق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شرايط معتِق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حكم بالغ به ده سالگى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عتق مسلم توسط كافر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عدم اعتبار اسلام در معتَق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صحّت عتق فضولى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عتق ولد صغير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شرط ضمن عتق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احوطيّت اعتبار رضاى معتَق به شرط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شرط خدمت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استحباب و كراهت در مقام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مسائل عتق به مباشرت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نذر عتق اوّلين مملوك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نذر عتق اوّلين مولود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عتق جماعت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نذر عتق امه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نذر عتق مملوك قديم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عتق مملوك ذو المال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عتق ثلث مماليك و تعيين با قرعه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گونۀ اوّل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گونۀ دوم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گونۀ سوم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تعيين با قرعه در فرض اختلاف عدد و قيمت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فرض امكان تعديل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فرض صحّت تبعيض در عتق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فرض عدم امكان تعديل در عدد و قيمت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اشتراى كنيز به صورت نسيه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وصيّت به عتق مملوك معيّن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عتق مملوك از طرف غير با إذن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عتق در مرض موت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چند فرع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اگر سه مملوك خود را در مرض موت، عتق كرد و غير آن مالى نداشت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عتق سه مملوك در مرض موت و وفات يكى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فرض وفات دو مملوك </w:t>
      </w:r>
      <w:r>
        <w:rPr>
          <w:rFonts w:eastAsia="Amiri" w:cs="Amiri" w:ascii="Amiri" w:hAnsi="Amiri"/>
          <w:color w:val="111111"/>
          <w:sz w:val="28"/>
          <w:szCs w:val="28"/>
          <w:lang w:bidi="ar-SA"/>
        </w:rPr>
        <w:t>306</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موت به قتلِ موجب ديه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عتق به سرايت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بحثى در ترجيح روايات سرايت بر روايات عدم سرايت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ترجيح روايات سرايت بنابر تكافؤ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مقتضاى اجماع در مقام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عتق يكى از شريكين نصيب خودش را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عدم وجوب سعى در مقام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مهايات و تقسيم منفعت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فرض سه مالك و عتق دو نفر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توكيل يكى از دو شريك ديگرى را در عتق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فرض إعسار معتق يا فوت او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فرض موت مملوك قبل از تأديۀ قيمت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عتق حصۀ خود قبل از أخذ قيمت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تصرف در جاريه قبل از أخذ قيمت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فرار يا إعسار معتِق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درخواست فكّ رقّيّت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موسر شدن معسر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ادّعا و انكار عتق در فرض شراكت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تفرقه بين اقرار به سريان عتق و عتق موجب سريان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اختلاف معتِق و شريك در قيمت مملوك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ادّعاى عيب در مملوك توسّط معتِق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ادّعاى صنعت در مملوك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تحديد يسار در مقام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وصيت به عتق در مرض موت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انتقال حصّه اى از مملوك منعتق عليه به وراثت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وصيّت به ثلث و عتق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اعتبار در قيمت غير معتق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اعتبار در قيمت منجز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اعتبار در قيمت تركه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زيادتى قيمت قبل از موت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تعلّق عتق منجّز يا تدبير به حامل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عتق بعض حامل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ادّعاى عتق نصيب توسّط شريكين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ادّعا توسّط يك شريك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فرض إعسار و عدالت شريكين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تفصيل مصبّ دعوى در مقام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تأثير عدالت يك شريك يا هر دو در حكم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تأثير تهمت در قبول شهادت و كلام صاحب جواهر قدس سرّه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فرض ايسار شريكين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خريد نصيب شريك بعد از ادّعاى عتق و عدم اثبات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فرض موت عبد بدون وارث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اگر عبد خود را در شهادت بر عتق تكذيب كرد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موت مشترى قبل از مملوك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تكذيب بايع خودش را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خريد هر كدام نصيب ديگرى را بعد از تداعى عتق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ادّعاى كذب بعد از خريد و عتق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اقرار به عتق نصيب خود بعد از بيع </w:t>
      </w:r>
      <w:r>
        <w:rPr>
          <w:rFonts w:eastAsia="Amiri" w:cs="Amiri" w:ascii="Amiri" w:hAnsi="Amiri"/>
          <w:color w:val="111111"/>
          <w:sz w:val="28"/>
          <w:szCs w:val="28"/>
          <w:lang w:bidi="ar-SA"/>
        </w:rPr>
        <w:t>330</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فرض ايسار يكى فقط در تداعى عتق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bookmarkStart w:id="3997" w:name="pg10265_90447"/>
    </w:p>
    <w:p>
      <w:pPr>
        <w:pStyle w:val="BookText"/>
        <w:rPr/>
      </w:pPr>
      <w:bookmarkEnd w:id="3997"/>
      <w:r>
        <w:rPr>
          <w:rFonts w:ascii="Amiri" w:hAnsi="Amiri" w:eastAsia="Amiri" w:cs="Amiri"/>
          <w:color w:val="111111"/>
          <w:sz w:val="28"/>
          <w:sz w:val="28"/>
          <w:szCs w:val="28"/>
          <w:rtl w:val="true"/>
          <w:lang w:bidi="ar-SA"/>
        </w:rPr>
        <w:t xml:space="preserve">اقامۀ شاهد توسط مملوك بر عتق نصيب موسر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عتق معسرِ از سه شريك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شرايط ديگر سرايت عتق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اشتراط ايسار براى عتق مطلق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عدم نفوذ عتق حصّۀ ديگرى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ارتباط عدم تعلّق حق به عتق و سرايت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تبعّض حريّت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شهادت بعض ورثه بر حصول عتق از مورّث </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ازالۀ رقّيت به سبب مالك بودن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محرّمات رضائيه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اقتران زمانى ملك و عتق با ترتّب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حكم خنثىٰ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تبعّض ملكيّت و عتق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وصيّت براى شخصى به بعض ولد او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وصيّت براى شخصى بعضى از برادرزادۀ او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اشكال در كلام صاحب جواهر قدس سرّه در مقام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 xml:space="preserve">چند فرع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وصيّت براى ناقص به منعتق عليه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وصيّت براى ناقص به بعض منعتق عليه </w:t>
      </w:r>
      <w:r>
        <w:rPr>
          <w:rFonts w:eastAsia="Amiri" w:cs="Amiri" w:ascii="Amiri" w:hAnsi="Amiri"/>
          <w:color w:val="111111"/>
          <w:sz w:val="28"/>
          <w:szCs w:val="28"/>
          <w:lang w:bidi="ar-SA"/>
        </w:rPr>
        <w:t>338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زوال رقّ به عوارض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اسلام عبد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دفع قيمت توسّط قريبِ منحصر در وراثت </w:t>
      </w:r>
      <w:r>
        <w:rPr>
          <w:rFonts w:eastAsia="Amiri" w:cs="Amiri" w:ascii="Amiri" w:hAnsi="Amiri"/>
          <w:color w:val="111111"/>
          <w:sz w:val="28"/>
          <w:szCs w:val="28"/>
          <w:lang w:bidi="ar-SA"/>
        </w:rPr>
        <w:t>339</w:t>
      </w:r>
    </w:p>
    <w:p>
      <w:pPr>
        <w:pStyle w:val="Heading3"/>
        <w:numPr>
          <w:ilvl w:val="2"/>
          <w:numId w:val="1"/>
        </w:numPr>
        <w:rPr/>
      </w:pPr>
      <w:bookmarkStart w:id="3998" w:name="__RefHeading___Toc3810337_1067777946"/>
      <w:bookmarkStart w:id="3999" w:name="_Toc1681"/>
      <w:bookmarkEnd w:id="3998"/>
      <w:r>
        <w:rPr>
          <w:rtl w:val="true"/>
        </w:rPr>
        <w:t>كتاب اقرار</w:t>
      </w:r>
      <w:bookmarkEnd w:id="3999"/>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صيغۀ اقرار </w:t>
      </w:r>
      <w:r>
        <w:rPr>
          <w:rFonts w:eastAsia="Amiri" w:cs="Amiri" w:ascii="Amiri" w:hAnsi="Amiri"/>
          <w:color w:val="111111"/>
          <w:sz w:val="28"/>
          <w:szCs w:val="28"/>
          <w:lang w:bidi="ar-SA"/>
        </w:rPr>
        <w:t>343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صيغۀ صريحۀ اقرار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عدم لزوم ابتدايى بودن اقرار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جواز اجتماع ادّعا و اقرار در قول واحد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لعدم اعتبار لغت خاص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اعتبار مجاز با قرينه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تعليق در اقرار و اقرار به معلّق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انصراف اطلاق اقرار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تعدّد نقد غالب در بلد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تكرار و عطف در اقرار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معيّت و عدم معيّت در اقرار و تبعيّت و عدم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حكم اشياى داخلۀ شيئى مورد وصيّت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عطف به بل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جمع بين مختلفين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جريان احكام سابقه در وصايا و عهود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اشتمال اقرار بر شرط </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اقارير مبهمه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اقرار به مالى براى شخصى و الزام به تفسير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ادّعاى مخالفت در تفسير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تفسير به غير متموّل و غير مملوك و غير منتفع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تفسير به غير منفعت محلّله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تفسير لفظ كثير در اقرار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تفسير به معتقَد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اقرار به اكثريّت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اقرار به غصب و استناد آن به طرف </w:t>
      </w:r>
      <w:r>
        <w:rPr>
          <w:rFonts w:eastAsia="IRNazanin" w:cs="IRNazanin"/>
          <w:color w:val="111111"/>
          <w:sz w:val="28"/>
          <w:szCs w:val="28"/>
          <w:lang w:bidi="fa-IR"/>
        </w:rPr>
        <w:t>354</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نحوۀ تعيين مقدار اقرار به جمع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مبيّن بودن معطوف و مجهوليّت معطوف عليه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اختلاف نصب و رفع و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مفاد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وقف بر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اقرار به خانه اى براى يكى از دو نفر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تعقب اقرار براى معيّن به اقرار براى ديگرى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 xml:space="preserve">ادّعاى جهل به تعيين توسط مقر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ترديد در متعلّق اقرار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تفسير به جنسى كه مقر له مخالف آن است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رجوع مقر و مُقِرّ له بعد از اقرار و انكار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اقرار به مردد بين اقل و اكثر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اختلاف ادّعا بين مقر و مقر له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دفع عين متعلَّق اقرار با تعيين، بعد از اقرار به ثبوت در ذمّه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اقرار به بدهى و تفسير آن به وديعه و ادّعاى تلف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اقرار به بدهى و تفسير به عين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اقرار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اقرار مستفاد از جواب </w:t>
      </w:r>
      <w:r>
        <w:rPr>
          <w:rFonts w:eastAsia="IRNazanin" w:cs="IRNazanin"/>
          <w:color w:val="111111"/>
          <w:sz w:val="28"/>
          <w:szCs w:val="28"/>
          <w:lang w:bidi="fa-IR"/>
        </w:rPr>
        <w:t>364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صيغ استثنا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استثناى از اثبات و نفى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استثناى متّصل و منقطع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كمى و زيادى باقيمانده </w:t>
      </w:r>
      <w:r>
        <w:rPr>
          <w:rFonts w:eastAsia="Amiri" w:cs="Amiri" w:ascii="Amiri" w:hAnsi="Amiri"/>
          <w:color w:val="111111"/>
          <w:sz w:val="28"/>
          <w:szCs w:val="28"/>
          <w:lang w:bidi="ar-SA"/>
        </w:rPr>
        <w:t>366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تفريع بر قاعده 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و نفى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تأثير نصب و رفع تمييز در مفاد اقرار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 xml:space="preserve">تعقب در استثنا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محكى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مقام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ايراد دوم مرحوم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محكى از دروس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 xml:space="preserve">عدم فرق بين اعداد و اعيان در استثناى از ديگرى </w:t>
      </w:r>
      <w:r>
        <w:rPr>
          <w:rFonts w:eastAsia="IRNazanin" w:cs="IRNazanin"/>
          <w:color w:val="111111"/>
          <w:sz w:val="28"/>
          <w:szCs w:val="28"/>
          <w:lang w:bidi="fa-IR"/>
        </w:rPr>
        <w:t>369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تفريع بر قاعدۀ ثانيه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 از 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 xml:space="preserve">صحت استثناى منقطع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مجهوليت مستثنىٰ و مستثنىٰ منه </w:t>
      </w:r>
      <w:r>
        <w:rPr>
          <w:rFonts w:eastAsia="Amiri" w:cs="Amiri" w:ascii="Amiri" w:hAnsi="Amiri"/>
          <w:color w:val="111111"/>
          <w:sz w:val="28"/>
          <w:szCs w:val="28"/>
          <w:lang w:bidi="ar-SA"/>
        </w:rPr>
        <w:t>370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تفريع بر قاعده ثالثه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استهجان تخصيص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 و شرايط او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شرايط اقراركننده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ادّعاى بلوغ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اكراه در اقرار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اقرار سفيه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اقرار مملوك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اقرار مملوك مأذون در تجارت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اقرار در غير تجارت مأذونه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 xml:space="preserve">اقرار مولى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 xml:space="preserve">اقرار مفلَّس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اقرار به مبهم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 xml:space="preserve">ترديد در اقرار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جهالت در مُقِرّ له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ادّعاى بلوغ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 xml:space="preserve">مراد از اقرار در مقام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اقرار مراهق و اختلاف در بلوغ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شرايط مُقَرّ له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اعتبار امكان و احتمال وقوع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حكم اقرار به مالكيّت بهيمه </w:t>
      </w:r>
      <w:r>
        <w:rPr>
          <w:rFonts w:eastAsia="Amiri" w:cs="Amiri" w:ascii="Amiri" w:hAnsi="Amiri"/>
          <w:color w:val="111111"/>
          <w:sz w:val="28"/>
          <w:szCs w:val="28"/>
          <w:lang w:bidi="ar-SA"/>
        </w:rPr>
        <w:t>380</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انواع اقرار به مالكيّت بهيمه و حكم هر كدام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اقرار براى مملوك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اقرار براى مساجد يا مشاهد مشرّفه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 xml:space="preserve">اقرار براى حمل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 xml:space="preserve">ترك تفسير در مقام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تأثير مقدار زمان در اثبات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 xml:space="preserve">اشتمال حمل بر دو نفر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عدم تلازم اقرار به وصيت به ولديّت با زوجيّت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تعقيب اقرار به اقرار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اقرار به خانه اى براى شخصى سپس بريا شخص ديگرى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تعقيب به اقرار براى دو نفر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اقرار براى دو نفر و بعد براى يك نفر يا دو نفر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اقرار به مملوكيّت عبد براى غير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ادّعاى عتق و عبد خريد آن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وفات عبد در فرض مذكور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حكم اقرار به صورت خاصّ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تعقيب اقرار به ظاهر در ابطال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صلاحيّت متأخّر براى تعيين مراد در مقام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فرض تقييد بعد از قطع كلام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تبيين راجع به استثنا و فرق مثبت و منفى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فرض عدم مسموعيّت اقرار ثانى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نتيجۀ متعاكس در استثنا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اعتبار حمل بر شرط صحيح در عقد در ادّعاى خيار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نفوذ اقرار به بدهى مال ناقص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مقبوليّت استدراك در اقرار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قرينيّت لاحق در فرض اتصال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اقرار به فروش و قبض ثمن يا خريد و قبض مبيع و إن كان آن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نسب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اقرار به بنوّت ولد صغير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اعتبار تصديق در كبير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اگر حربيّه اى با ولد خود داخل دار الاسلام شد</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 xml:space="preserve">عدم اعتبار تصديق دو صغير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اثبات سائر انساب به وسيلۀ اقرار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لزوم تصديق كبير در اثبات غير ولد صلبى به اقرار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اقوال در ولد صلبى و غير صلبى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 xml:space="preserve">چند فرع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انكار اقرار به اخوت توسط يكى از سه برادر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اقرار زوجه به ولد براى ميّت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اقرار شخصى به بنوّت صبى مجهول النسب بعد از وفات وى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تصادق بالغين بر نسب و رجوع از آن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اقرار به فرزندى از زنا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اقرار به اخوت يا ابوّت شخصى و تكذيب وى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اقرار به بنوّت ولد صغير و اثبات آن و انكار بالغ آن را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 xml:space="preserve">اقرار ولد به ولد ديگرى و اقرار هر دو به ثالث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اقرار زوجه براى ولد ميّت و اقرار براى اقرب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اقرار به بنوّت يا مجنونيّت ميّت </w:t>
      </w:r>
      <w:r>
        <w:rPr>
          <w:rFonts w:eastAsia="Amiri" w:cs="Amiri" w:ascii="Amiri" w:hAnsi="Amiri"/>
          <w:color w:val="111111"/>
          <w:sz w:val="28"/>
          <w:szCs w:val="28"/>
          <w:lang w:bidi="ar-SA"/>
        </w:rPr>
        <w:t>402</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اقرار مالك به بنوّت ولد واحد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bookmarkStart w:id="4000" w:name="pg10265_90450"/>
    </w:p>
    <w:p>
      <w:pPr>
        <w:pStyle w:val="BookText"/>
        <w:rPr/>
      </w:pPr>
      <w:bookmarkEnd w:id="4000"/>
      <w:r>
        <w:rPr>
          <w:rFonts w:ascii="Amiri" w:hAnsi="Amiri" w:eastAsia="Amiri" w:cs="Amiri"/>
          <w:color w:val="111111"/>
          <w:sz w:val="28"/>
          <w:sz w:val="28"/>
          <w:szCs w:val="28"/>
          <w:rtl w:val="true"/>
          <w:lang w:bidi="ar-SA"/>
        </w:rPr>
        <w:t xml:space="preserve">اقرار به بنوّت يكى از سه ولد كنيز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 xml:space="preserve">نحوۀ ثابت شدن نسب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شهادت دو برادر به پسرى براى ميّت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اقرار واحد و تعدّد متعلّق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 xml:space="preserve">تنافى و عدم تنافى بين دو اقرار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حكم غرامت در تبدّل اقرار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 xml:space="preserve">اقرار يكى از دو برادر و تكذيب ديگرى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 xml:space="preserve">اقرار وارث به زوج براى ميّت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 xml:space="preserve">اقرار به زوجه و زوجۀ دوم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اقرار به زوجۀ سوم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اقرار به رابعه و خامسه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اقرار به خمس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 xml:space="preserve">دفع ثمن براى زوجۀ مُقِرّ لها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 xml:space="preserve">اقرار برادر ابى به برادر امّى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 xml:space="preserve">عبد بودن يا كافر بودن يكى از دو ولد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 xml:space="preserve">اقرار ولد به ولد و انكار ديگرى </w:t>
      </w:r>
      <w:r>
        <w:rPr>
          <w:rFonts w:eastAsia="IRNazanin" w:cs="IRNazanin"/>
          <w:color w:val="111111"/>
          <w:sz w:val="28"/>
          <w:szCs w:val="28"/>
          <w:lang w:bidi="fa-IR"/>
        </w:rPr>
        <w:t>412</w:t>
      </w:r>
    </w:p>
    <w:p>
      <w:pPr>
        <w:pStyle w:val="Heading3"/>
        <w:numPr>
          <w:ilvl w:val="2"/>
          <w:numId w:val="1"/>
        </w:numPr>
        <w:rPr/>
      </w:pPr>
      <w:bookmarkStart w:id="4001" w:name="__RefHeading___Toc3810339_1067777946"/>
      <w:bookmarkStart w:id="4002" w:name="_Toc1682"/>
      <w:bookmarkEnd w:id="4001"/>
      <w:r>
        <w:rPr>
          <w:rtl w:val="true"/>
        </w:rPr>
        <w:t>كتاب جعاله</w:t>
      </w:r>
      <w:bookmarkEnd w:id="4002"/>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نحوۀ تحقّق جعاله و شرايط عامل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 xml:space="preserve">نحوۀ تحقق جعاله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تحقق جعاله به دلالت لفظ يا عمل بر مؤدّاى جعاله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ايجاب و قبول در جعاله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 xml:space="preserve">آنچه جعاله بر آن صحيح است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 xml:space="preserve">خصوصيت عمل در جعاله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معلوميّت عوض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جُعل غير مملوك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اشتراط اهليّت استيجار در جاعل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اعتبار امكان صدور از عامل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عدم اعتبار تعيين عامل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اناطۀ استحقاق به تسليم به مالك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موت آبق قبل از تسليم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 xml:space="preserve">عدم لزومى بودن جعاله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فسخ عامل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تعقّب جعاله به جعالۀ ديگر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جعاله و مسائل تنازع </w:t>
      </w:r>
      <w:r>
        <w:rPr>
          <w:rFonts w:eastAsia="Amiri" w:cs="Amiri" w:ascii="Amiri" w:hAnsi="Amiri"/>
          <w:color w:val="111111"/>
          <w:sz w:val="28"/>
          <w:szCs w:val="28"/>
          <w:lang w:bidi="ar-SA"/>
        </w:rPr>
        <w:t>421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جعاله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 xml:space="preserve">اشتراط تقدّم جعاله بر عمل در استحقاق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 xml:space="preserve">تأثير تعيين و عدم تعيين جُعل در استحقاق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فرض عدم جَعلِ جُعل با استدعا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اشتراك جماعتى در اتيان، و نحوۀ استحقاق </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 xml:space="preserve">جعل براى سه نفر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جعل معلوم براى بعضى از سه نفر و جعل مجهول براى بعضى ديگر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اشتراك شخصى با عامل تبرعاً يا غير تبرعى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اقرار يكى از سه عامل به تبرعى بودن عمل او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 xml:space="preserve">تبعّض اجرت با تبعّض در شروط </w:t>
      </w:r>
      <w:r>
        <w:rPr>
          <w:rFonts w:eastAsia="IRNazanin" w:cs="IRNazanin"/>
          <w:color w:val="111111"/>
          <w:sz w:val="28"/>
          <w:szCs w:val="28"/>
          <w:lang w:bidi="fa-IR"/>
        </w:rPr>
        <w:t>424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تنازع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تنازع بر سه اصل جعاله يا مقدار جعل يا اجرت المثل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اختلاف در جنس يا قد جُعل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اختلاف در سعى و در تعدى و تفريط </w:t>
      </w:r>
      <w:r>
        <w:rPr>
          <w:rFonts w:eastAsia="Amiri" w:cs="Amiri" w:ascii="Amiri" w:hAnsi="Amiri"/>
          <w:color w:val="111111"/>
          <w:sz w:val="28"/>
          <w:szCs w:val="28"/>
          <w:lang w:bidi="ar-SA"/>
        </w:rPr>
        <w:t>425</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جعاله در امورى كه داراى مراتب است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bookmarkStart w:id="4003" w:name="pg10265_90451"/>
    </w:p>
    <w:p>
      <w:pPr>
        <w:pStyle w:val="Heading3"/>
        <w:numPr>
          <w:ilvl w:val="2"/>
          <w:numId w:val="1"/>
        </w:numPr>
        <w:rPr/>
      </w:pPr>
      <w:bookmarkStart w:id="4004" w:name="__RefHeading___Toc3810341_1067777946"/>
      <w:bookmarkStart w:id="4005" w:name="_Toc1683"/>
      <w:bookmarkEnd w:id="4003"/>
      <w:bookmarkEnd w:id="4004"/>
      <w:r>
        <w:rPr>
          <w:rtl w:val="true"/>
        </w:rPr>
        <w:t>كتاب يمين</w:t>
      </w:r>
      <w:bookmarkEnd w:id="4005"/>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اقسام يمين و نحوۀ انعقاد آن </w:t>
      </w:r>
      <w:r>
        <w:rPr>
          <w:rFonts w:eastAsia="Amiri" w:cs="Amiri" w:ascii="Amiri" w:hAnsi="Amiri"/>
          <w:color w:val="111111"/>
          <w:sz w:val="28"/>
          <w:szCs w:val="28"/>
          <w:lang w:bidi="ar-SA"/>
        </w:rPr>
        <w:t>429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تعريف و اقسام يمين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تعريف شرعى يمين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يمين لغو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يمين غموس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يمين عقد </w:t>
      </w:r>
      <w:r>
        <w:rPr>
          <w:rFonts w:eastAsia="Amiri" w:cs="Amiri" w:ascii="Amiri" w:hAnsi="Amiri"/>
          <w:color w:val="111111"/>
          <w:sz w:val="28"/>
          <w:szCs w:val="28"/>
          <w:lang w:bidi="ar-SA"/>
        </w:rPr>
        <w:t>430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با آن، يمين منعقد مى شود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قسم به اسماى غير غالبه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ذكر لفظ قسم يا حلف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تعليق يمين بر مشيّت خداوند متعال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تعليق يمين بر مشيت غير خدا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مبطليت تعليق بر مشيت خداى متعال نسبت خدا عقود تنجيزيه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 xml:space="preserve">حروف قسم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شرايط و احكام حالف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شرايط حالف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يمين كافر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شرطيت اذن در عين در مورد زوجه و ولد و مملوك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ادعاى غير يمين با صراحت لفظ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يمين </w:t>
      </w:r>
      <w:r>
        <w:rPr>
          <w:rFonts w:eastAsia="Amiri" w:cs="Amiri" w:ascii="Amiri" w:hAnsi="Amiri"/>
          <w:color w:val="111111"/>
          <w:sz w:val="28"/>
          <w:szCs w:val="28"/>
          <w:lang w:bidi="ar-SA"/>
        </w:rPr>
        <w:t>439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شرايط متعلق يمين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عدم انعقاد يمين بر ماضى و حال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اعتبار عدم مرجوحيت در متعلق يمين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اعتبار رجحان دينى يا دنيوى يا تساوى در متعلق قسم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بى اثر بودن يمين بر فعل غير و بر فعل و بر فعل ممتنع </w:t>
      </w:r>
      <w:r>
        <w:rPr>
          <w:rFonts w:eastAsia="Amiri" w:cs="Amiri" w:ascii="Amiri" w:hAnsi="Amiri"/>
          <w:color w:val="111111"/>
          <w:sz w:val="28"/>
          <w:szCs w:val="28"/>
          <w:lang w:bidi="ar-SA"/>
        </w:rPr>
        <w:t>440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اَيمان متعلقۀ به مأكل و مشرب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غلط در صيغۀ يمين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تعدّى از خصوصيت ملحوظۀ در قسم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تقديم و تأخير بر موقّت در قسم </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 xml:space="preserve">اختصاص حنث به اصل متعلّق قسم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 xml:space="preserve">حمل قسم بر مصاديق متعارفه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 xml:space="preserve">حلف بر گوشت نخوردن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لزوم اخذ به آنچه قسم كنايه از آن است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 xml:space="preserve">فرض استهلاك و عدم استهلاك متعلق قسم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 xml:space="preserve">تبديل متعلق قسم، مثل گندم به آرد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اقتصار بر آنچه قسم بر آن صادق است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خوردن نصف متعلق قسم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آنچه ميوه و إدام بر آن صادق است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 xml:space="preserve">حلف بر نياشاميدن يا آشاميدن آب يك كوزه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تثنيه و جمع در قسم و نحوۀ حنث آن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حلف بر ترك تكلم با دو نفر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جواز اكل سركۀ مستهلك كه قسم بر ترك آن محقق شده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اتباع قيود قسم </w:t>
      </w:r>
      <w:r>
        <w:rPr>
          <w:rFonts w:eastAsia="Amiri" w:cs="Amiri" w:ascii="Amiri" w:hAnsi="Amiri"/>
          <w:color w:val="111111"/>
          <w:sz w:val="28"/>
          <w:szCs w:val="28"/>
          <w:lang w:bidi="ar-SA"/>
        </w:rPr>
        <w:t>446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مسائل يمينِ مربوط به بيت و خانه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تفضيل بين افعال زمان دار و غير آن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فوريت عمل به قسم در فرض تحقق متعلّق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 xml:space="preserve">نحوۀ حصول حنث در حلف بر عدم دخول خانه </w:t>
      </w:r>
      <w:r>
        <w:rPr>
          <w:rFonts w:eastAsia="IRNazanin" w:cs="IRNazanin"/>
          <w:color w:val="111111"/>
          <w:sz w:val="28"/>
          <w:szCs w:val="28"/>
          <w:lang w:bidi="fa-IR"/>
        </w:rPr>
        <w:t>448</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با لفظ عام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bookmarkStart w:id="4006" w:name="pg10265_90452"/>
    </w:p>
    <w:p>
      <w:pPr>
        <w:pStyle w:val="BookText"/>
        <w:rPr/>
      </w:pPr>
      <w:bookmarkEnd w:id="4006"/>
      <w:r>
        <w:rPr>
          <w:rFonts w:ascii="Amiri" w:hAnsi="Amiri" w:eastAsia="Amiri" w:cs="Amiri"/>
          <w:color w:val="111111"/>
          <w:sz w:val="28"/>
          <w:sz w:val="28"/>
          <w:szCs w:val="28"/>
          <w:rtl w:val="true"/>
          <w:lang w:bidi="ar-SA"/>
        </w:rPr>
        <w:t xml:space="preserve">مدخليّت اوصاف و اضافات قسم </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 xml:space="preserve">عدم صدق لفظ بر من قضى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 xml:space="preserve">اتباع قيد خاص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تغيير متعلّق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تفصيل بين فعل و ترك در اقتضاى تأبيد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عدم تحقق حنث با نسيان يا جهل به موضوع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الغاىِ خصوصيت در قسم </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 xml:space="preserve">تفصيل ديگرى بين فعل و ترك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 xml:space="preserve">ظاهر از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يمين متعلّق به عقود يا ايقاعات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 xml:space="preserve">اعتبار تحقق تام متعلّق در حنث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 xml:space="preserve">عدم حنث بر تكر عقد، به عقد فاسد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 xml:space="preserve">حلف بر هبه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 xml:space="preserve">تحقق تصميم و تخصيص به وسيلۀ قرينه و نيّت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صحت بيعى كه حلف بر ترك آن ايقاع كرده است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 xml:space="preserve">حلف بر عدم استخدام شخص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 xml:space="preserve">تحقق و عدم تحقق حنث به وسيلۀ فعل غير مباشرى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حلف بر عدم بيع ممنوع المعاملة </w:t>
      </w:r>
      <w:r>
        <w:rPr>
          <w:rFonts w:eastAsia="Amiri" w:cs="Amiri" w:ascii="Amiri" w:hAnsi="Amiri"/>
          <w:color w:val="111111"/>
          <w:sz w:val="28"/>
          <w:szCs w:val="28"/>
          <w:lang w:bidi="ar-SA"/>
        </w:rPr>
        <w:t>452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مسائل متفرّقۀ متعلَّق يمين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عدم تعيين وقت در قسم و فرض تأخير و فوت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اضطرار و اختيار در متعلّق قسم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حلف بر تكر ركوب دابۀ عبد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 xml:space="preserve">صدق عرفى بشارت و اخبار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مراد از اول داخل و آخر آن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 xml:space="preserve">حلف بر ترك شرب آب و ترك كلام با مردم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 xml:space="preserve">مراد از مال مضاف به نفس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افراد و جمع در متعلّق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 xml:space="preserve">حلف بر ترك تكلم و موارد آن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حلف بر تسرّى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عدم و عدم دخول غاية </w:t>
      </w:r>
      <w:r>
        <w:rPr>
          <w:rFonts w:eastAsia="Amiri" w:cs="Amiri" w:ascii="Amiri" w:hAnsi="Amiri"/>
          <w:color w:val="111111"/>
          <w:sz w:val="28"/>
          <w:szCs w:val="28"/>
          <w:lang w:bidi="ar-SA"/>
        </w:rPr>
        <w:t>457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حنث يمين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 xml:space="preserve">تحقّق حنث به اختيار سبب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عدم تحقّق حنث با اكراه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انحلال و بقاى قسم با فعل و ترك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لواحق أيمان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 xml:space="preserve">قسم مكروه، راجح و واجب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تخلّص از كذب به وسيلۀ توريه </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 xml:space="preserve">حلف به برائت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 xml:space="preserve">عدم اجزاى تقديم كفارۀ حنث بر حنث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اعطاى كفاره به غير واجد شرائط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حكم اخراج كفاره از مال ميت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حكم حنث يمين عبد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يمين و حنث و كفارۀ آن در مملوك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كفاره در صورت حريت لاحقه </w:t>
      </w:r>
      <w:r>
        <w:rPr>
          <w:rFonts w:eastAsia="Amiri" w:cs="Amiri" w:ascii="Amiri" w:hAnsi="Amiri"/>
          <w:color w:val="111111"/>
          <w:sz w:val="28"/>
          <w:szCs w:val="28"/>
          <w:lang w:bidi="ar-SA"/>
        </w:rPr>
        <w:t>462</w:t>
      </w:r>
    </w:p>
    <w:p>
      <w:pPr>
        <w:pStyle w:val="Heading3"/>
        <w:numPr>
          <w:ilvl w:val="2"/>
          <w:numId w:val="1"/>
        </w:numPr>
        <w:rPr/>
      </w:pPr>
      <w:bookmarkStart w:id="4007" w:name="__RefHeading___Toc3810343_1067777946"/>
      <w:bookmarkStart w:id="4008" w:name="_Toc1684"/>
      <w:bookmarkEnd w:id="4007"/>
      <w:r>
        <w:rPr>
          <w:rtl w:val="true"/>
        </w:rPr>
        <w:t>كتاب نذر</w:t>
      </w:r>
      <w:bookmarkEnd w:id="4008"/>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شرايط نذركننده، صيغۀ نذر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تعريف نذر </w:t>
      </w:r>
      <w:r>
        <w:rPr>
          <w:rFonts w:eastAsia="Amiri" w:cs="Amiri" w:ascii="Amiri" w:hAnsi="Amiri"/>
          <w:color w:val="111111"/>
          <w:sz w:val="28"/>
          <w:szCs w:val="28"/>
          <w:lang w:bidi="ar-SA"/>
        </w:rPr>
        <w:t>465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شرائط نذركننده </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 xml:space="preserve">اشتراط عقل و بلوغ و اسلام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 xml:space="preserve">اذن مالك و زوج و والد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اشتراط قصد و اختيار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نذر مفلّس </w:t>
      </w:r>
      <w:r>
        <w:rPr>
          <w:rFonts w:eastAsia="Amiri" w:cs="Amiri" w:ascii="Amiri" w:hAnsi="Amiri"/>
          <w:color w:val="111111"/>
          <w:sz w:val="28"/>
          <w:szCs w:val="28"/>
          <w:lang w:bidi="ar-SA"/>
        </w:rPr>
        <w:t>466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صيغۀ نذر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نحوۀ تعليق در نذر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اعتبار قصد قربت و كيفيّت صيغه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كفايت ذكر دالّ بر ذات مقدّسه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نذر </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 xml:space="preserve">اعتبار رجحان در متعلّق نذر </w:t>
      </w:r>
      <w:r>
        <w:rPr>
          <w:rFonts w:eastAsia="IRNazanin" w:cs="IRNazanin"/>
          <w:color w:val="111111"/>
          <w:sz w:val="28"/>
          <w:szCs w:val="28"/>
          <w:lang w:bidi="fa-IR"/>
        </w:rPr>
        <w:t>468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نذر حجّ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نذر حج يا زيارت پياده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فوت حج منذور و قضاى آن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نذر حج به صورت سواره </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 xml:space="preserve">نذر راه رفتن به سوى بيت اللّٰه الحرام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نذر مشى لا حاجّاً و لا معتمراً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نذر مشى بدون قرينه يا قصد موضع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نذر احجاج ولد يا استنابه از او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عجز از يكى از دو شق منذور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كسى نذر حج كند و مال نيابد و از غير، حج كند </w:t>
      </w:r>
      <w:r>
        <w:rPr>
          <w:rFonts w:eastAsia="Amiri" w:cs="Amiri" w:ascii="Amiri" w:hAnsi="Amiri"/>
          <w:color w:val="111111"/>
          <w:sz w:val="28"/>
          <w:szCs w:val="28"/>
          <w:lang w:bidi="ar-SA"/>
        </w:rPr>
        <w:t>472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صوم منذور </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 xml:space="preserve">تتابع و تفريق در صوم منذور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عدم انعقاد نذر صوم ايام محرّمه و غير مقدور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 xml:space="preserve">دوام در صوم منذور </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 xml:space="preserve">تقارن صوم منذور با ماه مبارك رمضان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نذر صوم يك روز از هفته دائماً </w:t>
      </w:r>
      <w:r>
        <w:rPr>
          <w:rFonts w:eastAsia="Amiri" w:cs="Amiri" w:ascii="Amiri" w:hAnsi="Amiri"/>
          <w:color w:val="111111"/>
          <w:sz w:val="28"/>
          <w:szCs w:val="28"/>
          <w:lang w:bidi="ar-SA"/>
        </w:rPr>
        <w:t>474</w:t>
      </w:r>
    </w:p>
    <w:p>
      <w:pPr>
        <w:pStyle w:val="BookText"/>
        <w:rPr/>
      </w:pPr>
      <w:r>
        <w:rPr>
          <w:rFonts w:ascii="IRNazanin" w:hAnsi="IRNazanin" w:eastAsia="IRNazanin"/>
          <w:color w:val="111111"/>
          <w:sz w:val="28"/>
          <w:sz w:val="28"/>
          <w:szCs w:val="28"/>
          <w:rtl w:val="true"/>
          <w:lang w:bidi="fa-IR"/>
        </w:rPr>
        <w:t xml:space="preserve">نذر مطلق صوم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نذر صوم در بلد معين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نذر صوم زمان يا حين </w:t>
      </w:r>
      <w:r>
        <w:rPr>
          <w:rFonts w:eastAsia="Amiri" w:cs="Amiri" w:ascii="Amiri" w:hAnsi="Amiri"/>
          <w:color w:val="111111"/>
          <w:sz w:val="28"/>
          <w:szCs w:val="28"/>
          <w:lang w:bidi="ar-SA"/>
        </w:rPr>
        <w:t>475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نذر نماز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نذر مطلق نماز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نذر قربت به عملى </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 xml:space="preserve">نذر نماز در مكان معيّن </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 xml:space="preserve">مسأله اى از نذر حجّ </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 xml:space="preserve">عجز از حج منذور ماشياً </w:t>
      </w:r>
      <w:r>
        <w:rPr>
          <w:rFonts w:eastAsia="Amiri" w:cs="Amiri" w:ascii="Amiri" w:hAnsi="Amiri"/>
          <w:color w:val="111111"/>
          <w:sz w:val="28"/>
          <w:szCs w:val="28"/>
          <w:lang w:bidi="ar-SA"/>
        </w:rPr>
        <w:t>476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مسائل نذر عتق </w:t>
      </w:r>
      <w:r>
        <w:rPr>
          <w:rFonts w:eastAsia="IRNazanin" w:cs="IRNazanin"/>
          <w:color w:val="111111"/>
          <w:sz w:val="28"/>
          <w:szCs w:val="28"/>
          <w:lang w:bidi="fa-IR"/>
        </w:rPr>
        <w:t>476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نذر تصدّق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نذر مطلق تصرّف به مال </w:t>
      </w:r>
      <w:r>
        <w:rPr>
          <w:rFonts w:eastAsia="IRNazanin" w:cs="IRNazanin"/>
          <w:color w:val="111111"/>
          <w:sz w:val="28"/>
          <w:szCs w:val="28"/>
          <w:lang w:bidi="fa-IR"/>
        </w:rPr>
        <w:t>477</w:t>
      </w:r>
    </w:p>
    <w:p>
      <w:pPr>
        <w:pStyle w:val="BookText"/>
        <w:rPr/>
      </w:pPr>
      <w:r>
        <w:rPr>
          <w:rFonts w:ascii="Amiri" w:hAnsi="Amiri" w:eastAsia="Amiri" w:cs="Amiri"/>
          <w:color w:val="111111"/>
          <w:sz w:val="28"/>
          <w:sz w:val="28"/>
          <w:szCs w:val="28"/>
          <w:rtl w:val="true"/>
          <w:lang w:bidi="ar-SA"/>
        </w:rPr>
        <w:t xml:space="preserve">نذر تصدق به مال كثير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نذر تصدق به مال جليل يا خطير يا عظيم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نذر تصدق در مكان معين </w:t>
      </w:r>
      <w:r>
        <w:rPr>
          <w:rFonts w:eastAsia="Amiri" w:cs="Amiri" w:ascii="Amiri" w:hAnsi="Amiri"/>
          <w:color w:val="111111"/>
          <w:sz w:val="28"/>
          <w:szCs w:val="28"/>
          <w:lang w:bidi="ar-SA"/>
        </w:rPr>
        <w:t>478</w:t>
      </w:r>
    </w:p>
    <w:p>
      <w:pPr>
        <w:pStyle w:val="BookText"/>
        <w:rPr/>
      </w:pPr>
      <w:r>
        <w:rPr>
          <w:rFonts w:ascii="IRNazanin" w:hAnsi="IRNazanin" w:eastAsia="IRNazanin"/>
          <w:color w:val="111111"/>
          <w:sz w:val="28"/>
          <w:sz w:val="28"/>
          <w:szCs w:val="28"/>
          <w:rtl w:val="true"/>
          <w:lang w:bidi="fa-IR"/>
        </w:rPr>
        <w:t xml:space="preserve">عدم كفايت قيمت مگر با قصد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عدم وجوب قبول بر منذور له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 xml:space="preserve">اثبات مالى در ذمه براى كسى با نذر </w:t>
      </w:r>
      <w:r>
        <w:rPr>
          <w:rFonts w:eastAsia="Amiri" w:cs="Amiri" w:ascii="Amiri" w:hAnsi="Amiri"/>
          <w:color w:val="111111"/>
          <w:sz w:val="28"/>
          <w:szCs w:val="28"/>
          <w:lang w:bidi="ar-SA"/>
        </w:rPr>
        <w:t>479</w:t>
      </w:r>
    </w:p>
    <w:p>
      <w:pPr>
        <w:pStyle w:val="BookText"/>
        <w:rPr/>
      </w:pPr>
      <w:r>
        <w:rPr>
          <w:rFonts w:ascii="IRNazanin" w:hAnsi="IRNazanin" w:eastAsia="IRNazanin"/>
          <w:color w:val="111111"/>
          <w:sz w:val="28"/>
          <w:sz w:val="28"/>
          <w:szCs w:val="28"/>
          <w:rtl w:val="true"/>
          <w:lang w:bidi="fa-IR"/>
        </w:rPr>
        <w:t xml:space="preserve">نماى منذور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 xml:space="preserve">نذر صرف خمس يا زكات بر معيّن </w:t>
      </w:r>
      <w:r>
        <w:rPr>
          <w:rFonts w:eastAsia="Amiri" w:cs="Amiri" w:ascii="Amiri" w:hAnsi="Amiri"/>
          <w:color w:val="111111"/>
          <w:sz w:val="28"/>
          <w:szCs w:val="28"/>
          <w:lang w:bidi="ar-SA"/>
        </w:rPr>
        <w:t>480</w:t>
      </w:r>
    </w:p>
    <w:p>
      <w:pPr>
        <w:pStyle w:val="BookText"/>
        <w:rPr/>
      </w:pPr>
      <w:r>
        <w:rPr>
          <w:rFonts w:ascii="IRNazanin" w:hAnsi="IRNazanin" w:eastAsia="IRNazanin"/>
          <w:color w:val="111111"/>
          <w:sz w:val="28"/>
          <w:sz w:val="28"/>
          <w:szCs w:val="28"/>
          <w:rtl w:val="true"/>
          <w:lang w:bidi="fa-IR"/>
        </w:rPr>
        <w:t xml:space="preserve">نذر تصدق به همۀ مال </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 xml:space="preserve">نذر صرف مال در راه خير </w:t>
      </w:r>
      <w:r>
        <w:rPr>
          <w:rFonts w:eastAsia="Amiri" w:cs="Amiri" w:ascii="Amiri" w:hAnsi="Amiri"/>
          <w:color w:val="111111"/>
          <w:sz w:val="28"/>
          <w:szCs w:val="28"/>
          <w:lang w:bidi="ar-SA"/>
        </w:rPr>
        <w:t>480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نذر هَدى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نذر براى صاحبان مشاهد مشرفه </w:t>
      </w:r>
      <w:r>
        <w:rPr>
          <w:rFonts w:eastAsia="IRNazanin" w:cs="IRNazanin"/>
          <w:color w:val="111111"/>
          <w:sz w:val="28"/>
          <w:szCs w:val="28"/>
          <w:lang w:bidi="fa-IR"/>
        </w:rPr>
        <w:t>482</w:t>
      </w:r>
    </w:p>
    <w:p>
      <w:pPr>
        <w:pStyle w:val="BookText"/>
        <w:rPr/>
      </w:pPr>
      <w:r>
        <w:rPr>
          <w:rFonts w:ascii="Amiri" w:hAnsi="Amiri" w:eastAsia="Amiri" w:cs="Amiri"/>
          <w:color w:val="111111"/>
          <w:sz w:val="28"/>
          <w:sz w:val="28"/>
          <w:szCs w:val="28"/>
          <w:rtl w:val="true"/>
          <w:lang w:bidi="ar-SA"/>
        </w:rPr>
        <w:t xml:space="preserve">بقيۀ مسائل نذر هَدى </w:t>
      </w:r>
      <w:r>
        <w:rPr>
          <w:rFonts w:eastAsia="Amiri" w:cs="Amiri" w:ascii="Amiri" w:hAnsi="Amiri"/>
          <w:color w:val="111111"/>
          <w:sz w:val="28"/>
          <w:szCs w:val="28"/>
          <w:lang w:bidi="ar-SA"/>
        </w:rPr>
        <w:t>482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نذر زيارت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نذر زيارت حضرت مهدى عليه السلام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نذر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نذر صوم يك سال معين </w:t>
      </w:r>
      <w:r>
        <w:rPr>
          <w:rFonts w:eastAsia="Amiri" w:cs="Amiri" w:ascii="Amiri" w:hAnsi="Amiri"/>
          <w:color w:val="111111"/>
          <w:sz w:val="28"/>
          <w:szCs w:val="28"/>
          <w:lang w:bidi="ar-SA"/>
        </w:rPr>
        <w:t>484</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نذر صوم دهر و مسأله مسافرت در آن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bookmarkStart w:id="4009" w:name="pg10265_90454"/>
    </w:p>
    <w:p>
      <w:pPr>
        <w:pStyle w:val="BookText"/>
        <w:rPr/>
      </w:pPr>
      <w:bookmarkEnd w:id="4009"/>
      <w:r>
        <w:rPr>
          <w:rFonts w:ascii="Amiri" w:hAnsi="Amiri" w:eastAsia="Amiri" w:cs="Amiri"/>
          <w:color w:val="111111"/>
          <w:sz w:val="28"/>
          <w:sz w:val="28"/>
          <w:szCs w:val="28"/>
          <w:rtl w:val="true"/>
          <w:lang w:bidi="ar-SA"/>
        </w:rPr>
        <w:t xml:space="preserve">معين نمودن روزى براى قضا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نذر صوم يك سال غير معين </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 xml:space="preserve">نذر صوم سال و مسأله ماه رمضان و عيدين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مسافرت در نذر روزۀ يك سال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 xml:space="preserve">نذر صوم يك ماه پى درپى </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 xml:space="preserve">اعتبار تعين با قصد يا قرينه در فروع نذر </w:t>
      </w:r>
      <w:r>
        <w:rPr>
          <w:rFonts w:eastAsia="Amiri" w:cs="Amiri" w:ascii="Amiri" w:hAnsi="Amiri"/>
          <w:color w:val="111111"/>
          <w:sz w:val="28"/>
          <w:szCs w:val="28"/>
          <w:lang w:bidi="ar-SA"/>
        </w:rPr>
        <w:t>488</w:t>
      </w:r>
    </w:p>
    <w:p>
      <w:pPr>
        <w:pStyle w:val="BookText"/>
        <w:rPr/>
      </w:pPr>
      <w:r>
        <w:rPr>
          <w:rFonts w:ascii="IRNazanin" w:hAnsi="IRNazanin" w:eastAsia="IRNazanin"/>
          <w:color w:val="111111"/>
          <w:sz w:val="28"/>
          <w:sz w:val="28"/>
          <w:szCs w:val="28"/>
          <w:rtl w:val="true"/>
          <w:lang w:bidi="fa-IR"/>
        </w:rPr>
        <w:t xml:space="preserve">نذر روزۀ واجب </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 xml:space="preserve">نذر معصيت </w:t>
      </w:r>
      <w:r>
        <w:rPr>
          <w:rFonts w:eastAsia="Amiri" w:cs="Amiri" w:ascii="Amiri" w:hAnsi="Amiri"/>
          <w:color w:val="111111"/>
          <w:sz w:val="28"/>
          <w:szCs w:val="28"/>
          <w:lang w:bidi="ar-SA"/>
        </w:rPr>
        <w:t>489</w:t>
      </w:r>
    </w:p>
    <w:p>
      <w:pPr>
        <w:pStyle w:val="BookText"/>
        <w:rPr/>
      </w:pPr>
      <w:r>
        <w:rPr>
          <w:rFonts w:ascii="IRNazanin" w:hAnsi="IRNazanin" w:eastAsia="IRNazanin"/>
          <w:color w:val="111111"/>
          <w:sz w:val="28"/>
          <w:sz w:val="28"/>
          <w:szCs w:val="28"/>
          <w:rtl w:val="true"/>
          <w:lang w:bidi="fa-IR"/>
        </w:rPr>
        <w:t xml:space="preserve">عجز از اداء نذر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عهد </w:t>
      </w:r>
      <w:r>
        <w:rPr>
          <w:rFonts w:eastAsia="IRNazanin" w:cs="IRNazanin"/>
          <w:color w:val="111111"/>
          <w:sz w:val="28"/>
          <w:szCs w:val="28"/>
          <w:lang w:bidi="fa-IR"/>
        </w:rPr>
        <w:t>490</w:t>
      </w:r>
    </w:p>
    <w:p>
      <w:pPr>
        <w:pStyle w:val="BookText"/>
        <w:rPr/>
      </w:pPr>
      <w:r>
        <w:rPr>
          <w:rFonts w:ascii="Amiri" w:hAnsi="Amiri" w:eastAsia="Amiri" w:cs="Amiri"/>
          <w:color w:val="111111"/>
          <w:sz w:val="28"/>
          <w:sz w:val="28"/>
          <w:szCs w:val="28"/>
          <w:rtl w:val="true"/>
          <w:lang w:bidi="ar-SA"/>
        </w:rPr>
        <w:t xml:space="preserve">صيغه و شرايط عهد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كفارۀ عهد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حكم عهد غير لفظى </w:t>
      </w:r>
      <w:r>
        <w:rPr>
          <w:rFonts w:eastAsia="Amiri" w:cs="Amiri" w:ascii="Amiri" w:hAnsi="Amiri"/>
          <w:color w:val="111111"/>
          <w:sz w:val="28"/>
          <w:szCs w:val="28"/>
          <w:lang w:bidi="ar-SA"/>
        </w:rPr>
        <w:t>491</w:t>
      </w:r>
    </w:p>
    <w:p>
      <w:pPr>
        <w:pStyle w:val="Heading3"/>
        <w:numPr>
          <w:ilvl w:val="2"/>
          <w:numId w:val="1"/>
        </w:numPr>
        <w:rPr/>
      </w:pPr>
      <w:bookmarkStart w:id="4010" w:name="__RefHeading___Toc3810345_1067777946"/>
      <w:bookmarkStart w:id="4011" w:name="_Toc1685"/>
      <w:bookmarkEnd w:id="4010"/>
      <w:r>
        <w:rPr>
          <w:rtl w:val="true"/>
        </w:rPr>
        <w:t>كتاب صيد و ذباحه</w:t>
      </w:r>
      <w:bookmarkEnd w:id="4011"/>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آلات صيد </w:t>
      </w:r>
      <w:r>
        <w:rPr>
          <w:rFonts w:eastAsia="Amiri" w:cs="Amiri" w:ascii="Amiri" w:hAnsi="Amiri"/>
          <w:color w:val="111111"/>
          <w:sz w:val="28"/>
          <w:szCs w:val="28"/>
          <w:lang w:bidi="ar-SA"/>
        </w:rPr>
        <w:t>495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اسلحۀ شكار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تيزى در اسلحه </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 xml:space="preserve">اعتبار شكافندگى </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 xml:space="preserve">تير و نيزه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اعتبار حديديت </w:t>
      </w:r>
      <w:r>
        <w:rPr>
          <w:rFonts w:eastAsia="Amiri" w:cs="Amiri" w:ascii="Amiri" w:hAnsi="Amiri"/>
          <w:color w:val="111111"/>
          <w:sz w:val="28"/>
          <w:szCs w:val="28"/>
          <w:lang w:bidi="ar-SA"/>
        </w:rPr>
        <w:t>496</w:t>
      </w:r>
    </w:p>
    <w:p>
      <w:pPr>
        <w:pStyle w:val="BookText"/>
        <w:rPr/>
      </w:pPr>
      <w:r>
        <w:rPr>
          <w:rFonts w:ascii="IRNazanin" w:hAnsi="IRNazanin" w:eastAsia="IRNazanin"/>
          <w:color w:val="111111"/>
          <w:sz w:val="28"/>
          <w:sz w:val="28"/>
          <w:szCs w:val="28"/>
          <w:rtl w:val="true"/>
          <w:lang w:bidi="fa-IR"/>
        </w:rPr>
        <w:t xml:space="preserve">تفنگ و بندقه و سنگ و ساچمه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 xml:space="preserve">عدم اعتبار وحدت آلت و وحدت صياد </w:t>
      </w:r>
      <w:r>
        <w:rPr>
          <w:rFonts w:eastAsia="Amiri" w:cs="Amiri" w:ascii="Amiri" w:hAnsi="Amiri"/>
          <w:color w:val="111111"/>
          <w:sz w:val="28"/>
          <w:szCs w:val="28"/>
          <w:lang w:bidi="ar-SA"/>
        </w:rPr>
        <w:t>497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معلَّم بودن سگ شكارى </w:t>
      </w:r>
      <w:r>
        <w:rPr>
          <w:rFonts w:eastAsia="IRNazanin" w:cs="IRNazanin"/>
          <w:color w:val="111111"/>
          <w:sz w:val="28"/>
          <w:szCs w:val="28"/>
          <w:lang w:bidi="fa-IR"/>
        </w:rPr>
        <w:t>497</w:t>
      </w:r>
    </w:p>
    <w:p>
      <w:pPr>
        <w:pStyle w:val="BookText"/>
        <w:rPr/>
      </w:pPr>
      <w:r>
        <w:rPr>
          <w:rFonts w:ascii="Amiri" w:hAnsi="Amiri" w:eastAsia="Amiri" w:cs="Amiri"/>
          <w:color w:val="111111"/>
          <w:sz w:val="28"/>
          <w:sz w:val="28"/>
          <w:szCs w:val="28"/>
          <w:rtl w:val="true"/>
          <w:lang w:bidi="ar-SA"/>
        </w:rPr>
        <w:t xml:space="preserve">اعتبار عدم اكل توسط كلب معلّم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حدّ تعليم كلب معلّم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شرايط شكاركننده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اعتبار اسلام و عقل و تميز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اعتبار ارسال كلب براى اصطياد نه براى غير آن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اعتبار تسميه، قبل از اصابت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شك در تسميه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حكم جاهل به حكم تسميه يا منكر آن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لزوم واجديّت شرائط همۀ اسباب صيد </w:t>
      </w:r>
      <w:r>
        <w:rPr>
          <w:rFonts w:eastAsia="Amiri" w:cs="Amiri" w:ascii="Amiri" w:hAnsi="Amiri"/>
          <w:color w:val="111111"/>
          <w:sz w:val="28"/>
          <w:szCs w:val="28"/>
          <w:lang w:bidi="ar-SA"/>
        </w:rPr>
        <w:t>501</w:t>
      </w:r>
    </w:p>
    <w:p>
      <w:pPr>
        <w:pStyle w:val="BookText"/>
        <w:rPr/>
      </w:pPr>
      <w:r>
        <w:rPr>
          <w:rFonts w:ascii="IRNazanin" w:hAnsi="IRNazanin" w:eastAsia="IRNazanin"/>
          <w:color w:val="111111"/>
          <w:sz w:val="28"/>
          <w:sz w:val="28"/>
          <w:szCs w:val="28"/>
          <w:rtl w:val="true"/>
          <w:lang w:bidi="fa-IR"/>
        </w:rPr>
        <w:t xml:space="preserve">اعتبار علم به استناد زهاق روح به سبب محلّل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 xml:space="preserve">عدم حليّت حيوان مقتول بدون مشخص بودن رامى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غيبت بعد از رمى </w:t>
      </w:r>
      <w:r>
        <w:rPr>
          <w:rFonts w:eastAsia="Amiri" w:cs="Amiri" w:ascii="Amiri" w:hAnsi="Amiri"/>
          <w:color w:val="111111"/>
          <w:sz w:val="28"/>
          <w:szCs w:val="28"/>
          <w:lang w:bidi="ar-SA"/>
        </w:rPr>
        <w:t>502</w:t>
      </w:r>
    </w:p>
    <w:p>
      <w:pPr>
        <w:pStyle w:val="BookText"/>
        <w:rPr/>
      </w:pPr>
      <w:r>
        <w:rPr>
          <w:rFonts w:ascii="IRNazanin" w:hAnsi="IRNazanin" w:eastAsia="IRNazanin"/>
          <w:color w:val="111111"/>
          <w:sz w:val="28"/>
          <w:sz w:val="28"/>
          <w:szCs w:val="28"/>
          <w:rtl w:val="true"/>
          <w:lang w:bidi="fa-IR"/>
        </w:rPr>
        <w:t xml:space="preserve">نگهدارى حيوان وحشى و ذبح آن </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 xml:space="preserve">حكم عضو قطع شده از حيوان به سبب صيد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اصطياد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اجتماع سبب محلّل و غير آن در صيد </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 xml:space="preserve">بعض انحاى استناد به رامى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اعتبار اسلام در مرسل، نه در معلِّم </w:t>
      </w:r>
      <w:r>
        <w:rPr>
          <w:rFonts w:eastAsia="IRNazanin" w:cs="IRNazanin"/>
          <w:color w:val="111111"/>
          <w:sz w:val="28"/>
          <w:szCs w:val="28"/>
          <w:lang w:bidi="fa-IR"/>
        </w:rPr>
        <w:t>504</w:t>
      </w:r>
    </w:p>
    <w:p>
      <w:pPr>
        <w:pStyle w:val="BookText"/>
        <w:rPr/>
      </w:pPr>
      <w:r>
        <w:rPr>
          <w:rFonts w:ascii="Amiri" w:hAnsi="Amiri" w:eastAsia="Amiri" w:cs="Amiri"/>
          <w:color w:val="111111"/>
          <w:sz w:val="28"/>
          <w:sz w:val="28"/>
          <w:szCs w:val="28"/>
          <w:rtl w:val="true"/>
          <w:lang w:bidi="ar-SA"/>
        </w:rPr>
        <w:t xml:space="preserve">اعتبار و عدم اعتبار تعيين در صيد و اعتبار اختياريّت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الحاق حيوان متعذر الذبح به وحشى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تقطيع صيد </w:t>
      </w:r>
      <w:r>
        <w:rPr>
          <w:rFonts w:eastAsia="Amiri" w:cs="Amiri" w:ascii="Amiri" w:hAnsi="Amiri"/>
          <w:color w:val="111111"/>
          <w:sz w:val="28"/>
          <w:szCs w:val="28"/>
          <w:lang w:bidi="ar-SA"/>
        </w:rPr>
        <w:t>505</w:t>
      </w:r>
    </w:p>
    <w:p>
      <w:pPr>
        <w:pStyle w:val="BookText"/>
        <w:rPr/>
      </w:pPr>
      <w:r>
        <w:rPr>
          <w:rFonts w:ascii="IRNazanin" w:hAnsi="IRNazanin" w:eastAsia="IRNazanin"/>
          <w:color w:val="111111"/>
          <w:sz w:val="28"/>
          <w:sz w:val="28"/>
          <w:szCs w:val="28"/>
          <w:rtl w:val="true"/>
          <w:lang w:bidi="fa-IR"/>
        </w:rPr>
        <w:t xml:space="preserve">اعتبار استقلال در سبب محلّل </w:t>
      </w:r>
      <w:r>
        <w:rPr>
          <w:rFonts w:eastAsia="IRNazanin" w:cs="IRNazanin"/>
          <w:color w:val="111111"/>
          <w:sz w:val="28"/>
          <w:szCs w:val="28"/>
          <w:lang w:bidi="fa-IR"/>
        </w:rPr>
        <w:t>506</w:t>
      </w:r>
    </w:p>
    <w:p>
      <w:pPr>
        <w:pStyle w:val="BookText"/>
        <w:rPr/>
      </w:pPr>
      <w:r>
        <w:rPr>
          <w:rFonts w:ascii="Amiri" w:hAnsi="Amiri" w:eastAsia="Amiri" w:cs="Amiri"/>
          <w:color w:val="111111"/>
          <w:sz w:val="28"/>
          <w:sz w:val="28"/>
          <w:szCs w:val="28"/>
          <w:rtl w:val="true"/>
          <w:lang w:bidi="ar-SA"/>
        </w:rPr>
        <w:t xml:space="preserve">تقطيع حيوان و حيات داشتن ما بقى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تنصيف حيوان </w:t>
      </w:r>
      <w:r>
        <w:rPr>
          <w:rFonts w:eastAsia="Amiri" w:cs="Amiri" w:ascii="Amiri" w:hAnsi="Amiri"/>
          <w:color w:val="111111"/>
          <w:sz w:val="28"/>
          <w:szCs w:val="28"/>
          <w:lang w:bidi="ar-SA"/>
        </w:rPr>
        <w:t>506</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مقطوع از حيوان توسط كلب يا رمى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عدم اضرار عصب آلت صيد يا خود مذبوح به تذكيه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نجس بودن موضع مسّ كلب از صيد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لزوم ذبح بعد از صيد در فرض امكان و وجود حيات مستقر </w:t>
      </w:r>
      <w:r>
        <w:rPr>
          <w:rFonts w:eastAsia="Amiri" w:cs="Amiri" w:ascii="Amiri" w:hAnsi="Amiri"/>
          <w:color w:val="111111"/>
          <w:sz w:val="28"/>
          <w:szCs w:val="28"/>
          <w:lang w:bidi="ar-SA"/>
        </w:rPr>
        <w:t>507</w:t>
      </w:r>
    </w:p>
    <w:p>
      <w:pPr>
        <w:pStyle w:val="BookText"/>
        <w:rPr/>
      </w:pPr>
      <w:r>
        <w:rPr>
          <w:rFonts w:ascii="IRNazanin" w:hAnsi="IRNazanin" w:eastAsia="IRNazanin"/>
          <w:color w:val="111111"/>
          <w:sz w:val="28"/>
          <w:sz w:val="28"/>
          <w:szCs w:val="28"/>
          <w:rtl w:val="true"/>
          <w:lang w:bidi="fa-IR"/>
        </w:rPr>
        <w:t xml:space="preserve">اگر بعد از وصول آلت ذبح نداشت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اگر زمان وسعت ذبح نداشته باشد </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 xml:space="preserve">ترك ذبح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سببيت اصطياد براى مالكيت </w:t>
      </w:r>
      <w:r>
        <w:rPr>
          <w:rFonts w:eastAsia="Amiri" w:cs="Amiri" w:ascii="Amiri" w:hAnsi="Amiri"/>
          <w:color w:val="111111"/>
          <w:sz w:val="28"/>
          <w:szCs w:val="28"/>
          <w:lang w:bidi="ar-SA"/>
        </w:rPr>
        <w:t>509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 ذابح و وسيله ذبح </w:t>
      </w:r>
      <w:r>
        <w:rPr>
          <w:rFonts w:eastAsia="IRNazanin" w:cs="IRNazanin"/>
          <w:color w:val="111111"/>
          <w:sz w:val="28"/>
          <w:szCs w:val="28"/>
          <w:lang w:bidi="fa-IR"/>
        </w:rPr>
        <w:t>510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شرايط ذابح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اشتراط اسلام يا حكم آن </w:t>
      </w:r>
      <w:r>
        <w:rPr>
          <w:rFonts w:eastAsia="Amiri" w:cs="Amiri" w:ascii="Amiri" w:hAnsi="Amiri"/>
          <w:color w:val="111111"/>
          <w:sz w:val="28"/>
          <w:szCs w:val="28"/>
          <w:lang w:bidi="ar-SA"/>
        </w:rPr>
        <w:t>510</w:t>
      </w:r>
    </w:p>
    <w:p>
      <w:pPr>
        <w:pStyle w:val="BookText"/>
        <w:rPr/>
      </w:pPr>
      <w:r>
        <w:rPr>
          <w:rFonts w:ascii="IRNazanin" w:hAnsi="IRNazanin" w:eastAsia="IRNazanin"/>
          <w:color w:val="111111"/>
          <w:sz w:val="28"/>
          <w:sz w:val="28"/>
          <w:szCs w:val="28"/>
          <w:rtl w:val="true"/>
          <w:lang w:bidi="fa-IR"/>
        </w:rPr>
        <w:t xml:space="preserve">طهارت مولد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اعتبار قصد ذبح </w:t>
      </w:r>
      <w:r>
        <w:rPr>
          <w:rFonts w:eastAsia="IRNazanin" w:cs="IRNazanin"/>
          <w:color w:val="111111"/>
          <w:sz w:val="28"/>
          <w:szCs w:val="28"/>
          <w:lang w:bidi="fa-IR"/>
        </w:rPr>
        <w:t>511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آلت ذَبح و نحر </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 xml:space="preserve">اعتبار حديد بودن آلت ذبح در حال اختيار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فرض نبود حديد با خوف فوت ذبيحه </w:t>
      </w:r>
      <w:r>
        <w:rPr>
          <w:rFonts w:eastAsia="Amiri" w:cs="Amiri" w:ascii="Amiri" w:hAnsi="Amiri"/>
          <w:color w:val="111111"/>
          <w:sz w:val="28"/>
          <w:szCs w:val="28"/>
          <w:lang w:bidi="ar-SA"/>
        </w:rPr>
        <w:t>511</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و شرايط ذبح </w:t>
      </w:r>
      <w:r>
        <w:rPr>
          <w:rFonts w:eastAsia="IRNazanin" w:cs="IRNazanin"/>
          <w:color w:val="111111"/>
          <w:sz w:val="28"/>
          <w:szCs w:val="28"/>
          <w:lang w:bidi="fa-IR"/>
        </w:rPr>
        <w:t>512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كيفيّت ذَبح و نحر </w:t>
      </w:r>
      <w:r>
        <w:rPr>
          <w:rFonts w:eastAsia="Amiri" w:cs="Amiri" w:ascii="Amiri" w:hAnsi="Amiri"/>
          <w:color w:val="111111"/>
          <w:sz w:val="28"/>
          <w:szCs w:val="28"/>
          <w:lang w:bidi="ar-SA"/>
        </w:rPr>
        <w:t>512</w:t>
      </w:r>
    </w:p>
    <w:p>
      <w:pPr>
        <w:pStyle w:val="BookText"/>
        <w:rPr/>
      </w:pPr>
      <w:r>
        <w:rPr>
          <w:rFonts w:ascii="IRNazanin" w:hAnsi="IRNazanin" w:eastAsia="IRNazanin"/>
          <w:color w:val="111111"/>
          <w:sz w:val="28"/>
          <w:sz w:val="28"/>
          <w:szCs w:val="28"/>
          <w:rtl w:val="true"/>
          <w:lang w:bidi="fa-IR"/>
        </w:rPr>
        <w:t xml:space="preserve">قطع چهار رگ در ذبح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نحر </w:t>
      </w:r>
      <w:r>
        <w:rPr>
          <w:rFonts w:eastAsia="IRNazanin" w:cs="IRNazanin"/>
          <w:color w:val="111111"/>
          <w:sz w:val="28"/>
          <w:szCs w:val="28"/>
          <w:lang w:bidi="fa-IR"/>
        </w:rPr>
        <w:t>512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شرائط ذَبح </w:t>
      </w:r>
      <w:r>
        <w:rPr>
          <w:rFonts w:eastAsia="Amiri" w:cs="Amiri" w:ascii="Amiri" w:hAnsi="Amiri"/>
          <w:color w:val="111111"/>
          <w:sz w:val="28"/>
          <w:szCs w:val="28"/>
          <w:lang w:bidi="ar-SA"/>
        </w:rPr>
        <w:t>512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استقبال </w:t>
      </w:r>
      <w:r>
        <w:rPr>
          <w:rFonts w:eastAsia="IRNazanin" w:cs="IRNazanin"/>
          <w:color w:val="111111"/>
          <w:sz w:val="28"/>
          <w:szCs w:val="28"/>
          <w:lang w:bidi="fa-IR"/>
        </w:rPr>
        <w:t>512</w:t>
      </w:r>
    </w:p>
    <w:p>
      <w:pPr>
        <w:pStyle w:val="BookText"/>
        <w:rPr/>
      </w:pPr>
      <w:r>
        <w:rPr>
          <w:rFonts w:ascii="Amiri" w:hAnsi="Amiri" w:eastAsia="Amiri" w:cs="Amiri"/>
          <w:color w:val="111111"/>
          <w:sz w:val="28"/>
          <w:sz w:val="28"/>
          <w:szCs w:val="28"/>
          <w:rtl w:val="true"/>
          <w:lang w:bidi="ar-SA"/>
        </w:rPr>
        <w:t xml:space="preserve">فراموشى يا جهل به قبله </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 xml:space="preserve">نحوه استقبال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فرض سقوط استقبال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تسميه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ترك تسميه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اعتبار قصد در تسميه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شرطيت ذكر خداى متعال به نحو اختصاص </w:t>
      </w:r>
      <w:r>
        <w:rPr>
          <w:rFonts w:eastAsia="Amiri" w:cs="Amiri" w:ascii="Amiri" w:hAnsi="Amiri"/>
          <w:color w:val="111111"/>
          <w:sz w:val="28"/>
          <w:szCs w:val="28"/>
          <w:lang w:bidi="ar-SA"/>
        </w:rPr>
        <w:t>514</w:t>
      </w:r>
    </w:p>
    <w:p>
      <w:pPr>
        <w:pStyle w:val="BookText"/>
        <w:rPr/>
      </w:pPr>
      <w:r>
        <w:rPr>
          <w:rFonts w:ascii="IRNazanin" w:hAnsi="IRNazanin" w:eastAsia="IRNazanin"/>
          <w:color w:val="111111"/>
          <w:sz w:val="28"/>
          <w:sz w:val="28"/>
          <w:szCs w:val="28"/>
          <w:rtl w:val="true"/>
          <w:lang w:bidi="fa-IR"/>
        </w:rPr>
        <w:t xml:space="preserve">اشاره اخرس </w:t>
      </w:r>
      <w:r>
        <w:rPr>
          <w:rFonts w:eastAsia="IRNazanin" w:cs="IRNazanin"/>
          <w:color w:val="111111"/>
          <w:sz w:val="28"/>
          <w:szCs w:val="28"/>
          <w:lang w:bidi="fa-IR"/>
        </w:rPr>
        <w:t>514</w:t>
      </w:r>
    </w:p>
    <w:p>
      <w:pPr>
        <w:pStyle w:val="BookText"/>
        <w:rPr/>
      </w:pPr>
      <w:r>
        <w:rPr>
          <w:rFonts w:ascii="Amiri" w:hAnsi="Amiri" w:eastAsia="Amiri" w:cs="Amiri"/>
          <w:color w:val="111111"/>
          <w:sz w:val="28"/>
          <w:sz w:val="28"/>
          <w:szCs w:val="28"/>
          <w:rtl w:val="true"/>
          <w:lang w:bidi="ar-SA"/>
        </w:rPr>
        <w:t xml:space="preserve">جواز وصفى تسميه به قصد عزيمت از جنب و حائض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اعتبار تسميۀ وكيل </w:t>
      </w:r>
      <w:r>
        <w:rPr>
          <w:rFonts w:eastAsia="Amiri" w:cs="Amiri" w:ascii="Amiri" w:hAnsi="Amiri"/>
          <w:color w:val="111111"/>
          <w:sz w:val="28"/>
          <w:szCs w:val="28"/>
          <w:lang w:bidi="ar-SA"/>
        </w:rPr>
        <w:t>515</w:t>
      </w:r>
    </w:p>
    <w:p>
      <w:pPr>
        <w:pStyle w:val="BookText"/>
        <w:rPr/>
      </w:pPr>
      <w:r>
        <w:rPr>
          <w:rFonts w:ascii="IRNazanin" w:hAnsi="IRNazanin" w:eastAsia="IRNazanin"/>
          <w:color w:val="111111"/>
          <w:sz w:val="28"/>
          <w:sz w:val="28"/>
          <w:szCs w:val="28"/>
          <w:rtl w:val="true"/>
          <w:lang w:bidi="fa-IR"/>
        </w:rPr>
        <w:t xml:space="preserve">مباشرت دو نفر در ذبح </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شتر به نحر و غير شتر به ذبح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جدا كردن سر قبل از زهاق روح </w:t>
      </w:r>
      <w:r>
        <w:rPr>
          <w:rFonts w:eastAsia="Amiri" w:cs="Amiri" w:ascii="Amiri" w:hAnsi="Amiri"/>
          <w:color w:val="111111"/>
          <w:sz w:val="28"/>
          <w:szCs w:val="28"/>
          <w:lang w:bidi="ar-SA"/>
        </w:rPr>
        <w:t>515</w:t>
      </w:r>
    </w:p>
    <w:p>
      <w:pPr>
        <w:pStyle w:val="BookText"/>
        <w:rPr/>
      </w:pPr>
      <w:r>
        <w:rPr>
          <w:rFonts w:ascii="IRNazanin" w:hAnsi="IRNazanin" w:eastAsia="IRNazanin"/>
          <w:color w:val="111111"/>
          <w:sz w:val="28"/>
          <w:sz w:val="28"/>
          <w:szCs w:val="28"/>
          <w:rtl w:val="true"/>
          <w:lang w:bidi="fa-IR"/>
        </w:rPr>
        <w:t xml:space="preserve">كراهت كندن پوست و قطع اعضا قبل از برودت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جواز معاملۀ ممتنع با طائر فرارى </w:t>
      </w:r>
      <w:r>
        <w:rPr>
          <w:rFonts w:eastAsia="IRNazanin" w:cs="IRNazanin"/>
          <w:color w:val="111111"/>
          <w:sz w:val="28"/>
          <w:szCs w:val="28"/>
          <w:lang w:bidi="fa-IR"/>
        </w:rPr>
        <w:t>516</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استقرار حيات قبل از ذبح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كفايت حركت </w:t>
      </w:r>
      <w:r>
        <w:rPr>
          <w:rFonts w:eastAsia="Amiri" w:cs="Amiri" w:ascii="Amiri" w:hAnsi="Amiri"/>
          <w:color w:val="111111"/>
          <w:sz w:val="28"/>
          <w:szCs w:val="28"/>
          <w:lang w:bidi="ar-SA"/>
        </w:rPr>
        <w:t>516</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لواحق ذباحه و مسائلى از ذبح </w:t>
      </w:r>
      <w:r>
        <w:rPr>
          <w:rFonts w:eastAsia="IRNazanin" w:cs="IRNazanin"/>
          <w:color w:val="111111"/>
          <w:sz w:val="28"/>
          <w:szCs w:val="28"/>
          <w:lang w:bidi="fa-IR"/>
        </w:rPr>
        <w:t>517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لواحق ذباحه </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 xml:space="preserve">أماريت سوق مسلمين و عدم لزوم فحص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مراد از استقرار حيات قبل از ذبح و در صيد </w:t>
      </w:r>
      <w:r>
        <w:rPr>
          <w:rFonts w:eastAsia="Amiri" w:cs="Amiri" w:ascii="Amiri" w:hAnsi="Amiri"/>
          <w:color w:val="111111"/>
          <w:sz w:val="28"/>
          <w:szCs w:val="28"/>
          <w:lang w:bidi="ar-SA"/>
        </w:rPr>
        <w:t>517</w:t>
      </w:r>
    </w:p>
    <w:p>
      <w:pPr>
        <w:pStyle w:val="BookText"/>
        <w:rPr/>
      </w:pPr>
      <w:r>
        <w:rPr>
          <w:rFonts w:ascii="IRNazanin" w:hAnsi="IRNazanin" w:eastAsia="IRNazanin"/>
          <w:color w:val="111111"/>
          <w:sz w:val="28"/>
          <w:sz w:val="28"/>
          <w:szCs w:val="28"/>
          <w:rtl w:val="true"/>
          <w:lang w:bidi="fa-IR"/>
        </w:rPr>
        <w:t xml:space="preserve">اگر بعد از ذبح حركت نداشته باشد </w:t>
      </w:r>
      <w:r>
        <w:rPr>
          <w:rFonts w:eastAsia="IRNazanin" w:cs="IRNazanin"/>
          <w:color w:val="111111"/>
          <w:sz w:val="28"/>
          <w:szCs w:val="28"/>
          <w:lang w:bidi="fa-IR"/>
        </w:rPr>
        <w:t>518</w:t>
      </w:r>
    </w:p>
    <w:p>
      <w:pPr>
        <w:pStyle w:val="BookText"/>
        <w:rPr/>
      </w:pPr>
      <w:r>
        <w:rPr>
          <w:rFonts w:ascii="Amiri" w:hAnsi="Amiri" w:eastAsia="Amiri" w:cs="Amiri"/>
          <w:color w:val="111111"/>
          <w:sz w:val="28"/>
          <w:sz w:val="28"/>
          <w:szCs w:val="28"/>
          <w:rtl w:val="true"/>
          <w:lang w:bidi="ar-SA"/>
        </w:rPr>
        <w:t xml:space="preserve">نذر اضحيۀ معينه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ميزان ضمان در مقام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حصول عيب بعد از نذر معيّن </w:t>
      </w:r>
      <w:r>
        <w:rPr>
          <w:rFonts w:eastAsia="Amiri" w:cs="Amiri" w:ascii="Amiri" w:hAnsi="Amiri"/>
          <w:color w:val="111111"/>
          <w:sz w:val="28"/>
          <w:szCs w:val="28"/>
          <w:lang w:bidi="ar-SA"/>
        </w:rPr>
        <w:t>519</w:t>
      </w:r>
    </w:p>
    <w:p>
      <w:pPr>
        <w:pStyle w:val="BookText"/>
        <w:rPr/>
      </w:pPr>
      <w:r>
        <w:rPr>
          <w:rFonts w:ascii="IRNazanin" w:hAnsi="IRNazanin" w:eastAsia="IRNazanin"/>
          <w:color w:val="111111"/>
          <w:sz w:val="28"/>
          <w:sz w:val="28"/>
          <w:szCs w:val="28"/>
          <w:rtl w:val="true"/>
          <w:lang w:bidi="fa-IR"/>
        </w:rPr>
        <w:t xml:space="preserve">نذر معين و تضحيۀ ديگرى بدون اذن مالك </w:t>
      </w:r>
      <w:r>
        <w:rPr>
          <w:rFonts w:eastAsia="IRNazanin" w:cs="IRNazanin"/>
          <w:color w:val="111111"/>
          <w:sz w:val="28"/>
          <w:szCs w:val="28"/>
          <w:lang w:bidi="fa-IR"/>
        </w:rPr>
        <w:t>519</w:t>
      </w:r>
    </w:p>
    <w:p>
      <w:pPr>
        <w:pStyle w:val="BookText"/>
        <w:rPr/>
      </w:pPr>
      <w:r>
        <w:rPr>
          <w:rFonts w:ascii="Amiri" w:hAnsi="Amiri" w:eastAsia="Amiri" w:cs="Amiri"/>
          <w:color w:val="111111"/>
          <w:sz w:val="28"/>
          <w:sz w:val="28"/>
          <w:szCs w:val="28"/>
          <w:rtl w:val="true"/>
          <w:lang w:bidi="ar-SA"/>
        </w:rPr>
        <w:t xml:space="preserve">تذكيۀ ماهى </w:t>
      </w:r>
      <w:r>
        <w:rPr>
          <w:rFonts w:eastAsia="Amiri" w:cs="Amiri" w:ascii="Amiri" w:hAnsi="Amiri"/>
          <w:color w:val="111111"/>
          <w:sz w:val="28"/>
          <w:szCs w:val="28"/>
          <w:lang w:bidi="ar-SA"/>
        </w:rPr>
        <w:t>519</w:t>
      </w:r>
    </w:p>
    <w:p>
      <w:pPr>
        <w:pStyle w:val="BookText"/>
        <w:rPr/>
      </w:pPr>
      <w:r>
        <w:rPr>
          <w:rFonts w:ascii="IRNazanin" w:hAnsi="IRNazanin" w:eastAsia="IRNazanin"/>
          <w:color w:val="111111"/>
          <w:sz w:val="28"/>
          <w:sz w:val="28"/>
          <w:szCs w:val="28"/>
          <w:rtl w:val="true"/>
          <w:lang w:bidi="fa-IR"/>
        </w:rPr>
        <w:t xml:space="preserve">عود بعد از اخراج </w:t>
      </w:r>
      <w:r>
        <w:rPr>
          <w:rFonts w:eastAsia="IRNazanin" w:cs="IRNazanin"/>
          <w:color w:val="111111"/>
          <w:sz w:val="28"/>
          <w:szCs w:val="28"/>
          <w:lang w:bidi="fa-IR"/>
        </w:rPr>
        <w:t>520</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ماهى مرده در دست كافر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bookmarkStart w:id="4012" w:name="pg10265_90456"/>
    </w:p>
    <w:p>
      <w:pPr>
        <w:pStyle w:val="BookText"/>
        <w:rPr/>
      </w:pPr>
      <w:bookmarkEnd w:id="4012"/>
      <w:r>
        <w:rPr>
          <w:rFonts w:ascii="Amiri" w:hAnsi="Amiri" w:eastAsia="Amiri" w:cs="Amiri"/>
          <w:color w:val="111111"/>
          <w:sz w:val="28"/>
          <w:sz w:val="28"/>
          <w:szCs w:val="28"/>
          <w:rtl w:val="true"/>
          <w:lang w:bidi="ar-SA"/>
        </w:rPr>
        <w:t xml:space="preserve">بلعيدن ماهى زنده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موت ماهى در شبكه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بريان نمودن ماهى زنده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مخلوط شدن ميت در آب با حى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تذكيۀ ملخ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تذكيۀ حيوان در شكم </w:t>
      </w:r>
      <w:r>
        <w:rPr>
          <w:rFonts w:eastAsia="Amiri" w:cs="Amiri" w:ascii="Amiri" w:hAnsi="Amiri"/>
          <w:color w:val="111111"/>
          <w:sz w:val="28"/>
          <w:szCs w:val="28"/>
          <w:lang w:bidi="ar-SA"/>
        </w:rPr>
        <w:t>521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مسائلى از احكام ذباحه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لزوم رعايت متابعت و موالات عرفى در ذبح </w:t>
      </w:r>
      <w:r>
        <w:rPr>
          <w:rFonts w:eastAsia="Amiri" w:cs="Amiri" w:ascii="Amiri" w:hAnsi="Amiri"/>
          <w:color w:val="111111"/>
          <w:sz w:val="28"/>
          <w:szCs w:val="28"/>
          <w:lang w:bidi="ar-SA"/>
        </w:rPr>
        <w:t>522</w:t>
      </w:r>
    </w:p>
    <w:p>
      <w:pPr>
        <w:pStyle w:val="BookText"/>
        <w:rPr/>
      </w:pPr>
      <w:r>
        <w:rPr>
          <w:rFonts w:ascii="IRNazanin" w:hAnsi="IRNazanin" w:eastAsia="IRNazanin"/>
          <w:color w:val="111111"/>
          <w:sz w:val="28"/>
          <w:sz w:val="28"/>
          <w:szCs w:val="28"/>
          <w:rtl w:val="true"/>
          <w:lang w:bidi="fa-IR"/>
        </w:rPr>
        <w:t xml:space="preserve">لزوم استناد زهاق روح به ذبح </w:t>
      </w:r>
      <w:r>
        <w:rPr>
          <w:rFonts w:eastAsia="IRNazanin" w:cs="IRNazanin"/>
          <w:color w:val="111111"/>
          <w:sz w:val="28"/>
          <w:szCs w:val="28"/>
          <w:lang w:bidi="fa-IR"/>
        </w:rPr>
        <w:t>523</w:t>
      </w:r>
    </w:p>
    <w:p>
      <w:pPr>
        <w:pStyle w:val="BookText"/>
        <w:rPr/>
      </w:pPr>
      <w:r>
        <w:rPr>
          <w:rFonts w:ascii="Amiri" w:hAnsi="Amiri" w:eastAsia="Amiri" w:cs="Amiri"/>
          <w:color w:val="111111"/>
          <w:sz w:val="28"/>
          <w:sz w:val="28"/>
          <w:szCs w:val="28"/>
          <w:rtl w:val="true"/>
          <w:lang w:bidi="ar-SA"/>
        </w:rPr>
        <w:t xml:space="preserve">لزوم احراز حيات بعد از ذبح در تذكيه </w:t>
      </w:r>
      <w:r>
        <w:rPr>
          <w:rFonts w:eastAsia="Amiri" w:cs="Amiri" w:ascii="Amiri" w:hAnsi="Amiri"/>
          <w:color w:val="111111"/>
          <w:sz w:val="28"/>
          <w:szCs w:val="28"/>
          <w:lang w:bidi="ar-SA"/>
        </w:rPr>
        <w:t>523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قابل تذكيه است </w:t>
      </w:r>
      <w:r>
        <w:rPr>
          <w:rFonts w:eastAsia="IRNazanin" w:cs="IRNazanin"/>
          <w:color w:val="111111"/>
          <w:sz w:val="28"/>
          <w:szCs w:val="28"/>
          <w:lang w:bidi="fa-IR"/>
        </w:rPr>
        <w:t>523</w:t>
      </w:r>
    </w:p>
    <w:p>
      <w:pPr>
        <w:pStyle w:val="BookText"/>
        <w:rPr/>
      </w:pPr>
      <w:r>
        <w:rPr>
          <w:rFonts w:ascii="Amiri" w:hAnsi="Amiri" w:eastAsia="Amiri" w:cs="Amiri"/>
          <w:color w:val="111111"/>
          <w:sz w:val="28"/>
          <w:sz w:val="28"/>
          <w:szCs w:val="28"/>
          <w:rtl w:val="true"/>
          <w:lang w:bidi="ar-SA"/>
        </w:rPr>
        <w:t xml:space="preserve">اقسام حيوان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وقوع تذكيه بر سباع و مسوخ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مسائلى از احكام صيد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شرائط مملوكيت حيوان براى صياد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نيّت قطع ملك و اعراض از صيد و خروج از ملك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عدم كفايت اتعاب براى مالكيّت </w:t>
      </w:r>
      <w:r>
        <w:rPr>
          <w:rFonts w:eastAsia="Amiri" w:cs="Amiri" w:ascii="Amiri" w:hAnsi="Amiri"/>
          <w:color w:val="111111"/>
          <w:sz w:val="28"/>
          <w:szCs w:val="28"/>
          <w:lang w:bidi="ar-SA"/>
        </w:rPr>
        <w:t>526</w:t>
      </w:r>
    </w:p>
    <w:p>
      <w:pPr>
        <w:pStyle w:val="BookText"/>
        <w:rPr/>
      </w:pPr>
      <w:r>
        <w:rPr>
          <w:rFonts w:ascii="IRNazanin" w:hAnsi="IRNazanin" w:eastAsia="IRNazanin"/>
          <w:color w:val="111111"/>
          <w:sz w:val="28"/>
          <w:sz w:val="28"/>
          <w:szCs w:val="28"/>
          <w:rtl w:val="true"/>
          <w:lang w:bidi="fa-IR"/>
        </w:rPr>
        <w:t xml:space="preserve">گونه اى مختلف مشاركت دو نفر در صيد و ذبح و مسأله مالكيت آن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رفع دو امتناع به تعاقب توسط دو نفر </w:t>
      </w:r>
      <w:r>
        <w:rPr>
          <w:rFonts w:eastAsia="IRNazanin" w:cs="IRNazanin"/>
          <w:color w:val="111111"/>
          <w:sz w:val="28"/>
          <w:szCs w:val="28"/>
          <w:lang w:bidi="fa-IR"/>
        </w:rPr>
        <w:t>528</w:t>
      </w:r>
    </w:p>
    <w:p>
      <w:pPr>
        <w:pStyle w:val="BookText"/>
        <w:rPr/>
      </w:pPr>
      <w:r>
        <w:rPr>
          <w:rFonts w:ascii="Amiri" w:hAnsi="Amiri" w:eastAsia="Amiri" w:cs="Amiri"/>
          <w:color w:val="111111"/>
          <w:sz w:val="28"/>
          <w:sz w:val="28"/>
          <w:szCs w:val="28"/>
          <w:rtl w:val="true"/>
          <w:lang w:bidi="ar-SA"/>
        </w:rPr>
        <w:t xml:space="preserve">قتل صيد بعد از رمى دو صياد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موت صيد به سبب عقر كلب يا اتعاب و فشار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رمى به قصد غير صيد يا غير شخص يا نوع مصيد يا قصد غير اصطياد </w:t>
      </w:r>
      <w:r>
        <w:rPr>
          <w:rFonts w:eastAsia="Amiri" w:cs="Amiri" w:ascii="Amiri" w:hAnsi="Amiri"/>
          <w:color w:val="111111"/>
          <w:sz w:val="28"/>
          <w:szCs w:val="28"/>
          <w:lang w:bidi="ar-SA"/>
        </w:rPr>
        <w:t>529</w:t>
      </w:r>
    </w:p>
    <w:p>
      <w:pPr>
        <w:pStyle w:val="BookText"/>
        <w:rPr/>
      </w:pPr>
      <w:r>
        <w:rPr>
          <w:rFonts w:ascii="IRNazanin" w:hAnsi="IRNazanin" w:eastAsia="IRNazanin"/>
          <w:color w:val="111111"/>
          <w:sz w:val="28"/>
          <w:sz w:val="28"/>
          <w:szCs w:val="28"/>
          <w:rtl w:val="true"/>
          <w:lang w:bidi="fa-IR"/>
        </w:rPr>
        <w:t xml:space="preserve">نحوۀ مالكيّت گيرنده پرنده </w:t>
      </w:r>
      <w:r>
        <w:rPr>
          <w:rFonts w:eastAsia="IRNazanin" w:cs="IRNazanin"/>
          <w:color w:val="111111"/>
          <w:sz w:val="28"/>
          <w:szCs w:val="28"/>
          <w:lang w:bidi="fa-IR"/>
        </w:rPr>
        <w:t>530</w:t>
      </w:r>
    </w:p>
    <w:p>
      <w:pPr>
        <w:pStyle w:val="BookText"/>
        <w:rPr/>
      </w:pPr>
      <w:r>
        <w:rPr>
          <w:rFonts w:ascii="Amiri" w:hAnsi="Amiri" w:eastAsia="Amiri" w:cs="Amiri"/>
          <w:color w:val="111111"/>
          <w:sz w:val="28"/>
          <w:sz w:val="28"/>
          <w:szCs w:val="28"/>
          <w:rtl w:val="true"/>
          <w:lang w:bidi="ar-SA"/>
        </w:rPr>
        <w:t xml:space="preserve">حكم كبوترى كه به خانه اى درآيد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حكم اجزاء مبانۀ از ماهى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شراكت دو نفر در اثبات يا جرح صيد </w:t>
      </w:r>
      <w:r>
        <w:rPr>
          <w:rFonts w:eastAsia="Amiri" w:cs="Amiri" w:ascii="Amiri" w:hAnsi="Amiri"/>
          <w:color w:val="111111"/>
          <w:sz w:val="28"/>
          <w:szCs w:val="28"/>
          <w:lang w:bidi="ar-SA"/>
        </w:rPr>
        <w:t>531</w:t>
      </w:r>
    </w:p>
    <w:p>
      <w:pPr>
        <w:pStyle w:val="Heading3"/>
        <w:numPr>
          <w:ilvl w:val="2"/>
          <w:numId w:val="1"/>
        </w:numPr>
        <w:rPr/>
      </w:pPr>
      <w:bookmarkStart w:id="4013" w:name="__RefHeading___Toc3810347_1067777946"/>
      <w:bookmarkStart w:id="4014" w:name="_Toc1686"/>
      <w:bookmarkEnd w:id="4013"/>
      <w:r>
        <w:rPr>
          <w:rtl w:val="true"/>
        </w:rPr>
        <w:t>كتاب اطعمه و اشربه</w:t>
      </w:r>
      <w:bookmarkEnd w:id="4014"/>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دريا </w:t>
      </w:r>
      <w:r>
        <w:rPr>
          <w:rFonts w:eastAsia="Amiri" w:cs="Amiri" w:ascii="Amiri" w:hAnsi="Amiri"/>
          <w:color w:val="111111"/>
          <w:sz w:val="28"/>
          <w:szCs w:val="28"/>
          <w:lang w:bidi="ar-SA"/>
        </w:rPr>
        <w:t>535</w:t>
      </w:r>
    </w:p>
    <w:p>
      <w:pPr>
        <w:pStyle w:val="BookText"/>
        <w:rPr/>
      </w:pPr>
      <w:r>
        <w:rPr>
          <w:rFonts w:ascii="IRNazanin" w:hAnsi="IRNazanin" w:eastAsia="IRNazanin"/>
          <w:color w:val="111111"/>
          <w:sz w:val="28"/>
          <w:sz w:val="28"/>
          <w:szCs w:val="28"/>
          <w:rtl w:val="true"/>
          <w:lang w:bidi="fa-IR"/>
        </w:rPr>
        <w:t xml:space="preserve">آنچه از حيوان دريا حلال است </w:t>
      </w:r>
      <w:r>
        <w:rPr>
          <w:rFonts w:eastAsia="IRNazanin" w:cs="IRNazanin"/>
          <w:color w:val="111111"/>
          <w:sz w:val="28"/>
          <w:szCs w:val="28"/>
          <w:lang w:bidi="fa-IR"/>
        </w:rPr>
        <w:t>535</w:t>
      </w:r>
    </w:p>
    <w:p>
      <w:pPr>
        <w:pStyle w:val="BookText"/>
        <w:rPr/>
      </w:pPr>
      <w:r>
        <w:rPr>
          <w:rFonts w:ascii="Amiri" w:hAnsi="Amiri" w:eastAsia="Amiri" w:cs="Amiri"/>
          <w:color w:val="111111"/>
          <w:sz w:val="28"/>
          <w:sz w:val="28"/>
          <w:szCs w:val="28"/>
          <w:rtl w:val="true"/>
          <w:lang w:bidi="ar-SA"/>
        </w:rPr>
        <w:t xml:space="preserve">حرمت حيوان دريايى غير ماهى </w:t>
      </w:r>
      <w:r>
        <w:rPr>
          <w:rFonts w:eastAsia="Amiri" w:cs="Amiri" w:ascii="Amiri" w:hAnsi="Amiri"/>
          <w:color w:val="111111"/>
          <w:sz w:val="28"/>
          <w:szCs w:val="28"/>
          <w:lang w:bidi="ar-SA"/>
        </w:rPr>
        <w:t>535</w:t>
      </w:r>
    </w:p>
    <w:p>
      <w:pPr>
        <w:pStyle w:val="BookText"/>
        <w:rPr/>
      </w:pPr>
      <w:r>
        <w:rPr>
          <w:rFonts w:ascii="IRNazanin" w:hAnsi="IRNazanin" w:eastAsia="IRNazanin"/>
          <w:color w:val="111111"/>
          <w:sz w:val="28"/>
          <w:sz w:val="28"/>
          <w:szCs w:val="28"/>
          <w:rtl w:val="true"/>
          <w:lang w:bidi="fa-IR"/>
        </w:rPr>
        <w:t xml:space="preserve">اگر در جوف ماهى، ماهى ديگرى بود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اگر در جوف مار، ماهى بود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آنچه از ماهى در آب بميرد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اگر ماهى، متعذى به عذرۀ انسان باشد </w:t>
      </w:r>
      <w:r>
        <w:rPr>
          <w:rFonts w:eastAsia="IRNazanin" w:cs="IRNazanin"/>
          <w:color w:val="111111"/>
          <w:sz w:val="28"/>
          <w:szCs w:val="28"/>
          <w:lang w:bidi="fa-IR"/>
        </w:rPr>
        <w:t>536</w:t>
      </w:r>
    </w:p>
    <w:p>
      <w:pPr>
        <w:pStyle w:val="BookText"/>
        <w:rPr/>
      </w:pPr>
      <w:r>
        <w:rPr>
          <w:rFonts w:ascii="Amiri" w:hAnsi="Amiri" w:eastAsia="Amiri" w:cs="Amiri"/>
          <w:color w:val="111111"/>
          <w:sz w:val="28"/>
          <w:sz w:val="28"/>
          <w:szCs w:val="28"/>
          <w:rtl w:val="true"/>
          <w:lang w:bidi="ar-SA"/>
        </w:rPr>
        <w:t xml:space="preserve">حكم تخم ماهى و سائر حيوانات </w:t>
      </w:r>
      <w:r>
        <w:rPr>
          <w:rFonts w:eastAsia="Amiri" w:cs="Amiri" w:ascii="Amiri" w:hAnsi="Amiri"/>
          <w:color w:val="111111"/>
          <w:sz w:val="28"/>
          <w:szCs w:val="28"/>
          <w:lang w:bidi="ar-SA"/>
        </w:rPr>
        <w:t>537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بهائم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آنچه از بهائم حلال است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اسباب عروض حرمت بر حيوان حلال گوشت </w:t>
      </w:r>
      <w:r>
        <w:rPr>
          <w:rFonts w:eastAsia="IRNazanin" w:cs="IRNazanin"/>
          <w:color w:val="111111"/>
          <w:sz w:val="28"/>
          <w:szCs w:val="28"/>
          <w:lang w:bidi="fa-IR"/>
        </w:rPr>
        <w:t>538</w:t>
      </w:r>
    </w:p>
    <w:p>
      <w:pPr>
        <w:pStyle w:val="BookText"/>
        <w:rPr/>
      </w:pPr>
      <w:r>
        <w:rPr>
          <w:rFonts w:ascii="Amiri" w:hAnsi="Amiri" w:eastAsia="Amiri" w:cs="Amiri"/>
          <w:color w:val="111111"/>
          <w:sz w:val="28"/>
          <w:sz w:val="28"/>
          <w:szCs w:val="28"/>
          <w:rtl w:val="true"/>
          <w:lang w:bidi="ar-SA"/>
        </w:rPr>
        <w:t xml:space="preserve">جلال و ملاك آن و طريق انتقاى آن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كيفيت استبراى از جلل </w:t>
      </w:r>
      <w:r>
        <w:rPr>
          <w:rFonts w:eastAsia="Amiri" w:cs="Amiri" w:ascii="Amiri" w:hAnsi="Amiri"/>
          <w:color w:val="111111"/>
          <w:sz w:val="28"/>
          <w:szCs w:val="28"/>
          <w:lang w:bidi="ar-SA"/>
        </w:rPr>
        <w:t>539</w:t>
      </w:r>
    </w:p>
    <w:p>
      <w:pPr>
        <w:pStyle w:val="BookText"/>
        <w:rPr/>
      </w:pPr>
      <w:r>
        <w:rPr>
          <w:rFonts w:ascii="IRNazanin" w:hAnsi="IRNazanin" w:eastAsia="IRNazanin"/>
          <w:color w:val="111111"/>
          <w:sz w:val="28"/>
          <w:sz w:val="28"/>
          <w:szCs w:val="28"/>
          <w:rtl w:val="true"/>
          <w:lang w:bidi="fa-IR"/>
        </w:rPr>
        <w:t xml:space="preserve">اگر حيوان، شير خوك بنوشد </w:t>
      </w:r>
      <w:r>
        <w:rPr>
          <w:rFonts w:eastAsia="IRNazanin" w:cs="IRNazanin"/>
          <w:color w:val="111111"/>
          <w:sz w:val="28"/>
          <w:szCs w:val="28"/>
          <w:lang w:bidi="fa-IR"/>
        </w:rPr>
        <w:t>539</w:t>
      </w:r>
    </w:p>
    <w:p>
      <w:pPr>
        <w:pStyle w:val="BookText"/>
        <w:rPr/>
      </w:pPr>
      <w:r>
        <w:rPr>
          <w:rFonts w:ascii="Amiri" w:hAnsi="Amiri" w:eastAsia="Amiri" w:cs="Amiri"/>
          <w:color w:val="111111"/>
          <w:sz w:val="28"/>
          <w:sz w:val="28"/>
          <w:szCs w:val="28"/>
          <w:rtl w:val="true"/>
          <w:lang w:bidi="ar-SA"/>
        </w:rPr>
        <w:t xml:space="preserve">حكم بهيمه موطوئه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اشتباه موطوء به غير و تعيين با قرعه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حيوانى كه خمر يا بول بياشامد </w:t>
      </w:r>
      <w:r>
        <w:rPr>
          <w:rFonts w:eastAsia="Amiri" w:cs="Amiri" w:ascii="Amiri" w:hAnsi="Amiri"/>
          <w:color w:val="111111"/>
          <w:sz w:val="28"/>
          <w:szCs w:val="28"/>
          <w:lang w:bidi="ar-SA"/>
        </w:rPr>
        <w:t>541</w:t>
      </w:r>
    </w:p>
    <w:p>
      <w:pPr>
        <w:pStyle w:val="BookText"/>
        <w:rPr/>
      </w:pPr>
      <w:r>
        <w:rPr>
          <w:rFonts w:ascii="IRNazanin" w:hAnsi="IRNazanin" w:eastAsia="IRNazanin"/>
          <w:color w:val="111111"/>
          <w:sz w:val="28"/>
          <w:sz w:val="28"/>
          <w:szCs w:val="28"/>
          <w:rtl w:val="true"/>
          <w:lang w:bidi="fa-IR"/>
        </w:rPr>
        <w:t xml:space="preserve">تعدادى از حيوانات حرام گوشت و حلال گوشت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 </w:t>
      </w:r>
      <w:r>
        <w:rPr>
          <w:rFonts w:eastAsia="IRNazanin" w:cs="IRNazanin"/>
          <w:color w:val="111111"/>
          <w:sz w:val="28"/>
          <w:szCs w:val="28"/>
          <w:lang w:bidi="fa-IR"/>
        </w:rPr>
        <w:t>543</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حرمت صاحب مخلاب و كلاغ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حرمت پرنده اى كه بال گشودن آن بيش از حركت دادن باشد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حرمت پرنده اى كه قانصه و حوصله و صيصيه ندارد </w:t>
      </w:r>
      <w:r>
        <w:rPr>
          <w:rFonts w:eastAsia="IRNazanin" w:cs="IRNazanin"/>
          <w:color w:val="111111"/>
          <w:sz w:val="28"/>
          <w:szCs w:val="28"/>
          <w:lang w:bidi="fa-IR"/>
        </w:rPr>
        <w:t>544</w:t>
      </w:r>
    </w:p>
    <w:p>
      <w:pPr>
        <w:pStyle w:val="BookText"/>
        <w:rPr/>
      </w:pPr>
      <w:r>
        <w:rPr>
          <w:rFonts w:ascii="Amiri" w:hAnsi="Amiri" w:eastAsia="Amiri" w:cs="Amiri"/>
          <w:color w:val="111111"/>
          <w:sz w:val="28"/>
          <w:sz w:val="28"/>
          <w:szCs w:val="28"/>
          <w:rtl w:val="true"/>
          <w:lang w:bidi="ar-SA"/>
        </w:rPr>
        <w:t xml:space="preserve">معارضه بين علائم حليت و حرمت </w:t>
      </w:r>
      <w:r>
        <w:rPr>
          <w:rFonts w:eastAsia="Amiri" w:cs="Amiri" w:ascii="Amiri" w:hAnsi="Amiri"/>
          <w:color w:val="111111"/>
          <w:sz w:val="28"/>
          <w:szCs w:val="28"/>
          <w:lang w:bidi="ar-SA"/>
        </w:rPr>
        <w:t>544</w:t>
      </w:r>
    </w:p>
    <w:p>
      <w:pPr>
        <w:pStyle w:val="BookText"/>
        <w:rPr/>
      </w:pPr>
      <w:r>
        <w:rPr>
          <w:rFonts w:ascii="IRNazanin" w:hAnsi="IRNazanin" w:eastAsia="IRNazanin"/>
          <w:color w:val="111111"/>
          <w:sz w:val="28"/>
          <w:sz w:val="28"/>
          <w:szCs w:val="28"/>
          <w:rtl w:val="true"/>
          <w:lang w:bidi="fa-IR"/>
        </w:rPr>
        <w:t xml:space="preserve">تعدادى از پرندگان حلال گوشت </w:t>
      </w:r>
      <w:r>
        <w:rPr>
          <w:rFonts w:eastAsia="IRNazanin" w:cs="IRNazanin"/>
          <w:color w:val="111111"/>
          <w:sz w:val="28"/>
          <w:szCs w:val="28"/>
          <w:lang w:bidi="fa-IR"/>
        </w:rPr>
        <w:t>544</w:t>
      </w:r>
    </w:p>
    <w:p>
      <w:pPr>
        <w:pStyle w:val="BookText"/>
        <w:rPr/>
      </w:pPr>
      <w:r>
        <w:rPr>
          <w:rFonts w:ascii="Amiri" w:hAnsi="Amiri" w:eastAsia="Amiri" w:cs="Amiri"/>
          <w:color w:val="111111"/>
          <w:sz w:val="28"/>
          <w:sz w:val="28"/>
          <w:szCs w:val="28"/>
          <w:rtl w:val="true"/>
          <w:lang w:bidi="ar-SA"/>
        </w:rPr>
        <w:t xml:space="preserve">حكم مرغهاى آبى </w:t>
      </w:r>
      <w:r>
        <w:rPr>
          <w:rFonts w:eastAsia="Amiri" w:cs="Amiri" w:ascii="Amiri" w:hAnsi="Amiri"/>
          <w:color w:val="111111"/>
          <w:sz w:val="28"/>
          <w:szCs w:val="28"/>
          <w:lang w:bidi="ar-SA"/>
        </w:rPr>
        <w:t>544</w:t>
      </w:r>
    </w:p>
    <w:p>
      <w:pPr>
        <w:pStyle w:val="BookText"/>
        <w:rPr/>
      </w:pPr>
      <w:r>
        <w:rPr>
          <w:rFonts w:ascii="IRNazanin" w:hAnsi="IRNazanin" w:eastAsia="IRNazanin"/>
          <w:color w:val="111111"/>
          <w:sz w:val="28"/>
          <w:sz w:val="28"/>
          <w:szCs w:val="28"/>
          <w:rtl w:val="true"/>
          <w:lang w:bidi="fa-IR"/>
        </w:rPr>
        <w:t xml:space="preserve">حكم زنبور و مگس و پشه و كرم </w:t>
      </w:r>
      <w:r>
        <w:rPr>
          <w:rFonts w:eastAsia="IRNazanin" w:cs="IRNazanin"/>
          <w:color w:val="111111"/>
          <w:sz w:val="28"/>
          <w:szCs w:val="28"/>
          <w:lang w:bidi="fa-IR"/>
        </w:rPr>
        <w:t>545</w:t>
      </w:r>
    </w:p>
    <w:p>
      <w:pPr>
        <w:pStyle w:val="BookText"/>
        <w:rPr/>
      </w:pPr>
      <w:r>
        <w:rPr>
          <w:rFonts w:ascii="Amiri" w:hAnsi="Amiri" w:eastAsia="Amiri" w:cs="Amiri"/>
          <w:color w:val="111111"/>
          <w:sz w:val="28"/>
          <w:sz w:val="28"/>
          <w:szCs w:val="28"/>
          <w:rtl w:val="true"/>
          <w:lang w:bidi="ar-SA"/>
        </w:rPr>
        <w:t xml:space="preserve">حكم شترمرغ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حكم تخم مرغ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حكم مجثمه و مصبوره </w:t>
      </w:r>
      <w:r>
        <w:rPr>
          <w:rFonts w:eastAsia="Amiri" w:cs="Amiri" w:ascii="Amiri" w:hAnsi="Amiri"/>
          <w:color w:val="111111"/>
          <w:sz w:val="28"/>
          <w:szCs w:val="28"/>
          <w:lang w:bidi="ar-SA"/>
        </w:rPr>
        <w:t>546</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محرّمات از جمادات </w:t>
      </w:r>
      <w:r>
        <w:rPr>
          <w:rFonts w:eastAsia="IRNazanin" w:cs="IRNazanin"/>
          <w:color w:val="111111"/>
          <w:sz w:val="28"/>
          <w:szCs w:val="28"/>
          <w:lang w:bidi="fa-IR"/>
        </w:rPr>
        <w:t>547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جامدات </w:t>
      </w:r>
      <w:r>
        <w:rPr>
          <w:rFonts w:eastAsia="IRNazanin" w:cs="IRNazanin"/>
          <w:color w:val="111111"/>
          <w:sz w:val="28"/>
          <w:szCs w:val="28"/>
          <w:lang w:bidi="fa-IR"/>
        </w:rPr>
        <w:t>547</w:t>
      </w:r>
    </w:p>
    <w:p>
      <w:pPr>
        <w:pStyle w:val="BookText"/>
        <w:rPr/>
      </w:pPr>
      <w:r>
        <w:rPr>
          <w:rFonts w:ascii="Amiri" w:hAnsi="Amiri" w:eastAsia="Amiri" w:cs="Amiri"/>
          <w:color w:val="111111"/>
          <w:sz w:val="28"/>
          <w:sz w:val="28"/>
          <w:szCs w:val="28"/>
          <w:rtl w:val="true"/>
          <w:lang w:bidi="ar-SA"/>
        </w:rPr>
        <w:t xml:space="preserve">ميته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اشتباه ميته با غير ميته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محرّمات ذبيحه و مكروهات آن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عدم حرمت غير خبيث از غير ذبائح </w:t>
      </w:r>
      <w:r>
        <w:rPr>
          <w:rFonts w:eastAsia="Amiri" w:cs="Amiri" w:ascii="Amiri" w:hAnsi="Amiri"/>
          <w:color w:val="111111"/>
          <w:sz w:val="28"/>
          <w:szCs w:val="28"/>
          <w:lang w:bidi="ar-SA"/>
        </w:rPr>
        <w:t>548</w:t>
      </w:r>
    </w:p>
    <w:p>
      <w:pPr>
        <w:pStyle w:val="BookText"/>
        <w:rPr/>
      </w:pPr>
      <w:r>
        <w:rPr>
          <w:rFonts w:ascii="IRNazanin" w:hAnsi="IRNazanin" w:eastAsia="IRNazanin"/>
          <w:color w:val="111111"/>
          <w:sz w:val="28"/>
          <w:sz w:val="28"/>
          <w:szCs w:val="28"/>
          <w:rtl w:val="true"/>
          <w:lang w:bidi="fa-IR"/>
        </w:rPr>
        <w:t xml:space="preserve">آنچه طبع نوع انسان از آن متنفّر است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طبخ حرام با حلال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عذرات نجسه </w:t>
      </w:r>
      <w:r>
        <w:rPr>
          <w:rFonts w:eastAsia="IRNazanin" w:cs="IRNazanin"/>
          <w:color w:val="111111"/>
          <w:sz w:val="28"/>
          <w:szCs w:val="28"/>
          <w:lang w:bidi="fa-IR"/>
        </w:rPr>
        <w:t>549</w:t>
      </w:r>
    </w:p>
    <w:p>
      <w:pPr>
        <w:pStyle w:val="BookText"/>
        <w:rPr/>
      </w:pPr>
      <w:r>
        <w:rPr>
          <w:rFonts w:ascii="Amiri" w:hAnsi="Amiri" w:eastAsia="Amiri" w:cs="Amiri"/>
          <w:color w:val="111111"/>
          <w:sz w:val="28"/>
          <w:sz w:val="28"/>
          <w:szCs w:val="28"/>
          <w:rtl w:val="true"/>
          <w:lang w:bidi="ar-SA"/>
        </w:rPr>
        <w:t xml:space="preserve">اكل طين و خاك </w:t>
      </w:r>
      <w:r>
        <w:rPr>
          <w:rFonts w:eastAsia="Amiri" w:cs="Amiri" w:ascii="Amiri" w:hAnsi="Amiri"/>
          <w:color w:val="111111"/>
          <w:sz w:val="28"/>
          <w:szCs w:val="28"/>
          <w:lang w:bidi="ar-SA"/>
        </w:rPr>
        <w:t>549</w:t>
      </w:r>
    </w:p>
    <w:p>
      <w:pPr>
        <w:pStyle w:val="BookText"/>
        <w:rPr/>
      </w:pPr>
      <w:r>
        <w:rPr>
          <w:rFonts w:ascii="IRNazanin" w:hAnsi="IRNazanin" w:eastAsia="IRNazanin"/>
          <w:color w:val="111111"/>
          <w:sz w:val="28"/>
          <w:sz w:val="28"/>
          <w:szCs w:val="28"/>
          <w:rtl w:val="true"/>
          <w:lang w:bidi="fa-IR"/>
        </w:rPr>
        <w:t xml:space="preserve">گل مأخوذ از قبر مقدس سيد الشهداء عليه السلام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خاك قبور ديگر معصومين عليهم السلام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آنچه براى انسان ضرر دارد </w:t>
      </w:r>
      <w:r>
        <w:rPr>
          <w:rFonts w:eastAsia="IRNazanin" w:cs="IRNazanin"/>
          <w:color w:val="111111"/>
          <w:sz w:val="28"/>
          <w:szCs w:val="28"/>
          <w:lang w:bidi="fa-IR"/>
        </w:rPr>
        <w:t>550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مايعات محرّمه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حرمت خمر و مسكر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حكم خون حيوانات </w:t>
      </w:r>
      <w:r>
        <w:rPr>
          <w:rFonts w:eastAsia="Amiri" w:cs="Amiri" w:ascii="Amiri" w:hAnsi="Amiri"/>
          <w:color w:val="111111"/>
          <w:sz w:val="28"/>
          <w:szCs w:val="28"/>
          <w:lang w:bidi="ar-SA"/>
        </w:rPr>
        <w:t>551</w:t>
      </w:r>
    </w:p>
    <w:p>
      <w:pPr>
        <w:pStyle w:val="BookText"/>
        <w:rPr/>
      </w:pPr>
      <w:r>
        <w:rPr>
          <w:rFonts w:ascii="IRNazanin" w:hAnsi="IRNazanin" w:eastAsia="IRNazanin"/>
          <w:color w:val="111111"/>
          <w:sz w:val="28"/>
          <w:sz w:val="28"/>
          <w:szCs w:val="28"/>
          <w:rtl w:val="true"/>
          <w:lang w:bidi="fa-IR"/>
        </w:rPr>
        <w:t xml:space="preserve">خون تخم مرغ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اگر خون يا نجاست ديگر در ظرف غذا بريزد </w:t>
      </w:r>
      <w:r>
        <w:rPr>
          <w:rFonts w:eastAsia="IRNazanin" w:cs="IRNazanin"/>
          <w:color w:val="111111"/>
          <w:sz w:val="28"/>
          <w:szCs w:val="28"/>
          <w:lang w:bidi="fa-IR"/>
        </w:rPr>
        <w:t>552</w:t>
      </w:r>
    </w:p>
    <w:p>
      <w:pPr>
        <w:pStyle w:val="BookText"/>
        <w:rPr/>
      </w:pPr>
      <w:r>
        <w:rPr>
          <w:rFonts w:ascii="Amiri" w:hAnsi="Amiri" w:eastAsia="Amiri" w:cs="Amiri"/>
          <w:color w:val="111111"/>
          <w:sz w:val="28"/>
          <w:sz w:val="28"/>
          <w:szCs w:val="28"/>
          <w:rtl w:val="true"/>
          <w:lang w:bidi="ar-SA"/>
        </w:rPr>
        <w:t xml:space="preserve">حكم ملاقى نجاست يا متنجس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جواز استصباح به دهن متنجس و بيع آن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ميته حيوان غير ذى نفس سائله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نجاست كافر، حتى كتابى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واقع شدن ميته اى در ظرف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احكام بول </w:t>
      </w:r>
      <w:r>
        <w:rPr>
          <w:rFonts w:eastAsia="Amiri" w:cs="Amiri" w:ascii="Amiri" w:hAnsi="Amiri"/>
          <w:color w:val="111111"/>
          <w:sz w:val="28"/>
          <w:szCs w:val="28"/>
          <w:lang w:bidi="ar-SA"/>
        </w:rPr>
        <w:t>554</w:t>
      </w:r>
    </w:p>
    <w:p>
      <w:pPr>
        <w:pStyle w:val="BookText"/>
        <w:rPr/>
      </w:pPr>
      <w:r>
        <w:rPr>
          <w:rFonts w:ascii="IRNazanin" w:hAnsi="IRNazanin" w:eastAsia="IRNazanin"/>
          <w:color w:val="111111"/>
          <w:sz w:val="28"/>
          <w:sz w:val="28"/>
          <w:szCs w:val="28"/>
          <w:rtl w:val="true"/>
          <w:lang w:bidi="fa-IR"/>
        </w:rPr>
        <w:t xml:space="preserve">حرمت خبائث مثل عرق و آب دهان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أكل چيزهائى كه احتمال ضرر در آن هست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شير حيوان حلال گوشت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مسائلى از اطعمه و اشربه </w:t>
      </w:r>
      <w:r>
        <w:rPr>
          <w:rFonts w:eastAsia="IRNazanin" w:cs="IRNazanin"/>
          <w:color w:val="111111"/>
          <w:sz w:val="28"/>
          <w:szCs w:val="28"/>
          <w:lang w:bidi="fa-IR"/>
        </w:rPr>
        <w:t>556</w:t>
      </w:r>
    </w:p>
    <w:p>
      <w:pPr>
        <w:pStyle w:val="BookText"/>
        <w:rPr/>
      </w:pPr>
      <w:r>
        <w:rPr>
          <w:rFonts w:ascii="Amiri" w:hAnsi="Amiri" w:eastAsia="Amiri" w:cs="Amiri"/>
          <w:color w:val="111111"/>
          <w:sz w:val="28"/>
          <w:sz w:val="28"/>
          <w:szCs w:val="28"/>
          <w:rtl w:val="true"/>
          <w:lang w:bidi="ar-SA"/>
        </w:rPr>
        <w:t xml:space="preserve">استعمال موى خوك و استقاى به جلود ميته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 xml:space="preserve">حكم لحم مطروح در بلاد اسلام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 xml:space="preserve">جواز تناول طعام و شراب از خانه هاى كه در آيه شريفه، مذكور شده اند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 xml:space="preserve">ميزان جواز تصرف در آن بيوت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حق مارّه </w:t>
      </w:r>
      <w:r>
        <w:rPr>
          <w:rFonts w:eastAsia="Amiri" w:cs="Amiri" w:ascii="Amiri" w:hAnsi="Amiri"/>
          <w:color w:val="111111"/>
          <w:sz w:val="28"/>
          <w:szCs w:val="28"/>
          <w:lang w:bidi="ar-SA"/>
        </w:rPr>
        <w:t>557</w:t>
      </w:r>
    </w:p>
    <w:p>
      <w:pPr>
        <w:pStyle w:val="BookText"/>
        <w:rPr/>
      </w:pPr>
      <w:r>
        <w:rPr>
          <w:rFonts w:ascii="IRNazanin" w:hAnsi="IRNazanin" w:eastAsia="IRNazanin"/>
          <w:color w:val="111111"/>
          <w:sz w:val="28"/>
          <w:sz w:val="28"/>
          <w:szCs w:val="28"/>
          <w:rtl w:val="true"/>
          <w:lang w:bidi="fa-IR"/>
        </w:rPr>
        <w:t xml:space="preserve">حكم آب دهان و اشك چشم در صورت تناول نجس و سرمه نجس </w:t>
      </w:r>
      <w:r>
        <w:rPr>
          <w:rFonts w:eastAsia="IRNazanin" w:cs="IRNazanin"/>
          <w:color w:val="111111"/>
          <w:sz w:val="28"/>
          <w:szCs w:val="28"/>
          <w:lang w:bidi="fa-IR"/>
        </w:rPr>
        <w:t>557</w:t>
      </w:r>
    </w:p>
    <w:p>
      <w:pPr>
        <w:pStyle w:val="BookText"/>
        <w:rPr/>
      </w:pPr>
      <w:r>
        <w:rPr>
          <w:rFonts w:ascii="Amiri" w:hAnsi="Amiri" w:eastAsia="Amiri" w:cs="Amiri"/>
          <w:color w:val="111111"/>
          <w:sz w:val="28"/>
          <w:sz w:val="28"/>
          <w:szCs w:val="28"/>
          <w:rtl w:val="true"/>
          <w:lang w:bidi="ar-SA"/>
        </w:rPr>
        <w:t xml:space="preserve">ثمن خمر در صورت كه بايع، ذمّى باشد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 xml:space="preserve">منقلب شدن خمر به سركه </w:t>
      </w:r>
      <w:r>
        <w:rPr>
          <w:rFonts w:eastAsia="Amiri" w:cs="Amiri" w:ascii="Amiri" w:hAnsi="Amiri"/>
          <w:color w:val="111111"/>
          <w:sz w:val="28"/>
          <w:szCs w:val="28"/>
          <w:lang w:bidi="ar-SA"/>
        </w:rPr>
        <w:t>558</w:t>
      </w:r>
    </w:p>
    <w:p>
      <w:pPr>
        <w:pStyle w:val="BookText"/>
        <w:rPr/>
      </w:pPr>
      <w:r>
        <w:rPr>
          <w:rFonts w:ascii="IRNazanin" w:hAnsi="IRNazanin" w:eastAsia="IRNazanin"/>
          <w:color w:val="111111"/>
          <w:sz w:val="28"/>
          <w:sz w:val="28"/>
          <w:szCs w:val="28"/>
          <w:rtl w:val="true"/>
          <w:lang w:bidi="fa-IR"/>
        </w:rPr>
        <w:t xml:space="preserve">استعمال ظرف خمر </w:t>
      </w:r>
      <w:r>
        <w:rPr>
          <w:rFonts w:eastAsia="IRNazanin" w:cs="IRNazanin"/>
          <w:color w:val="111111"/>
          <w:sz w:val="28"/>
          <w:szCs w:val="28"/>
          <w:lang w:bidi="fa-IR"/>
        </w:rPr>
        <w:t>558</w:t>
      </w:r>
    </w:p>
    <w:p>
      <w:pPr>
        <w:pStyle w:val="BookText"/>
        <w:rPr/>
      </w:pPr>
      <w:r>
        <w:rPr>
          <w:rFonts w:ascii="Amiri" w:hAnsi="Amiri" w:eastAsia="Amiri" w:cs="Amiri"/>
          <w:color w:val="111111"/>
          <w:sz w:val="28"/>
          <w:sz w:val="28"/>
          <w:szCs w:val="28"/>
          <w:rtl w:val="true"/>
          <w:lang w:bidi="ar-SA"/>
        </w:rPr>
        <w:t xml:space="preserve">حكم مشروبى كه كثير آن مسكر يا مضر است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برخى مكروهات در باب اطعمه و اشربه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حال اضطرار </w:t>
      </w:r>
      <w:r>
        <w:rPr>
          <w:rFonts w:eastAsia="Amiri" w:cs="Amiri" w:ascii="Amiri" w:hAnsi="Amiri"/>
          <w:color w:val="111111"/>
          <w:sz w:val="28"/>
          <w:szCs w:val="28"/>
          <w:lang w:bidi="ar-SA"/>
        </w:rPr>
        <w:t>560</w:t>
      </w:r>
    </w:p>
    <w:p>
      <w:pPr>
        <w:pStyle w:val="BookText"/>
        <w:rPr/>
      </w:pPr>
      <w:r>
        <w:rPr>
          <w:rFonts w:ascii="IRNazanin" w:hAnsi="IRNazanin" w:eastAsia="IRNazanin"/>
          <w:color w:val="111111"/>
          <w:sz w:val="28"/>
          <w:sz w:val="28"/>
          <w:szCs w:val="28"/>
          <w:rtl w:val="true"/>
          <w:lang w:bidi="fa-IR"/>
        </w:rPr>
        <w:t xml:space="preserve">نحوۀ تحقق اضطرار </w:t>
      </w:r>
      <w:r>
        <w:rPr>
          <w:rFonts w:eastAsia="IRNazanin" w:cs="IRNazanin"/>
          <w:color w:val="111111"/>
          <w:sz w:val="28"/>
          <w:szCs w:val="28"/>
          <w:lang w:bidi="fa-IR"/>
        </w:rPr>
        <w:t>560</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باغى و عادى و متجانف اثم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bookmarkStart w:id="4015" w:name="pg10265_90458"/>
    </w:p>
    <w:p>
      <w:pPr>
        <w:pStyle w:val="BookText"/>
        <w:rPr/>
      </w:pPr>
      <w:bookmarkEnd w:id="4015"/>
      <w:r>
        <w:rPr>
          <w:rFonts w:ascii="IRNazanin" w:hAnsi="IRNazanin" w:eastAsia="IRNazanin"/>
          <w:color w:val="111111"/>
          <w:sz w:val="28"/>
          <w:sz w:val="28"/>
          <w:szCs w:val="28"/>
          <w:rtl w:val="true"/>
          <w:lang w:bidi="fa-IR"/>
        </w:rPr>
        <w:t xml:space="preserve">حد اباحۀ محرمات در حال اضطرار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وجوب دفع و بذل به مضطرّ بالفعل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مسأله استحقاق عوض در بذل به مضطرّ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عدم جواز بذل كسى كه خود مضطرّ است، به ديگرى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عدم اختصاص مضطر به مسلم </w:t>
      </w:r>
      <w:r>
        <w:rPr>
          <w:rFonts w:eastAsia="IRNazanin" w:cs="IRNazanin"/>
          <w:color w:val="111111"/>
          <w:sz w:val="28"/>
          <w:szCs w:val="28"/>
          <w:lang w:bidi="fa-IR"/>
        </w:rPr>
        <w:t>562</w:t>
      </w:r>
    </w:p>
    <w:p>
      <w:pPr>
        <w:pStyle w:val="BookText"/>
        <w:rPr/>
      </w:pPr>
      <w:r>
        <w:rPr>
          <w:rFonts w:ascii="Amiri" w:hAnsi="Amiri" w:eastAsia="Amiri" w:cs="Amiri"/>
          <w:color w:val="111111"/>
          <w:sz w:val="28"/>
          <w:sz w:val="28"/>
          <w:szCs w:val="28"/>
          <w:rtl w:val="true"/>
          <w:lang w:bidi="ar-SA"/>
        </w:rPr>
        <w:t xml:space="preserve">رجوع به حاكم براى الزام به دفع ضرر مضطر </w:t>
      </w:r>
      <w:r>
        <w:rPr>
          <w:rFonts w:eastAsia="Amiri" w:cs="Amiri" w:ascii="Amiri" w:hAnsi="Amiri"/>
          <w:color w:val="111111"/>
          <w:sz w:val="28"/>
          <w:szCs w:val="28"/>
          <w:lang w:bidi="ar-SA"/>
        </w:rPr>
        <w:t>562</w:t>
      </w:r>
    </w:p>
    <w:p>
      <w:pPr>
        <w:pStyle w:val="BookText"/>
        <w:rPr/>
      </w:pPr>
      <w:r>
        <w:rPr>
          <w:rFonts w:ascii="IRNazanin" w:hAnsi="IRNazanin" w:eastAsia="IRNazanin"/>
          <w:color w:val="111111"/>
          <w:sz w:val="28"/>
          <w:sz w:val="28"/>
          <w:szCs w:val="28"/>
          <w:rtl w:val="true"/>
          <w:lang w:bidi="fa-IR"/>
        </w:rPr>
        <w:t xml:space="preserve">دفع به مضطرّ بالفعل با توقع اضطرار در خود </w:t>
      </w:r>
      <w:r>
        <w:rPr>
          <w:rFonts w:eastAsia="IRNazanin" w:cs="IRNazanin"/>
          <w:color w:val="111111"/>
          <w:sz w:val="28"/>
          <w:szCs w:val="28"/>
          <w:lang w:bidi="fa-IR"/>
        </w:rPr>
        <w:t>562</w:t>
      </w:r>
    </w:p>
    <w:p>
      <w:pPr>
        <w:pStyle w:val="BookText"/>
        <w:rPr/>
      </w:pPr>
      <w:r>
        <w:rPr>
          <w:rFonts w:ascii="Amiri" w:hAnsi="Amiri" w:eastAsia="Amiri" w:cs="Amiri"/>
          <w:color w:val="111111"/>
          <w:sz w:val="28"/>
          <w:sz w:val="28"/>
          <w:szCs w:val="28"/>
          <w:rtl w:val="true"/>
          <w:lang w:bidi="ar-SA"/>
        </w:rPr>
        <w:t xml:space="preserve">تبعيّت قرينه و اخذ به قول مالك </w:t>
      </w:r>
      <w:r>
        <w:rPr>
          <w:rFonts w:eastAsia="Amiri" w:cs="Amiri" w:ascii="Amiri" w:hAnsi="Amiri"/>
          <w:color w:val="111111"/>
          <w:sz w:val="28"/>
          <w:szCs w:val="28"/>
          <w:lang w:bidi="ar-SA"/>
        </w:rPr>
        <w:t>562</w:t>
      </w:r>
    </w:p>
    <w:p>
      <w:pPr>
        <w:pStyle w:val="BookText"/>
        <w:rPr/>
      </w:pPr>
      <w:r>
        <w:rPr>
          <w:rFonts w:ascii="IRNazanin" w:hAnsi="IRNazanin" w:eastAsia="IRNazanin"/>
          <w:color w:val="111111"/>
          <w:sz w:val="28"/>
          <w:sz w:val="28"/>
          <w:szCs w:val="28"/>
          <w:rtl w:val="true"/>
          <w:lang w:bidi="fa-IR"/>
        </w:rPr>
        <w:t xml:space="preserve">حفظ بهائم و بعض صور دوران </w:t>
      </w:r>
      <w:r>
        <w:rPr>
          <w:rFonts w:eastAsia="IRNazanin" w:cs="IRNazanin"/>
          <w:color w:val="111111"/>
          <w:sz w:val="28"/>
          <w:szCs w:val="28"/>
          <w:lang w:bidi="fa-IR"/>
        </w:rPr>
        <w:t>563</w:t>
      </w:r>
    </w:p>
    <w:p>
      <w:pPr>
        <w:pStyle w:val="BookText"/>
        <w:rPr/>
      </w:pPr>
      <w:r>
        <w:rPr>
          <w:rFonts w:ascii="Amiri" w:hAnsi="Amiri" w:eastAsia="Amiri" w:cs="Amiri"/>
          <w:color w:val="111111"/>
          <w:sz w:val="28"/>
          <w:sz w:val="28"/>
          <w:szCs w:val="28"/>
          <w:rtl w:val="true"/>
          <w:lang w:bidi="ar-SA"/>
        </w:rPr>
        <w:t xml:space="preserve">امورى كه بر باذل و بر مضطر به طعام يا شراب، لازم است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عدم مطالبۀ ازيد از ثمن براى مالك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احوطيّت عدم منازعه با مالك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 xml:space="preserve">عدم ضمان از يد از ثمن المثل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 xml:space="preserve">دوران امر بين اكل ميته و مال غير </w:t>
      </w:r>
      <w:r>
        <w:rPr>
          <w:rFonts w:eastAsia="Amiri" w:cs="Amiri" w:ascii="Amiri" w:hAnsi="Amiri"/>
          <w:color w:val="111111"/>
          <w:sz w:val="28"/>
          <w:szCs w:val="28"/>
          <w:lang w:bidi="ar-SA"/>
        </w:rPr>
        <w:t>564</w:t>
      </w:r>
    </w:p>
    <w:p>
      <w:pPr>
        <w:pStyle w:val="BookText"/>
        <w:rPr/>
      </w:pPr>
      <w:r>
        <w:rPr>
          <w:rFonts w:ascii="IRNazanin" w:hAnsi="IRNazanin" w:eastAsia="IRNazanin"/>
          <w:color w:val="111111"/>
          <w:sz w:val="28"/>
          <w:sz w:val="28"/>
          <w:szCs w:val="28"/>
          <w:rtl w:val="true"/>
          <w:lang w:bidi="fa-IR"/>
        </w:rPr>
        <w:t xml:space="preserve">اگر مضطر، فقط بتواند با قطعه اى از بدن خودش، سد جوع كند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قطع عضو از شخصى ديگرى براى خود يا از خود براى ديگرى </w:t>
      </w:r>
      <w:r>
        <w:rPr>
          <w:rFonts w:eastAsia="IRNazanin" w:cs="IRNazanin"/>
          <w:color w:val="111111"/>
          <w:sz w:val="28"/>
          <w:szCs w:val="28"/>
          <w:lang w:bidi="fa-IR"/>
        </w:rPr>
        <w:t>566</w:t>
      </w:r>
    </w:p>
    <w:p>
      <w:pPr>
        <w:pStyle w:val="BookText"/>
        <w:rPr/>
      </w:pPr>
      <w:r>
        <w:rPr>
          <w:rFonts w:ascii="Amiri" w:hAnsi="Amiri" w:eastAsia="Amiri" w:cs="Amiri"/>
          <w:color w:val="111111"/>
          <w:sz w:val="28"/>
          <w:sz w:val="28"/>
          <w:szCs w:val="28"/>
          <w:rtl w:val="true"/>
          <w:lang w:bidi="ar-SA"/>
        </w:rPr>
        <w:t xml:space="preserve">اضطرار به شرب بعض مايعات محرّمه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دوران بين ميته و حىّ غير مأكول قابل تذكيه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تداوى با خمر يا يكى از مسكرات </w:t>
      </w:r>
      <w:r>
        <w:rPr>
          <w:rFonts w:eastAsia="Amiri" w:cs="Amiri" w:ascii="Amiri" w:hAnsi="Amiri"/>
          <w:color w:val="111111"/>
          <w:sz w:val="28"/>
          <w:szCs w:val="28"/>
          <w:lang w:bidi="ar-SA"/>
        </w:rPr>
        <w:t>567</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تناول طعام و شراب </w:t>
      </w:r>
      <w:r>
        <w:rPr>
          <w:rFonts w:eastAsia="IRNazanin" w:cs="IRNazanin"/>
          <w:color w:val="111111"/>
          <w:sz w:val="28"/>
          <w:szCs w:val="28"/>
          <w:lang w:bidi="fa-IR"/>
        </w:rPr>
        <w:t>568</w:t>
      </w:r>
    </w:p>
    <w:p>
      <w:pPr>
        <w:pStyle w:val="BookText"/>
        <w:rPr/>
      </w:pPr>
      <w:r>
        <w:rPr>
          <w:rFonts w:ascii="Amiri" w:hAnsi="Amiri" w:eastAsia="Amiri" w:cs="Amiri"/>
          <w:color w:val="111111"/>
          <w:sz w:val="28"/>
          <w:sz w:val="28"/>
          <w:szCs w:val="28"/>
          <w:rtl w:val="true"/>
          <w:lang w:bidi="ar-SA"/>
        </w:rPr>
        <w:t xml:space="preserve">مستحبات از أكل و شرب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 xml:space="preserve">استحباب تسميه و تحميد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 xml:space="preserve">اكل با دست راست </w:t>
      </w:r>
      <w:r>
        <w:rPr>
          <w:rFonts w:eastAsia="Amiri" w:cs="Amiri" w:ascii="Amiri" w:hAnsi="Amiri"/>
          <w:color w:val="111111"/>
          <w:sz w:val="28"/>
          <w:szCs w:val="28"/>
          <w:lang w:bidi="ar-SA"/>
        </w:rPr>
        <w:t>569</w:t>
      </w:r>
    </w:p>
    <w:p>
      <w:pPr>
        <w:pStyle w:val="BookText"/>
        <w:rPr/>
      </w:pPr>
      <w:r>
        <w:rPr>
          <w:rFonts w:ascii="IRNazanin" w:hAnsi="IRNazanin" w:eastAsia="IRNazanin"/>
          <w:color w:val="111111"/>
          <w:sz w:val="28"/>
          <w:sz w:val="28"/>
          <w:szCs w:val="28"/>
          <w:rtl w:val="true"/>
          <w:lang w:bidi="fa-IR"/>
        </w:rPr>
        <w:t xml:space="preserve">مستحبّات بر صاحب طعام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بعض مستحبات ديگر </w:t>
      </w:r>
      <w:r>
        <w:rPr>
          <w:rFonts w:eastAsia="IRNazanin" w:cs="IRNazanin"/>
          <w:color w:val="111111"/>
          <w:sz w:val="28"/>
          <w:szCs w:val="28"/>
          <w:lang w:bidi="fa-IR"/>
        </w:rPr>
        <w:t>569</w:t>
      </w:r>
    </w:p>
    <w:p>
      <w:pPr>
        <w:pStyle w:val="BookText"/>
        <w:rPr/>
      </w:pPr>
      <w:r>
        <w:rPr>
          <w:rFonts w:ascii="Amiri" w:hAnsi="Amiri" w:eastAsia="Amiri" w:cs="Amiri"/>
          <w:color w:val="111111"/>
          <w:sz w:val="28"/>
          <w:sz w:val="28"/>
          <w:szCs w:val="28"/>
          <w:rtl w:val="true"/>
          <w:lang w:bidi="ar-SA"/>
        </w:rPr>
        <w:t xml:space="preserve">مكروهات در باب أكل و شرب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 xml:space="preserve">كراهت اتكاى بر غير دست </w:t>
      </w:r>
      <w:r>
        <w:rPr>
          <w:rFonts w:eastAsia="Amiri" w:cs="Amiri" w:ascii="Amiri" w:hAnsi="Amiri"/>
          <w:color w:val="111111"/>
          <w:sz w:val="28"/>
          <w:szCs w:val="28"/>
          <w:lang w:bidi="ar-SA"/>
        </w:rPr>
        <w:t>570</w:t>
      </w:r>
    </w:p>
    <w:p>
      <w:pPr>
        <w:pStyle w:val="BookText"/>
        <w:rPr/>
      </w:pPr>
      <w:r>
        <w:rPr>
          <w:rFonts w:ascii="IRNazanin" w:hAnsi="IRNazanin" w:eastAsia="IRNazanin"/>
          <w:color w:val="111111"/>
          <w:sz w:val="28"/>
          <w:sz w:val="28"/>
          <w:szCs w:val="28"/>
          <w:rtl w:val="true"/>
          <w:lang w:bidi="fa-IR"/>
        </w:rPr>
        <w:t xml:space="preserve">كراهت پر كردن شكم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فرق شبع و تملّى </w:t>
      </w:r>
      <w:r>
        <w:rPr>
          <w:rFonts w:eastAsia="IRNazanin" w:cs="IRNazanin"/>
          <w:color w:val="111111"/>
          <w:sz w:val="28"/>
          <w:szCs w:val="28"/>
          <w:lang w:bidi="fa-IR"/>
        </w:rPr>
        <w:t>570</w:t>
      </w:r>
    </w:p>
    <w:p>
      <w:pPr>
        <w:pStyle w:val="BookText"/>
        <w:rPr/>
      </w:pPr>
      <w:r>
        <w:rPr>
          <w:rFonts w:ascii="Amiri" w:hAnsi="Amiri" w:eastAsia="Amiri" w:cs="Amiri"/>
          <w:color w:val="111111"/>
          <w:sz w:val="28"/>
          <w:sz w:val="28"/>
          <w:szCs w:val="28"/>
          <w:rtl w:val="true"/>
          <w:lang w:bidi="ar-SA"/>
        </w:rPr>
        <w:t xml:space="preserve">حرمت اكل از مائدۀ شرب خمر يا مسكر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حرمت اكل از مال مسلمان بدون دعوت و كسى را همراه بردن </w:t>
      </w:r>
      <w:r>
        <w:rPr>
          <w:rFonts w:eastAsia="Amiri" w:cs="Amiri" w:ascii="Amiri" w:hAnsi="Amiri"/>
          <w:color w:val="111111"/>
          <w:sz w:val="28"/>
          <w:szCs w:val="28"/>
          <w:lang w:bidi="ar-SA"/>
        </w:rPr>
        <w:t>571</w:t>
      </w:r>
    </w:p>
    <w:p>
      <w:pPr>
        <w:pStyle w:val="BookText"/>
        <w:rPr/>
      </w:pPr>
      <w:r>
        <w:rPr>
          <w:rFonts w:ascii="IRNazanin" w:hAnsi="IRNazanin" w:eastAsia="IRNazanin"/>
          <w:color w:val="111111"/>
          <w:sz w:val="28"/>
          <w:sz w:val="28"/>
          <w:szCs w:val="28"/>
          <w:rtl w:val="true"/>
          <w:lang w:bidi="fa-IR"/>
        </w:rPr>
        <w:t xml:space="preserve">برخى ديگر از مستحبّات و مكروهات </w:t>
      </w:r>
      <w:r>
        <w:rPr>
          <w:rFonts w:eastAsia="IRNazanin" w:cs="IRNazanin"/>
          <w:color w:val="111111"/>
          <w:sz w:val="28"/>
          <w:szCs w:val="28"/>
          <w:lang w:bidi="fa-IR"/>
        </w:rPr>
        <w:t>571</w:t>
      </w:r>
    </w:p>
    <w:p>
      <w:pPr>
        <w:pStyle w:val="Heading3"/>
        <w:numPr>
          <w:ilvl w:val="2"/>
          <w:numId w:val="1"/>
        </w:numPr>
        <w:rPr/>
      </w:pPr>
      <w:bookmarkStart w:id="4016" w:name="__RefHeading___Toc3810349_1067777946"/>
      <w:bookmarkStart w:id="4017" w:name="_Toc1687"/>
      <w:bookmarkEnd w:id="4016"/>
      <w:r>
        <w:rPr>
          <w:rtl w:val="true"/>
        </w:rPr>
        <w:t>كتاب غصب</w:t>
      </w:r>
      <w:bookmarkEnd w:id="401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و اسباب غصب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معناى غصب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غصب از اعظم محرّمات است </w:t>
      </w:r>
      <w:r>
        <w:rPr>
          <w:rFonts w:eastAsia="IRNazanin" w:cs="IRNazanin"/>
          <w:color w:val="111111"/>
          <w:sz w:val="28"/>
          <w:szCs w:val="28"/>
          <w:lang w:bidi="fa-IR"/>
        </w:rPr>
        <w:t>575</w:t>
      </w:r>
    </w:p>
    <w:p>
      <w:pPr>
        <w:pStyle w:val="BookText"/>
        <w:rPr/>
      </w:pPr>
      <w:r>
        <w:rPr>
          <w:rFonts w:ascii="Amiri" w:hAnsi="Amiri" w:eastAsia="Amiri" w:cs="Amiri"/>
          <w:color w:val="111111"/>
          <w:sz w:val="28"/>
          <w:sz w:val="28"/>
          <w:szCs w:val="28"/>
          <w:rtl w:val="true"/>
          <w:lang w:bidi="ar-SA"/>
        </w:rPr>
        <w:t xml:space="preserve">اعتبار استيلاء در غصب </w:t>
      </w:r>
      <w:r>
        <w:rPr>
          <w:rFonts w:eastAsia="Amiri" w:cs="Amiri" w:ascii="Amiri" w:hAnsi="Amiri"/>
          <w:color w:val="111111"/>
          <w:sz w:val="28"/>
          <w:szCs w:val="28"/>
          <w:lang w:bidi="ar-SA"/>
        </w:rPr>
        <w:t>576</w:t>
      </w:r>
    </w:p>
    <w:p>
      <w:pPr>
        <w:pStyle w:val="BookText"/>
        <w:rPr/>
      </w:pPr>
      <w:r>
        <w:rPr>
          <w:rFonts w:ascii="IRNazanin" w:hAnsi="IRNazanin" w:eastAsia="IRNazanin"/>
          <w:color w:val="111111"/>
          <w:sz w:val="28"/>
          <w:sz w:val="28"/>
          <w:szCs w:val="28"/>
          <w:rtl w:val="true"/>
          <w:lang w:bidi="fa-IR"/>
        </w:rPr>
        <w:t xml:space="preserve">گونه هاى مختلف غصب عين و منفعت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فرض غصب حق </w:t>
      </w:r>
      <w:r>
        <w:rPr>
          <w:rFonts w:eastAsia="IRNazanin" w:cs="IRNazanin"/>
          <w:color w:val="111111"/>
          <w:sz w:val="28"/>
          <w:szCs w:val="28"/>
          <w:lang w:bidi="fa-IR"/>
        </w:rPr>
        <w:t>576</w:t>
      </w:r>
    </w:p>
    <w:p>
      <w:pPr>
        <w:pStyle w:val="BookText"/>
        <w:rPr/>
      </w:pPr>
      <w:r>
        <w:rPr>
          <w:rFonts w:ascii="Amiri" w:hAnsi="Amiri" w:eastAsia="Amiri" w:cs="Amiri"/>
          <w:color w:val="111111"/>
          <w:sz w:val="28"/>
          <w:sz w:val="28"/>
          <w:szCs w:val="28"/>
          <w:rtl w:val="true"/>
          <w:lang w:bidi="ar-SA"/>
        </w:rPr>
        <w:t xml:space="preserve">عدم عصبيّت اثبات يد بر مال خود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 xml:space="preserve">فرق بين حكم تكليفى و وضعى غصب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 xml:space="preserve">اشتراك دو نفر در غصب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 xml:space="preserve">حكم جاهل به موضوع غصب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 xml:space="preserve">ضمان بر مستولى بر صغير يا مجنون </w:t>
      </w:r>
      <w:r>
        <w:rPr>
          <w:rFonts w:eastAsia="Amiri" w:cs="Amiri" w:ascii="Amiri" w:hAnsi="Amiri"/>
          <w:color w:val="111111"/>
          <w:sz w:val="28"/>
          <w:szCs w:val="28"/>
          <w:lang w:bidi="ar-SA"/>
        </w:rPr>
        <w:t>577</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اعميّت ضمان از تحقق غصب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عدم اعتبار با قهر و استعلا در مفهوم غصب </w:t>
      </w:r>
      <w:r>
        <w:rPr>
          <w:rFonts w:eastAsia="IRNazanin" w:cs="IRNazanin"/>
          <w:color w:val="111111"/>
          <w:sz w:val="28"/>
          <w:szCs w:val="28"/>
          <w:lang w:bidi="fa-IR"/>
        </w:rPr>
        <w:t>578</w:t>
      </w:r>
    </w:p>
    <w:p>
      <w:pPr>
        <w:pStyle w:val="BookText"/>
        <w:rPr/>
      </w:pPr>
      <w:r>
        <w:rPr>
          <w:rFonts w:ascii="Amiri" w:hAnsi="Amiri" w:eastAsia="Amiri" w:cs="Amiri"/>
          <w:color w:val="111111"/>
          <w:sz w:val="28"/>
          <w:sz w:val="28"/>
          <w:szCs w:val="28"/>
          <w:rtl w:val="true"/>
          <w:lang w:bidi="ar-SA"/>
        </w:rPr>
        <w:t xml:space="preserve">منع مالك در مال خودش بدون اثبات يد غاصب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 xml:space="preserve">منع مالك و اثبات يد بر مال او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 xml:space="preserve">كفايت استيلا در تحقق غصب </w:t>
      </w:r>
      <w:r>
        <w:rPr>
          <w:rFonts w:eastAsia="Amiri" w:cs="Amiri" w:ascii="Amiri" w:hAnsi="Amiri"/>
          <w:color w:val="111111"/>
          <w:sz w:val="28"/>
          <w:szCs w:val="28"/>
          <w:lang w:bidi="ar-SA"/>
        </w:rPr>
        <w:t>579</w:t>
      </w:r>
    </w:p>
    <w:p>
      <w:pPr>
        <w:pStyle w:val="BookText"/>
        <w:rPr/>
      </w:pPr>
      <w:r>
        <w:rPr>
          <w:rFonts w:ascii="IRNazanin" w:hAnsi="IRNazanin" w:eastAsia="IRNazanin"/>
          <w:color w:val="111111"/>
          <w:sz w:val="28"/>
          <w:sz w:val="28"/>
          <w:szCs w:val="28"/>
          <w:rtl w:val="true"/>
          <w:lang w:bidi="fa-IR"/>
        </w:rPr>
        <w:t xml:space="preserve">عدم اناطۀ ضمان به تحقق غصب </w:t>
      </w:r>
      <w:r>
        <w:rPr>
          <w:rFonts w:eastAsia="IRNazanin" w:cs="IRNazanin"/>
          <w:color w:val="111111"/>
          <w:sz w:val="28"/>
          <w:szCs w:val="28"/>
          <w:lang w:bidi="fa-IR"/>
        </w:rPr>
        <w:t>579</w:t>
      </w:r>
    </w:p>
    <w:p>
      <w:pPr>
        <w:pStyle w:val="BookText"/>
        <w:rPr/>
      </w:pPr>
      <w:r>
        <w:rPr>
          <w:rFonts w:ascii="Amiri" w:hAnsi="Amiri" w:eastAsia="Amiri" w:cs="Amiri"/>
          <w:color w:val="111111"/>
          <w:sz w:val="28"/>
          <w:sz w:val="28"/>
          <w:szCs w:val="28"/>
          <w:rtl w:val="true"/>
          <w:lang w:bidi="ar-SA"/>
        </w:rPr>
        <w:t xml:space="preserve">در ضمان به يد، فرقى بين قوت و ضعف ساكن، نيست </w:t>
      </w:r>
      <w:r>
        <w:rPr>
          <w:rFonts w:eastAsia="Amiri" w:cs="Amiri" w:ascii="Amiri" w:hAnsi="Amiri"/>
          <w:color w:val="111111"/>
          <w:sz w:val="28"/>
          <w:szCs w:val="28"/>
          <w:lang w:bidi="ar-SA"/>
        </w:rPr>
        <w:t>580</w:t>
      </w:r>
    </w:p>
    <w:p>
      <w:pPr>
        <w:pStyle w:val="BookText"/>
        <w:rPr/>
      </w:pPr>
      <w:r>
        <w:rPr>
          <w:rFonts w:ascii="IRNazanin" w:hAnsi="IRNazanin" w:eastAsia="IRNazanin"/>
          <w:color w:val="111111"/>
          <w:sz w:val="28"/>
          <w:sz w:val="28"/>
          <w:szCs w:val="28"/>
          <w:rtl w:val="true"/>
          <w:lang w:bidi="fa-IR"/>
        </w:rPr>
        <w:t xml:space="preserve">مأخوذ براى نظر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اجتماع سه نفر براى غصب دابه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غصب امۀ حامل </w:t>
      </w:r>
      <w:r>
        <w:rPr>
          <w:rFonts w:eastAsia="IRNazanin" w:cs="IRNazanin"/>
          <w:color w:val="111111"/>
          <w:sz w:val="28"/>
          <w:szCs w:val="28"/>
          <w:lang w:bidi="fa-IR"/>
        </w:rPr>
        <w:t>581</w:t>
      </w:r>
    </w:p>
    <w:p>
      <w:pPr>
        <w:pStyle w:val="BookText"/>
        <w:rPr/>
      </w:pPr>
      <w:r>
        <w:rPr>
          <w:rFonts w:ascii="Amiri" w:hAnsi="Amiri" w:eastAsia="Amiri" w:cs="Amiri"/>
          <w:color w:val="111111"/>
          <w:sz w:val="28"/>
          <w:sz w:val="28"/>
          <w:szCs w:val="28"/>
          <w:rtl w:val="true"/>
          <w:lang w:bidi="ar-SA"/>
        </w:rPr>
        <w:t xml:space="preserve">ضمان در حمل امۀ مبتاعه به بيع فاسد </w:t>
      </w:r>
      <w:r>
        <w:rPr>
          <w:rFonts w:eastAsia="Amiri" w:cs="Amiri" w:ascii="Amiri" w:hAnsi="Amiri"/>
          <w:color w:val="111111"/>
          <w:sz w:val="28"/>
          <w:szCs w:val="28"/>
          <w:lang w:bidi="ar-SA"/>
        </w:rPr>
        <w:t>581</w:t>
      </w:r>
    </w:p>
    <w:p>
      <w:pPr>
        <w:pStyle w:val="BookText"/>
        <w:rPr/>
      </w:pPr>
      <w:r>
        <w:rPr>
          <w:rFonts w:ascii="IRNazanin" w:hAnsi="IRNazanin" w:eastAsia="IRNazanin"/>
          <w:color w:val="111111"/>
          <w:sz w:val="28"/>
          <w:sz w:val="28"/>
          <w:szCs w:val="28"/>
          <w:rtl w:val="true"/>
          <w:lang w:bidi="fa-IR"/>
        </w:rPr>
        <w:t xml:space="preserve">حمل مقبوض به سَوم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ضمان غصب مسجد و مدرسه </w:t>
      </w:r>
      <w:r>
        <w:rPr>
          <w:rFonts w:eastAsia="IRNazanin" w:cs="IRNazanin"/>
          <w:color w:val="111111"/>
          <w:sz w:val="28"/>
          <w:szCs w:val="28"/>
          <w:lang w:bidi="fa-IR"/>
        </w:rPr>
        <w:t>582</w:t>
      </w:r>
    </w:p>
    <w:p>
      <w:pPr>
        <w:pStyle w:val="BookText"/>
        <w:rPr/>
      </w:pPr>
      <w:r>
        <w:rPr>
          <w:rFonts w:ascii="Amiri" w:hAnsi="Amiri" w:eastAsia="Amiri" w:cs="Amiri"/>
          <w:color w:val="111111"/>
          <w:sz w:val="28"/>
          <w:sz w:val="28"/>
          <w:szCs w:val="28"/>
          <w:rtl w:val="true"/>
          <w:lang w:bidi="ar-SA"/>
        </w:rPr>
        <w:t xml:space="preserve">تعاقب ايدى بر مغصوب </w:t>
      </w:r>
      <w:r>
        <w:rPr>
          <w:rFonts w:eastAsia="Amiri" w:cs="Amiri" w:ascii="Amiri" w:hAnsi="Amiri"/>
          <w:color w:val="111111"/>
          <w:sz w:val="28"/>
          <w:szCs w:val="28"/>
          <w:lang w:bidi="ar-SA"/>
        </w:rPr>
        <w:t>582</w:t>
      </w:r>
    </w:p>
    <w:p>
      <w:pPr>
        <w:pStyle w:val="BookText"/>
        <w:rPr/>
      </w:pPr>
      <w:r>
        <w:rPr>
          <w:rFonts w:ascii="IRNazanin" w:hAnsi="IRNazanin" w:eastAsia="IRNazanin"/>
          <w:color w:val="111111"/>
          <w:sz w:val="28"/>
          <w:sz w:val="28"/>
          <w:szCs w:val="28"/>
          <w:rtl w:val="true"/>
          <w:lang w:bidi="fa-IR"/>
        </w:rPr>
        <w:t xml:space="preserve">نحوۀ ضمان در حبس انسان </w:t>
      </w:r>
      <w:r>
        <w:rPr>
          <w:rFonts w:eastAsia="IRNazanin" w:cs="IRNazanin"/>
          <w:color w:val="111111"/>
          <w:sz w:val="28"/>
          <w:szCs w:val="28"/>
          <w:lang w:bidi="fa-IR"/>
        </w:rPr>
        <w:t>583</w:t>
      </w:r>
    </w:p>
    <w:p>
      <w:pPr>
        <w:pStyle w:val="BookText"/>
        <w:rPr/>
      </w:pPr>
      <w:r>
        <w:rPr>
          <w:rFonts w:ascii="Amiri" w:hAnsi="Amiri" w:eastAsia="Amiri" w:cs="Amiri"/>
          <w:color w:val="111111"/>
          <w:sz w:val="28"/>
          <w:sz w:val="28"/>
          <w:szCs w:val="28"/>
          <w:rtl w:val="true"/>
          <w:lang w:bidi="ar-SA"/>
        </w:rPr>
        <w:t xml:space="preserve">لزوم اداء اجرت اجير و لو اكراهى باشد </w:t>
      </w:r>
      <w:r>
        <w:rPr>
          <w:rFonts w:eastAsia="Amiri" w:cs="Amiri" w:ascii="Amiri" w:hAnsi="Amiri"/>
          <w:color w:val="111111"/>
          <w:sz w:val="28"/>
          <w:szCs w:val="28"/>
          <w:lang w:bidi="ar-SA"/>
        </w:rPr>
        <w:t>583</w:t>
      </w:r>
    </w:p>
    <w:p>
      <w:pPr>
        <w:pStyle w:val="BookText"/>
        <w:rPr/>
      </w:pPr>
      <w:r>
        <w:rPr>
          <w:rFonts w:ascii="IRNazanin" w:hAnsi="IRNazanin" w:eastAsia="IRNazanin"/>
          <w:color w:val="111111"/>
          <w:sz w:val="28"/>
          <w:sz w:val="28"/>
          <w:szCs w:val="28"/>
          <w:rtl w:val="true"/>
          <w:lang w:bidi="fa-IR"/>
        </w:rPr>
        <w:t xml:space="preserve">حبس صنعتگر از عمل، بدون استيفاى عمل او </w:t>
      </w:r>
      <w:r>
        <w:rPr>
          <w:rFonts w:eastAsia="IRNazanin" w:cs="IRNazanin"/>
          <w:color w:val="111111"/>
          <w:sz w:val="28"/>
          <w:szCs w:val="28"/>
          <w:lang w:bidi="fa-IR"/>
        </w:rPr>
        <w:t>584</w:t>
      </w:r>
    </w:p>
    <w:p>
      <w:pPr>
        <w:pStyle w:val="BookText"/>
        <w:rPr/>
      </w:pPr>
      <w:r>
        <w:rPr>
          <w:rFonts w:ascii="Amiri" w:hAnsi="Amiri" w:eastAsia="Amiri" w:cs="Amiri"/>
          <w:color w:val="111111"/>
          <w:sz w:val="28"/>
          <w:sz w:val="28"/>
          <w:szCs w:val="28"/>
          <w:rtl w:val="true"/>
          <w:lang w:bidi="ar-SA"/>
        </w:rPr>
        <w:t xml:space="preserve">حبس اجير از عمل يا عدم سكنى در خانۀ اجاره شده </w:t>
      </w:r>
      <w:r>
        <w:rPr>
          <w:rFonts w:eastAsia="Amiri" w:cs="Amiri" w:ascii="Amiri" w:hAnsi="Amiri"/>
          <w:color w:val="111111"/>
          <w:sz w:val="28"/>
          <w:szCs w:val="28"/>
          <w:lang w:bidi="ar-SA"/>
        </w:rPr>
        <w:t>584</w:t>
      </w:r>
    </w:p>
    <w:p>
      <w:pPr>
        <w:pStyle w:val="BookText"/>
        <w:rPr/>
      </w:pPr>
      <w:r>
        <w:rPr>
          <w:rFonts w:ascii="IRNazanin" w:hAnsi="IRNazanin" w:eastAsia="IRNazanin"/>
          <w:color w:val="111111"/>
          <w:sz w:val="28"/>
          <w:sz w:val="28"/>
          <w:szCs w:val="28"/>
          <w:rtl w:val="true"/>
          <w:lang w:bidi="fa-IR"/>
        </w:rPr>
        <w:t xml:space="preserve">اجاره بر عملى و سپس استيفاى موضع اجاره </w:t>
      </w:r>
      <w:r>
        <w:rPr>
          <w:rFonts w:eastAsia="IRNazanin" w:cs="IRNazanin"/>
          <w:color w:val="111111"/>
          <w:sz w:val="28"/>
          <w:szCs w:val="28"/>
          <w:lang w:bidi="fa-IR"/>
        </w:rPr>
        <w:t>584</w:t>
      </w:r>
    </w:p>
    <w:p>
      <w:pPr>
        <w:pStyle w:val="BookText"/>
        <w:rPr/>
      </w:pPr>
      <w:r>
        <w:rPr>
          <w:rFonts w:ascii="Amiri" w:hAnsi="Amiri" w:eastAsia="Amiri" w:cs="Amiri"/>
          <w:color w:val="111111"/>
          <w:sz w:val="28"/>
          <w:sz w:val="28"/>
          <w:szCs w:val="28"/>
          <w:rtl w:val="true"/>
          <w:lang w:bidi="ar-SA"/>
        </w:rPr>
        <w:t xml:space="preserve">تأخير مستأجر با بذل موجر در استيفاى منفعت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 xml:space="preserve">عدم استيفاى منفعت توسط مستأجر در مورد دابه و عبد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 xml:space="preserve">غصب خمر و خنزير و ضمان در اين دو </w:t>
      </w:r>
      <w:r>
        <w:rPr>
          <w:rFonts w:eastAsia="Amiri" w:cs="Amiri" w:ascii="Amiri" w:hAnsi="Amiri"/>
          <w:color w:val="111111"/>
          <w:sz w:val="28"/>
          <w:szCs w:val="28"/>
          <w:lang w:bidi="ar-SA"/>
        </w:rPr>
        <w:t>585</w:t>
      </w:r>
    </w:p>
    <w:p>
      <w:pPr>
        <w:pStyle w:val="BookText"/>
        <w:rPr/>
      </w:pPr>
      <w:r>
        <w:rPr>
          <w:rFonts w:ascii="IRNazanin" w:hAnsi="IRNazanin" w:eastAsia="IRNazanin"/>
          <w:color w:val="111111"/>
          <w:sz w:val="28"/>
          <w:sz w:val="28"/>
          <w:szCs w:val="28"/>
          <w:rtl w:val="true"/>
          <w:lang w:bidi="fa-IR"/>
        </w:rPr>
        <w:t xml:space="preserve">اسباب ديگرِ ضمان، غير از غصب </w:t>
      </w:r>
      <w:r>
        <w:rPr>
          <w:rFonts w:eastAsia="IRNazanin" w:cs="IRNazanin"/>
          <w:color w:val="111111"/>
          <w:sz w:val="28"/>
          <w:szCs w:val="28"/>
          <w:lang w:bidi="fa-IR"/>
        </w:rPr>
        <w:t>586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مباشرت اتلاف، تسبيب اتلاف </w:t>
      </w:r>
      <w:r>
        <w:rPr>
          <w:rFonts w:eastAsia="Amiri" w:cs="Amiri" w:ascii="Amiri" w:hAnsi="Amiri"/>
          <w:color w:val="111111"/>
          <w:sz w:val="28"/>
          <w:szCs w:val="28"/>
          <w:lang w:bidi="ar-SA"/>
        </w:rPr>
        <w:t>586</w:t>
      </w:r>
    </w:p>
    <w:p>
      <w:pPr>
        <w:pStyle w:val="BookText"/>
        <w:rPr/>
      </w:pPr>
      <w:r>
        <w:rPr>
          <w:rFonts w:ascii="IRNazanin" w:hAnsi="IRNazanin" w:eastAsia="IRNazanin"/>
          <w:color w:val="111111"/>
          <w:sz w:val="28"/>
          <w:sz w:val="28"/>
          <w:szCs w:val="28"/>
          <w:rtl w:val="true"/>
          <w:lang w:bidi="fa-IR"/>
        </w:rPr>
        <w:t xml:space="preserve">اجتماع سبب و مباشر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اجتماع دو سبب </w:t>
      </w:r>
      <w:r>
        <w:rPr>
          <w:rFonts w:eastAsia="IRNazanin" w:cs="IRNazanin"/>
          <w:color w:val="111111"/>
          <w:sz w:val="28"/>
          <w:szCs w:val="28"/>
          <w:lang w:bidi="fa-IR"/>
        </w:rPr>
        <w:t>587</w:t>
      </w:r>
    </w:p>
    <w:p>
      <w:pPr>
        <w:pStyle w:val="BookText"/>
        <w:rPr/>
      </w:pPr>
      <w:r>
        <w:rPr>
          <w:rFonts w:ascii="Amiri" w:hAnsi="Amiri" w:eastAsia="Amiri" w:cs="Amiri"/>
          <w:color w:val="111111"/>
          <w:sz w:val="28"/>
          <w:sz w:val="28"/>
          <w:szCs w:val="28"/>
          <w:rtl w:val="true"/>
          <w:lang w:bidi="ar-SA"/>
        </w:rPr>
        <w:t xml:space="preserve">ضمان اسبق در جنايت </w:t>
      </w:r>
      <w:r>
        <w:rPr>
          <w:rFonts w:eastAsia="Amiri" w:cs="Amiri" w:ascii="Amiri" w:hAnsi="Amiri"/>
          <w:color w:val="111111"/>
          <w:sz w:val="28"/>
          <w:szCs w:val="28"/>
          <w:lang w:bidi="ar-SA"/>
        </w:rPr>
        <w:t>587</w:t>
      </w:r>
    </w:p>
    <w:p>
      <w:pPr>
        <w:pStyle w:val="BookText"/>
        <w:rPr/>
      </w:pPr>
      <w:r>
        <w:rPr>
          <w:rFonts w:ascii="IRNazanin" w:hAnsi="IRNazanin" w:eastAsia="IRNazanin"/>
          <w:color w:val="111111"/>
          <w:sz w:val="28"/>
          <w:sz w:val="28"/>
          <w:szCs w:val="28"/>
          <w:rtl w:val="true"/>
          <w:lang w:bidi="fa-IR"/>
        </w:rPr>
        <w:t xml:space="preserve">ضمان سبب در صورت ضعف مباشر </w:t>
      </w:r>
      <w:r>
        <w:rPr>
          <w:rFonts w:eastAsia="IRNazanin" w:cs="IRNazanin"/>
          <w:color w:val="111111"/>
          <w:sz w:val="28"/>
          <w:szCs w:val="28"/>
          <w:lang w:bidi="fa-IR"/>
        </w:rPr>
        <w:t>588</w:t>
      </w:r>
    </w:p>
    <w:p>
      <w:pPr>
        <w:pStyle w:val="BookText"/>
        <w:rPr/>
      </w:pPr>
      <w:r>
        <w:rPr>
          <w:rFonts w:ascii="Amiri" w:hAnsi="Amiri" w:eastAsia="Amiri" w:cs="Amiri"/>
          <w:color w:val="111111"/>
          <w:sz w:val="28"/>
          <w:sz w:val="28"/>
          <w:szCs w:val="28"/>
          <w:rtl w:val="true"/>
          <w:lang w:bidi="ar-SA"/>
        </w:rPr>
        <w:t xml:space="preserve">ضمان مغرور و مكرَه و رجوع او به غارّ و مكرِه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 xml:space="preserve">انحصار حكم اكراه به اموال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 xml:space="preserve">اتلاف مال غير به سبب تصرف در مال خويش </w:t>
      </w:r>
      <w:r>
        <w:rPr>
          <w:rFonts w:eastAsia="Amiri" w:cs="Amiri" w:ascii="Amiri" w:hAnsi="Amiri"/>
          <w:color w:val="111111"/>
          <w:sz w:val="28"/>
          <w:szCs w:val="28"/>
          <w:lang w:bidi="ar-SA"/>
        </w:rPr>
        <w:t>589</w:t>
      </w:r>
    </w:p>
    <w:p>
      <w:pPr>
        <w:pStyle w:val="BookText"/>
        <w:rPr/>
      </w:pPr>
      <w:r>
        <w:rPr>
          <w:rFonts w:ascii="IRNazanin" w:hAnsi="IRNazanin" w:eastAsia="IRNazanin"/>
          <w:color w:val="111111"/>
          <w:sz w:val="28"/>
          <w:sz w:val="28"/>
          <w:szCs w:val="28"/>
          <w:rtl w:val="true"/>
          <w:lang w:bidi="fa-IR"/>
        </w:rPr>
        <w:t xml:space="preserve">فروعى از موجب ضمان </w:t>
      </w:r>
      <w:r>
        <w:rPr>
          <w:rFonts w:eastAsia="IRNazanin" w:cs="IRNazanin"/>
          <w:color w:val="111111"/>
          <w:sz w:val="28"/>
          <w:szCs w:val="28"/>
          <w:lang w:bidi="fa-IR"/>
        </w:rPr>
        <w:t>589</w:t>
      </w:r>
    </w:p>
    <w:p>
      <w:pPr>
        <w:pStyle w:val="BookText"/>
        <w:rPr/>
      </w:pPr>
      <w:r>
        <w:rPr>
          <w:rFonts w:ascii="Amiri" w:hAnsi="Amiri" w:eastAsia="Amiri" w:cs="Amiri"/>
          <w:color w:val="111111"/>
          <w:sz w:val="28"/>
          <w:sz w:val="28"/>
          <w:szCs w:val="28"/>
          <w:rtl w:val="true"/>
          <w:lang w:bidi="ar-SA"/>
        </w:rPr>
        <w:t xml:space="preserve">اناطۀ تحقق ضمان به تحقق اتلاف يا دخول تحت </w:t>
      </w:r>
      <w:r>
        <w:rPr>
          <w:rFonts w:eastAsia="Amiri" w:cs="Amiri" w:ascii="Amiri" w:hAnsi="Amiri"/>
          <w:color w:val="111111"/>
          <w:sz w:val="28"/>
          <w:szCs w:val="28"/>
          <w:lang w:bidi="ar-SA"/>
        </w:rPr>
        <w:t>589</w:t>
      </w:r>
    </w:p>
    <w:p>
      <w:pPr>
        <w:pStyle w:val="BookText"/>
        <w:rPr/>
      </w:pPr>
      <w:r>
        <w:rPr>
          <w:rFonts w:ascii="IRNazanin" w:hAnsi="IRNazanin" w:eastAsia="IRNazanin"/>
          <w:color w:val="111111"/>
          <w:sz w:val="28"/>
          <w:sz w:val="28"/>
          <w:szCs w:val="28"/>
          <w:rtl w:val="true"/>
          <w:lang w:bidi="fa-IR"/>
        </w:rPr>
        <w:t xml:space="preserve">چند مثال اتلاف تسبيبى </w:t>
      </w:r>
      <w:r>
        <w:rPr>
          <w:rFonts w:eastAsia="IRNazanin" w:cs="IRNazanin"/>
          <w:color w:val="111111"/>
          <w:sz w:val="28"/>
          <w:szCs w:val="28"/>
          <w:lang w:bidi="fa-IR"/>
        </w:rPr>
        <w:t>590</w:t>
      </w:r>
    </w:p>
    <w:p>
      <w:pPr>
        <w:pStyle w:val="BookText"/>
        <w:rPr/>
      </w:pPr>
      <w:r>
        <w:rPr>
          <w:rFonts w:ascii="Amiri" w:hAnsi="Amiri" w:eastAsia="Amiri" w:cs="Amiri"/>
          <w:color w:val="111111"/>
          <w:sz w:val="28"/>
          <w:sz w:val="28"/>
          <w:szCs w:val="28"/>
          <w:rtl w:val="true"/>
          <w:lang w:bidi="ar-SA"/>
        </w:rPr>
        <w:t xml:space="preserve">مسائلى از غصب حيوان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رها كردن حيوان و تلف مالى به سبب آن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 xml:space="preserve">فتح باب و سرقت بخاطر آن، يا فرار مملوك بواسطۀ ازالۀ قيد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 xml:space="preserve">علامت اتلاف تسبيبى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 xml:space="preserve">باز كردن بند ظرف و تأمّل در ضمان موارد نادر و غير محتمل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 xml:space="preserve">اجتماع دو سبب يا انفراد يك سبب به احداث دو نفر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ضمان صاحب ديوار مشرف به انهدام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ضمان حمّال، نسبت به تخريب ديوارى كه به آن تكيه داده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 xml:space="preserve">ضمان صاحب حيوان، اموال تلف شده توسط حيوان را </w:t>
      </w:r>
      <w:r>
        <w:rPr>
          <w:rFonts w:eastAsia="Amiri" w:cs="Amiri" w:ascii="Amiri" w:hAnsi="Amiri"/>
          <w:color w:val="111111"/>
          <w:sz w:val="28"/>
          <w:szCs w:val="28"/>
          <w:lang w:bidi="ar-SA"/>
        </w:rPr>
        <w:t>594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قبض به عقد فاسد </w:t>
      </w:r>
      <w:r>
        <w:rPr>
          <w:rFonts w:eastAsia="IRNazanin" w:cs="IRNazanin"/>
          <w:color w:val="111111"/>
          <w:sz w:val="28"/>
          <w:szCs w:val="28"/>
          <w:lang w:bidi="fa-IR"/>
        </w:rPr>
        <w:t>594</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مقبوض به سَوم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انتفاع به اجارۀ فاسده </w:t>
      </w:r>
      <w:r>
        <w:rPr>
          <w:rFonts w:eastAsia="IRNazanin" w:cs="IRNazanin"/>
          <w:color w:val="111111"/>
          <w:sz w:val="28"/>
          <w:szCs w:val="28"/>
          <w:lang w:bidi="fa-IR"/>
        </w:rPr>
        <w:t>595</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غصب </w:t>
      </w:r>
      <w:r>
        <w:rPr>
          <w:rFonts w:eastAsia="Amiri" w:cs="Amiri" w:ascii="Amiri" w:hAnsi="Amiri"/>
          <w:color w:val="111111"/>
          <w:sz w:val="28"/>
          <w:szCs w:val="28"/>
          <w:lang w:bidi="ar-SA"/>
        </w:rPr>
        <w:t>596</w:t>
      </w:r>
    </w:p>
    <w:p>
      <w:pPr>
        <w:pStyle w:val="BookText"/>
        <w:rPr/>
      </w:pPr>
      <w:r>
        <w:rPr>
          <w:rFonts w:ascii="IRNazanin" w:hAnsi="IRNazanin" w:eastAsia="IRNazanin"/>
          <w:color w:val="111111"/>
          <w:sz w:val="28"/>
          <w:sz w:val="28"/>
          <w:szCs w:val="28"/>
          <w:rtl w:val="true"/>
          <w:lang w:bidi="fa-IR"/>
        </w:rPr>
        <w:t xml:space="preserve">وجوب رد مغصوب به مغصوب منه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اگر جدا كردن مال مغصوب مشكل يا موجب تلف است </w:t>
      </w:r>
      <w:r>
        <w:rPr>
          <w:rFonts w:eastAsia="IRNazanin" w:cs="IRNazanin"/>
          <w:color w:val="111111"/>
          <w:sz w:val="28"/>
          <w:szCs w:val="28"/>
          <w:lang w:bidi="fa-IR"/>
        </w:rPr>
        <w:t>596</w:t>
      </w:r>
    </w:p>
    <w:p>
      <w:pPr>
        <w:pStyle w:val="BookText"/>
        <w:rPr/>
      </w:pPr>
      <w:r>
        <w:rPr>
          <w:rFonts w:ascii="Amiri" w:hAnsi="Amiri" w:eastAsia="Amiri" w:cs="Amiri"/>
          <w:color w:val="111111"/>
          <w:sz w:val="28"/>
          <w:sz w:val="28"/>
          <w:szCs w:val="28"/>
          <w:rtl w:val="true"/>
          <w:lang w:bidi="ar-SA"/>
        </w:rPr>
        <w:t xml:space="preserve">استفاده از مغصوب در كشتى و بنا و حكم كندن آن </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 xml:space="preserve">خياطت ثوب يا جراحت، با خيط مغصوب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 xml:space="preserve">حدوث عيب در مغصوب </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 xml:space="preserve">ضمان به مثل و قيمت </w:t>
      </w:r>
      <w:r>
        <w:rPr>
          <w:rFonts w:eastAsia="Amiri" w:cs="Amiri" w:ascii="Amiri" w:hAnsi="Amiri"/>
          <w:color w:val="111111"/>
          <w:sz w:val="28"/>
          <w:szCs w:val="28"/>
          <w:lang w:bidi="ar-SA"/>
        </w:rPr>
        <w:t>600</w:t>
      </w:r>
    </w:p>
    <w:p>
      <w:pPr>
        <w:pStyle w:val="BookText"/>
        <w:rPr/>
      </w:pPr>
      <w:r>
        <w:rPr>
          <w:rFonts w:ascii="Amiri" w:hAnsi="Amiri" w:eastAsia="Amiri" w:cs="Amiri"/>
          <w:color w:val="111111"/>
          <w:sz w:val="28"/>
          <w:sz w:val="28"/>
          <w:szCs w:val="28"/>
          <w:rtl w:val="true"/>
          <w:lang w:bidi="ar-SA"/>
        </w:rPr>
        <w:t xml:space="preserve">اعتبار به قيمت يوم التلف يا غير آن </w:t>
      </w:r>
      <w:r>
        <w:rPr>
          <w:rFonts w:eastAsia="Amiri" w:cs="Amiri" w:ascii="Amiri" w:hAnsi="Amiri"/>
          <w:color w:val="111111"/>
          <w:sz w:val="28"/>
          <w:szCs w:val="28"/>
          <w:lang w:bidi="ar-SA"/>
        </w:rPr>
        <w:t>600</w:t>
      </w:r>
    </w:p>
    <w:p>
      <w:pPr>
        <w:pStyle w:val="BookText"/>
        <w:rPr/>
      </w:pPr>
      <w:r>
        <w:rPr>
          <w:rFonts w:ascii="IRNazanin" w:hAnsi="IRNazanin" w:eastAsia="IRNazanin"/>
          <w:color w:val="111111"/>
          <w:sz w:val="28"/>
          <w:sz w:val="28"/>
          <w:szCs w:val="28"/>
          <w:rtl w:val="true"/>
          <w:lang w:bidi="fa-IR"/>
        </w:rPr>
        <w:t xml:space="preserve">تالف مثلى </w:t>
      </w:r>
      <w:r>
        <w:rPr>
          <w:rFonts w:eastAsia="IRNazanin" w:cs="IRNazanin"/>
          <w:color w:val="111111"/>
          <w:sz w:val="28"/>
          <w:szCs w:val="28"/>
          <w:lang w:bidi="fa-IR"/>
        </w:rPr>
        <w:t>601</w:t>
      </w:r>
    </w:p>
    <w:p>
      <w:pPr>
        <w:pStyle w:val="BookText"/>
        <w:rPr/>
      </w:pPr>
      <w:r>
        <w:rPr>
          <w:rFonts w:ascii="Amiri" w:hAnsi="Amiri" w:eastAsia="Amiri" w:cs="Amiri"/>
          <w:color w:val="111111"/>
          <w:sz w:val="28"/>
          <w:sz w:val="28"/>
          <w:szCs w:val="28"/>
          <w:rtl w:val="true"/>
          <w:lang w:bidi="ar-SA"/>
        </w:rPr>
        <w:t xml:space="preserve">تبدل مثلى به قيمى و بالعكس </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 xml:space="preserve">از ماليّت خارج شدن تالف مثلى </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 xml:space="preserve">تالف قيمى </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 xml:space="preserve">وقت تحديد قيمت تالف يا ارش معيب </w:t>
      </w:r>
      <w:r>
        <w:rPr>
          <w:rFonts w:eastAsia="Amiri" w:cs="Amiri" w:ascii="Amiri" w:hAnsi="Amiri"/>
          <w:color w:val="111111"/>
          <w:sz w:val="28"/>
          <w:szCs w:val="28"/>
          <w:lang w:bidi="ar-SA"/>
        </w:rPr>
        <w:t>601</w:t>
      </w:r>
    </w:p>
    <w:p>
      <w:pPr>
        <w:pStyle w:val="BookText"/>
        <w:rPr/>
      </w:pPr>
      <w:r>
        <w:rPr>
          <w:rFonts w:ascii="IRNazanin" w:hAnsi="IRNazanin" w:eastAsia="IRNazanin"/>
          <w:color w:val="111111"/>
          <w:sz w:val="28"/>
          <w:sz w:val="28"/>
          <w:szCs w:val="28"/>
          <w:rtl w:val="true"/>
          <w:lang w:bidi="fa-IR"/>
        </w:rPr>
        <w:t xml:space="preserve">اگر در قيمى، مثل پيدا شد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ضمان طلا و نقره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تلف صفت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چند مسأله </w:t>
      </w:r>
      <w:r>
        <w:rPr>
          <w:rFonts w:eastAsia="IRNazanin" w:cs="IRNazanin"/>
          <w:color w:val="111111"/>
          <w:sz w:val="28"/>
          <w:szCs w:val="28"/>
          <w:lang w:bidi="fa-IR"/>
        </w:rPr>
        <w:t>603</w:t>
      </w:r>
    </w:p>
    <w:p>
      <w:pPr>
        <w:pStyle w:val="BookText"/>
        <w:rPr/>
      </w:pPr>
      <w:r>
        <w:rPr>
          <w:rFonts w:ascii="Amiri" w:hAnsi="Amiri" w:eastAsia="Amiri" w:cs="Amiri"/>
          <w:color w:val="111111"/>
          <w:sz w:val="28"/>
          <w:sz w:val="28"/>
          <w:szCs w:val="28"/>
          <w:rtl w:val="true"/>
          <w:lang w:bidi="ar-SA"/>
        </w:rPr>
        <w:t xml:space="preserve">جنايت وارده بر دابۀ مغصوبه </w:t>
      </w:r>
      <w:r>
        <w:rPr>
          <w:rFonts w:eastAsia="Amiri" w:cs="Amiri" w:ascii="Amiri" w:hAnsi="Amiri"/>
          <w:color w:val="111111"/>
          <w:sz w:val="28"/>
          <w:szCs w:val="28"/>
          <w:lang w:bidi="ar-SA"/>
        </w:rPr>
        <w:t>603</w:t>
      </w:r>
    </w:p>
    <w:p>
      <w:pPr>
        <w:pStyle w:val="BookText"/>
        <w:rPr/>
      </w:pPr>
      <w:r>
        <w:rPr>
          <w:rFonts w:ascii="IRNazanin" w:hAnsi="IRNazanin" w:eastAsia="IRNazanin"/>
          <w:color w:val="111111"/>
          <w:sz w:val="28"/>
          <w:sz w:val="28"/>
          <w:szCs w:val="28"/>
          <w:rtl w:val="true"/>
          <w:lang w:bidi="fa-IR"/>
        </w:rPr>
        <w:t>ضمان اموال اختصاص مثل انگشتر و</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Amiri" w:hAnsi="Amiri" w:eastAsia="Amiri" w:cs="Amiri"/>
          <w:color w:val="111111"/>
          <w:sz w:val="28"/>
          <w:sz w:val="28"/>
          <w:szCs w:val="28"/>
          <w:rtl w:val="true"/>
          <w:lang w:bidi="ar-SA"/>
        </w:rPr>
        <w:t xml:space="preserve">قتل مملوك مغصوب </w:t>
      </w:r>
      <w:r>
        <w:rPr>
          <w:rFonts w:eastAsia="Amiri" w:cs="Amiri" w:ascii="Amiri" w:hAnsi="Amiri"/>
          <w:color w:val="111111"/>
          <w:sz w:val="28"/>
          <w:szCs w:val="28"/>
          <w:lang w:bidi="ar-SA"/>
        </w:rPr>
        <w:t>604</w:t>
      </w:r>
    </w:p>
    <w:p>
      <w:pPr>
        <w:pStyle w:val="BookText"/>
        <w:rPr/>
      </w:pPr>
      <w:r>
        <w:rPr>
          <w:rFonts w:ascii="IRNazanin" w:hAnsi="IRNazanin" w:eastAsia="IRNazanin"/>
          <w:color w:val="111111"/>
          <w:sz w:val="28"/>
          <w:sz w:val="28"/>
          <w:szCs w:val="28"/>
          <w:rtl w:val="true"/>
          <w:lang w:bidi="fa-IR"/>
        </w:rPr>
        <w:t xml:space="preserve">اگر غاصب، مملوك غير را مثله كند </w:t>
      </w:r>
      <w:r>
        <w:rPr>
          <w:rFonts w:eastAsia="IRNazanin" w:cs="IRNazanin"/>
          <w:color w:val="111111"/>
          <w:sz w:val="28"/>
          <w:szCs w:val="28"/>
          <w:lang w:bidi="fa-IR"/>
        </w:rPr>
        <w:t>604</w:t>
      </w:r>
    </w:p>
    <w:p>
      <w:pPr>
        <w:pStyle w:val="BookText"/>
        <w:rPr/>
      </w:pPr>
      <w:r>
        <w:rPr>
          <w:rFonts w:ascii="Amiri" w:hAnsi="Amiri" w:eastAsia="Amiri" w:cs="Amiri"/>
          <w:color w:val="111111"/>
          <w:sz w:val="28"/>
          <w:sz w:val="28"/>
          <w:szCs w:val="28"/>
          <w:rtl w:val="true"/>
          <w:lang w:bidi="ar-SA"/>
        </w:rPr>
        <w:t xml:space="preserve">جنايت بر مملوك مغصوب </w:t>
      </w:r>
      <w:r>
        <w:rPr>
          <w:rFonts w:eastAsia="Amiri" w:cs="Amiri" w:ascii="Amiri" w:hAnsi="Amiri"/>
          <w:color w:val="111111"/>
          <w:sz w:val="28"/>
          <w:szCs w:val="28"/>
          <w:lang w:bidi="ar-SA"/>
        </w:rPr>
        <w:t>604</w:t>
      </w:r>
    </w:p>
    <w:p>
      <w:pPr>
        <w:pStyle w:val="BookText"/>
        <w:rPr/>
      </w:pPr>
      <w:r>
        <w:rPr>
          <w:rFonts w:ascii="IRNazanin" w:hAnsi="IRNazanin" w:eastAsia="IRNazanin"/>
          <w:color w:val="111111"/>
          <w:sz w:val="28"/>
          <w:sz w:val="28"/>
          <w:szCs w:val="28"/>
          <w:rtl w:val="true"/>
          <w:lang w:bidi="fa-IR"/>
        </w:rPr>
        <w:t xml:space="preserve">اگر ديه جنايت در اعضاى مملوك مستغرق قيمت او بود </w:t>
      </w:r>
      <w:r>
        <w:rPr>
          <w:rFonts w:eastAsia="IRNazanin" w:cs="IRNazanin"/>
          <w:color w:val="111111"/>
          <w:sz w:val="28"/>
          <w:szCs w:val="28"/>
          <w:lang w:bidi="fa-IR"/>
        </w:rPr>
        <w:t>605</w:t>
      </w:r>
    </w:p>
    <w:p>
      <w:pPr>
        <w:pStyle w:val="BookText"/>
        <w:rPr/>
      </w:pPr>
      <w:r>
        <w:rPr>
          <w:rFonts w:ascii="Amiri" w:hAnsi="Amiri" w:eastAsia="Amiri" w:cs="Amiri"/>
          <w:color w:val="111111"/>
          <w:sz w:val="28"/>
          <w:sz w:val="28"/>
          <w:szCs w:val="28"/>
          <w:rtl w:val="true"/>
          <w:lang w:bidi="ar-SA"/>
        </w:rPr>
        <w:t xml:space="preserve">جنايتِ مملوك مغصوب </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 xml:space="preserve">حدوث نقص در اعضاى مملوك </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 xml:space="preserve">بدل حيلولت </w:t>
      </w:r>
      <w:r>
        <w:rPr>
          <w:rFonts w:eastAsia="Amiri" w:cs="Amiri" w:ascii="Amiri" w:hAnsi="Amiri"/>
          <w:color w:val="111111"/>
          <w:sz w:val="28"/>
          <w:szCs w:val="28"/>
          <w:lang w:bidi="ar-SA"/>
        </w:rPr>
        <w:t>607</w:t>
      </w:r>
    </w:p>
    <w:p>
      <w:pPr>
        <w:pStyle w:val="BookText"/>
        <w:rPr/>
      </w:pPr>
      <w:r>
        <w:rPr>
          <w:rFonts w:ascii="IRNazanin" w:hAnsi="IRNazanin" w:eastAsia="IRNazanin"/>
          <w:color w:val="111111"/>
          <w:sz w:val="28"/>
          <w:sz w:val="28"/>
          <w:szCs w:val="28"/>
          <w:rtl w:val="true"/>
          <w:lang w:bidi="fa-IR"/>
        </w:rPr>
        <w:t xml:space="preserve">اگر تسليم مغصوب عادتاً ممتنع شود </w:t>
      </w:r>
      <w:r>
        <w:rPr>
          <w:rFonts w:eastAsia="IRNazanin" w:cs="IRNazanin"/>
          <w:color w:val="111111"/>
          <w:sz w:val="28"/>
          <w:szCs w:val="28"/>
          <w:lang w:bidi="fa-IR"/>
        </w:rPr>
        <w:t>607</w:t>
      </w:r>
    </w:p>
    <w:p>
      <w:pPr>
        <w:pStyle w:val="BookText"/>
        <w:rPr/>
      </w:pPr>
      <w:r>
        <w:rPr>
          <w:rFonts w:ascii="Amiri" w:hAnsi="Amiri" w:eastAsia="Amiri" w:cs="Amiri"/>
          <w:color w:val="111111"/>
          <w:sz w:val="28"/>
          <w:sz w:val="28"/>
          <w:szCs w:val="28"/>
          <w:rtl w:val="true"/>
          <w:lang w:bidi="ar-SA"/>
        </w:rPr>
        <w:t xml:space="preserve">تلف مغصوب و استقرار عوضيّت </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 xml:space="preserve">تعاقب ايدى بر مغصوب و تعقب به حيلولت </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 xml:space="preserve">حكم نمائات متصله و منفصله </w:t>
      </w:r>
      <w:r>
        <w:rPr>
          <w:rFonts w:eastAsia="Amiri" w:cs="Amiri" w:ascii="Amiri" w:hAnsi="Amiri"/>
          <w:color w:val="111111"/>
          <w:sz w:val="28"/>
          <w:szCs w:val="28"/>
          <w:lang w:bidi="ar-SA"/>
        </w:rPr>
        <w:t>609</w:t>
      </w:r>
    </w:p>
    <w:p>
      <w:pPr>
        <w:pStyle w:val="BookText"/>
        <w:rPr/>
      </w:pPr>
      <w:r>
        <w:rPr>
          <w:rFonts w:ascii="IRNazanin" w:hAnsi="IRNazanin" w:eastAsia="IRNazanin"/>
          <w:color w:val="111111"/>
          <w:sz w:val="28"/>
          <w:sz w:val="28"/>
          <w:szCs w:val="28"/>
          <w:rtl w:val="true"/>
          <w:lang w:bidi="fa-IR"/>
        </w:rPr>
        <w:t xml:space="preserve">ضمان لنگه اى از جفت </w:t>
      </w:r>
      <w:r>
        <w:rPr>
          <w:rFonts w:eastAsia="IRNazanin" w:cs="IRNazanin"/>
          <w:color w:val="111111"/>
          <w:sz w:val="28"/>
          <w:szCs w:val="28"/>
          <w:lang w:bidi="fa-IR"/>
        </w:rPr>
        <w:t>609</w:t>
      </w:r>
    </w:p>
    <w:p>
      <w:pPr>
        <w:pStyle w:val="BookText"/>
        <w:rPr/>
      </w:pPr>
      <w:r>
        <w:rPr>
          <w:rFonts w:ascii="Amiri" w:hAnsi="Amiri" w:eastAsia="Amiri" w:cs="Amiri"/>
          <w:color w:val="111111"/>
          <w:sz w:val="28"/>
          <w:sz w:val="28"/>
          <w:szCs w:val="28"/>
          <w:rtl w:val="true"/>
          <w:lang w:bidi="ar-SA"/>
        </w:rPr>
        <w:t xml:space="preserve">تغييرات در مغصوب </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 xml:space="preserve">در اطعام غاصب، طعام مالك را به او </w:t>
      </w:r>
      <w:r>
        <w:rPr>
          <w:rFonts w:eastAsia="Amiri" w:cs="Amiri" w:ascii="Amiri" w:hAnsi="Amiri"/>
          <w:color w:val="111111"/>
          <w:sz w:val="28"/>
          <w:szCs w:val="28"/>
          <w:lang w:bidi="ar-SA"/>
        </w:rPr>
        <w:t>610</w:t>
      </w:r>
    </w:p>
    <w:p>
      <w:pPr>
        <w:pStyle w:val="BookText"/>
        <w:rPr/>
      </w:pPr>
      <w:r>
        <w:rPr>
          <w:rFonts w:ascii="IRNazanin" w:hAnsi="IRNazanin" w:eastAsia="IRNazanin"/>
          <w:color w:val="111111"/>
          <w:sz w:val="28"/>
          <w:sz w:val="28"/>
          <w:szCs w:val="28"/>
          <w:rtl w:val="true"/>
          <w:lang w:bidi="fa-IR"/>
        </w:rPr>
        <w:t xml:space="preserve">اگر غاصب، شىء مغصوب را، به مالك جاهل، تمليك كند </w:t>
      </w:r>
      <w:r>
        <w:rPr>
          <w:rFonts w:eastAsia="IRNazanin" w:cs="IRNazanin"/>
          <w:color w:val="111111"/>
          <w:sz w:val="28"/>
          <w:szCs w:val="28"/>
          <w:lang w:bidi="fa-IR"/>
        </w:rPr>
        <w:t>610</w:t>
      </w:r>
    </w:p>
    <w:p>
      <w:pPr>
        <w:pStyle w:val="BookText"/>
        <w:rPr/>
      </w:pPr>
      <w:r>
        <w:rPr>
          <w:rFonts w:ascii="Amiri" w:hAnsi="Amiri" w:eastAsia="Amiri" w:cs="Amiri"/>
          <w:color w:val="111111"/>
          <w:sz w:val="28"/>
          <w:sz w:val="28"/>
          <w:szCs w:val="28"/>
          <w:rtl w:val="true"/>
          <w:lang w:bidi="ar-SA"/>
        </w:rPr>
        <w:t xml:space="preserve">اطعامِ طعامِ مغصوب، به غيرِ مالك </w:t>
      </w:r>
      <w:r>
        <w:rPr>
          <w:rFonts w:eastAsia="Amiri" w:cs="Amiri" w:ascii="Amiri" w:hAnsi="Amiri"/>
          <w:color w:val="111111"/>
          <w:sz w:val="28"/>
          <w:szCs w:val="28"/>
          <w:lang w:bidi="ar-SA"/>
        </w:rPr>
        <w:t>611</w:t>
      </w:r>
    </w:p>
    <w:p>
      <w:pPr>
        <w:pStyle w:val="BookText"/>
        <w:rPr/>
      </w:pPr>
      <w:r>
        <w:rPr>
          <w:rFonts w:ascii="IRNazanin" w:hAnsi="IRNazanin" w:eastAsia="IRNazanin"/>
          <w:color w:val="111111"/>
          <w:sz w:val="28"/>
          <w:sz w:val="28"/>
          <w:szCs w:val="28"/>
          <w:rtl w:val="true"/>
          <w:lang w:bidi="fa-IR"/>
        </w:rPr>
        <w:t xml:space="preserve">غصب فحل ضراب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غصب چيزى كه اجرت دارد </w:t>
      </w:r>
      <w:r>
        <w:rPr>
          <w:rFonts w:eastAsia="IRNazanin" w:cs="IRNazanin"/>
          <w:color w:val="111111"/>
          <w:sz w:val="28"/>
          <w:szCs w:val="28"/>
          <w:lang w:bidi="fa-IR"/>
        </w:rPr>
        <w:t>612</w:t>
      </w:r>
    </w:p>
    <w:p>
      <w:pPr>
        <w:pStyle w:val="BookText"/>
        <w:rPr/>
      </w:pPr>
      <w:r>
        <w:rPr>
          <w:rFonts w:ascii="Amiri" w:hAnsi="Amiri" w:eastAsia="Amiri" w:cs="Amiri"/>
          <w:color w:val="111111"/>
          <w:sz w:val="28"/>
          <w:sz w:val="28"/>
          <w:szCs w:val="28"/>
          <w:rtl w:val="true"/>
          <w:lang w:bidi="ar-SA"/>
        </w:rPr>
        <w:t xml:space="preserve">جوشاندن روغن يا عصير مغصوب </w:t>
      </w:r>
      <w:r>
        <w:rPr>
          <w:rFonts w:eastAsia="Amiri" w:cs="Amiri" w:ascii="Amiri" w:hAnsi="Amiri"/>
          <w:color w:val="111111"/>
          <w:sz w:val="28"/>
          <w:szCs w:val="28"/>
          <w:lang w:bidi="ar-SA"/>
        </w:rPr>
        <w:t>612</w:t>
      </w:r>
    </w:p>
    <w:p>
      <w:pPr>
        <w:pStyle w:val="BookText"/>
        <w:rPr/>
      </w:pPr>
      <w:r>
        <w:rPr>
          <w:rFonts w:ascii="IRNazanin" w:hAnsi="IRNazanin" w:eastAsia="IRNazanin"/>
          <w:color w:val="111111"/>
          <w:sz w:val="28"/>
          <w:sz w:val="28"/>
          <w:szCs w:val="28"/>
          <w:rtl w:val="true"/>
          <w:lang w:bidi="fa-IR"/>
        </w:rPr>
        <w:t xml:space="preserve">متبدّل شدن مغصوب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لواحق غصب </w:t>
      </w:r>
      <w:r>
        <w:rPr>
          <w:rFonts w:eastAsia="IRNazanin" w:cs="IRNazanin"/>
          <w:color w:val="111111"/>
          <w:sz w:val="28"/>
          <w:szCs w:val="28"/>
          <w:lang w:bidi="fa-IR"/>
        </w:rPr>
        <w:t>614</w:t>
      </w:r>
    </w:p>
    <w:p>
      <w:pPr>
        <w:pStyle w:val="BookText"/>
        <w:rPr/>
      </w:pPr>
      <w:r>
        <w:rPr>
          <w:rFonts w:ascii="Amiri" w:hAnsi="Amiri" w:eastAsia="Amiri" w:cs="Amiri"/>
          <w:color w:val="111111"/>
          <w:sz w:val="28"/>
          <w:sz w:val="28"/>
          <w:szCs w:val="28"/>
          <w:rtl w:val="true"/>
          <w:lang w:bidi="ar-SA"/>
        </w:rPr>
        <w:t xml:space="preserve">زيادتى يا نقصان قيمت مغصوب به سبب فعل غاصب يا غير او </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 xml:space="preserve">حاصل شدن زيادتى عينيّه در مغصوب به وسيلۀ فعل غاصب </w:t>
      </w:r>
      <w:r>
        <w:rPr>
          <w:rFonts w:eastAsia="Amiri" w:cs="Amiri" w:ascii="Amiri" w:hAnsi="Amiri"/>
          <w:color w:val="111111"/>
          <w:sz w:val="28"/>
          <w:szCs w:val="28"/>
          <w:lang w:bidi="ar-SA"/>
        </w:rPr>
        <w:t>615</w:t>
      </w:r>
    </w:p>
    <w:p>
      <w:pPr>
        <w:pStyle w:val="BookText"/>
        <w:rPr/>
      </w:pPr>
      <w:r>
        <w:rPr>
          <w:rFonts w:ascii="IRNazanin" w:hAnsi="IRNazanin" w:eastAsia="IRNazanin"/>
          <w:color w:val="111111"/>
          <w:sz w:val="28"/>
          <w:sz w:val="28"/>
          <w:szCs w:val="28"/>
          <w:rtl w:val="true"/>
          <w:lang w:bidi="fa-IR"/>
        </w:rPr>
        <w:t xml:space="preserve">فروعى راجع به رنگ كردن جامۀ مغصوب، توسط غاصب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 xml:space="preserve">بقاى جامه با رنگ آن با رضاى مالك و غاصب </w:t>
      </w:r>
      <w:r>
        <w:rPr>
          <w:rFonts w:eastAsia="IRNazanin" w:cs="IRNazanin"/>
          <w:color w:val="111111"/>
          <w:sz w:val="28"/>
          <w:szCs w:val="28"/>
          <w:lang w:bidi="fa-IR"/>
        </w:rPr>
        <w:t>616</w:t>
      </w:r>
    </w:p>
    <w:p>
      <w:pPr>
        <w:pStyle w:val="BookText"/>
        <w:rPr/>
      </w:pPr>
      <w:r>
        <w:rPr>
          <w:rFonts w:ascii="Amiri" w:hAnsi="Amiri" w:eastAsia="Amiri" w:cs="Amiri"/>
          <w:color w:val="111111"/>
          <w:sz w:val="28"/>
          <w:sz w:val="28"/>
          <w:szCs w:val="28"/>
          <w:rtl w:val="true"/>
          <w:lang w:bidi="ar-SA"/>
        </w:rPr>
        <w:t xml:space="preserve">حصول نقصان در قيمت جامه و در قيمت صبغ </w:t>
      </w:r>
      <w:r>
        <w:rPr>
          <w:rFonts w:eastAsia="Amiri" w:cs="Amiri" w:ascii="Amiri" w:hAnsi="Amiri"/>
          <w:color w:val="111111"/>
          <w:sz w:val="28"/>
          <w:szCs w:val="28"/>
          <w:lang w:bidi="ar-SA"/>
        </w:rPr>
        <w:t>616</w:t>
      </w:r>
    </w:p>
    <w:p>
      <w:pPr>
        <w:pStyle w:val="BookText"/>
        <w:rPr/>
      </w:pPr>
      <w:r>
        <w:rPr>
          <w:rFonts w:ascii="IRNazanin" w:hAnsi="IRNazanin" w:eastAsia="IRNazanin"/>
          <w:color w:val="111111"/>
          <w:sz w:val="28"/>
          <w:sz w:val="28"/>
          <w:szCs w:val="28"/>
          <w:rtl w:val="true"/>
          <w:lang w:bidi="fa-IR"/>
        </w:rPr>
        <w:t xml:space="preserve">اگر رنگ از غاصب نباشد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 xml:space="preserve">اگر رنگ هم از مالك جامه، غصب شده بود </w:t>
      </w:r>
      <w:r>
        <w:rPr>
          <w:rFonts w:eastAsia="IRNazanin" w:cs="IRNazanin"/>
          <w:color w:val="111111"/>
          <w:sz w:val="28"/>
          <w:szCs w:val="28"/>
          <w:lang w:bidi="fa-IR"/>
        </w:rPr>
        <w:t>618</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مخلوط كردن روغن مغصوب با روغن خود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ممزوج كردن مغصوب با غير جنس </w:t>
      </w:r>
      <w:r>
        <w:rPr>
          <w:rFonts w:eastAsia="Amiri" w:cs="Amiri" w:ascii="Amiri" w:hAnsi="Amiri"/>
          <w:color w:val="111111"/>
          <w:sz w:val="28"/>
          <w:szCs w:val="28"/>
          <w:lang w:bidi="ar-SA"/>
        </w:rPr>
        <w:t>619</w:t>
      </w:r>
    </w:p>
    <w:p>
      <w:pPr>
        <w:pStyle w:val="BookText"/>
        <w:rPr/>
      </w:pPr>
      <w:r>
        <w:rPr>
          <w:rFonts w:ascii="IRNazanin" w:hAnsi="IRNazanin" w:eastAsia="IRNazanin"/>
          <w:color w:val="111111"/>
          <w:sz w:val="28"/>
          <w:sz w:val="28"/>
          <w:szCs w:val="28"/>
          <w:rtl w:val="true"/>
          <w:lang w:bidi="fa-IR"/>
        </w:rPr>
        <w:t xml:space="preserve">ضمان فوائد مغصوب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 xml:space="preserve">ضمان غاصب به اعلى المنافع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 xml:space="preserve">پيدايش منفعت در دست غاصب و از بين رفتن آن </w:t>
      </w:r>
      <w:r>
        <w:rPr>
          <w:rFonts w:eastAsia="IRNazanin" w:cs="IRNazanin"/>
          <w:color w:val="111111"/>
          <w:sz w:val="28"/>
          <w:szCs w:val="28"/>
          <w:lang w:bidi="fa-IR"/>
        </w:rPr>
        <w:t>621</w:t>
      </w:r>
    </w:p>
    <w:p>
      <w:pPr>
        <w:pStyle w:val="BookText"/>
        <w:rPr/>
      </w:pPr>
      <w:r>
        <w:rPr>
          <w:rFonts w:ascii="Amiri" w:hAnsi="Amiri" w:eastAsia="Amiri" w:cs="Amiri"/>
          <w:color w:val="111111"/>
          <w:sz w:val="28"/>
          <w:sz w:val="28"/>
          <w:szCs w:val="28"/>
          <w:rtl w:val="true"/>
          <w:lang w:bidi="ar-SA"/>
        </w:rPr>
        <w:t xml:space="preserve">بالا رفتن قيمت و نقص آن و عود قيمت سابقه </w:t>
      </w:r>
      <w:r>
        <w:rPr>
          <w:rFonts w:eastAsia="Amiri" w:cs="Amiri" w:ascii="Amiri" w:hAnsi="Amiri"/>
          <w:color w:val="111111"/>
          <w:sz w:val="28"/>
          <w:szCs w:val="28"/>
          <w:lang w:bidi="ar-SA"/>
        </w:rPr>
        <w:t>621</w:t>
      </w:r>
    </w:p>
    <w:p>
      <w:pPr>
        <w:pStyle w:val="BookText"/>
        <w:rPr/>
      </w:pPr>
      <w:r>
        <w:rPr>
          <w:rFonts w:ascii="IRNazanin" w:hAnsi="IRNazanin" w:eastAsia="IRNazanin"/>
          <w:color w:val="111111"/>
          <w:sz w:val="28"/>
          <w:sz w:val="28"/>
          <w:szCs w:val="28"/>
          <w:rtl w:val="true"/>
          <w:lang w:bidi="fa-IR"/>
        </w:rPr>
        <w:t xml:space="preserve">مختار در مسأله </w:t>
      </w:r>
      <w:r>
        <w:rPr>
          <w:rFonts w:eastAsia="IRNazanin" w:cs="IRNazanin"/>
          <w:color w:val="111111"/>
          <w:sz w:val="28"/>
          <w:szCs w:val="28"/>
          <w:lang w:bidi="fa-IR"/>
        </w:rPr>
        <w:t>621</w:t>
      </w:r>
    </w:p>
    <w:p>
      <w:pPr>
        <w:pStyle w:val="BookText"/>
        <w:rPr/>
      </w:pPr>
      <w:r>
        <w:rPr>
          <w:rFonts w:ascii="Amiri" w:hAnsi="Amiri" w:eastAsia="Amiri" w:cs="Amiri"/>
          <w:color w:val="111111"/>
          <w:sz w:val="28"/>
          <w:sz w:val="28"/>
          <w:szCs w:val="28"/>
          <w:rtl w:val="true"/>
          <w:lang w:bidi="ar-SA"/>
        </w:rPr>
        <w:t xml:space="preserve">عود مثل زائله يا تجدّد صفت بالاتر </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 xml:space="preserve">تكرر ذهاب و عود يك صفت </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 xml:space="preserve">ازدياد قيمت مملوك به سبب تعلم صنعت محرّمه </w:t>
      </w:r>
      <w:r>
        <w:rPr>
          <w:rFonts w:eastAsia="Amiri" w:cs="Amiri" w:ascii="Amiri" w:hAnsi="Amiri"/>
          <w:color w:val="111111"/>
          <w:sz w:val="28"/>
          <w:szCs w:val="28"/>
          <w:lang w:bidi="ar-SA"/>
        </w:rPr>
        <w:t>623</w:t>
      </w:r>
    </w:p>
    <w:p>
      <w:pPr>
        <w:pStyle w:val="BookText"/>
        <w:rPr/>
      </w:pPr>
      <w:r>
        <w:rPr>
          <w:rFonts w:ascii="IRNazanin" w:hAnsi="IRNazanin" w:eastAsia="IRNazanin"/>
          <w:color w:val="111111"/>
          <w:sz w:val="28"/>
          <w:sz w:val="28"/>
          <w:szCs w:val="28"/>
          <w:rtl w:val="true"/>
          <w:lang w:bidi="fa-IR"/>
        </w:rPr>
        <w:t xml:space="preserve">ضمان چاقى مفرط و عدم آن </w:t>
      </w:r>
      <w:r>
        <w:rPr>
          <w:rFonts w:eastAsia="IRNazanin" w:cs="IRNazanin"/>
          <w:color w:val="111111"/>
          <w:sz w:val="28"/>
          <w:szCs w:val="28"/>
          <w:lang w:bidi="fa-IR"/>
        </w:rPr>
        <w:t>623</w:t>
      </w:r>
    </w:p>
    <w:p>
      <w:pPr>
        <w:pStyle w:val="BookText"/>
        <w:rPr/>
      </w:pPr>
      <w:r>
        <w:rPr>
          <w:rFonts w:ascii="Amiri" w:hAnsi="Amiri" w:eastAsia="Amiri" w:cs="Amiri"/>
          <w:color w:val="111111"/>
          <w:sz w:val="28"/>
          <w:sz w:val="28"/>
          <w:szCs w:val="28"/>
          <w:rtl w:val="true"/>
          <w:lang w:bidi="ar-SA"/>
        </w:rPr>
        <w:t xml:space="preserve">ميزان در ايجاب نقص قيمت يا عدم آن </w:t>
      </w:r>
      <w:r>
        <w:rPr>
          <w:rFonts w:eastAsia="Amiri" w:cs="Amiri" w:ascii="Amiri" w:hAnsi="Amiri"/>
          <w:color w:val="111111"/>
          <w:sz w:val="28"/>
          <w:szCs w:val="28"/>
          <w:lang w:bidi="ar-SA"/>
        </w:rPr>
        <w:t>623</w:t>
      </w:r>
    </w:p>
    <w:p>
      <w:pPr>
        <w:pStyle w:val="BookText"/>
        <w:rPr/>
      </w:pPr>
      <w:r>
        <w:rPr>
          <w:rFonts w:ascii="Amiri" w:hAnsi="Amiri" w:eastAsia="Amiri" w:cs="Amiri"/>
          <w:color w:val="111111"/>
          <w:sz w:val="28"/>
          <w:sz w:val="28"/>
          <w:szCs w:val="28"/>
          <w:rtl w:val="true"/>
          <w:lang w:bidi="ar-SA"/>
        </w:rPr>
        <w:t xml:space="preserve">ضمان مبيع به بيع فاسد </w:t>
      </w:r>
      <w:r>
        <w:rPr>
          <w:rFonts w:eastAsia="Amiri" w:cs="Amiri" w:ascii="Amiri" w:hAnsi="Amiri"/>
          <w:color w:val="111111"/>
          <w:sz w:val="28"/>
          <w:szCs w:val="28"/>
          <w:lang w:bidi="ar-SA"/>
        </w:rPr>
        <w:t>624</w:t>
      </w:r>
    </w:p>
    <w:p>
      <w:pPr>
        <w:pStyle w:val="BookText"/>
        <w:rPr/>
      </w:pPr>
      <w:r>
        <w:rPr>
          <w:rFonts w:ascii="Amiri" w:hAnsi="Amiri" w:eastAsia="Amiri" w:cs="Amiri"/>
          <w:color w:val="111111"/>
          <w:sz w:val="28"/>
          <w:sz w:val="28"/>
          <w:szCs w:val="28"/>
          <w:rtl w:val="true"/>
          <w:lang w:bidi="ar-SA"/>
        </w:rPr>
        <w:t xml:space="preserve">تعاقب ايدى بر مغصوب </w:t>
      </w:r>
      <w:r>
        <w:rPr>
          <w:rFonts w:eastAsia="Amiri" w:cs="Amiri" w:ascii="Amiri" w:hAnsi="Amiri"/>
          <w:color w:val="111111"/>
          <w:sz w:val="28"/>
          <w:szCs w:val="28"/>
          <w:lang w:bidi="ar-SA"/>
        </w:rPr>
        <w:t>624</w:t>
      </w:r>
    </w:p>
    <w:p>
      <w:pPr>
        <w:pStyle w:val="BookText"/>
        <w:rPr/>
      </w:pPr>
      <w:r>
        <w:rPr>
          <w:rFonts w:ascii="Amiri" w:hAnsi="Amiri" w:eastAsia="Amiri" w:cs="Amiri"/>
          <w:color w:val="111111"/>
          <w:sz w:val="28"/>
          <w:sz w:val="28"/>
          <w:szCs w:val="28"/>
          <w:rtl w:val="true"/>
          <w:lang w:bidi="ar-SA"/>
        </w:rPr>
        <w:t xml:space="preserve">ضمان خريدارِ از غاصب </w:t>
      </w:r>
      <w:r>
        <w:rPr>
          <w:rFonts w:eastAsia="Amiri" w:cs="Amiri" w:ascii="Amiri" w:hAnsi="Amiri"/>
          <w:color w:val="111111"/>
          <w:sz w:val="28"/>
          <w:szCs w:val="28"/>
          <w:lang w:bidi="ar-SA"/>
        </w:rPr>
        <w:t>624</w:t>
      </w:r>
    </w:p>
    <w:p>
      <w:pPr>
        <w:pStyle w:val="BookText"/>
        <w:rPr/>
      </w:pPr>
      <w:r>
        <w:rPr>
          <w:rFonts w:ascii="IRNazanin" w:hAnsi="IRNazanin" w:eastAsia="IRNazanin"/>
          <w:color w:val="111111"/>
          <w:sz w:val="28"/>
          <w:sz w:val="28"/>
          <w:szCs w:val="28"/>
          <w:rtl w:val="true"/>
          <w:lang w:bidi="fa-IR"/>
        </w:rPr>
        <w:t xml:space="preserve">فرض جهل مشترى به غصب </w:t>
      </w:r>
      <w:r>
        <w:rPr>
          <w:rFonts w:eastAsia="IRNazanin" w:cs="IRNazanin"/>
          <w:color w:val="111111"/>
          <w:sz w:val="28"/>
          <w:szCs w:val="28"/>
          <w:lang w:bidi="fa-IR"/>
        </w:rPr>
        <w:t>625</w:t>
      </w:r>
    </w:p>
    <w:p>
      <w:pPr>
        <w:pStyle w:val="BookText"/>
        <w:rPr/>
      </w:pPr>
      <w:r>
        <w:rPr>
          <w:rFonts w:ascii="Amiri" w:hAnsi="Amiri" w:eastAsia="Amiri" w:cs="Amiri"/>
          <w:color w:val="111111"/>
          <w:sz w:val="28"/>
          <w:sz w:val="28"/>
          <w:szCs w:val="28"/>
          <w:rtl w:val="true"/>
          <w:lang w:bidi="ar-SA"/>
        </w:rPr>
        <w:t xml:space="preserve">استيلاد از كنيز مغصوبه با جهل </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 xml:space="preserve">ضمان منافع مستوفاة مغصوب </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 xml:space="preserve">ازالۀ بكارت امۀ مغصوبه، به وطى يا غير آن </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 xml:space="preserve">حكم ولد متولد از امۀ مغصوبه در فرض استيلاء غاصب، أمه را </w:t>
      </w:r>
      <w:r>
        <w:rPr>
          <w:rFonts w:eastAsia="Amiri" w:cs="Amiri" w:ascii="Amiri" w:hAnsi="Amiri"/>
          <w:color w:val="111111"/>
          <w:sz w:val="28"/>
          <w:szCs w:val="28"/>
          <w:lang w:bidi="ar-SA"/>
        </w:rPr>
        <w:t>627</w:t>
      </w:r>
    </w:p>
    <w:p>
      <w:pPr>
        <w:pStyle w:val="BookText"/>
        <w:rPr/>
      </w:pPr>
      <w:r>
        <w:rPr>
          <w:rFonts w:ascii="IRNazanin" w:hAnsi="IRNazanin" w:eastAsia="IRNazanin"/>
          <w:color w:val="111111"/>
          <w:sz w:val="28"/>
          <w:sz w:val="28"/>
          <w:szCs w:val="28"/>
          <w:rtl w:val="true"/>
          <w:lang w:bidi="fa-IR"/>
        </w:rPr>
        <w:t xml:space="preserve">اگر واطى و موطوئه، عالم به حرمت بودند </w:t>
      </w:r>
      <w:r>
        <w:rPr>
          <w:rFonts w:eastAsia="IRNazanin" w:cs="IRNazanin"/>
          <w:color w:val="111111"/>
          <w:sz w:val="28"/>
          <w:szCs w:val="28"/>
          <w:lang w:bidi="fa-IR"/>
        </w:rPr>
        <w:t>628</w:t>
      </w:r>
    </w:p>
    <w:p>
      <w:pPr>
        <w:pStyle w:val="BookText"/>
        <w:rPr/>
      </w:pPr>
      <w:r>
        <w:rPr>
          <w:rFonts w:ascii="Amiri" w:hAnsi="Amiri" w:eastAsia="Amiri" w:cs="Amiri"/>
          <w:color w:val="111111"/>
          <w:sz w:val="28"/>
          <w:sz w:val="28"/>
          <w:szCs w:val="28"/>
          <w:rtl w:val="true"/>
          <w:lang w:bidi="ar-SA"/>
        </w:rPr>
        <w:t xml:space="preserve">غصب دانه و تخم مرغ و تبديل به زرع و جوجه </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 xml:space="preserve">غصب عصير و انقلاب آن به خَلّ يا عكس </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 xml:space="preserve">غصب زمين و زراعت در آن </w:t>
      </w:r>
      <w:r>
        <w:rPr>
          <w:rFonts w:eastAsia="Amiri" w:cs="Amiri" w:ascii="Amiri" w:hAnsi="Amiri"/>
          <w:color w:val="111111"/>
          <w:sz w:val="28"/>
          <w:szCs w:val="28"/>
          <w:lang w:bidi="ar-SA"/>
        </w:rPr>
        <w:t>629</w:t>
      </w:r>
    </w:p>
    <w:p>
      <w:pPr>
        <w:pStyle w:val="BookText"/>
        <w:rPr/>
      </w:pPr>
      <w:r>
        <w:rPr>
          <w:rFonts w:ascii="IRNazanin" w:hAnsi="IRNazanin" w:eastAsia="IRNazanin"/>
          <w:color w:val="111111"/>
          <w:sz w:val="28"/>
          <w:sz w:val="28"/>
          <w:szCs w:val="28"/>
          <w:rtl w:val="true"/>
          <w:lang w:bidi="fa-IR"/>
        </w:rPr>
        <w:t xml:space="preserve">حفر چاه در زمين غصبى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 xml:space="preserve">فرض عدم امكان اخراج دابه مگر با هدم خانه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 xml:space="preserve">ادخال دابه، راس خود را در ظرف ديگرى </w:t>
      </w:r>
      <w:r>
        <w:rPr>
          <w:rFonts w:eastAsia="IRNazanin" w:cs="IRNazanin"/>
          <w:color w:val="111111"/>
          <w:sz w:val="28"/>
          <w:szCs w:val="28"/>
          <w:lang w:bidi="fa-IR"/>
        </w:rPr>
        <w:t>631</w:t>
      </w:r>
    </w:p>
    <w:p>
      <w:pPr>
        <w:pStyle w:val="BookText"/>
        <w:rPr/>
      </w:pPr>
      <w:r>
        <w:rPr>
          <w:rFonts w:ascii="Amiri" w:hAnsi="Amiri" w:eastAsia="Amiri" w:cs="Amiri"/>
          <w:color w:val="111111"/>
          <w:sz w:val="28"/>
          <w:sz w:val="28"/>
          <w:szCs w:val="28"/>
          <w:rtl w:val="true"/>
          <w:lang w:bidi="ar-SA"/>
        </w:rPr>
        <w:t xml:space="preserve">تصرف در مال غير بدون اذن مالك به جهت خوف ضرر </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rtl w:val="true"/>
          <w:lang w:bidi="ar-SA"/>
        </w:rPr>
        <w:t xml:space="preserve">جنايت عمديۀ عبد مغصوب </w:t>
      </w:r>
      <w:r>
        <w:rPr>
          <w:rFonts w:eastAsia="Amiri" w:cs="Amiri" w:ascii="Amiri" w:hAnsi="Amiri"/>
          <w:color w:val="111111"/>
          <w:sz w:val="28"/>
          <w:szCs w:val="28"/>
          <w:lang w:bidi="ar-SA"/>
        </w:rPr>
        <w:t>632</w:t>
      </w:r>
    </w:p>
    <w:p>
      <w:pPr>
        <w:pStyle w:val="BookText"/>
        <w:rPr/>
      </w:pPr>
      <w:r>
        <w:rPr>
          <w:rFonts w:ascii="IRNazanin" w:hAnsi="IRNazanin" w:eastAsia="IRNazanin"/>
          <w:color w:val="111111"/>
          <w:sz w:val="28"/>
          <w:sz w:val="28"/>
          <w:szCs w:val="28"/>
          <w:rtl w:val="true"/>
          <w:lang w:bidi="fa-IR"/>
        </w:rPr>
        <w:t xml:space="preserve">وفات عبد مغصوب جانى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 xml:space="preserve">جنايت عبد در يد مالك و جنايت دوم او پس از غصب </w:t>
      </w:r>
      <w:r>
        <w:rPr>
          <w:rFonts w:eastAsia="IRNazanin" w:cs="IRNazanin"/>
          <w:color w:val="111111"/>
          <w:sz w:val="28"/>
          <w:szCs w:val="28"/>
          <w:lang w:bidi="fa-IR"/>
        </w:rPr>
        <w:t>633</w:t>
      </w:r>
    </w:p>
    <w:p>
      <w:pPr>
        <w:pStyle w:val="BookText"/>
        <w:rPr/>
      </w:pPr>
      <w:r>
        <w:rPr>
          <w:rFonts w:ascii="Amiri" w:hAnsi="Amiri" w:eastAsia="Amiri" w:cs="Amiri"/>
          <w:color w:val="111111"/>
          <w:sz w:val="28"/>
          <w:sz w:val="28"/>
          <w:szCs w:val="28"/>
          <w:rtl w:val="true"/>
          <w:lang w:bidi="ar-SA"/>
        </w:rPr>
        <w:t xml:space="preserve">وفات عبد در يد غاصب بعد از دو جنايت </w:t>
      </w:r>
      <w:r>
        <w:rPr>
          <w:rFonts w:eastAsia="Amiri" w:cs="Amiri" w:ascii="Amiri" w:hAnsi="Amiri"/>
          <w:color w:val="111111"/>
          <w:sz w:val="28"/>
          <w:szCs w:val="28"/>
          <w:lang w:bidi="ar-SA"/>
        </w:rPr>
        <w:t>633</w:t>
      </w:r>
    </w:p>
    <w:p>
      <w:pPr>
        <w:pStyle w:val="BookText"/>
        <w:rPr/>
      </w:pPr>
      <w:r>
        <w:rPr>
          <w:rFonts w:ascii="IRNazanin" w:hAnsi="IRNazanin" w:eastAsia="IRNazanin"/>
          <w:color w:val="111111"/>
          <w:sz w:val="28"/>
          <w:sz w:val="28"/>
          <w:szCs w:val="28"/>
          <w:rtl w:val="true"/>
          <w:lang w:bidi="fa-IR"/>
        </w:rPr>
        <w:t xml:space="preserve">اگر عبد در يد غاصب، جنايتى بر مالك مرتكب شد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 xml:space="preserve">لزوم اعاده مغصوب به بلد غصب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تنازع در غصب </w:t>
      </w:r>
      <w:r>
        <w:rPr>
          <w:rFonts w:eastAsia="IRNazanin" w:cs="IRNazanin"/>
          <w:color w:val="111111"/>
          <w:sz w:val="28"/>
          <w:szCs w:val="28"/>
          <w:lang w:bidi="fa-IR"/>
        </w:rPr>
        <w:t>636</w:t>
      </w:r>
    </w:p>
    <w:p>
      <w:pPr>
        <w:pStyle w:val="BookText"/>
        <w:rPr/>
      </w:pPr>
      <w:r>
        <w:rPr>
          <w:rFonts w:ascii="Amiri" w:hAnsi="Amiri" w:eastAsia="Amiri" w:cs="Amiri"/>
          <w:color w:val="111111"/>
          <w:sz w:val="28"/>
          <w:sz w:val="28"/>
          <w:szCs w:val="28"/>
          <w:rtl w:val="true"/>
          <w:lang w:bidi="ar-SA"/>
        </w:rPr>
        <w:t xml:space="preserve">تلف مغصوب و اختلاف طرفين در قيمت آن </w:t>
      </w:r>
      <w:r>
        <w:rPr>
          <w:rFonts w:eastAsia="Amiri" w:cs="Amiri" w:ascii="Amiri" w:hAnsi="Amiri"/>
          <w:color w:val="111111"/>
          <w:sz w:val="28"/>
          <w:szCs w:val="28"/>
          <w:lang w:bidi="ar-SA"/>
        </w:rPr>
        <w:t>636</w:t>
      </w:r>
    </w:p>
    <w:p>
      <w:pPr>
        <w:pStyle w:val="BookText"/>
        <w:rPr/>
      </w:pPr>
      <w:r>
        <w:rPr>
          <w:rFonts w:ascii="Amiri" w:hAnsi="Amiri" w:eastAsia="Amiri" w:cs="Amiri"/>
          <w:color w:val="111111"/>
          <w:sz w:val="28"/>
          <w:sz w:val="28"/>
          <w:szCs w:val="28"/>
          <w:rtl w:val="true"/>
          <w:lang w:bidi="ar-SA"/>
        </w:rPr>
        <w:t xml:space="preserve">اختلاف در حدوث صفت كمال يا صفت نقص </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 xml:space="preserve">ادعاى غاصب، معيب بودن عبد را نزد مالك </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 xml:space="preserve">فرض تملّك عين مغصوبه بعد از بيع آن </w:t>
      </w:r>
      <w:r>
        <w:rPr>
          <w:rFonts w:eastAsia="Amiri" w:cs="Amiri" w:ascii="Amiri" w:hAnsi="Amiri"/>
          <w:color w:val="111111"/>
          <w:sz w:val="28"/>
          <w:szCs w:val="28"/>
          <w:lang w:bidi="ar-SA"/>
        </w:rPr>
        <w:t>638</w:t>
      </w:r>
    </w:p>
    <w:p>
      <w:pPr>
        <w:pStyle w:val="BookText"/>
        <w:rPr/>
      </w:pPr>
      <w:r>
        <w:rPr>
          <w:rFonts w:ascii="Amiri" w:hAnsi="Amiri" w:eastAsia="Amiri" w:cs="Amiri"/>
          <w:color w:val="111111"/>
          <w:sz w:val="28"/>
          <w:sz w:val="28"/>
          <w:szCs w:val="28"/>
          <w:rtl w:val="true"/>
          <w:lang w:bidi="ar-SA"/>
        </w:rPr>
        <w:t xml:space="preserve">ادعاى غصبيت مبيع بعد از بيع، و انكار مشترى </w:t>
      </w:r>
      <w:r>
        <w:rPr>
          <w:rFonts w:eastAsia="Amiri" w:cs="Amiri" w:ascii="Amiri" w:hAnsi="Amiri"/>
          <w:color w:val="111111"/>
          <w:sz w:val="28"/>
          <w:szCs w:val="28"/>
          <w:lang w:bidi="ar-SA"/>
        </w:rPr>
        <w:t>638</w:t>
      </w:r>
    </w:p>
    <w:p>
      <w:pPr>
        <w:pStyle w:val="BookText"/>
        <w:rPr/>
      </w:pPr>
      <w:r>
        <w:rPr>
          <w:rFonts w:ascii="Amiri" w:hAnsi="Amiri" w:eastAsia="Amiri" w:cs="Amiri"/>
          <w:color w:val="111111"/>
          <w:sz w:val="28"/>
          <w:sz w:val="28"/>
          <w:szCs w:val="28"/>
          <w:rtl w:val="true"/>
          <w:lang w:bidi="ar-SA"/>
        </w:rPr>
        <w:t xml:space="preserve">عود مبيع به بايع در فرض اقرار بايع به غصبيت مبيع </w:t>
      </w:r>
      <w:r>
        <w:rPr>
          <w:rFonts w:eastAsia="Amiri" w:cs="Amiri" w:ascii="Amiri" w:hAnsi="Amiri"/>
          <w:color w:val="111111"/>
          <w:sz w:val="28"/>
          <w:szCs w:val="28"/>
          <w:lang w:bidi="ar-SA"/>
        </w:rPr>
        <w:t>638</w:t>
      </w:r>
    </w:p>
    <w:p>
      <w:pPr>
        <w:pStyle w:val="BookText"/>
        <w:rPr/>
      </w:pPr>
      <w:r>
        <w:rPr>
          <w:rFonts w:ascii="IRNazanin" w:hAnsi="IRNazanin" w:eastAsia="IRNazanin"/>
          <w:color w:val="111111"/>
          <w:sz w:val="28"/>
          <w:sz w:val="28"/>
          <w:szCs w:val="28"/>
          <w:rtl w:val="true"/>
          <w:lang w:bidi="fa-IR"/>
        </w:rPr>
        <w:t xml:space="preserve">اگر مقر به غصبيت مبيع، خصوص مشترى باشد </w:t>
      </w:r>
      <w:r>
        <w:rPr>
          <w:rFonts w:eastAsia="IRNazanin" w:cs="IRNazanin"/>
          <w:color w:val="111111"/>
          <w:sz w:val="28"/>
          <w:szCs w:val="28"/>
          <w:lang w:bidi="fa-IR"/>
        </w:rPr>
        <w:t>639</w:t>
      </w:r>
    </w:p>
    <w:p>
      <w:pPr>
        <w:pStyle w:val="BookText"/>
        <w:rPr/>
      </w:pPr>
      <w:r>
        <w:rPr>
          <w:rFonts w:ascii="Amiri" w:hAnsi="Amiri" w:eastAsia="Amiri" w:cs="Amiri"/>
          <w:color w:val="111111"/>
          <w:sz w:val="28"/>
          <w:sz w:val="28"/>
          <w:szCs w:val="28"/>
          <w:rtl w:val="true"/>
          <w:lang w:bidi="ar-SA"/>
        </w:rPr>
        <w:t xml:space="preserve">عتق مشترى، مملوك مبيع مغصوب را </w:t>
      </w:r>
      <w:r>
        <w:rPr>
          <w:rFonts w:eastAsia="Amiri" w:cs="Amiri" w:ascii="Amiri" w:hAnsi="Amiri"/>
          <w:color w:val="111111"/>
          <w:sz w:val="28"/>
          <w:szCs w:val="28"/>
          <w:lang w:bidi="ar-SA"/>
        </w:rPr>
        <w:t>639</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اختلاف در رد مغصوب يا موت مغصوب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تكليفاً در اذن از ولىّ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 ادّعا كرد كه حمل از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أبواب كتاب العتق،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ابواب كتاب العتق،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 الخير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چهارشنبه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 الخير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باز كرد بند ظرف را و خارج شد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كرد آنچه در آن بود و لكن جامد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ديگرى به توسط آتش آن را اذابه نمود، احتمال اشتراك در ضمان، و ضمان خصوص دومى كه مباشر اتلاف است، و اختلاف به ترقب عمل دومى و عدم آن به ندرتِ اتفاق، اقرب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تلف شد مغصوب در يد غاصب، پس اختلاف در قيمت آن شد، قول غاصب با يمين او مقدّم است در صورت معقوليّت قول غاصب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چنين مقدّم است قول غاصب در دعواى مالك، تعلّمِ صنعت موجبۀ زيادتى قيمت عبد را و منكر شد غاصب، به جهت موافقت قول غاصب با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ادعا كرد غاصب عيبى را در مغصوب، موجب نقص قيمت مثل عَوَر، مقدّم است قول مالك، به جهت اقتضاى اصل، سلامت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اختلاف در تأخّر عيب حادث باشد، اصل با مالك است و قول او مقدّم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 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image" Target="media/image2.jpeg"/><Relationship Id="rId679" Type="http://schemas.openxmlformats.org/officeDocument/2006/relationships/image" Target="media/image2.jpeg"/><Relationship Id="rId680" Type="http://schemas.openxmlformats.org/officeDocument/2006/relationships/footer" Target="footer673.xml"/><Relationship Id="rId681" Type="http://schemas.openxmlformats.org/officeDocument/2006/relationships/footnotes" Target="footnotes.xml"/><Relationship Id="rId682" Type="http://schemas.openxmlformats.org/officeDocument/2006/relationships/numbering" Target="numbering.xml"/><Relationship Id="rId683" Type="http://schemas.openxmlformats.org/officeDocument/2006/relationships/fontTable" Target="fontTable.xml"/><Relationship Id="rId684" Type="http://schemas.openxmlformats.org/officeDocument/2006/relationships/settings" Target="settings.xml"/><Relationship Id="rId6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742</Pages>
  <Words>31063</Words>
  <Characters>105589</Characters>
  <CharactersWithSpaces>134558</CharactersWithSpaces>
  <Paragraphs>2197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2026-08-21T04:17:40Z</dcterms:created>
  <dc:creator>ghaemiyeh.com</dc:creator>
  <dc:description/>
  <dc:language>en-US</dc:language>
  <cp:lastModifiedBy/>
  <dcterms:modified xsi:type="dcterms:W3CDTF">2026-08-21T07:47:58Z</dcterms:modified>
  <cp:revision>1</cp:revision>
  <dc:subject/>
  <dc:title>جامع المسائل تعلیق و شرح بر ذخیرة العباد نوشته علامه محقق شیخ محمدحسین غروی اصفهانی قدس سره و تکمیل آن تا پایان فقه جلد 4</dc:title>
</cp:coreProperties>
</file>

<file path=docProps/custom.xml><?xml version="1.0" encoding="utf-8"?>
<Properties xmlns="http://schemas.openxmlformats.org/officeDocument/2006/custom-properties" xmlns:vt="http://schemas.openxmlformats.org/officeDocument/2006/docPropsVTypes"/>
</file>