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0.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8326_1067777946">
            <w:r>
              <w:rPr>
                <w:webHidden/>
                <w:rStyle w:val="IndexLink"/>
                <w:rtl w:val="true"/>
              </w:rPr>
              <w:t>هوية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2018328_1067777946">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2018330_1067777946">
            <w:r>
              <w:rPr>
                <w:webHidden/>
                <w:rStyle w:val="IndexLink"/>
                <w:rtl w:val="true"/>
              </w:rPr>
              <w:t>فهرس الموضوعات</w:t>
            </w:r>
            <w:r>
              <w:rPr>
                <w:rStyle w:val="IndexLink"/>
                <w:rtl w:val="true"/>
              </w:rPr>
              <w:tab/>
            </w:r>
            <w:r>
              <w:rPr>
                <w:rStyle w:val="IndexLink"/>
              </w:rPr>
              <w:t>25</w:t>
            </w:r>
          </w:hyperlink>
        </w:p>
        <w:p>
          <w:pPr>
            <w:pStyle w:val="Contents2"/>
            <w:tabs>
              <w:tab w:val="clear" w:pos="8743"/>
              <w:tab w:val="right" w:pos="9026" w:leader="dot"/>
            </w:tabs>
            <w:rPr/>
          </w:pPr>
          <w:hyperlink w:anchor="__RefHeading___Toc2018332_1067777946">
            <w:r>
              <w:rPr>
                <w:webHidden/>
                <w:rStyle w:val="IndexLink"/>
                <w:rtl w:val="true"/>
              </w:rPr>
              <w:t>مقدّمة التحقيق</w:t>
            </w:r>
            <w:r>
              <w:rPr>
                <w:rStyle w:val="IndexLink"/>
                <w:rtl w:val="true"/>
              </w:rPr>
              <w:tab/>
            </w:r>
            <w:r>
              <w:rPr>
                <w:rStyle w:val="IndexLink"/>
              </w:rPr>
              <w:t>57</w:t>
            </w:r>
          </w:hyperlink>
        </w:p>
        <w:p>
          <w:pPr>
            <w:pStyle w:val="Contents2"/>
            <w:tabs>
              <w:tab w:val="clear" w:pos="8743"/>
              <w:tab w:val="right" w:pos="9026" w:leader="dot"/>
            </w:tabs>
            <w:rPr/>
          </w:pPr>
          <w:hyperlink w:anchor="__RefHeading___Toc2018334_1067777946">
            <w:r>
              <w:rPr>
                <w:webHidden/>
                <w:rStyle w:val="IndexLink"/>
                <w:rtl w:val="true"/>
              </w:rPr>
              <w:t>نماذج من مصوّرات النسخ الخطّیّة المعتمدة في التحقیق</w:t>
            </w:r>
            <w:r>
              <w:rPr>
                <w:rStyle w:val="IndexLink"/>
                <w:rtl w:val="true"/>
              </w:rPr>
              <w:tab/>
            </w:r>
            <w:r>
              <w:rPr>
                <w:rStyle w:val="IndexLink"/>
              </w:rPr>
              <w:t>63</w:t>
            </w:r>
          </w:hyperlink>
        </w:p>
        <w:p>
          <w:pPr>
            <w:pStyle w:val="Contents2"/>
            <w:tabs>
              <w:tab w:val="clear" w:pos="8743"/>
              <w:tab w:val="right" w:pos="9026" w:leader="dot"/>
            </w:tabs>
            <w:rPr/>
          </w:pPr>
          <w:hyperlink w:anchor="__RefHeading___Toc2018336_1067777946">
            <w:r>
              <w:rPr>
                <w:webHidden/>
                <w:rStyle w:val="IndexLink"/>
                <w:rtl w:val="true"/>
              </w:rPr>
              <w:t>مقدّمة المصنّف</w:t>
            </w:r>
            <w:r>
              <w:rPr>
                <w:rStyle w:val="IndexLink"/>
                <w:rtl w:val="true"/>
              </w:rPr>
              <w:tab/>
            </w:r>
            <w:r>
              <w:rPr>
                <w:rStyle w:val="IndexLink"/>
              </w:rPr>
              <w:t>69</w:t>
            </w:r>
          </w:hyperlink>
        </w:p>
        <w:p>
          <w:pPr>
            <w:pStyle w:val="Contents2"/>
            <w:tabs>
              <w:tab w:val="clear" w:pos="8743"/>
              <w:tab w:val="right" w:pos="9026" w:leader="dot"/>
            </w:tabs>
            <w:rPr/>
          </w:pPr>
          <w:hyperlink w:anchor="__RefHeading___Toc2018338_1067777946">
            <w:r>
              <w:rPr>
                <w:webHidden/>
                <w:rStyle w:val="IndexLink"/>
                <w:rtl w:val="true"/>
              </w:rPr>
              <w:t>كتاب الطهارة</w:t>
            </w:r>
            <w:r>
              <w:rPr>
                <w:rStyle w:val="IndexLink"/>
                <w:rtl w:val="true"/>
              </w:rPr>
              <w:tab/>
            </w:r>
            <w:r>
              <w:rPr>
                <w:rStyle w:val="IndexLink"/>
              </w:rPr>
              <w:t>71</w:t>
            </w:r>
          </w:hyperlink>
        </w:p>
        <w:p>
          <w:pPr>
            <w:pStyle w:val="Contents3"/>
            <w:tabs>
              <w:tab w:val="clear" w:pos="8459"/>
              <w:tab w:val="right" w:pos="9026" w:leader="dot"/>
            </w:tabs>
            <w:rPr/>
          </w:pPr>
          <w:hyperlink w:anchor="__RefHeading___Toc2018340_1067777946">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018342_1067777946">
            <w:r>
              <w:rPr>
                <w:webHidden/>
                <w:rStyle w:val="IndexLink"/>
                <w:rtl w:val="true"/>
              </w:rPr>
              <w:t>الركن الأوّل في المياه</w:t>
            </w:r>
            <w:r>
              <w:rPr>
                <w:rStyle w:val="IndexLink"/>
                <w:rtl w:val="true"/>
              </w:rPr>
              <w:tab/>
            </w:r>
            <w:r>
              <w:rPr>
                <w:rStyle w:val="IndexLink"/>
              </w:rPr>
              <w:t>73</w:t>
            </w:r>
          </w:hyperlink>
        </w:p>
        <w:p>
          <w:pPr>
            <w:pStyle w:val="Contents4"/>
            <w:tabs>
              <w:tab w:val="clear" w:pos="8176"/>
              <w:tab w:val="right" w:pos="9026" w:leader="dot"/>
            </w:tabs>
            <w:rPr/>
          </w:pPr>
          <w:hyperlink w:anchor="__RefHeading___Toc2018344_1067777946">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018346_1067777946">
            <w:r>
              <w:rPr>
                <w:webHidden/>
                <w:rStyle w:val="IndexLink"/>
                <w:rtl w:val="true"/>
              </w:rPr>
              <w:t>ماء البئر</w:t>
            </w:r>
            <w:r>
              <w:rPr>
                <w:rStyle w:val="IndexLink"/>
                <w:rtl w:val="true"/>
              </w:rPr>
              <w:tab/>
            </w:r>
            <w:r>
              <w:rPr>
                <w:rStyle w:val="IndexLink"/>
              </w:rPr>
              <w:t>74</w:t>
            </w:r>
          </w:hyperlink>
        </w:p>
        <w:p>
          <w:pPr>
            <w:pStyle w:val="Contents4"/>
            <w:tabs>
              <w:tab w:val="clear" w:pos="8176"/>
              <w:tab w:val="right" w:pos="9026" w:leader="dot"/>
            </w:tabs>
            <w:rPr/>
          </w:pPr>
          <w:hyperlink w:anchor="__RefHeading___Toc2018348_1067777946">
            <w:r>
              <w:rPr>
                <w:webHidden/>
                <w:rStyle w:val="IndexLink"/>
                <w:rtl w:val="true"/>
              </w:rPr>
              <w:t>فروع ثلاثة</w:t>
            </w:r>
            <w:r>
              <w:rPr>
                <w:rStyle w:val="IndexLink"/>
                <w:rtl w:val="true"/>
              </w:rPr>
              <w:t>:</w:t>
              <w:tab/>
            </w:r>
            <w:r>
              <w:rPr>
                <w:rStyle w:val="IndexLink"/>
              </w:rPr>
              <w:t>75</w:t>
            </w:r>
          </w:hyperlink>
        </w:p>
        <w:p>
          <w:pPr>
            <w:pStyle w:val="Contents4"/>
            <w:tabs>
              <w:tab w:val="clear" w:pos="8176"/>
              <w:tab w:val="right" w:pos="9026" w:leader="dot"/>
            </w:tabs>
            <w:rPr/>
          </w:pPr>
          <w:hyperlink w:anchor="__RefHeading___Toc2018350_1067777946">
            <w:r>
              <w:rPr>
                <w:webHidden/>
                <w:rStyle w:val="IndexLink"/>
                <w:rtl w:val="true"/>
              </w:rPr>
              <w:t>الماء المضاف</w:t>
            </w:r>
            <w:r>
              <w:rPr>
                <w:rStyle w:val="IndexLink"/>
                <w:rtl w:val="true"/>
              </w:rPr>
              <w:tab/>
            </w:r>
            <w:r>
              <w:rPr>
                <w:rStyle w:val="IndexLink"/>
              </w:rPr>
              <w:t>76</w:t>
            </w:r>
          </w:hyperlink>
        </w:p>
        <w:p>
          <w:pPr>
            <w:pStyle w:val="Contents4"/>
            <w:tabs>
              <w:tab w:val="clear" w:pos="8176"/>
              <w:tab w:val="right" w:pos="9026" w:leader="dot"/>
            </w:tabs>
            <w:rPr/>
          </w:pPr>
          <w:hyperlink w:anchor="__RefHeading___Toc2018352_1067777946">
            <w:r>
              <w:rPr>
                <w:webHidden/>
                <w:rStyle w:val="IndexLink"/>
                <w:rtl w:val="true"/>
              </w:rPr>
              <w:t>الأسآر</w:t>
            </w:r>
            <w:r>
              <w:rPr>
                <w:rStyle w:val="IndexLink"/>
                <w:rtl w:val="true"/>
              </w:rPr>
              <w:tab/>
            </w:r>
            <w:r>
              <w:rPr>
                <w:rStyle w:val="IndexLink"/>
              </w:rPr>
              <w:t>77</w:t>
            </w:r>
          </w:hyperlink>
        </w:p>
        <w:p>
          <w:pPr>
            <w:pStyle w:val="Contents3"/>
            <w:tabs>
              <w:tab w:val="clear" w:pos="8459"/>
              <w:tab w:val="right" w:pos="9026" w:leader="dot"/>
            </w:tabs>
            <w:rPr/>
          </w:pPr>
          <w:hyperlink w:anchor="__RefHeading___Toc2018354_1067777946">
            <w:r>
              <w:rPr>
                <w:webHidden/>
                <w:rStyle w:val="IndexLink"/>
                <w:rtl w:val="true"/>
              </w:rPr>
              <w:t>الركن الثاني في الطهارة المائيّة</w:t>
            </w:r>
            <w:r>
              <w:rPr>
                <w:rStyle w:val="IndexLink"/>
                <w:rtl w:val="true"/>
              </w:rPr>
              <w:tab/>
            </w:r>
            <w:r>
              <w:rPr>
                <w:rStyle w:val="IndexLink"/>
              </w:rPr>
              <w:t>78</w:t>
            </w:r>
          </w:hyperlink>
        </w:p>
        <w:p>
          <w:pPr>
            <w:pStyle w:val="Contents4"/>
            <w:tabs>
              <w:tab w:val="clear" w:pos="8176"/>
              <w:tab w:val="right" w:pos="9026" w:leader="dot"/>
            </w:tabs>
            <w:rPr/>
          </w:pPr>
          <w:hyperlink w:anchor="__RefHeading___Toc2018356_1067777946">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2018358_1067777946">
            <w:r>
              <w:rPr>
                <w:webHidden/>
                <w:rStyle w:val="IndexLink"/>
                <w:rtl w:val="true"/>
              </w:rPr>
              <w:t>الفصل الأوّل في الأحداث الموجبة للوضوء</w:t>
            </w:r>
            <w:r>
              <w:rPr>
                <w:rStyle w:val="IndexLink"/>
                <w:rtl w:val="true"/>
              </w:rPr>
              <w:tab/>
            </w:r>
            <w:r>
              <w:rPr>
                <w:rStyle w:val="IndexLink"/>
              </w:rPr>
              <w:t>78</w:t>
            </w:r>
          </w:hyperlink>
        </w:p>
        <w:p>
          <w:pPr>
            <w:pStyle w:val="Contents4"/>
            <w:tabs>
              <w:tab w:val="clear" w:pos="8176"/>
              <w:tab w:val="right" w:pos="9026" w:leader="dot"/>
            </w:tabs>
            <w:rPr/>
          </w:pPr>
          <w:hyperlink w:anchor="__RefHeading___Toc2018360_1067777946">
            <w:r>
              <w:rPr>
                <w:webHidden/>
                <w:rStyle w:val="IndexLink"/>
                <w:rtl w:val="true"/>
              </w:rPr>
              <w:t>أحكام الخلوة</w:t>
            </w:r>
            <w:r>
              <w:rPr>
                <w:rStyle w:val="IndexLink"/>
                <w:rtl w:val="true"/>
              </w:rPr>
              <w:tab/>
            </w:r>
            <w:r>
              <w:rPr>
                <w:rStyle w:val="IndexLink"/>
              </w:rPr>
              <w:t>78</w:t>
            </w:r>
          </w:hyperlink>
        </w:p>
        <w:p>
          <w:pPr>
            <w:pStyle w:val="Contents4"/>
            <w:tabs>
              <w:tab w:val="clear" w:pos="8176"/>
              <w:tab w:val="right" w:pos="9026" w:leader="dot"/>
            </w:tabs>
            <w:rPr/>
          </w:pPr>
          <w:hyperlink w:anchor="__RefHeading___Toc2018362_1067777946">
            <w:r>
              <w:rPr>
                <w:webHidden/>
                <w:rStyle w:val="IndexLink"/>
                <w:rtl w:val="true"/>
              </w:rPr>
              <w:t>سنن الخلوة</w:t>
            </w:r>
            <w:r>
              <w:rPr>
                <w:rStyle w:val="IndexLink"/>
                <w:rtl w:val="true"/>
              </w:rPr>
              <w:tab/>
            </w:r>
            <w:r>
              <w:rPr>
                <w:rStyle w:val="IndexLink"/>
              </w:rPr>
              <w:t>79</w:t>
            </w:r>
          </w:hyperlink>
        </w:p>
        <w:p>
          <w:pPr>
            <w:pStyle w:val="Contents4"/>
            <w:tabs>
              <w:tab w:val="clear" w:pos="8176"/>
              <w:tab w:val="right" w:pos="9026" w:leader="dot"/>
            </w:tabs>
            <w:rPr/>
          </w:pPr>
          <w:hyperlink w:anchor="__RefHeading___Toc2018364_1067777946">
            <w:r>
              <w:rPr>
                <w:webHidden/>
                <w:rStyle w:val="IndexLink"/>
                <w:rtl w:val="true"/>
              </w:rPr>
              <w:t>في كيفيّة الوضوء</w:t>
            </w:r>
            <w:r>
              <w:rPr>
                <w:rStyle w:val="IndexLink"/>
                <w:rtl w:val="true"/>
              </w:rPr>
              <w:tab/>
            </w:r>
            <w:r>
              <w:rPr>
                <w:rStyle w:val="IndexLink"/>
              </w:rPr>
              <w:t>80</w:t>
            </w:r>
          </w:hyperlink>
        </w:p>
        <w:p>
          <w:pPr>
            <w:pStyle w:val="Contents5"/>
            <w:tabs>
              <w:tab w:val="clear" w:pos="7892"/>
              <w:tab w:val="right" w:pos="9026" w:leader="dot"/>
            </w:tabs>
            <w:rPr/>
          </w:pPr>
          <w:hyperlink w:anchor="__RefHeading___Toc2018366_1067777946">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2018368_1067777946">
            <w:r>
              <w:rPr>
                <w:webHidden/>
                <w:rStyle w:val="IndexLink"/>
                <w:rtl w:val="true"/>
              </w:rPr>
              <w:t>غسل الوجه</w:t>
            </w:r>
            <w:r>
              <w:rPr>
                <w:rStyle w:val="IndexLink"/>
                <w:rtl w:val="true"/>
              </w:rPr>
              <w:tab/>
            </w:r>
            <w:r>
              <w:rPr>
                <w:rStyle w:val="IndexLink"/>
              </w:rPr>
              <w:t>81</w:t>
            </w:r>
          </w:hyperlink>
        </w:p>
        <w:p>
          <w:pPr>
            <w:pStyle w:val="Contents5"/>
            <w:tabs>
              <w:tab w:val="clear" w:pos="7892"/>
              <w:tab w:val="right" w:pos="9026" w:leader="dot"/>
            </w:tabs>
            <w:rPr/>
          </w:pPr>
          <w:hyperlink w:anchor="__RefHeading___Toc2018370_1067777946">
            <w:r>
              <w:rPr>
                <w:webHidden/>
                <w:rStyle w:val="IndexLink"/>
                <w:rtl w:val="true"/>
              </w:rPr>
              <w:t>غسل اليدين</w:t>
            </w:r>
            <w:r>
              <w:rPr>
                <w:rStyle w:val="IndexLink"/>
                <w:rtl w:val="true"/>
              </w:rPr>
              <w:tab/>
            </w:r>
            <w:r>
              <w:rPr>
                <w:rStyle w:val="IndexLink"/>
              </w:rPr>
              <w:t>82</w:t>
            </w:r>
          </w:hyperlink>
        </w:p>
        <w:p>
          <w:pPr>
            <w:pStyle w:val="Contents5"/>
            <w:tabs>
              <w:tab w:val="clear" w:pos="7892"/>
              <w:tab w:val="right" w:pos="9026" w:leader="dot"/>
            </w:tabs>
            <w:rPr/>
          </w:pPr>
          <w:hyperlink w:anchor="__RefHeading___Toc2018372_1067777946">
            <w:r>
              <w:rPr>
                <w:webHidden/>
                <w:rStyle w:val="IndexLink"/>
                <w:rtl w:val="true"/>
              </w:rPr>
              <w:t>مسح الرأس</w:t>
            </w:r>
            <w:r>
              <w:rPr>
                <w:rStyle w:val="IndexLink"/>
                <w:rtl w:val="true"/>
              </w:rPr>
              <w:tab/>
            </w:r>
            <w:r>
              <w:rPr>
                <w:rStyle w:val="IndexLink"/>
              </w:rPr>
              <w:t>83</w:t>
            </w:r>
          </w:hyperlink>
        </w:p>
        <w:p>
          <w:pPr>
            <w:pStyle w:val="Contents5"/>
            <w:tabs>
              <w:tab w:val="clear" w:pos="7892"/>
              <w:tab w:val="right" w:pos="9026" w:leader="dot"/>
            </w:tabs>
            <w:rPr/>
          </w:pPr>
          <w:hyperlink w:anchor="__RefHeading___Toc2018374_1067777946">
            <w:r>
              <w:rPr>
                <w:webHidden/>
                <w:rStyle w:val="IndexLink"/>
                <w:rtl w:val="true"/>
              </w:rPr>
              <w:t>[</w:t>
            </w:r>
            <w:r>
              <w:rPr>
                <w:rStyle w:val="IndexLink"/>
                <w:rtl w:val="true"/>
              </w:rPr>
              <w:t>مسح الرجلين</w:t>
            </w:r>
            <w:r>
              <w:rPr>
                <w:rStyle w:val="IndexLink"/>
                <w:rtl w:val="true"/>
              </w:rPr>
              <w:t>]</w:t>
              <w:tab/>
            </w:r>
            <w:r>
              <w:rPr>
                <w:rStyle w:val="IndexLink"/>
              </w:rPr>
              <w:t>83</w:t>
            </w:r>
          </w:hyperlink>
        </w:p>
        <w:p>
          <w:pPr>
            <w:pStyle w:val="Contents4"/>
            <w:tabs>
              <w:tab w:val="clear" w:pos="8176"/>
              <w:tab w:val="right" w:pos="9026" w:leader="dot"/>
            </w:tabs>
            <w:rPr/>
          </w:pPr>
          <w:hyperlink w:anchor="__RefHeading___Toc2018376_1067777946">
            <w:r>
              <w:rPr>
                <w:webHidden/>
                <w:rStyle w:val="IndexLink"/>
                <w:rtl w:val="true"/>
              </w:rPr>
              <w:t>[</w:t>
            </w:r>
            <w:r>
              <w:rPr>
                <w:rStyle w:val="IndexLink"/>
                <w:rtl w:val="true"/>
              </w:rPr>
              <w:t>مسائل</w:t>
            </w:r>
            <w:r>
              <w:rPr>
                <w:rStyle w:val="IndexLink"/>
                <w:rtl w:val="true"/>
              </w:rPr>
              <w:t>:]</w:t>
              <w:tab/>
            </w:r>
            <w:r>
              <w:rPr>
                <w:rStyle w:val="IndexLink"/>
              </w:rPr>
              <w:t>84</w:t>
            </w:r>
          </w:hyperlink>
        </w:p>
        <w:p>
          <w:pPr>
            <w:pStyle w:val="Contents4"/>
            <w:tabs>
              <w:tab w:val="clear" w:pos="8176"/>
              <w:tab w:val="right" w:pos="9026" w:leader="dot"/>
            </w:tabs>
            <w:rPr/>
          </w:pPr>
          <w:hyperlink w:anchor="__RefHeading___Toc2018378_1067777946">
            <w:r>
              <w:rPr>
                <w:webHidden/>
                <w:rStyle w:val="IndexLink"/>
                <w:rtl w:val="true"/>
              </w:rPr>
              <w:t>[</w:t>
            </w:r>
            <w:r>
              <w:rPr>
                <w:rStyle w:val="IndexLink"/>
                <w:rtl w:val="true"/>
              </w:rPr>
              <w:t>سنن الوضوء</w:t>
            </w:r>
            <w:r>
              <w:rPr>
                <w:rStyle w:val="IndexLink"/>
                <w:rtl w:val="true"/>
              </w:rPr>
              <w:t>]</w:t>
              <w:tab/>
            </w:r>
            <w:r>
              <w:rPr>
                <w:rStyle w:val="IndexLink"/>
              </w:rPr>
              <w:t>85</w:t>
            </w:r>
          </w:hyperlink>
        </w:p>
        <w:p>
          <w:pPr>
            <w:pStyle w:val="Contents4"/>
            <w:tabs>
              <w:tab w:val="clear" w:pos="8176"/>
              <w:tab w:val="right" w:pos="9026" w:leader="dot"/>
            </w:tabs>
            <w:rPr/>
          </w:pPr>
          <w:hyperlink w:anchor="__RefHeading___Toc2018380_1067777946">
            <w:r>
              <w:rPr>
                <w:webHidden/>
                <w:rStyle w:val="IndexLink"/>
                <w:rtl w:val="true"/>
              </w:rPr>
              <w:t>[</w:t>
            </w:r>
            <w:r>
              <w:rPr>
                <w:rStyle w:val="IndexLink"/>
                <w:rtl w:val="true"/>
              </w:rPr>
              <w:t>أحكام الوضوء</w:t>
            </w:r>
            <w:r>
              <w:rPr>
                <w:rStyle w:val="IndexLink"/>
                <w:rtl w:val="true"/>
              </w:rPr>
              <w:t>]</w:t>
              <w:tab/>
            </w:r>
            <w:r>
              <w:rPr>
                <w:rStyle w:val="IndexLink"/>
              </w:rPr>
              <w:t>86</w:t>
            </w:r>
          </w:hyperlink>
        </w:p>
        <w:p>
          <w:pPr>
            <w:pStyle w:val="Contents3"/>
            <w:tabs>
              <w:tab w:val="clear" w:pos="8459"/>
              <w:tab w:val="right" w:pos="9026" w:leader="dot"/>
            </w:tabs>
            <w:rPr/>
          </w:pPr>
          <w:hyperlink w:anchor="__RefHeading___Toc2018382_1067777946">
            <w:r>
              <w:rPr>
                <w:webHidden/>
                <w:rStyle w:val="IndexLink"/>
                <w:rtl w:val="true"/>
              </w:rPr>
              <w:t>[</w:t>
            </w:r>
            <w:r>
              <w:rPr>
                <w:rStyle w:val="IndexLink"/>
                <w:rtl w:val="true"/>
              </w:rPr>
              <w:t>الغسل</w:t>
            </w:r>
            <w:r>
              <w:rPr>
                <w:rStyle w:val="IndexLink"/>
                <w:rtl w:val="true"/>
              </w:rPr>
              <w:t>]</w:t>
              <w:tab/>
            </w:r>
            <w:r>
              <w:rPr>
                <w:rStyle w:val="IndexLink"/>
              </w:rPr>
              <w:t>88</w:t>
            </w:r>
          </w:hyperlink>
        </w:p>
        <w:p>
          <w:pPr>
            <w:pStyle w:val="Contents4"/>
            <w:tabs>
              <w:tab w:val="clear" w:pos="8176"/>
              <w:tab w:val="right" w:pos="9026" w:leader="dot"/>
            </w:tabs>
            <w:rPr/>
          </w:pPr>
          <w:hyperlink w:anchor="__RefHeading___Toc2018384_1067777946">
            <w:r>
              <w:rPr>
                <w:webHidden/>
                <w:rStyle w:val="IndexLink"/>
                <w:rtl w:val="true"/>
              </w:rPr>
              <w:t>[</w:t>
            </w:r>
            <w:r>
              <w:rPr>
                <w:rStyle w:val="IndexLink"/>
                <w:rtl w:val="true"/>
              </w:rPr>
              <w:t>الفصل الأوّل في الجنابة</w:t>
            </w:r>
            <w:r>
              <w:rPr>
                <w:rStyle w:val="IndexLink"/>
                <w:rtl w:val="true"/>
              </w:rPr>
              <w:t>]</w:t>
              <w:tab/>
            </w:r>
            <w:r>
              <w:rPr>
                <w:rStyle w:val="IndexLink"/>
              </w:rPr>
              <w:t>88</w:t>
            </w:r>
          </w:hyperlink>
        </w:p>
        <w:p>
          <w:pPr>
            <w:pStyle w:val="Contents5"/>
            <w:tabs>
              <w:tab w:val="clear" w:pos="7892"/>
              <w:tab w:val="right" w:pos="9026" w:leader="dot"/>
            </w:tabs>
            <w:rPr/>
          </w:pPr>
          <w:hyperlink w:anchor="__RefHeading___Toc2018386_106777794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018388_1067777946">
            <w:r>
              <w:rPr>
                <w:webHidden/>
                <w:rStyle w:val="IndexLink"/>
                <w:rtl w:val="true"/>
              </w:rPr>
              <w:t>[</w:t>
            </w:r>
            <w:r>
              <w:rPr>
                <w:rStyle w:val="IndexLink"/>
                <w:rtl w:val="true"/>
              </w:rPr>
              <w:t>واجبات غسل الجنابة</w:t>
            </w:r>
            <w:r>
              <w:rPr>
                <w:rStyle w:val="IndexLink"/>
                <w:rtl w:val="true"/>
              </w:rPr>
              <w:t>]</w:t>
              <w:tab/>
            </w:r>
            <w:r>
              <w:rPr>
                <w:rStyle w:val="IndexLink"/>
              </w:rPr>
              <w:t>90</w:t>
            </w:r>
          </w:hyperlink>
        </w:p>
        <w:p>
          <w:pPr>
            <w:pStyle w:val="Contents4"/>
            <w:tabs>
              <w:tab w:val="clear" w:pos="8176"/>
              <w:tab w:val="right" w:pos="9026" w:leader="dot"/>
            </w:tabs>
            <w:rPr/>
          </w:pPr>
          <w:hyperlink w:anchor="__RefHeading___Toc2018390_1067777946">
            <w:r>
              <w:rPr>
                <w:webHidden/>
                <w:rStyle w:val="IndexLink"/>
                <w:rtl w:val="true"/>
              </w:rPr>
              <w:t>[</w:t>
            </w:r>
            <w:r>
              <w:rPr>
                <w:rStyle w:val="IndexLink"/>
                <w:rtl w:val="true"/>
              </w:rPr>
              <w:t>الفصل الثاني في الحيض</w:t>
            </w:r>
            <w:r>
              <w:rPr>
                <w:rStyle w:val="IndexLink"/>
                <w:rtl w:val="true"/>
              </w:rPr>
              <w:t>]</w:t>
              <w:tab/>
            </w:r>
            <w:r>
              <w:rPr>
                <w:rStyle w:val="IndexLink"/>
              </w:rPr>
              <w:t>91</w:t>
            </w:r>
          </w:hyperlink>
        </w:p>
        <w:p>
          <w:pPr>
            <w:pStyle w:val="Contents5"/>
            <w:tabs>
              <w:tab w:val="clear" w:pos="7892"/>
              <w:tab w:val="right" w:pos="9026" w:leader="dot"/>
            </w:tabs>
            <w:rPr/>
          </w:pPr>
          <w:hyperlink w:anchor="__RefHeading___Toc2018392_1067777946">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2018394_1067777946">
            <w:r>
              <w:rPr>
                <w:webHidden/>
                <w:rStyle w:val="IndexLink"/>
                <w:rtl w:val="true"/>
              </w:rPr>
              <w:t>[</w:t>
            </w:r>
            <w:r>
              <w:rPr>
                <w:rStyle w:val="IndexLink"/>
                <w:rtl w:val="true"/>
              </w:rPr>
              <w:t>مسائل خمس</w:t>
            </w:r>
            <w:r>
              <w:rPr>
                <w:rStyle w:val="IndexLink"/>
                <w:rtl w:val="true"/>
              </w:rPr>
              <w:t>:]</w:t>
              <w:tab/>
            </w:r>
            <w:r>
              <w:rPr>
                <w:rStyle w:val="IndexLink"/>
              </w:rPr>
              <w:t>93</w:t>
            </w:r>
          </w:hyperlink>
        </w:p>
        <w:p>
          <w:pPr>
            <w:pStyle w:val="Contents4"/>
            <w:tabs>
              <w:tab w:val="clear" w:pos="8176"/>
              <w:tab w:val="right" w:pos="9026" w:leader="dot"/>
            </w:tabs>
            <w:rPr/>
          </w:pPr>
          <w:hyperlink w:anchor="__RefHeading___Toc2018396_1067777946">
            <w:r>
              <w:rPr>
                <w:webHidden/>
                <w:rStyle w:val="IndexLink"/>
                <w:rtl w:val="true"/>
              </w:rPr>
              <w:t>[</w:t>
            </w:r>
            <w:r>
              <w:rPr>
                <w:rStyle w:val="IndexLink"/>
                <w:rtl w:val="true"/>
              </w:rPr>
              <w:t>الفصل الثالث في الاستحاضة</w:t>
            </w:r>
            <w:r>
              <w:rPr>
                <w:rStyle w:val="IndexLink"/>
                <w:rtl w:val="true"/>
              </w:rPr>
              <w:t>]</w:t>
              <w:tab/>
            </w:r>
            <w:r>
              <w:rPr>
                <w:rStyle w:val="IndexLink"/>
              </w:rPr>
              <w:t>94</w:t>
            </w:r>
          </w:hyperlink>
        </w:p>
        <w:p>
          <w:pPr>
            <w:pStyle w:val="Contents5"/>
            <w:tabs>
              <w:tab w:val="clear" w:pos="7892"/>
              <w:tab w:val="right" w:pos="9026" w:leader="dot"/>
            </w:tabs>
            <w:rPr/>
          </w:pPr>
          <w:hyperlink w:anchor="__RefHeading___Toc2018398_1067777946">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2018400_1067777946">
            <w:r>
              <w:rPr>
                <w:webHidden/>
                <w:rStyle w:val="IndexLink"/>
                <w:rtl w:val="true"/>
              </w:rPr>
              <w:t>[</w:t>
            </w:r>
            <w:r>
              <w:rPr>
                <w:rStyle w:val="IndexLink"/>
                <w:rtl w:val="true"/>
              </w:rPr>
              <w:t>أحكام الاستحاضة</w:t>
            </w:r>
            <w:r>
              <w:rPr>
                <w:rStyle w:val="IndexLink"/>
                <w:rtl w:val="true"/>
              </w:rPr>
              <w:t>]</w:t>
              <w:tab/>
            </w:r>
            <w:r>
              <w:rPr>
                <w:rStyle w:val="IndexLink"/>
              </w:rPr>
              <w:t>97</w:t>
            </w:r>
          </w:hyperlink>
        </w:p>
        <w:p>
          <w:pPr>
            <w:pStyle w:val="Contents4"/>
            <w:tabs>
              <w:tab w:val="clear" w:pos="8176"/>
              <w:tab w:val="right" w:pos="9026" w:leader="dot"/>
            </w:tabs>
            <w:rPr/>
          </w:pPr>
          <w:hyperlink w:anchor="__RefHeading___Toc2018402_1067777946">
            <w:r>
              <w:rPr>
                <w:webHidden/>
                <w:rStyle w:val="IndexLink"/>
                <w:rtl w:val="true"/>
              </w:rPr>
              <w:t>[</w:t>
            </w:r>
            <w:r>
              <w:rPr>
                <w:rStyle w:val="IndexLink"/>
                <w:rtl w:val="true"/>
              </w:rPr>
              <w:t>الفصل الرابع في النفاس</w:t>
            </w:r>
            <w:r>
              <w:rPr>
                <w:rStyle w:val="IndexLink"/>
                <w:rtl w:val="true"/>
              </w:rPr>
              <w:t>]</w:t>
              <w:tab/>
            </w:r>
            <w:r>
              <w:rPr>
                <w:rStyle w:val="IndexLink"/>
              </w:rPr>
              <w:t>98</w:t>
            </w:r>
          </w:hyperlink>
        </w:p>
        <w:p>
          <w:pPr>
            <w:pStyle w:val="Contents4"/>
            <w:tabs>
              <w:tab w:val="clear" w:pos="8176"/>
              <w:tab w:val="right" w:pos="9026" w:leader="dot"/>
            </w:tabs>
            <w:rPr/>
          </w:pPr>
          <w:hyperlink w:anchor="__RefHeading___Toc2018404_1067777946">
            <w:r>
              <w:rPr>
                <w:webHidden/>
                <w:rStyle w:val="IndexLink"/>
                <w:rtl w:val="true"/>
              </w:rPr>
              <w:t>[</w:t>
            </w:r>
            <w:r>
              <w:rPr>
                <w:rStyle w:val="IndexLink"/>
                <w:rtl w:val="true"/>
              </w:rPr>
              <w:t>الفصل الخامس في أحكام الميّت</w:t>
            </w:r>
            <w:r>
              <w:rPr>
                <w:rStyle w:val="IndexLink"/>
                <w:rtl w:val="true"/>
              </w:rPr>
              <w:t>]</w:t>
              <w:tab/>
            </w:r>
            <w:r>
              <w:rPr>
                <w:rStyle w:val="IndexLink"/>
              </w:rPr>
              <w:t>100</w:t>
            </w:r>
          </w:hyperlink>
        </w:p>
        <w:p>
          <w:pPr>
            <w:pStyle w:val="Contents5"/>
            <w:tabs>
              <w:tab w:val="clear" w:pos="7892"/>
              <w:tab w:val="right" w:pos="9026" w:leader="dot"/>
            </w:tabs>
            <w:rPr/>
          </w:pPr>
          <w:hyperlink w:anchor="__RefHeading___Toc2018406_1067777946">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018408_1067777946">
            <w:r>
              <w:rPr>
                <w:webHidden/>
                <w:rStyle w:val="IndexLink"/>
                <w:rtl w:val="true"/>
              </w:rPr>
              <w:t>[</w:t>
            </w:r>
            <w:r>
              <w:rPr>
                <w:rStyle w:val="IndexLink"/>
                <w:rtl w:val="true"/>
              </w:rPr>
              <w:t>في التغسيل</w:t>
            </w:r>
            <w:r>
              <w:rPr>
                <w:rStyle w:val="IndexLink"/>
                <w:rtl w:val="true"/>
              </w:rPr>
              <w:t>]</w:t>
              <w:tab/>
            </w:r>
            <w:r>
              <w:rPr>
                <w:rStyle w:val="IndexLink"/>
              </w:rPr>
              <w:t>100</w:t>
            </w:r>
          </w:hyperlink>
        </w:p>
        <w:p>
          <w:pPr>
            <w:pStyle w:val="Contents5"/>
            <w:tabs>
              <w:tab w:val="clear" w:pos="7892"/>
              <w:tab w:val="right" w:pos="9026" w:leader="dot"/>
            </w:tabs>
            <w:rPr/>
          </w:pPr>
          <w:hyperlink w:anchor="__RefHeading___Toc2018410_1067777946">
            <w:r>
              <w:rPr>
                <w:webHidden/>
                <w:rStyle w:val="IndexLink"/>
                <w:rtl w:val="true"/>
              </w:rPr>
              <w:t>[</w:t>
            </w:r>
            <w:r>
              <w:rPr>
                <w:rStyle w:val="IndexLink"/>
                <w:rtl w:val="true"/>
              </w:rPr>
              <w:t>في التكفين</w:t>
            </w:r>
            <w:r>
              <w:rPr>
                <w:rStyle w:val="IndexLink"/>
                <w:rtl w:val="true"/>
              </w:rPr>
              <w:t>]</w:t>
              <w:tab/>
            </w:r>
            <w:r>
              <w:rPr>
                <w:rStyle w:val="IndexLink"/>
              </w:rPr>
              <w:t>103</w:t>
            </w:r>
          </w:hyperlink>
        </w:p>
        <w:p>
          <w:pPr>
            <w:pStyle w:val="Contents5"/>
            <w:tabs>
              <w:tab w:val="clear" w:pos="7892"/>
              <w:tab w:val="right" w:pos="9026" w:leader="dot"/>
            </w:tabs>
            <w:rPr/>
          </w:pPr>
          <w:hyperlink w:anchor="__RefHeading___Toc2018412_1067777946">
            <w:r>
              <w:rPr>
                <w:webHidden/>
                <w:rStyle w:val="IndexLink"/>
                <w:rtl w:val="true"/>
              </w:rPr>
              <w:t>[</w:t>
            </w:r>
            <w:r>
              <w:rPr>
                <w:rStyle w:val="IndexLink"/>
                <w:rtl w:val="true"/>
              </w:rPr>
              <w:t>في مواراة الميّت في الأرض</w:t>
            </w:r>
            <w:r>
              <w:rPr>
                <w:rStyle w:val="IndexLink"/>
                <w:rtl w:val="true"/>
              </w:rPr>
              <w:t>]</w:t>
              <w:tab/>
            </w:r>
            <w:r>
              <w:rPr>
                <w:rStyle w:val="IndexLink"/>
              </w:rPr>
              <w:t>106</w:t>
            </w:r>
          </w:hyperlink>
        </w:p>
        <w:p>
          <w:pPr>
            <w:pStyle w:val="Contents5"/>
            <w:tabs>
              <w:tab w:val="clear" w:pos="7892"/>
              <w:tab w:val="right" w:pos="9026" w:leader="dot"/>
            </w:tabs>
            <w:rPr/>
          </w:pPr>
          <w:hyperlink w:anchor="__RefHeading___Toc2018414_1067777946">
            <w:r>
              <w:rPr>
                <w:webHidden/>
                <w:rStyle w:val="IndexLink"/>
                <w:rtl w:val="true"/>
              </w:rPr>
              <w:t>[</w:t>
            </w:r>
            <w:r>
              <w:rPr>
                <w:rStyle w:val="IndexLink"/>
                <w:rtl w:val="true"/>
              </w:rPr>
              <w:t>في لواحق الدفن</w:t>
            </w:r>
            <w:r>
              <w:rPr>
                <w:rStyle w:val="IndexLink"/>
                <w:rtl w:val="true"/>
              </w:rPr>
              <w:t>]</w:t>
              <w:tab/>
            </w:r>
            <w:r>
              <w:rPr>
                <w:rStyle w:val="IndexLink"/>
              </w:rPr>
              <w:t>109</w:t>
            </w:r>
          </w:hyperlink>
        </w:p>
        <w:p>
          <w:pPr>
            <w:pStyle w:val="Contents4"/>
            <w:tabs>
              <w:tab w:val="clear" w:pos="8176"/>
              <w:tab w:val="right" w:pos="9026" w:leader="dot"/>
            </w:tabs>
            <w:rPr/>
          </w:pPr>
          <w:hyperlink w:anchor="__RefHeading___Toc2018416_1067777946">
            <w:r>
              <w:rPr>
                <w:webHidden/>
                <w:rStyle w:val="IndexLink"/>
                <w:rtl w:val="true"/>
              </w:rPr>
              <w:t>[</w:t>
            </w:r>
            <w:r>
              <w:rPr>
                <w:rStyle w:val="IndexLink"/>
                <w:rtl w:val="true"/>
              </w:rPr>
              <w:t>الأغسال المسنونة</w:t>
            </w:r>
            <w:r>
              <w:rPr>
                <w:rStyle w:val="IndexLink"/>
                <w:rtl w:val="true"/>
              </w:rPr>
              <w:t>]</w:t>
              <w:tab/>
            </w:r>
            <w:r>
              <w:rPr>
                <w:rStyle w:val="IndexLink"/>
              </w:rPr>
              <w:t>110</w:t>
            </w:r>
          </w:hyperlink>
        </w:p>
        <w:p>
          <w:pPr>
            <w:pStyle w:val="Contents3"/>
            <w:tabs>
              <w:tab w:val="clear" w:pos="8459"/>
              <w:tab w:val="right" w:pos="9026" w:leader="dot"/>
            </w:tabs>
            <w:rPr/>
          </w:pPr>
          <w:hyperlink w:anchor="__RefHeading___Toc2018418_1067777946">
            <w:r>
              <w:rPr>
                <w:webHidden/>
                <w:rStyle w:val="IndexLink"/>
                <w:rtl w:val="true"/>
              </w:rPr>
              <w:t>[</w:t>
            </w:r>
            <w:r>
              <w:rPr>
                <w:rStyle w:val="IndexLink"/>
                <w:rtl w:val="true"/>
              </w:rPr>
              <w:t>الركن الثالث في الطهارة الترابيّة</w:t>
            </w:r>
            <w:r>
              <w:rPr>
                <w:rStyle w:val="IndexLink"/>
                <w:rtl w:val="true"/>
              </w:rPr>
              <w:t>]</w:t>
              <w:tab/>
            </w:r>
            <w:r>
              <w:rPr>
                <w:rStyle w:val="IndexLink"/>
              </w:rPr>
              <w:t>111</w:t>
            </w:r>
          </w:hyperlink>
        </w:p>
        <w:p>
          <w:pPr>
            <w:pStyle w:val="Contents4"/>
            <w:tabs>
              <w:tab w:val="clear" w:pos="8176"/>
              <w:tab w:val="right" w:pos="9026" w:leader="dot"/>
            </w:tabs>
            <w:rPr/>
          </w:pPr>
          <w:hyperlink w:anchor="__RefHeading___Toc2018420_1067777946">
            <w:r>
              <w:rPr>
                <w:webHidden/>
                <w:rStyle w:val="IndexLink"/>
                <w:rtl w:val="true"/>
              </w:rPr>
              <w:t>[</w:t>
            </w:r>
            <w:r>
              <w:rPr>
                <w:rStyle w:val="IndexLink"/>
                <w:rtl w:val="true"/>
              </w:rPr>
              <w:t>الطرف الأوّل فيما يصحّ معه التيمّم</w:t>
            </w:r>
            <w:r>
              <w:rPr>
                <w:rStyle w:val="IndexLink"/>
                <w:rtl w:val="true"/>
              </w:rPr>
              <w:t>]</w:t>
              <w:tab/>
            </w:r>
            <w:r>
              <w:rPr>
                <w:rStyle w:val="IndexLink"/>
              </w:rPr>
              <w:t>111</w:t>
            </w:r>
          </w:hyperlink>
        </w:p>
        <w:p>
          <w:pPr>
            <w:pStyle w:val="Contents4"/>
            <w:tabs>
              <w:tab w:val="clear" w:pos="8176"/>
              <w:tab w:val="right" w:pos="9026" w:leader="dot"/>
            </w:tabs>
            <w:rPr/>
          </w:pPr>
          <w:hyperlink w:anchor="__RefHeading___Toc2018422_1067777946">
            <w:r>
              <w:rPr>
                <w:webHidden/>
                <w:rStyle w:val="IndexLink"/>
                <w:rtl w:val="true"/>
              </w:rPr>
              <w:t>[</w:t>
            </w:r>
            <w:r>
              <w:rPr>
                <w:rStyle w:val="IndexLink"/>
                <w:rtl w:val="true"/>
              </w:rPr>
              <w:t>الطرف الثاني فيما يجوز التيمّم به</w:t>
            </w:r>
            <w:r>
              <w:rPr>
                <w:rStyle w:val="IndexLink"/>
                <w:rtl w:val="true"/>
              </w:rPr>
              <w:t>]</w:t>
              <w:tab/>
            </w:r>
            <w:r>
              <w:rPr>
                <w:rStyle w:val="IndexLink"/>
              </w:rPr>
              <w:t>112</w:t>
            </w:r>
          </w:hyperlink>
        </w:p>
        <w:p>
          <w:pPr>
            <w:pStyle w:val="Contents4"/>
            <w:tabs>
              <w:tab w:val="clear" w:pos="8176"/>
              <w:tab w:val="right" w:pos="9026" w:leader="dot"/>
            </w:tabs>
            <w:rPr/>
          </w:pPr>
          <w:hyperlink w:anchor="__RefHeading___Toc2018424_1067777946">
            <w:r>
              <w:rPr>
                <w:webHidden/>
                <w:rStyle w:val="IndexLink"/>
                <w:rtl w:val="true"/>
              </w:rPr>
              <w:t>[</w:t>
            </w:r>
            <w:r>
              <w:rPr>
                <w:rStyle w:val="IndexLink"/>
                <w:rtl w:val="true"/>
              </w:rPr>
              <w:t>الطرف الثالث في كيفيّة التيمّم</w:t>
            </w:r>
            <w:r>
              <w:rPr>
                <w:rStyle w:val="IndexLink"/>
                <w:rtl w:val="true"/>
              </w:rPr>
              <w:t>]</w:t>
              <w:tab/>
            </w:r>
            <w:r>
              <w:rPr>
                <w:rStyle w:val="IndexLink"/>
              </w:rPr>
              <w:t>113</w:t>
            </w:r>
          </w:hyperlink>
        </w:p>
        <w:p>
          <w:pPr>
            <w:pStyle w:val="Contents4"/>
            <w:tabs>
              <w:tab w:val="clear" w:pos="8176"/>
              <w:tab w:val="right" w:pos="9026" w:leader="dot"/>
            </w:tabs>
            <w:rPr/>
          </w:pPr>
          <w:hyperlink w:anchor="__RefHeading___Toc2018426_1067777946">
            <w:r>
              <w:rPr>
                <w:webHidden/>
                <w:rStyle w:val="IndexLink"/>
                <w:rtl w:val="true"/>
              </w:rPr>
              <w:t>[</w:t>
            </w:r>
            <w:r>
              <w:rPr>
                <w:rStyle w:val="IndexLink"/>
                <w:rtl w:val="true"/>
              </w:rPr>
              <w:t>الطرف الرابع في أحكام التيمّم</w:t>
            </w:r>
            <w:r>
              <w:rPr>
                <w:rStyle w:val="IndexLink"/>
                <w:rtl w:val="true"/>
              </w:rPr>
              <w:t>]</w:t>
              <w:tab/>
            </w:r>
            <w:r>
              <w:rPr>
                <w:rStyle w:val="IndexLink"/>
              </w:rPr>
              <w:t>114</w:t>
            </w:r>
          </w:hyperlink>
        </w:p>
        <w:p>
          <w:pPr>
            <w:pStyle w:val="Contents3"/>
            <w:tabs>
              <w:tab w:val="clear" w:pos="8459"/>
              <w:tab w:val="right" w:pos="9026" w:leader="dot"/>
            </w:tabs>
            <w:rPr/>
          </w:pPr>
          <w:hyperlink w:anchor="__RefHeading___Toc2018428_1067777946">
            <w:r>
              <w:rPr>
                <w:webHidden/>
                <w:rStyle w:val="IndexLink"/>
                <w:rtl w:val="true"/>
              </w:rPr>
              <w:t>[</w:t>
            </w:r>
            <w:r>
              <w:rPr>
                <w:rStyle w:val="IndexLink"/>
                <w:rtl w:val="true"/>
              </w:rPr>
              <w:t>الركن الرابع في النجاسات</w:t>
            </w:r>
            <w:r>
              <w:rPr>
                <w:rStyle w:val="IndexLink"/>
                <w:rtl w:val="true"/>
              </w:rPr>
              <w:t>]</w:t>
              <w:tab/>
            </w:r>
            <w:r>
              <w:rPr>
                <w:rStyle w:val="IndexLink"/>
              </w:rPr>
              <w:t>116</w:t>
            </w:r>
          </w:hyperlink>
        </w:p>
        <w:p>
          <w:pPr>
            <w:pStyle w:val="Contents4"/>
            <w:tabs>
              <w:tab w:val="clear" w:pos="8176"/>
              <w:tab w:val="right" w:pos="9026" w:leader="dot"/>
            </w:tabs>
            <w:rPr/>
          </w:pPr>
          <w:hyperlink w:anchor="__RefHeading___Toc2018430_1067777946">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018432_1067777946">
            <w:r>
              <w:rPr>
                <w:webHidden/>
                <w:rStyle w:val="IndexLink"/>
                <w:rtl w:val="true"/>
              </w:rPr>
              <w:t>[</w:t>
            </w:r>
            <w:r>
              <w:rPr>
                <w:rStyle w:val="IndexLink"/>
                <w:rtl w:val="true"/>
              </w:rPr>
              <w:t>القول في أحكام النجاسات</w:t>
            </w:r>
            <w:r>
              <w:rPr>
                <w:rStyle w:val="IndexLink"/>
                <w:rtl w:val="true"/>
              </w:rPr>
              <w:t>]</w:t>
              <w:tab/>
            </w:r>
            <w:r>
              <w:rPr>
                <w:rStyle w:val="IndexLink"/>
              </w:rPr>
              <w:t>117</w:t>
            </w:r>
          </w:hyperlink>
        </w:p>
        <w:p>
          <w:pPr>
            <w:pStyle w:val="Contents4"/>
            <w:tabs>
              <w:tab w:val="clear" w:pos="8176"/>
              <w:tab w:val="right" w:pos="9026" w:leader="dot"/>
            </w:tabs>
            <w:rPr/>
          </w:pPr>
          <w:hyperlink w:anchor="__RefHeading___Toc2018434_1067777946">
            <w:r>
              <w:rPr>
                <w:webHidden/>
                <w:rStyle w:val="IndexLink"/>
                <w:rtl w:val="true"/>
              </w:rPr>
              <w:t>[</w:t>
            </w:r>
            <w:r>
              <w:rPr>
                <w:rStyle w:val="IndexLink"/>
                <w:rtl w:val="true"/>
              </w:rPr>
              <w:t>القول في الآنية</w:t>
            </w:r>
            <w:r>
              <w:rPr>
                <w:rStyle w:val="IndexLink"/>
                <w:rtl w:val="true"/>
              </w:rPr>
              <w:t>]</w:t>
              <w:tab/>
            </w:r>
            <w:r>
              <w:rPr>
                <w:rStyle w:val="IndexLink"/>
              </w:rPr>
              <w:t>120</w:t>
            </w:r>
          </w:hyperlink>
        </w:p>
        <w:p>
          <w:pPr>
            <w:pStyle w:val="Contents2"/>
            <w:tabs>
              <w:tab w:val="clear" w:pos="8743"/>
              <w:tab w:val="right" w:pos="9026" w:leader="dot"/>
            </w:tabs>
            <w:rPr/>
          </w:pPr>
          <w:hyperlink w:anchor="__RefHeading___Toc2018436_1067777946">
            <w:r>
              <w:rPr>
                <w:webHidden/>
                <w:rStyle w:val="IndexLink"/>
                <w:rtl w:val="true"/>
              </w:rPr>
              <w:t>كتاب الصلاة</w:t>
            </w:r>
            <w:r>
              <w:rPr>
                <w:rStyle w:val="IndexLink"/>
                <w:rtl w:val="true"/>
              </w:rPr>
              <w:tab/>
            </w:r>
            <w:r>
              <w:rPr>
                <w:rStyle w:val="IndexLink"/>
              </w:rPr>
              <w:t>123</w:t>
            </w:r>
          </w:hyperlink>
        </w:p>
        <w:p>
          <w:pPr>
            <w:pStyle w:val="Contents3"/>
            <w:tabs>
              <w:tab w:val="clear" w:pos="8459"/>
              <w:tab w:val="right" w:pos="9026" w:leader="dot"/>
            </w:tabs>
            <w:rPr/>
          </w:pPr>
          <w:hyperlink w:anchor="__RefHeading___Toc2018438_1067777946">
            <w:r>
              <w:rPr>
                <w:webHidden/>
                <w:rStyle w:val="IndexLink"/>
                <w:rtl w:val="true"/>
              </w:rPr>
              <w:t>[</w:t>
            </w:r>
            <w:r>
              <w:rPr>
                <w:rStyle w:val="IndexLink"/>
                <w:rtl w:val="true"/>
              </w:rPr>
              <w:t>الركن الأوّل في المقدّمات</w:t>
            </w:r>
            <w:r>
              <w:rPr>
                <w:rStyle w:val="IndexLink"/>
                <w:rtl w:val="true"/>
              </w:rPr>
              <w:t>]</w:t>
              <w:tab/>
            </w:r>
            <w:r>
              <w:rPr>
                <w:rStyle w:val="IndexLink"/>
              </w:rPr>
              <w:t>123</w:t>
            </w:r>
          </w:hyperlink>
        </w:p>
        <w:p>
          <w:pPr>
            <w:pStyle w:val="Contents4"/>
            <w:tabs>
              <w:tab w:val="clear" w:pos="8176"/>
              <w:tab w:val="right" w:pos="9026" w:leader="dot"/>
            </w:tabs>
            <w:rPr/>
          </w:pPr>
          <w:hyperlink w:anchor="__RefHeading___Toc2018440_1067777946">
            <w:r>
              <w:rPr>
                <w:webHidden/>
                <w:rStyle w:val="IndexLink"/>
                <w:rtl w:val="true"/>
              </w:rPr>
              <w:t>[</w:t>
            </w:r>
            <w:r>
              <w:rPr>
                <w:rStyle w:val="IndexLink"/>
                <w:rtl w:val="true"/>
              </w:rPr>
              <w:t>المقدّمة الأُولى في أعداد الصلاة</w:t>
            </w:r>
            <w:r>
              <w:rPr>
                <w:rStyle w:val="IndexLink"/>
                <w:rtl w:val="true"/>
              </w:rPr>
              <w:t>]</w:t>
              <w:tab/>
            </w:r>
            <w:r>
              <w:rPr>
                <w:rStyle w:val="IndexLink"/>
              </w:rPr>
              <w:t>123</w:t>
            </w:r>
          </w:hyperlink>
        </w:p>
        <w:p>
          <w:pPr>
            <w:pStyle w:val="Contents4"/>
            <w:tabs>
              <w:tab w:val="clear" w:pos="8176"/>
              <w:tab w:val="right" w:pos="9026" w:leader="dot"/>
            </w:tabs>
            <w:rPr/>
          </w:pPr>
          <w:hyperlink w:anchor="__RefHeading___Toc2018442_1067777946">
            <w:r>
              <w:rPr>
                <w:webHidden/>
                <w:rStyle w:val="IndexLink"/>
                <w:rtl w:val="true"/>
              </w:rPr>
              <w:t>[</w:t>
            </w:r>
            <w:r>
              <w:rPr>
                <w:rStyle w:val="IndexLink"/>
                <w:rtl w:val="true"/>
              </w:rPr>
              <w:t>المقدّمة الثانية في المواقيت</w:t>
            </w:r>
            <w:r>
              <w:rPr>
                <w:rStyle w:val="IndexLink"/>
                <w:rtl w:val="true"/>
              </w:rPr>
              <w:t>]</w:t>
              <w:tab/>
            </w:r>
            <w:r>
              <w:rPr>
                <w:rStyle w:val="IndexLink"/>
              </w:rPr>
              <w:t>123</w:t>
            </w:r>
          </w:hyperlink>
        </w:p>
        <w:p>
          <w:pPr>
            <w:pStyle w:val="Contents5"/>
            <w:tabs>
              <w:tab w:val="clear" w:pos="7892"/>
              <w:tab w:val="right" w:pos="9026" w:leader="dot"/>
            </w:tabs>
            <w:rPr/>
          </w:pPr>
          <w:hyperlink w:anchor="__RefHeading___Toc2018444_1067777946">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2018446_1067777946">
            <w:r>
              <w:rPr>
                <w:webHidden/>
                <w:rStyle w:val="IndexLink"/>
                <w:rtl w:val="true"/>
              </w:rPr>
              <w:t>[</w:t>
            </w:r>
            <w:r>
              <w:rPr>
                <w:rStyle w:val="IndexLink"/>
                <w:rtl w:val="true"/>
              </w:rPr>
              <w:t>وقت النوافل اليوميّة</w:t>
            </w:r>
            <w:r>
              <w:rPr>
                <w:rStyle w:val="IndexLink"/>
                <w:rtl w:val="true"/>
              </w:rPr>
              <w:t>]</w:t>
              <w:tab/>
            </w:r>
            <w:r>
              <w:rPr>
                <w:rStyle w:val="IndexLink"/>
              </w:rPr>
              <w:t>126</w:t>
            </w:r>
          </w:hyperlink>
        </w:p>
        <w:p>
          <w:pPr>
            <w:pStyle w:val="Contents5"/>
            <w:tabs>
              <w:tab w:val="clear" w:pos="7892"/>
              <w:tab w:val="right" w:pos="9026" w:leader="dot"/>
            </w:tabs>
            <w:rPr/>
          </w:pPr>
          <w:hyperlink w:anchor="__RefHeading___Toc2018448_1067777946">
            <w:r>
              <w:rPr>
                <w:webHidden/>
                <w:rStyle w:val="IndexLink"/>
                <w:rtl w:val="true"/>
              </w:rPr>
              <w:t>[</w:t>
            </w:r>
            <w:r>
              <w:rPr>
                <w:rStyle w:val="IndexLink"/>
                <w:rtl w:val="true"/>
              </w:rPr>
              <w:t>أحكام مواقيت الصلاة</w:t>
            </w:r>
            <w:r>
              <w:rPr>
                <w:rStyle w:val="IndexLink"/>
                <w:rtl w:val="true"/>
              </w:rPr>
              <w:t>]</w:t>
              <w:tab/>
            </w:r>
            <w:r>
              <w:rPr>
                <w:rStyle w:val="IndexLink"/>
              </w:rPr>
              <w:t>127</w:t>
            </w:r>
          </w:hyperlink>
        </w:p>
        <w:p>
          <w:pPr>
            <w:pStyle w:val="Contents4"/>
            <w:tabs>
              <w:tab w:val="clear" w:pos="8176"/>
              <w:tab w:val="right" w:pos="9026" w:leader="dot"/>
            </w:tabs>
            <w:rPr/>
          </w:pPr>
          <w:hyperlink w:anchor="__RefHeading___Toc2018450_1067777946">
            <w:r>
              <w:rPr>
                <w:webHidden/>
                <w:rStyle w:val="IndexLink"/>
                <w:rtl w:val="true"/>
              </w:rPr>
              <w:t>[</w:t>
            </w:r>
            <w:r>
              <w:rPr>
                <w:rStyle w:val="IndexLink"/>
                <w:rtl w:val="true"/>
              </w:rPr>
              <w:t>المقدّمة الثالثة في القبلة</w:t>
            </w:r>
            <w:r>
              <w:rPr>
                <w:rStyle w:val="IndexLink"/>
                <w:rtl w:val="true"/>
              </w:rPr>
              <w:t>]</w:t>
              <w:tab/>
            </w:r>
            <w:r>
              <w:rPr>
                <w:rStyle w:val="IndexLink"/>
              </w:rPr>
              <w:t>129</w:t>
            </w:r>
          </w:hyperlink>
        </w:p>
        <w:p>
          <w:pPr>
            <w:pStyle w:val="Contents5"/>
            <w:tabs>
              <w:tab w:val="clear" w:pos="7892"/>
              <w:tab w:val="right" w:pos="9026" w:leader="dot"/>
            </w:tabs>
            <w:rPr/>
          </w:pPr>
          <w:hyperlink w:anchor="__RefHeading___Toc2018452_1067777946">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018454_1067777946">
            <w:r>
              <w:rPr>
                <w:webHidden/>
                <w:rStyle w:val="IndexLink"/>
                <w:rtl w:val="true"/>
              </w:rPr>
              <w:t>[</w:t>
            </w:r>
            <w:r>
              <w:rPr>
                <w:rStyle w:val="IndexLink"/>
                <w:rtl w:val="true"/>
              </w:rPr>
              <w:t>المستقبِل</w:t>
            </w:r>
            <w:r>
              <w:rPr>
                <w:rStyle w:val="IndexLink"/>
                <w:rtl w:val="true"/>
              </w:rPr>
              <w:t>]</w:t>
              <w:tab/>
            </w:r>
            <w:r>
              <w:rPr>
                <w:rStyle w:val="IndexLink"/>
              </w:rPr>
              <w:t>131</w:t>
            </w:r>
          </w:hyperlink>
        </w:p>
        <w:p>
          <w:pPr>
            <w:pStyle w:val="Contents5"/>
            <w:tabs>
              <w:tab w:val="clear" w:pos="7892"/>
              <w:tab w:val="right" w:pos="9026" w:leader="dot"/>
            </w:tabs>
            <w:rPr/>
          </w:pPr>
          <w:hyperlink w:anchor="__RefHeading___Toc2018456_1067777946">
            <w:r>
              <w:rPr>
                <w:webHidden/>
                <w:rStyle w:val="IndexLink"/>
                <w:rtl w:val="true"/>
              </w:rPr>
              <w:t>[</w:t>
            </w:r>
            <w:r>
              <w:rPr>
                <w:rStyle w:val="IndexLink"/>
                <w:rtl w:val="true"/>
              </w:rPr>
              <w:t>في أحكام الخلل في الاستقبال</w:t>
            </w:r>
            <w:r>
              <w:rPr>
                <w:rStyle w:val="IndexLink"/>
                <w:rtl w:val="true"/>
              </w:rPr>
              <w:t>]</w:t>
              <w:tab/>
            </w:r>
            <w:r>
              <w:rPr>
                <w:rStyle w:val="IndexLink"/>
              </w:rPr>
              <w:t>132</w:t>
            </w:r>
          </w:hyperlink>
        </w:p>
        <w:p>
          <w:pPr>
            <w:pStyle w:val="Contents4"/>
            <w:tabs>
              <w:tab w:val="clear" w:pos="8176"/>
              <w:tab w:val="right" w:pos="9026" w:leader="dot"/>
            </w:tabs>
            <w:rPr/>
          </w:pPr>
          <w:hyperlink w:anchor="__RefHeading___Toc2018458_1067777946">
            <w:r>
              <w:rPr>
                <w:webHidden/>
                <w:rStyle w:val="IndexLink"/>
                <w:rtl w:val="true"/>
              </w:rPr>
              <w:t>[</w:t>
            </w:r>
            <w:r>
              <w:rPr>
                <w:rStyle w:val="IndexLink"/>
                <w:rtl w:val="true"/>
              </w:rPr>
              <w:t>المقدّمة الرابعة في لباس المصلّي</w:t>
            </w:r>
            <w:r>
              <w:rPr>
                <w:rStyle w:val="IndexLink"/>
                <w:rtl w:val="true"/>
              </w:rPr>
              <w:t>]</w:t>
              <w:tab/>
            </w:r>
            <w:r>
              <w:rPr>
                <w:rStyle w:val="IndexLink"/>
              </w:rPr>
              <w:t>133</w:t>
            </w:r>
          </w:hyperlink>
        </w:p>
        <w:p>
          <w:pPr>
            <w:pStyle w:val="Contents4"/>
            <w:tabs>
              <w:tab w:val="clear" w:pos="8176"/>
              <w:tab w:val="right" w:pos="9026" w:leader="dot"/>
            </w:tabs>
            <w:rPr/>
          </w:pPr>
          <w:hyperlink w:anchor="__RefHeading___Toc2018460_1067777946">
            <w:r>
              <w:rPr>
                <w:webHidden/>
                <w:rStyle w:val="IndexLink"/>
                <w:rtl w:val="true"/>
              </w:rPr>
              <w:t>[</w:t>
            </w:r>
            <w:r>
              <w:rPr>
                <w:rStyle w:val="IndexLink"/>
                <w:rtl w:val="true"/>
              </w:rPr>
              <w:t>المقدّمة الخامسة في مكان المصلّي</w:t>
            </w:r>
            <w:r>
              <w:rPr>
                <w:rStyle w:val="IndexLink"/>
                <w:rtl w:val="true"/>
              </w:rPr>
              <w:t>]</w:t>
              <w:tab/>
            </w:r>
            <w:r>
              <w:rPr>
                <w:rStyle w:val="IndexLink"/>
              </w:rPr>
              <w:t>137</w:t>
            </w:r>
          </w:hyperlink>
        </w:p>
        <w:p>
          <w:pPr>
            <w:pStyle w:val="Contents4"/>
            <w:tabs>
              <w:tab w:val="clear" w:pos="8176"/>
              <w:tab w:val="right" w:pos="9026" w:leader="dot"/>
            </w:tabs>
            <w:rPr/>
          </w:pPr>
          <w:hyperlink w:anchor="__RefHeading___Toc2018462_1067777946">
            <w:r>
              <w:rPr>
                <w:webHidden/>
                <w:rStyle w:val="IndexLink"/>
                <w:rtl w:val="true"/>
              </w:rPr>
              <w:t>[</w:t>
            </w:r>
            <w:r>
              <w:rPr>
                <w:rStyle w:val="IndexLink"/>
                <w:rtl w:val="true"/>
              </w:rPr>
              <w:t>المقدّمة السادسة فيما يُسْجَد عليه</w:t>
            </w:r>
            <w:r>
              <w:rPr>
                <w:rStyle w:val="IndexLink"/>
                <w:rtl w:val="true"/>
              </w:rPr>
              <w:t>]</w:t>
              <w:tab/>
            </w:r>
            <w:r>
              <w:rPr>
                <w:rStyle w:val="IndexLink"/>
              </w:rPr>
              <w:t>139</w:t>
            </w:r>
          </w:hyperlink>
        </w:p>
        <w:p>
          <w:pPr>
            <w:pStyle w:val="Contents4"/>
            <w:tabs>
              <w:tab w:val="clear" w:pos="8176"/>
              <w:tab w:val="right" w:pos="9026" w:leader="dot"/>
            </w:tabs>
            <w:rPr/>
          </w:pPr>
          <w:hyperlink w:anchor="__RefHeading___Toc2018464_1067777946">
            <w:r>
              <w:rPr>
                <w:webHidden/>
                <w:rStyle w:val="IndexLink"/>
                <w:rtl w:val="true"/>
              </w:rPr>
              <w:t>[</w:t>
            </w:r>
            <w:r>
              <w:rPr>
                <w:rStyle w:val="IndexLink"/>
                <w:rtl w:val="true"/>
              </w:rPr>
              <w:t>المقدّمة السابعة في الأذان والإقامة</w:t>
            </w:r>
            <w:r>
              <w:rPr>
                <w:rStyle w:val="IndexLink"/>
                <w:rtl w:val="true"/>
              </w:rPr>
              <w:t>]</w:t>
              <w:tab/>
            </w:r>
            <w:r>
              <w:rPr>
                <w:rStyle w:val="IndexLink"/>
              </w:rPr>
              <w:t>140</w:t>
            </w:r>
          </w:hyperlink>
        </w:p>
        <w:p>
          <w:pPr>
            <w:pStyle w:val="Contents5"/>
            <w:tabs>
              <w:tab w:val="clear" w:pos="7892"/>
              <w:tab w:val="right" w:pos="9026" w:leader="dot"/>
            </w:tabs>
            <w:rPr/>
          </w:pPr>
          <w:hyperlink w:anchor="__RefHeading___Toc2018466_1067777946">
            <w:r>
              <w:rPr>
                <w:webHidden/>
                <w:rStyle w:val="IndexLink"/>
                <w:rtl w:val="true"/>
              </w:rPr>
              <w:t>[</w:t>
            </w:r>
            <w:r>
              <w:rPr>
                <w:rStyle w:val="IndexLink"/>
                <w:rtl w:val="true"/>
              </w:rPr>
              <w:t>في ما يُؤذّن له ويُقام</w:t>
            </w:r>
            <w:r>
              <w:rPr>
                <w:rStyle w:val="IndexLink"/>
                <w:rtl w:val="true"/>
              </w:rPr>
              <w:t>]</w:t>
              <w:tab/>
            </w:r>
            <w:r>
              <w:rPr>
                <w:rStyle w:val="IndexLink"/>
              </w:rPr>
              <w:t>140</w:t>
            </w:r>
          </w:hyperlink>
        </w:p>
        <w:p>
          <w:pPr>
            <w:pStyle w:val="Contents5"/>
            <w:tabs>
              <w:tab w:val="clear" w:pos="7892"/>
              <w:tab w:val="right" w:pos="9026" w:leader="dot"/>
            </w:tabs>
            <w:rPr/>
          </w:pPr>
          <w:hyperlink w:anchor="__RefHeading___Toc2018468_1067777946">
            <w:r>
              <w:rPr>
                <w:webHidden/>
                <w:rStyle w:val="IndexLink"/>
                <w:rtl w:val="true"/>
              </w:rPr>
              <w:t>[</w:t>
            </w:r>
            <w:r>
              <w:rPr>
                <w:rStyle w:val="IndexLink"/>
                <w:rtl w:val="true"/>
              </w:rPr>
              <w:t>في كيفيّة الأذان</w:t>
            </w:r>
            <w:r>
              <w:rPr>
                <w:rStyle w:val="IndexLink"/>
                <w:rtl w:val="true"/>
              </w:rPr>
              <w:t>]</w:t>
              <w:tab/>
            </w:r>
            <w:r>
              <w:rPr>
                <w:rStyle w:val="IndexLink"/>
              </w:rPr>
              <w:t>142</w:t>
            </w:r>
          </w:hyperlink>
        </w:p>
        <w:p>
          <w:pPr>
            <w:pStyle w:val="Contents5"/>
            <w:tabs>
              <w:tab w:val="clear" w:pos="7892"/>
              <w:tab w:val="right" w:pos="9026" w:leader="dot"/>
            </w:tabs>
            <w:rPr/>
          </w:pPr>
          <w:hyperlink w:anchor="__RefHeading___Toc2018470_1067777946">
            <w:r>
              <w:rPr>
                <w:webHidden/>
                <w:rStyle w:val="IndexLink"/>
                <w:rtl w:val="true"/>
              </w:rPr>
              <w:t>[</w:t>
            </w:r>
            <w:r>
              <w:rPr>
                <w:rStyle w:val="IndexLink"/>
                <w:rtl w:val="true"/>
              </w:rPr>
              <w:t>في أحكام الأذان</w:t>
            </w:r>
            <w:r>
              <w:rPr>
                <w:rStyle w:val="IndexLink"/>
                <w:rtl w:val="true"/>
              </w:rPr>
              <w:t>]</w:t>
              <w:tab/>
            </w:r>
            <w:r>
              <w:rPr>
                <w:rStyle w:val="IndexLink"/>
              </w:rPr>
              <w:t>143</w:t>
            </w:r>
          </w:hyperlink>
        </w:p>
        <w:p>
          <w:pPr>
            <w:pStyle w:val="Contents3"/>
            <w:tabs>
              <w:tab w:val="clear" w:pos="8459"/>
              <w:tab w:val="right" w:pos="9026" w:leader="dot"/>
            </w:tabs>
            <w:rPr/>
          </w:pPr>
          <w:hyperlink w:anchor="__RefHeading___Toc2018472_1067777946">
            <w:r>
              <w:rPr>
                <w:webHidden/>
                <w:rStyle w:val="IndexLink"/>
                <w:rtl w:val="true"/>
              </w:rPr>
              <w:t>[</w:t>
            </w:r>
            <w:r>
              <w:rPr>
                <w:rStyle w:val="IndexLink"/>
                <w:rtl w:val="true"/>
              </w:rPr>
              <w:t>الركن الثاني في أفعال الصلاة</w:t>
            </w:r>
            <w:r>
              <w:rPr>
                <w:rStyle w:val="IndexLink"/>
                <w:rtl w:val="true"/>
              </w:rPr>
              <w:t>]</w:t>
              <w:tab/>
            </w:r>
            <w:r>
              <w:rPr>
                <w:rStyle w:val="IndexLink"/>
              </w:rPr>
              <w:t>146</w:t>
            </w:r>
          </w:hyperlink>
        </w:p>
        <w:p>
          <w:pPr>
            <w:pStyle w:val="Contents4"/>
            <w:tabs>
              <w:tab w:val="clear" w:pos="8176"/>
              <w:tab w:val="right" w:pos="9026" w:leader="dot"/>
            </w:tabs>
            <w:rPr/>
          </w:pPr>
          <w:hyperlink w:anchor="__RefHeading___Toc2018474_1067777946">
            <w:r>
              <w:rPr>
                <w:webHidden/>
                <w:rStyle w:val="IndexLink"/>
                <w:rtl w:val="true"/>
              </w:rPr>
              <w:t>[</w:t>
            </w:r>
            <w:r>
              <w:rPr>
                <w:rStyle w:val="IndexLink"/>
                <w:rtl w:val="true"/>
              </w:rPr>
              <w:t>النيّة</w:t>
            </w:r>
            <w:r>
              <w:rPr>
                <w:rStyle w:val="IndexLink"/>
                <w:rtl w:val="true"/>
              </w:rPr>
              <w:t>]</w:t>
              <w:tab/>
            </w:r>
            <w:r>
              <w:rPr>
                <w:rStyle w:val="IndexLink"/>
              </w:rPr>
              <w:t>146</w:t>
            </w:r>
          </w:hyperlink>
        </w:p>
        <w:p>
          <w:pPr>
            <w:pStyle w:val="Contents4"/>
            <w:tabs>
              <w:tab w:val="clear" w:pos="8176"/>
              <w:tab w:val="right" w:pos="9026" w:leader="dot"/>
            </w:tabs>
            <w:rPr/>
          </w:pPr>
          <w:hyperlink w:anchor="__RefHeading___Toc2018476_1067777946">
            <w:r>
              <w:rPr>
                <w:webHidden/>
                <w:rStyle w:val="IndexLink"/>
                <w:rtl w:val="true"/>
              </w:rPr>
              <w:t>[</w:t>
            </w:r>
            <w:r>
              <w:rPr>
                <w:rStyle w:val="IndexLink"/>
                <w:rtl w:val="true"/>
              </w:rPr>
              <w:t>تكبيرة الإحرام</w:t>
            </w:r>
            <w:r>
              <w:rPr>
                <w:rStyle w:val="IndexLink"/>
                <w:rtl w:val="true"/>
              </w:rPr>
              <w:t>]</w:t>
              <w:tab/>
            </w:r>
            <w:r>
              <w:rPr>
                <w:rStyle w:val="IndexLink"/>
              </w:rPr>
              <w:t>147</w:t>
            </w:r>
          </w:hyperlink>
        </w:p>
        <w:p>
          <w:pPr>
            <w:pStyle w:val="Contents4"/>
            <w:tabs>
              <w:tab w:val="clear" w:pos="8176"/>
              <w:tab w:val="right" w:pos="9026" w:leader="dot"/>
            </w:tabs>
            <w:rPr/>
          </w:pPr>
          <w:hyperlink w:anchor="__RefHeading___Toc2018478_1067777946">
            <w:r>
              <w:rPr>
                <w:webHidden/>
                <w:rStyle w:val="IndexLink"/>
                <w:rtl w:val="true"/>
              </w:rPr>
              <w:t>[</w:t>
            </w:r>
            <w:r>
              <w:rPr>
                <w:rStyle w:val="IndexLink"/>
                <w:rtl w:val="true"/>
              </w:rPr>
              <w:t>القيام</w:t>
            </w:r>
            <w:r>
              <w:rPr>
                <w:rStyle w:val="IndexLink"/>
                <w:rtl w:val="true"/>
              </w:rPr>
              <w:t>]</w:t>
              <w:tab/>
            </w:r>
            <w:r>
              <w:rPr>
                <w:rStyle w:val="IndexLink"/>
              </w:rPr>
              <w:t>148</w:t>
            </w:r>
          </w:hyperlink>
        </w:p>
        <w:p>
          <w:pPr>
            <w:pStyle w:val="Contents4"/>
            <w:tabs>
              <w:tab w:val="clear" w:pos="8176"/>
              <w:tab w:val="right" w:pos="9026" w:leader="dot"/>
            </w:tabs>
            <w:rPr/>
          </w:pPr>
          <w:hyperlink w:anchor="__RefHeading___Toc2018480_1067777946">
            <w:r>
              <w:rPr>
                <w:webHidden/>
                <w:rStyle w:val="IndexLink"/>
                <w:rtl w:val="true"/>
              </w:rPr>
              <w:t>[</w:t>
            </w:r>
            <w:r>
              <w:rPr>
                <w:rStyle w:val="IndexLink"/>
                <w:rtl w:val="true"/>
              </w:rPr>
              <w:t>القراءة</w:t>
            </w:r>
            <w:r>
              <w:rPr>
                <w:rStyle w:val="IndexLink"/>
                <w:rtl w:val="true"/>
              </w:rPr>
              <w:t>]</w:t>
              <w:tab/>
            </w:r>
            <w:r>
              <w:rPr>
                <w:rStyle w:val="IndexLink"/>
              </w:rPr>
              <w:t>149</w:t>
            </w:r>
          </w:hyperlink>
        </w:p>
        <w:p>
          <w:pPr>
            <w:pStyle w:val="Contents4"/>
            <w:tabs>
              <w:tab w:val="clear" w:pos="8176"/>
              <w:tab w:val="right" w:pos="9026" w:leader="dot"/>
            </w:tabs>
            <w:rPr/>
          </w:pPr>
          <w:hyperlink w:anchor="__RefHeading___Toc2018482_1067777946">
            <w:r>
              <w:rPr>
                <w:webHidden/>
                <w:rStyle w:val="IndexLink"/>
                <w:rtl w:val="true"/>
              </w:rPr>
              <w:t>[</w:t>
            </w:r>
            <w:r>
              <w:rPr>
                <w:rStyle w:val="IndexLink"/>
                <w:rtl w:val="true"/>
              </w:rPr>
              <w:t>الركوع</w:t>
            </w:r>
            <w:r>
              <w:rPr>
                <w:rStyle w:val="IndexLink"/>
                <w:rtl w:val="true"/>
              </w:rPr>
              <w:t>]</w:t>
              <w:tab/>
            </w:r>
            <w:r>
              <w:rPr>
                <w:rStyle w:val="IndexLink"/>
              </w:rPr>
              <w:t>153</w:t>
            </w:r>
          </w:hyperlink>
        </w:p>
        <w:p>
          <w:pPr>
            <w:pStyle w:val="Contents4"/>
            <w:tabs>
              <w:tab w:val="clear" w:pos="8176"/>
              <w:tab w:val="right" w:pos="9026" w:leader="dot"/>
            </w:tabs>
            <w:rPr/>
          </w:pPr>
          <w:hyperlink w:anchor="__RefHeading___Toc2018484_1067777946">
            <w:r>
              <w:rPr>
                <w:webHidden/>
                <w:rStyle w:val="IndexLink"/>
                <w:rtl w:val="true"/>
              </w:rPr>
              <w:t>[</w:t>
            </w:r>
            <w:r>
              <w:rPr>
                <w:rStyle w:val="IndexLink"/>
                <w:rtl w:val="true"/>
              </w:rPr>
              <w:t>السجود</w:t>
            </w:r>
            <w:r>
              <w:rPr>
                <w:rStyle w:val="IndexLink"/>
                <w:rtl w:val="true"/>
              </w:rPr>
              <w:t>]</w:t>
              <w:tab/>
            </w:r>
            <w:r>
              <w:rPr>
                <w:rStyle w:val="IndexLink"/>
              </w:rPr>
              <w:t>154</w:t>
            </w:r>
          </w:hyperlink>
        </w:p>
        <w:p>
          <w:pPr>
            <w:pStyle w:val="Contents4"/>
            <w:tabs>
              <w:tab w:val="clear" w:pos="8176"/>
              <w:tab w:val="right" w:pos="9026" w:leader="dot"/>
            </w:tabs>
            <w:rPr/>
          </w:pPr>
          <w:hyperlink w:anchor="__RefHeading___Toc2018486_1067777946">
            <w:r>
              <w:rPr>
                <w:webHidden/>
                <w:rStyle w:val="IndexLink"/>
                <w:rtl w:val="true"/>
              </w:rPr>
              <w:t>[</w:t>
            </w:r>
            <w:r>
              <w:rPr>
                <w:rStyle w:val="IndexLink"/>
                <w:rtl w:val="true"/>
              </w:rPr>
              <w:t>التشهّد</w:t>
            </w:r>
            <w:r>
              <w:rPr>
                <w:rStyle w:val="IndexLink"/>
                <w:rtl w:val="true"/>
              </w:rPr>
              <w:t>]</w:t>
              <w:tab/>
            </w:r>
            <w:r>
              <w:rPr>
                <w:rStyle w:val="IndexLink"/>
              </w:rPr>
              <w:t>157</w:t>
            </w:r>
          </w:hyperlink>
        </w:p>
        <w:p>
          <w:pPr>
            <w:pStyle w:val="Contents4"/>
            <w:tabs>
              <w:tab w:val="clear" w:pos="8176"/>
              <w:tab w:val="right" w:pos="9026" w:leader="dot"/>
            </w:tabs>
            <w:rPr/>
          </w:pPr>
          <w:hyperlink w:anchor="__RefHeading___Toc2018488_1067777946">
            <w:r>
              <w:rPr>
                <w:webHidden/>
                <w:rStyle w:val="IndexLink"/>
                <w:rtl w:val="true"/>
              </w:rPr>
              <w:t>[</w:t>
            </w:r>
            <w:r>
              <w:rPr>
                <w:rStyle w:val="IndexLink"/>
                <w:rtl w:val="true"/>
              </w:rPr>
              <w:t>التسليم</w:t>
            </w:r>
            <w:r>
              <w:rPr>
                <w:rStyle w:val="IndexLink"/>
                <w:rtl w:val="true"/>
              </w:rPr>
              <w:t>]</w:t>
              <w:tab/>
            </w:r>
            <w:r>
              <w:rPr>
                <w:rStyle w:val="IndexLink"/>
              </w:rPr>
              <w:t>157</w:t>
            </w:r>
          </w:hyperlink>
        </w:p>
        <w:p>
          <w:pPr>
            <w:pStyle w:val="Contents4"/>
            <w:tabs>
              <w:tab w:val="clear" w:pos="8176"/>
              <w:tab w:val="right" w:pos="9026" w:leader="dot"/>
            </w:tabs>
            <w:rPr/>
          </w:pPr>
          <w:hyperlink w:anchor="__RefHeading___Toc2018490_1067777946">
            <w:r>
              <w:rPr>
                <w:webHidden/>
                <w:rStyle w:val="IndexLink"/>
                <w:rtl w:val="true"/>
              </w:rPr>
              <w:t>[</w:t>
            </w:r>
            <w:r>
              <w:rPr>
                <w:rStyle w:val="IndexLink"/>
                <w:rtl w:val="true"/>
              </w:rPr>
              <w:t>خاتمة في قواطع الصلاة</w:t>
            </w:r>
            <w:r>
              <w:rPr>
                <w:rStyle w:val="IndexLink"/>
                <w:rtl w:val="true"/>
              </w:rPr>
              <w:t>]</w:t>
              <w:tab/>
            </w:r>
            <w:r>
              <w:rPr>
                <w:rStyle w:val="IndexLink"/>
              </w:rPr>
              <w:t>158</w:t>
            </w:r>
          </w:hyperlink>
        </w:p>
        <w:p>
          <w:pPr>
            <w:pStyle w:val="Contents5"/>
            <w:tabs>
              <w:tab w:val="clear" w:pos="7892"/>
              <w:tab w:val="right" w:pos="9026" w:leader="dot"/>
            </w:tabs>
            <w:rPr/>
          </w:pPr>
          <w:hyperlink w:anchor="__RefHeading___Toc2018492_1067777946">
            <w:r>
              <w:rPr>
                <w:webHidden/>
                <w:rStyle w:val="IndexLink"/>
                <w:rtl w:val="true"/>
              </w:rPr>
              <w:t>[</w:t>
            </w:r>
            <w:r>
              <w:rPr>
                <w:rStyle w:val="IndexLink"/>
              </w:rPr>
              <w:t>1</w:t>
            </w:r>
            <w:r>
              <w:rPr>
                <w:rStyle w:val="IndexLink"/>
                <w:rtl w:val="true"/>
              </w:rPr>
              <w:t xml:space="preserve"> - </w:t>
            </w:r>
            <w:r>
              <w:rPr>
                <w:rStyle w:val="IndexLink"/>
                <w:rtl w:val="true"/>
              </w:rPr>
              <w:t>ما يبطلها عمداً وسهواً</w:t>
            </w:r>
            <w:r>
              <w:rPr>
                <w:rStyle w:val="IndexLink"/>
                <w:rtl w:val="true"/>
              </w:rPr>
              <w:t>]</w:t>
              <w:tab/>
            </w:r>
            <w:r>
              <w:rPr>
                <w:rStyle w:val="IndexLink"/>
              </w:rPr>
              <w:t>158</w:t>
            </w:r>
          </w:hyperlink>
        </w:p>
        <w:p>
          <w:pPr>
            <w:pStyle w:val="Contents5"/>
            <w:tabs>
              <w:tab w:val="clear" w:pos="7892"/>
              <w:tab w:val="right" w:pos="9026" w:leader="dot"/>
            </w:tabs>
            <w:rPr/>
          </w:pPr>
          <w:hyperlink w:anchor="__RefHeading___Toc2018494_1067777946">
            <w:r>
              <w:rPr>
                <w:webHidden/>
                <w:rStyle w:val="IndexLink"/>
                <w:rtl w:val="true"/>
              </w:rPr>
              <w:t>[</w:t>
            </w:r>
            <w:r>
              <w:rPr>
                <w:rStyle w:val="IndexLink"/>
              </w:rPr>
              <w:t>2</w:t>
            </w:r>
            <w:r>
              <w:rPr>
                <w:rStyle w:val="IndexLink"/>
                <w:rtl w:val="true"/>
              </w:rPr>
              <w:t xml:space="preserve"> - </w:t>
            </w:r>
            <w:r>
              <w:rPr>
                <w:rStyle w:val="IndexLink"/>
                <w:rtl w:val="true"/>
              </w:rPr>
              <w:t>مالا يبطلها إلّا عمداً</w:t>
            </w:r>
            <w:r>
              <w:rPr>
                <w:rStyle w:val="IndexLink"/>
                <w:rtl w:val="true"/>
              </w:rPr>
              <w:t>]</w:t>
              <w:tab/>
            </w:r>
            <w:r>
              <w:rPr>
                <w:rStyle w:val="IndexLink"/>
              </w:rPr>
              <w:t>158</w:t>
            </w:r>
          </w:hyperlink>
        </w:p>
        <w:p>
          <w:pPr>
            <w:pStyle w:val="Contents3"/>
            <w:tabs>
              <w:tab w:val="clear" w:pos="8459"/>
              <w:tab w:val="right" w:pos="9026" w:leader="dot"/>
            </w:tabs>
            <w:rPr/>
          </w:pPr>
          <w:hyperlink w:anchor="__RefHeading___Toc2018496_1067777946">
            <w:r>
              <w:rPr>
                <w:webHidden/>
                <w:rStyle w:val="IndexLink"/>
                <w:rtl w:val="true"/>
              </w:rPr>
              <w:t>[</w:t>
            </w:r>
            <w:r>
              <w:rPr>
                <w:rStyle w:val="IndexLink"/>
                <w:rtl w:val="true"/>
              </w:rPr>
              <w:t>الركن الثالث في بقيّة الصلوات</w:t>
            </w:r>
            <w:r>
              <w:rPr>
                <w:rStyle w:val="IndexLink"/>
                <w:rtl w:val="true"/>
              </w:rPr>
              <w:t>]</w:t>
              <w:tab/>
            </w:r>
            <w:r>
              <w:rPr>
                <w:rStyle w:val="IndexLink"/>
              </w:rPr>
              <w:t>161</w:t>
            </w:r>
          </w:hyperlink>
        </w:p>
        <w:p>
          <w:pPr>
            <w:pStyle w:val="Contents4"/>
            <w:tabs>
              <w:tab w:val="clear" w:pos="8176"/>
              <w:tab w:val="right" w:pos="9026" w:leader="dot"/>
            </w:tabs>
            <w:rPr/>
          </w:pPr>
          <w:hyperlink w:anchor="__RefHeading___Toc2018498_1067777946">
            <w:r>
              <w:rPr>
                <w:webHidden/>
                <w:rStyle w:val="IndexLink"/>
                <w:rtl w:val="true"/>
              </w:rPr>
              <w:t>[</w:t>
            </w:r>
            <w:r>
              <w:rPr>
                <w:rStyle w:val="IndexLink"/>
                <w:rtl w:val="true"/>
              </w:rPr>
              <w:t>الفصل الأوّل في صلاة الجمعة</w:t>
            </w:r>
            <w:r>
              <w:rPr>
                <w:rStyle w:val="IndexLink"/>
                <w:rtl w:val="true"/>
              </w:rPr>
              <w:t>]</w:t>
              <w:tab/>
            </w:r>
            <w:r>
              <w:rPr>
                <w:rStyle w:val="IndexLink"/>
              </w:rPr>
              <w:t>161</w:t>
            </w:r>
          </w:hyperlink>
        </w:p>
        <w:p>
          <w:pPr>
            <w:pStyle w:val="Contents5"/>
            <w:tabs>
              <w:tab w:val="clear" w:pos="7892"/>
              <w:tab w:val="right" w:pos="9026" w:leader="dot"/>
            </w:tabs>
            <w:rPr/>
          </w:pPr>
          <w:hyperlink w:anchor="__RefHeading___Toc2018500_1067777946">
            <w:r>
              <w:rPr>
                <w:webHidden/>
                <w:rStyle w:val="IndexLink"/>
                <w:rtl w:val="true"/>
              </w:rPr>
              <w:t>[</w:t>
            </w:r>
            <w:r>
              <w:rPr>
                <w:rStyle w:val="IndexLink"/>
                <w:rtl w:val="true"/>
              </w:rPr>
              <w:t>وقتها</w:t>
            </w:r>
            <w:r>
              <w:rPr>
                <w:rStyle w:val="IndexLink"/>
                <w:rtl w:val="true"/>
              </w:rPr>
              <w:t>]</w:t>
              <w:tab/>
            </w:r>
            <w:r>
              <w:rPr>
                <w:rStyle w:val="IndexLink"/>
              </w:rPr>
              <w:t>161</w:t>
            </w:r>
          </w:hyperlink>
        </w:p>
        <w:p>
          <w:pPr>
            <w:pStyle w:val="Contents5"/>
            <w:tabs>
              <w:tab w:val="clear" w:pos="7892"/>
              <w:tab w:val="right" w:pos="9026" w:leader="dot"/>
            </w:tabs>
            <w:rPr/>
          </w:pPr>
          <w:hyperlink w:anchor="__RefHeading___Toc2018502_1067777946">
            <w:r>
              <w:rPr>
                <w:webHidden/>
                <w:rStyle w:val="IndexLink"/>
                <w:rtl w:val="true"/>
              </w:rPr>
              <w:t>[</w:t>
            </w:r>
            <w:r>
              <w:rPr>
                <w:rStyle w:val="IndexLink"/>
                <w:rtl w:val="true"/>
              </w:rPr>
              <w:t>شروط الجمعة</w:t>
            </w:r>
            <w:r>
              <w:rPr>
                <w:rStyle w:val="IndexLink"/>
                <w:rtl w:val="true"/>
              </w:rPr>
              <w:t>]</w:t>
              <w:tab/>
            </w:r>
            <w:r>
              <w:rPr>
                <w:rStyle w:val="IndexLink"/>
              </w:rPr>
              <w:t>162</w:t>
            </w:r>
          </w:hyperlink>
        </w:p>
        <w:p>
          <w:pPr>
            <w:pStyle w:val="Contents5"/>
            <w:tabs>
              <w:tab w:val="clear" w:pos="7892"/>
              <w:tab w:val="right" w:pos="9026" w:leader="dot"/>
            </w:tabs>
            <w:rPr/>
          </w:pPr>
          <w:hyperlink w:anchor="__RefHeading___Toc2018504_1067777946">
            <w:r>
              <w:rPr>
                <w:webHidden/>
                <w:rStyle w:val="IndexLink"/>
                <w:rtl w:val="true"/>
              </w:rPr>
              <w:t>[</w:t>
            </w:r>
            <w:r>
              <w:rPr>
                <w:rStyle w:val="IndexLink"/>
                <w:rtl w:val="true"/>
              </w:rPr>
              <w:t>من تجب عليه الجمعة</w:t>
            </w:r>
            <w:r>
              <w:rPr>
                <w:rStyle w:val="IndexLink"/>
                <w:rtl w:val="true"/>
              </w:rPr>
              <w:t>]</w:t>
              <w:tab/>
            </w:r>
            <w:r>
              <w:rPr>
                <w:rStyle w:val="IndexLink"/>
              </w:rPr>
              <w:t>164</w:t>
            </w:r>
          </w:hyperlink>
        </w:p>
        <w:p>
          <w:pPr>
            <w:pStyle w:val="Contents5"/>
            <w:tabs>
              <w:tab w:val="clear" w:pos="7892"/>
              <w:tab w:val="right" w:pos="9026" w:leader="dot"/>
            </w:tabs>
            <w:rPr/>
          </w:pPr>
          <w:hyperlink w:anchor="__RefHeading___Toc2018506_1067777946">
            <w:r>
              <w:rPr>
                <w:webHidden/>
                <w:rStyle w:val="IndexLink"/>
                <w:rtl w:val="true"/>
              </w:rPr>
              <w:t>[</w:t>
            </w:r>
            <w:r>
              <w:rPr>
                <w:rStyle w:val="IndexLink"/>
                <w:rtl w:val="true"/>
              </w:rPr>
              <w:t>هاهنا مسائل</w:t>
            </w:r>
            <w:r>
              <w:rPr>
                <w:rStyle w:val="IndexLink"/>
                <w:rtl w:val="true"/>
              </w:rPr>
              <w:t>:]</w:t>
              <w:tab/>
            </w:r>
            <w:r>
              <w:rPr>
                <w:rStyle w:val="IndexLink"/>
              </w:rPr>
              <w:t>164</w:t>
            </w:r>
          </w:hyperlink>
        </w:p>
        <w:p>
          <w:pPr>
            <w:pStyle w:val="Contents5"/>
            <w:tabs>
              <w:tab w:val="clear" w:pos="7892"/>
              <w:tab w:val="right" w:pos="9026" w:leader="dot"/>
            </w:tabs>
            <w:rPr/>
          </w:pPr>
          <w:hyperlink w:anchor="__RefHeading___Toc2018508_1067777946">
            <w:r>
              <w:rPr>
                <w:webHidden/>
                <w:rStyle w:val="IndexLink"/>
                <w:rtl w:val="true"/>
              </w:rPr>
              <w:t>[</w:t>
            </w:r>
            <w:r>
              <w:rPr>
                <w:rStyle w:val="IndexLink"/>
                <w:rtl w:val="true"/>
              </w:rPr>
              <w:t>آداب الجمعة</w:t>
            </w:r>
            <w:r>
              <w:rPr>
                <w:rStyle w:val="IndexLink"/>
                <w:rtl w:val="true"/>
              </w:rPr>
              <w:t>]</w:t>
              <w:tab/>
            </w:r>
            <w:r>
              <w:rPr>
                <w:rStyle w:val="IndexLink"/>
              </w:rPr>
              <w:t>166</w:t>
            </w:r>
          </w:hyperlink>
        </w:p>
        <w:p>
          <w:pPr>
            <w:pStyle w:val="Contents4"/>
            <w:tabs>
              <w:tab w:val="clear" w:pos="8176"/>
              <w:tab w:val="right" w:pos="9026" w:leader="dot"/>
            </w:tabs>
            <w:rPr/>
          </w:pPr>
          <w:hyperlink w:anchor="__RefHeading___Toc2018510_1067777946">
            <w:r>
              <w:rPr>
                <w:webHidden/>
                <w:rStyle w:val="IndexLink"/>
                <w:rtl w:val="true"/>
              </w:rPr>
              <w:t>[</w:t>
            </w:r>
            <w:r>
              <w:rPr>
                <w:rStyle w:val="IndexLink"/>
                <w:rtl w:val="true"/>
              </w:rPr>
              <w:t>الفصل الثاني في صلاة العيدين</w:t>
            </w:r>
            <w:r>
              <w:rPr>
                <w:rStyle w:val="IndexLink"/>
                <w:rtl w:val="true"/>
              </w:rPr>
              <w:t>]</w:t>
              <w:tab/>
            </w:r>
            <w:r>
              <w:rPr>
                <w:rStyle w:val="IndexLink"/>
              </w:rPr>
              <w:t>167</w:t>
            </w:r>
          </w:hyperlink>
        </w:p>
        <w:p>
          <w:pPr>
            <w:pStyle w:val="Contents5"/>
            <w:tabs>
              <w:tab w:val="clear" w:pos="7892"/>
              <w:tab w:val="right" w:pos="9026" w:leader="dot"/>
            </w:tabs>
            <w:rPr/>
          </w:pPr>
          <w:hyperlink w:anchor="__RefHeading___Toc2018512_1067777946">
            <w:r>
              <w:rPr>
                <w:webHidden/>
                <w:rStyle w:val="IndexLink"/>
                <w:rtl w:val="true"/>
              </w:rPr>
              <w:t>[</w:t>
            </w:r>
            <w:r>
              <w:rPr>
                <w:rStyle w:val="IndexLink"/>
                <w:rtl w:val="true"/>
              </w:rPr>
              <w:t>شروطها</w:t>
            </w:r>
            <w:r>
              <w:rPr>
                <w:rStyle w:val="IndexLink"/>
                <w:rtl w:val="true"/>
              </w:rPr>
              <w:t>]</w:t>
              <w:tab/>
            </w:r>
            <w:r>
              <w:rPr>
                <w:rStyle w:val="IndexLink"/>
              </w:rPr>
              <w:t>167</w:t>
            </w:r>
          </w:hyperlink>
        </w:p>
        <w:p>
          <w:pPr>
            <w:pStyle w:val="Contents5"/>
            <w:tabs>
              <w:tab w:val="clear" w:pos="7892"/>
              <w:tab w:val="right" w:pos="9026" w:leader="dot"/>
            </w:tabs>
            <w:rPr/>
          </w:pPr>
          <w:hyperlink w:anchor="__RefHeading___Toc2018514_1067777946">
            <w:r>
              <w:rPr>
                <w:webHidden/>
                <w:rStyle w:val="IndexLink"/>
                <w:rtl w:val="true"/>
              </w:rPr>
              <w:t>[</w:t>
            </w:r>
            <w:r>
              <w:rPr>
                <w:rStyle w:val="IndexLink"/>
                <w:rtl w:val="true"/>
              </w:rPr>
              <w:t>سننها</w:t>
            </w:r>
            <w:r>
              <w:rPr>
                <w:rStyle w:val="IndexLink"/>
                <w:rtl w:val="true"/>
              </w:rPr>
              <w:t>]</w:t>
              <w:tab/>
            </w:r>
            <w:r>
              <w:rPr>
                <w:rStyle w:val="IndexLink"/>
              </w:rPr>
              <w:t>168</w:t>
            </w:r>
          </w:hyperlink>
        </w:p>
        <w:p>
          <w:pPr>
            <w:pStyle w:val="Contents4"/>
            <w:tabs>
              <w:tab w:val="clear" w:pos="8176"/>
              <w:tab w:val="right" w:pos="9026" w:leader="dot"/>
            </w:tabs>
            <w:rPr/>
          </w:pPr>
          <w:hyperlink w:anchor="__RefHeading___Toc2018516_1067777946">
            <w:r>
              <w:rPr>
                <w:webHidden/>
                <w:rStyle w:val="IndexLink"/>
                <w:rtl w:val="true"/>
              </w:rPr>
              <w:t>[</w:t>
            </w:r>
            <w:r>
              <w:rPr>
                <w:rStyle w:val="IndexLink"/>
                <w:rtl w:val="true"/>
              </w:rPr>
              <w:t>الفصل الثالث في صلاة الكسوف</w:t>
            </w:r>
            <w:r>
              <w:rPr>
                <w:rStyle w:val="IndexLink"/>
                <w:rtl w:val="true"/>
              </w:rPr>
              <w:t>]</w:t>
              <w:tab/>
            </w:r>
            <w:r>
              <w:rPr>
                <w:rStyle w:val="IndexLink"/>
              </w:rPr>
              <w:t>169</w:t>
            </w:r>
          </w:hyperlink>
        </w:p>
        <w:p>
          <w:pPr>
            <w:pStyle w:val="Contents5"/>
            <w:tabs>
              <w:tab w:val="clear" w:pos="7892"/>
              <w:tab w:val="right" w:pos="9026" w:leader="dot"/>
            </w:tabs>
            <w:rPr/>
          </w:pPr>
          <w:hyperlink w:anchor="__RefHeading___Toc2018518_106777794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2018520_1067777946">
            <w:r>
              <w:rPr>
                <w:webHidden/>
                <w:rStyle w:val="IndexLink"/>
                <w:rtl w:val="true"/>
              </w:rPr>
              <w:t>[</w:t>
            </w:r>
            <w:r>
              <w:rPr>
                <w:rStyle w:val="IndexLink"/>
                <w:rtl w:val="true"/>
              </w:rPr>
              <w:t>في كيفيّتها</w:t>
            </w:r>
            <w:r>
              <w:rPr>
                <w:rStyle w:val="IndexLink"/>
                <w:rtl w:val="true"/>
              </w:rPr>
              <w:t>]</w:t>
              <w:tab/>
            </w:r>
            <w:r>
              <w:rPr>
                <w:rStyle w:val="IndexLink"/>
              </w:rPr>
              <w:t>169</w:t>
            </w:r>
          </w:hyperlink>
        </w:p>
        <w:p>
          <w:pPr>
            <w:pStyle w:val="Contents4"/>
            <w:tabs>
              <w:tab w:val="clear" w:pos="8176"/>
              <w:tab w:val="right" w:pos="9026" w:leader="dot"/>
            </w:tabs>
            <w:rPr/>
          </w:pPr>
          <w:hyperlink w:anchor="__RefHeading___Toc2018522_1067777946">
            <w:r>
              <w:rPr>
                <w:webHidden/>
                <w:rStyle w:val="IndexLink"/>
                <w:rtl w:val="true"/>
              </w:rPr>
              <w:t>[</w:t>
            </w:r>
            <w:r>
              <w:rPr>
                <w:rStyle w:val="IndexLink"/>
                <w:rtl w:val="true"/>
              </w:rPr>
              <w:t>الفصل الرابع في الصلاة على الأموات</w:t>
            </w:r>
            <w:r>
              <w:rPr>
                <w:rStyle w:val="IndexLink"/>
                <w:rtl w:val="true"/>
              </w:rPr>
              <w:t>]</w:t>
              <w:tab/>
            </w:r>
            <w:r>
              <w:rPr>
                <w:rStyle w:val="IndexLink"/>
              </w:rPr>
              <w:t>170</w:t>
            </w:r>
          </w:hyperlink>
        </w:p>
        <w:p>
          <w:pPr>
            <w:pStyle w:val="Contents5"/>
            <w:tabs>
              <w:tab w:val="clear" w:pos="7892"/>
              <w:tab w:val="right" w:pos="9026" w:leader="dot"/>
            </w:tabs>
            <w:rPr/>
          </w:pPr>
          <w:hyperlink w:anchor="__RefHeading___Toc2018524_1067777946">
            <w:r>
              <w:rPr>
                <w:webHidden/>
                <w:rStyle w:val="IndexLink"/>
                <w:rtl w:val="true"/>
              </w:rPr>
              <w:t>[</w:t>
            </w:r>
            <w:r>
              <w:rPr>
                <w:rStyle w:val="IndexLink"/>
                <w:rtl w:val="true"/>
              </w:rPr>
              <w:t>من يصلّى عليه</w:t>
            </w:r>
            <w:r>
              <w:rPr>
                <w:rStyle w:val="IndexLink"/>
                <w:rtl w:val="true"/>
              </w:rPr>
              <w:t>]</w:t>
              <w:tab/>
            </w:r>
            <w:r>
              <w:rPr>
                <w:rStyle w:val="IndexLink"/>
              </w:rPr>
              <w:t>170</w:t>
            </w:r>
          </w:hyperlink>
        </w:p>
        <w:p>
          <w:pPr>
            <w:pStyle w:val="Contents5"/>
            <w:tabs>
              <w:tab w:val="clear" w:pos="7892"/>
              <w:tab w:val="right" w:pos="9026" w:leader="dot"/>
            </w:tabs>
            <w:rPr/>
          </w:pPr>
          <w:hyperlink w:anchor="__RefHeading___Toc2018526_1067777946">
            <w:r>
              <w:rPr>
                <w:webHidden/>
                <w:rStyle w:val="IndexLink"/>
                <w:rtl w:val="true"/>
              </w:rPr>
              <w:t>[</w:t>
            </w:r>
            <w:r>
              <w:rPr>
                <w:rStyle w:val="IndexLink"/>
                <w:rtl w:val="true"/>
              </w:rPr>
              <w:t>في المصلّي</w:t>
            </w:r>
            <w:r>
              <w:rPr>
                <w:rStyle w:val="IndexLink"/>
                <w:rtl w:val="true"/>
              </w:rPr>
              <w:t>]</w:t>
              <w:tab/>
            </w:r>
            <w:r>
              <w:rPr>
                <w:rStyle w:val="IndexLink"/>
              </w:rPr>
              <w:t>170</w:t>
            </w:r>
          </w:hyperlink>
        </w:p>
        <w:p>
          <w:pPr>
            <w:pStyle w:val="Contents5"/>
            <w:tabs>
              <w:tab w:val="clear" w:pos="7892"/>
              <w:tab w:val="right" w:pos="9026" w:leader="dot"/>
            </w:tabs>
            <w:rPr/>
          </w:pPr>
          <w:hyperlink w:anchor="__RefHeading___Toc2018528_1067777946">
            <w:r>
              <w:rPr>
                <w:webHidden/>
                <w:rStyle w:val="IndexLink"/>
                <w:rtl w:val="true"/>
              </w:rPr>
              <w:t>[</w:t>
            </w:r>
            <w:r>
              <w:rPr>
                <w:rStyle w:val="IndexLink"/>
                <w:rtl w:val="true"/>
              </w:rPr>
              <w:t>في كيفيّة الصلاة على الميّت</w:t>
            </w:r>
            <w:r>
              <w:rPr>
                <w:rStyle w:val="IndexLink"/>
                <w:rtl w:val="true"/>
              </w:rPr>
              <w:t>]</w:t>
              <w:tab/>
            </w:r>
            <w:r>
              <w:rPr>
                <w:rStyle w:val="IndexLink"/>
              </w:rPr>
              <w:t>171</w:t>
            </w:r>
          </w:hyperlink>
        </w:p>
        <w:p>
          <w:pPr>
            <w:pStyle w:val="Contents4"/>
            <w:tabs>
              <w:tab w:val="clear" w:pos="8176"/>
              <w:tab w:val="right" w:pos="9026" w:leader="dot"/>
            </w:tabs>
            <w:rPr/>
          </w:pPr>
          <w:hyperlink w:anchor="__RefHeading___Toc2018530_1067777946">
            <w:r>
              <w:rPr>
                <w:webHidden/>
                <w:rStyle w:val="IndexLink"/>
                <w:rtl w:val="true"/>
              </w:rPr>
              <w:t>[</w:t>
            </w:r>
            <w:r>
              <w:rPr>
                <w:rStyle w:val="IndexLink"/>
                <w:rtl w:val="true"/>
              </w:rPr>
              <w:t>الفصل الخامس في الصلوات المرغّبات</w:t>
            </w:r>
            <w:r>
              <w:rPr>
                <w:rStyle w:val="IndexLink"/>
                <w:rtl w:val="true"/>
              </w:rPr>
              <w:t>]</w:t>
              <w:tab/>
            </w:r>
            <w:r>
              <w:rPr>
                <w:rStyle w:val="IndexLink"/>
              </w:rPr>
              <w:t>173</w:t>
            </w:r>
          </w:hyperlink>
        </w:p>
        <w:p>
          <w:pPr>
            <w:pStyle w:val="Contents5"/>
            <w:tabs>
              <w:tab w:val="clear" w:pos="7892"/>
              <w:tab w:val="right" w:pos="9026" w:leader="dot"/>
            </w:tabs>
            <w:rPr/>
          </w:pPr>
          <w:hyperlink w:anchor="__RefHeading___Toc2018532_1067777946">
            <w:r>
              <w:rPr>
                <w:webHidden/>
                <w:rStyle w:val="IndexLink"/>
                <w:rtl w:val="true"/>
              </w:rPr>
              <w:t>[</w:t>
            </w:r>
            <w:r>
              <w:rPr>
                <w:rStyle w:val="IndexLink"/>
                <w:rtl w:val="true"/>
              </w:rPr>
              <w:t>صلاة الاستسقاء</w:t>
            </w:r>
            <w:r>
              <w:rPr>
                <w:rStyle w:val="IndexLink"/>
                <w:rtl w:val="true"/>
              </w:rPr>
              <w:t>]</w:t>
              <w:tab/>
            </w:r>
            <w:r>
              <w:rPr>
                <w:rStyle w:val="IndexLink"/>
              </w:rPr>
              <w:t>173</w:t>
            </w:r>
          </w:hyperlink>
        </w:p>
        <w:p>
          <w:pPr>
            <w:pStyle w:val="Contents5"/>
            <w:tabs>
              <w:tab w:val="clear" w:pos="7892"/>
              <w:tab w:val="right" w:pos="9026" w:leader="dot"/>
            </w:tabs>
            <w:rPr/>
          </w:pPr>
          <w:hyperlink w:anchor="__RefHeading___Toc2018534_1067777946">
            <w:r>
              <w:rPr>
                <w:webHidden/>
                <w:rStyle w:val="IndexLink"/>
                <w:rtl w:val="true"/>
              </w:rPr>
              <w:t>[</w:t>
            </w:r>
            <w:r>
              <w:rPr>
                <w:rStyle w:val="IndexLink"/>
                <w:rtl w:val="true"/>
              </w:rPr>
              <w:t>نافلة شهر رمضان</w:t>
            </w:r>
            <w:r>
              <w:rPr>
                <w:rStyle w:val="IndexLink"/>
                <w:rtl w:val="true"/>
              </w:rPr>
              <w:t>]</w:t>
              <w:tab/>
            </w:r>
            <w:r>
              <w:rPr>
                <w:rStyle w:val="IndexLink"/>
              </w:rPr>
              <w:t>175</w:t>
            </w:r>
          </w:hyperlink>
        </w:p>
        <w:p>
          <w:pPr>
            <w:pStyle w:val="Contents5"/>
            <w:tabs>
              <w:tab w:val="clear" w:pos="7892"/>
              <w:tab w:val="right" w:pos="9026" w:leader="dot"/>
            </w:tabs>
            <w:rPr/>
          </w:pPr>
          <w:hyperlink w:anchor="__RefHeading___Toc2018536_1067777946">
            <w:r>
              <w:rPr>
                <w:webHidden/>
                <w:rStyle w:val="IndexLink"/>
                <w:rtl w:val="true"/>
              </w:rPr>
              <w:t>[</w:t>
            </w:r>
            <w:r>
              <w:rPr>
                <w:rStyle w:val="IndexLink"/>
                <w:rtl w:val="true"/>
              </w:rPr>
              <w:t>خاتمة</w:t>
            </w:r>
            <w:r>
              <w:rPr>
                <w:rStyle w:val="IndexLink"/>
                <w:rtl w:val="true"/>
              </w:rPr>
              <w:t>]</w:t>
              <w:tab/>
            </w:r>
            <w:r>
              <w:rPr>
                <w:rStyle w:val="IndexLink"/>
              </w:rPr>
              <w:t>176</w:t>
            </w:r>
          </w:hyperlink>
        </w:p>
        <w:p>
          <w:pPr>
            <w:pStyle w:val="Contents3"/>
            <w:tabs>
              <w:tab w:val="clear" w:pos="8459"/>
              <w:tab w:val="right" w:pos="9026" w:leader="dot"/>
            </w:tabs>
            <w:rPr/>
          </w:pPr>
          <w:hyperlink w:anchor="__RefHeading___Toc2018538_1067777946">
            <w:r>
              <w:rPr>
                <w:webHidden/>
                <w:rStyle w:val="IndexLink"/>
                <w:rtl w:val="true"/>
              </w:rPr>
              <w:t>[</w:t>
            </w:r>
            <w:r>
              <w:rPr>
                <w:rStyle w:val="IndexLink"/>
                <w:rtl w:val="true"/>
              </w:rPr>
              <w:t>الركن الرابع في التوابع</w:t>
            </w:r>
            <w:r>
              <w:rPr>
                <w:rStyle w:val="IndexLink"/>
                <w:rtl w:val="true"/>
              </w:rPr>
              <w:t>]</w:t>
              <w:tab/>
            </w:r>
            <w:r>
              <w:rPr>
                <w:rStyle w:val="IndexLink"/>
              </w:rPr>
              <w:t>177</w:t>
            </w:r>
          </w:hyperlink>
        </w:p>
        <w:p>
          <w:pPr>
            <w:pStyle w:val="Contents4"/>
            <w:tabs>
              <w:tab w:val="clear" w:pos="8176"/>
              <w:tab w:val="right" w:pos="9026" w:leader="dot"/>
            </w:tabs>
            <w:rPr/>
          </w:pPr>
          <w:hyperlink w:anchor="__RefHeading___Toc2018540_1067777946">
            <w:r>
              <w:rPr>
                <w:webHidden/>
                <w:rStyle w:val="IndexLink"/>
                <w:rtl w:val="true"/>
              </w:rPr>
              <w:t>[</w:t>
            </w:r>
            <w:r>
              <w:rPr>
                <w:rStyle w:val="IndexLink"/>
                <w:rtl w:val="true"/>
              </w:rPr>
              <w:t>الفصل الأوّل في الخلل الواقع في الصلاة</w:t>
            </w:r>
            <w:r>
              <w:rPr>
                <w:rStyle w:val="IndexLink"/>
                <w:rtl w:val="true"/>
              </w:rPr>
              <w:t>]</w:t>
              <w:tab/>
            </w:r>
            <w:r>
              <w:rPr>
                <w:rStyle w:val="IndexLink"/>
              </w:rPr>
              <w:t>177</w:t>
            </w:r>
          </w:hyperlink>
        </w:p>
        <w:p>
          <w:pPr>
            <w:pStyle w:val="Contents5"/>
            <w:tabs>
              <w:tab w:val="clear" w:pos="7892"/>
              <w:tab w:val="right" w:pos="9026" w:leader="dot"/>
            </w:tabs>
            <w:rPr/>
          </w:pPr>
          <w:hyperlink w:anchor="__RefHeading___Toc2018542_1067777946">
            <w:r>
              <w:rPr>
                <w:webHidden/>
                <w:rStyle w:val="IndexLink"/>
                <w:rtl w:val="true"/>
              </w:rPr>
              <w:t>[</w:t>
            </w:r>
            <w:r>
              <w:rPr>
                <w:rStyle w:val="IndexLink"/>
                <w:rtl w:val="true"/>
              </w:rPr>
              <w:t>الخلل عن عمد</w:t>
            </w:r>
            <w:r>
              <w:rPr>
                <w:rStyle w:val="IndexLink"/>
                <w:rtl w:val="true"/>
              </w:rPr>
              <w:t>]</w:t>
              <w:tab/>
            </w:r>
            <w:r>
              <w:rPr>
                <w:rStyle w:val="IndexLink"/>
              </w:rPr>
              <w:t>177</w:t>
            </w:r>
          </w:hyperlink>
        </w:p>
        <w:p>
          <w:pPr>
            <w:pStyle w:val="Contents5"/>
            <w:tabs>
              <w:tab w:val="clear" w:pos="7892"/>
              <w:tab w:val="right" w:pos="9026" w:leader="dot"/>
            </w:tabs>
            <w:rPr/>
          </w:pPr>
          <w:hyperlink w:anchor="__RefHeading___Toc2018544_1067777946">
            <w:r>
              <w:rPr>
                <w:webHidden/>
                <w:rStyle w:val="IndexLink"/>
                <w:rtl w:val="true"/>
              </w:rPr>
              <w:t>[</w:t>
            </w:r>
            <w:r>
              <w:rPr>
                <w:rStyle w:val="IndexLink"/>
                <w:rtl w:val="true"/>
              </w:rPr>
              <w:t>فروع</w:t>
            </w:r>
            <w:r>
              <w:rPr>
                <w:rStyle w:val="IndexLink"/>
                <w:rtl w:val="true"/>
              </w:rPr>
              <w:t>:]</w:t>
              <w:tab/>
            </w:r>
            <w:r>
              <w:rPr>
                <w:rStyle w:val="IndexLink"/>
              </w:rPr>
              <w:t>177</w:t>
            </w:r>
          </w:hyperlink>
        </w:p>
        <w:p>
          <w:pPr>
            <w:pStyle w:val="Contents5"/>
            <w:tabs>
              <w:tab w:val="clear" w:pos="7892"/>
              <w:tab w:val="right" w:pos="9026" w:leader="dot"/>
            </w:tabs>
            <w:rPr/>
          </w:pPr>
          <w:hyperlink w:anchor="__RefHeading___Toc2018546_1067777946">
            <w:r>
              <w:rPr>
                <w:webHidden/>
                <w:rStyle w:val="IndexLink"/>
                <w:rtl w:val="true"/>
              </w:rPr>
              <w:t>[</w:t>
            </w:r>
            <w:r>
              <w:rPr>
                <w:rStyle w:val="IndexLink"/>
                <w:rtl w:val="true"/>
              </w:rPr>
              <w:t>الخلل عن سهو</w:t>
            </w:r>
            <w:r>
              <w:rPr>
                <w:rStyle w:val="IndexLink"/>
                <w:rtl w:val="true"/>
              </w:rPr>
              <w:t>]</w:t>
              <w:tab/>
            </w:r>
            <w:r>
              <w:rPr>
                <w:rStyle w:val="IndexLink"/>
              </w:rPr>
              <w:t>178</w:t>
            </w:r>
          </w:hyperlink>
        </w:p>
        <w:p>
          <w:pPr>
            <w:pStyle w:val="Contents5"/>
            <w:tabs>
              <w:tab w:val="clear" w:pos="7892"/>
              <w:tab w:val="right" w:pos="9026" w:leader="dot"/>
            </w:tabs>
            <w:rPr/>
          </w:pPr>
          <w:hyperlink w:anchor="__RefHeading___Toc2018548_1067777946">
            <w:r>
              <w:rPr>
                <w:webHidden/>
                <w:rStyle w:val="IndexLink"/>
                <w:rtl w:val="true"/>
              </w:rPr>
              <w:t>[</w:t>
            </w:r>
            <w:r>
              <w:rPr>
                <w:rStyle w:val="IndexLink"/>
                <w:rtl w:val="true"/>
              </w:rPr>
              <w:t>الخلل عن شكّ</w:t>
            </w:r>
            <w:r>
              <w:rPr>
                <w:rStyle w:val="IndexLink"/>
                <w:rtl w:val="true"/>
              </w:rPr>
              <w:t>]</w:t>
              <w:tab/>
            </w:r>
            <w:r>
              <w:rPr>
                <w:rStyle w:val="IndexLink"/>
              </w:rPr>
              <w:t>180</w:t>
            </w:r>
          </w:hyperlink>
        </w:p>
        <w:p>
          <w:pPr>
            <w:pStyle w:val="Contents5"/>
            <w:tabs>
              <w:tab w:val="clear" w:pos="7892"/>
              <w:tab w:val="right" w:pos="9026" w:leader="dot"/>
            </w:tabs>
            <w:rPr/>
          </w:pPr>
          <w:hyperlink w:anchor="__RefHeading___Toc2018550_1067777946">
            <w:r>
              <w:rPr>
                <w:webHidden/>
                <w:rStyle w:val="IndexLink"/>
                <w:rtl w:val="true"/>
              </w:rPr>
              <w:t>[</w:t>
            </w:r>
            <w:r>
              <w:rPr>
                <w:rStyle w:val="IndexLink"/>
                <w:rtl w:val="true"/>
              </w:rPr>
              <w:t>في سجدتي السهو</w:t>
            </w:r>
            <w:r>
              <w:rPr>
                <w:rStyle w:val="IndexLink"/>
                <w:rtl w:val="true"/>
              </w:rPr>
              <w:t>]</w:t>
              <w:tab/>
            </w:r>
            <w:r>
              <w:rPr>
                <w:rStyle w:val="IndexLink"/>
              </w:rPr>
              <w:t>183</w:t>
            </w:r>
          </w:hyperlink>
        </w:p>
        <w:p>
          <w:pPr>
            <w:pStyle w:val="Contents4"/>
            <w:tabs>
              <w:tab w:val="clear" w:pos="8176"/>
              <w:tab w:val="right" w:pos="9026" w:leader="dot"/>
            </w:tabs>
            <w:rPr/>
          </w:pPr>
          <w:hyperlink w:anchor="__RefHeading___Toc2018552_1067777946">
            <w:r>
              <w:rPr>
                <w:webHidden/>
                <w:rStyle w:val="IndexLink"/>
                <w:rtl w:val="true"/>
              </w:rPr>
              <w:t>[</w:t>
            </w:r>
            <w:r>
              <w:rPr>
                <w:rStyle w:val="IndexLink"/>
                <w:rtl w:val="true"/>
              </w:rPr>
              <w:t>الفصل الثاني في قضاء الصلوات</w:t>
            </w:r>
            <w:r>
              <w:rPr>
                <w:rStyle w:val="IndexLink"/>
                <w:rtl w:val="true"/>
              </w:rPr>
              <w:t>]</w:t>
              <w:tab/>
            </w:r>
            <w:r>
              <w:rPr>
                <w:rStyle w:val="IndexLink"/>
              </w:rPr>
              <w:t>183</w:t>
            </w:r>
          </w:hyperlink>
        </w:p>
        <w:p>
          <w:pPr>
            <w:pStyle w:val="Contents5"/>
            <w:tabs>
              <w:tab w:val="clear" w:pos="7892"/>
              <w:tab w:val="right" w:pos="9026" w:leader="dot"/>
            </w:tabs>
            <w:rPr/>
          </w:pPr>
          <w:hyperlink w:anchor="__RefHeading___Toc2018554_1067777946">
            <w:r>
              <w:rPr>
                <w:webHidden/>
                <w:rStyle w:val="IndexLink"/>
                <w:rtl w:val="true"/>
              </w:rPr>
              <w:t>[</w:t>
            </w:r>
            <w:r>
              <w:rPr>
                <w:rStyle w:val="IndexLink"/>
                <w:rtl w:val="true"/>
              </w:rPr>
              <w:t>سبب القضاء</w:t>
            </w:r>
            <w:r>
              <w:rPr>
                <w:rStyle w:val="IndexLink"/>
                <w:rtl w:val="true"/>
              </w:rPr>
              <w:t>]</w:t>
              <w:tab/>
            </w:r>
            <w:r>
              <w:rPr>
                <w:rStyle w:val="IndexLink"/>
              </w:rPr>
              <w:t>183</w:t>
            </w:r>
          </w:hyperlink>
        </w:p>
        <w:p>
          <w:pPr>
            <w:pStyle w:val="Contents5"/>
            <w:tabs>
              <w:tab w:val="clear" w:pos="7892"/>
              <w:tab w:val="right" w:pos="9026" w:leader="dot"/>
            </w:tabs>
            <w:rPr/>
          </w:pPr>
          <w:hyperlink w:anchor="__RefHeading___Toc2018556_1067777946">
            <w:r>
              <w:rPr>
                <w:webHidden/>
                <w:rStyle w:val="IndexLink"/>
                <w:rtl w:val="true"/>
              </w:rPr>
              <w:t>[</w:t>
            </w:r>
            <w:r>
              <w:rPr>
                <w:rStyle w:val="IndexLink"/>
                <w:rtl w:val="true"/>
              </w:rPr>
              <w:t>حكم القضاء</w:t>
            </w:r>
            <w:r>
              <w:rPr>
                <w:rStyle w:val="IndexLink"/>
                <w:rtl w:val="true"/>
              </w:rPr>
              <w:t>]</w:t>
              <w:tab/>
            </w:r>
            <w:r>
              <w:rPr>
                <w:rStyle w:val="IndexLink"/>
              </w:rPr>
              <w:t>184</w:t>
            </w:r>
          </w:hyperlink>
        </w:p>
        <w:p>
          <w:pPr>
            <w:pStyle w:val="Contents5"/>
            <w:tabs>
              <w:tab w:val="clear" w:pos="7892"/>
              <w:tab w:val="right" w:pos="9026" w:leader="dot"/>
            </w:tabs>
            <w:rPr/>
          </w:pPr>
          <w:hyperlink w:anchor="__RefHeading___Toc2018558_1067777946">
            <w:r>
              <w:rPr>
                <w:webHidden/>
                <w:rStyle w:val="IndexLink"/>
                <w:rtl w:val="true"/>
              </w:rPr>
              <w:t>[</w:t>
            </w:r>
            <w:r>
              <w:rPr>
                <w:rStyle w:val="IndexLink"/>
                <w:rtl w:val="true"/>
              </w:rPr>
              <w:t>مسائل</w:t>
            </w:r>
            <w:r>
              <w:rPr>
                <w:rStyle w:val="IndexLink"/>
                <w:rtl w:val="true"/>
              </w:rPr>
              <w:t>:]</w:t>
              <w:tab/>
            </w:r>
            <w:r>
              <w:rPr>
                <w:rStyle w:val="IndexLink"/>
              </w:rPr>
              <w:t>185</w:t>
            </w:r>
          </w:hyperlink>
        </w:p>
        <w:p>
          <w:pPr>
            <w:pStyle w:val="Contents4"/>
            <w:tabs>
              <w:tab w:val="clear" w:pos="8176"/>
              <w:tab w:val="right" w:pos="9026" w:leader="dot"/>
            </w:tabs>
            <w:rPr/>
          </w:pPr>
          <w:hyperlink w:anchor="__RefHeading___Toc2018560_1067777946">
            <w:r>
              <w:rPr>
                <w:webHidden/>
                <w:rStyle w:val="IndexLink"/>
                <w:rtl w:val="true"/>
              </w:rPr>
              <w:t>[</w:t>
            </w:r>
            <w:r>
              <w:rPr>
                <w:rStyle w:val="IndexLink"/>
                <w:rtl w:val="true"/>
              </w:rPr>
              <w:t>الفصل الثالث في صلاة الجماعة</w:t>
            </w:r>
            <w:r>
              <w:rPr>
                <w:rStyle w:val="IndexLink"/>
                <w:rtl w:val="true"/>
              </w:rPr>
              <w:t>]</w:t>
              <w:tab/>
            </w:r>
            <w:r>
              <w:rPr>
                <w:rStyle w:val="IndexLink"/>
              </w:rPr>
              <w:t>186</w:t>
            </w:r>
          </w:hyperlink>
        </w:p>
        <w:p>
          <w:pPr>
            <w:pStyle w:val="Contents5"/>
            <w:tabs>
              <w:tab w:val="clear" w:pos="7892"/>
              <w:tab w:val="right" w:pos="9026" w:leader="dot"/>
            </w:tabs>
            <w:rPr/>
          </w:pPr>
          <w:hyperlink w:anchor="__RefHeading___Toc2018562_1067777946">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2018564_1067777946">
            <w:r>
              <w:rPr>
                <w:webHidden/>
                <w:rStyle w:val="IndexLink"/>
                <w:rtl w:val="true"/>
              </w:rPr>
              <w:t>[</w:t>
            </w:r>
            <w:r>
              <w:rPr>
                <w:rStyle w:val="IndexLink"/>
                <w:rtl w:val="true"/>
              </w:rPr>
              <w:t>إمام الجماعة</w:t>
            </w:r>
            <w:r>
              <w:rPr>
                <w:rStyle w:val="IndexLink"/>
                <w:rtl w:val="true"/>
              </w:rPr>
              <w:t>]</w:t>
              <w:tab/>
            </w:r>
            <w:r>
              <w:rPr>
                <w:rStyle w:val="IndexLink"/>
              </w:rPr>
              <w:t>189</w:t>
            </w:r>
          </w:hyperlink>
        </w:p>
        <w:p>
          <w:pPr>
            <w:pStyle w:val="Contents5"/>
            <w:tabs>
              <w:tab w:val="clear" w:pos="7892"/>
              <w:tab w:val="right" w:pos="9026" w:leader="dot"/>
            </w:tabs>
            <w:rPr/>
          </w:pPr>
          <w:hyperlink w:anchor="__RefHeading___Toc2018566_1067777946">
            <w:r>
              <w:rPr>
                <w:webHidden/>
                <w:rStyle w:val="IndexLink"/>
                <w:rtl w:val="true"/>
              </w:rPr>
              <w:t>[</w:t>
            </w:r>
            <w:r>
              <w:rPr>
                <w:rStyle w:val="IndexLink"/>
                <w:rtl w:val="true"/>
              </w:rPr>
              <w:t>أحكام الجماعة</w:t>
            </w:r>
            <w:r>
              <w:rPr>
                <w:rStyle w:val="IndexLink"/>
                <w:rtl w:val="true"/>
              </w:rPr>
              <w:t>]</w:t>
              <w:tab/>
            </w:r>
            <w:r>
              <w:rPr>
                <w:rStyle w:val="IndexLink"/>
              </w:rPr>
              <w:t>191</w:t>
            </w:r>
          </w:hyperlink>
        </w:p>
        <w:p>
          <w:pPr>
            <w:pStyle w:val="Contents5"/>
            <w:tabs>
              <w:tab w:val="clear" w:pos="7892"/>
              <w:tab w:val="right" w:pos="9026" w:leader="dot"/>
            </w:tabs>
            <w:rPr/>
          </w:pPr>
          <w:hyperlink w:anchor="__RefHeading___Toc2018568_1067777946">
            <w:r>
              <w:rPr>
                <w:webHidden/>
                <w:rStyle w:val="IndexLink"/>
                <w:rtl w:val="true"/>
              </w:rPr>
              <w:t>[</w:t>
            </w:r>
            <w:r>
              <w:rPr>
                <w:rStyle w:val="IndexLink"/>
                <w:rtl w:val="true"/>
              </w:rPr>
              <w:t>خاتمة فيما يتعلّق بالمساجد</w:t>
            </w:r>
            <w:r>
              <w:rPr>
                <w:rStyle w:val="IndexLink"/>
                <w:rtl w:val="true"/>
              </w:rPr>
              <w:t>]</w:t>
              <w:tab/>
            </w:r>
            <w:r>
              <w:rPr>
                <w:rStyle w:val="IndexLink"/>
              </w:rPr>
              <w:t>193</w:t>
            </w:r>
          </w:hyperlink>
        </w:p>
        <w:p>
          <w:pPr>
            <w:pStyle w:val="Contents4"/>
            <w:tabs>
              <w:tab w:val="clear" w:pos="8176"/>
              <w:tab w:val="right" w:pos="9026" w:leader="dot"/>
            </w:tabs>
            <w:rPr/>
          </w:pPr>
          <w:hyperlink w:anchor="__RefHeading___Toc2018570_1067777946">
            <w:r>
              <w:rPr>
                <w:webHidden/>
                <w:rStyle w:val="IndexLink"/>
                <w:rtl w:val="true"/>
              </w:rPr>
              <w:t>[</w:t>
            </w:r>
            <w:r>
              <w:rPr>
                <w:rStyle w:val="IndexLink"/>
                <w:rtl w:val="true"/>
              </w:rPr>
              <w:t>الفصل الرابع في صلاة الخوف والمطاردة</w:t>
            </w:r>
            <w:r>
              <w:rPr>
                <w:rStyle w:val="IndexLink"/>
                <w:rtl w:val="true"/>
              </w:rPr>
              <w:t>]</w:t>
              <w:tab/>
            </w:r>
            <w:r>
              <w:rPr>
                <w:rStyle w:val="IndexLink"/>
              </w:rPr>
              <w:t>196</w:t>
            </w:r>
          </w:hyperlink>
        </w:p>
        <w:p>
          <w:pPr>
            <w:pStyle w:val="Contents5"/>
            <w:tabs>
              <w:tab w:val="clear" w:pos="7892"/>
              <w:tab w:val="right" w:pos="9026" w:leader="dot"/>
            </w:tabs>
            <w:rPr/>
          </w:pPr>
          <w:hyperlink w:anchor="__RefHeading___Toc2018572_1067777946">
            <w:r>
              <w:rPr>
                <w:webHidden/>
                <w:rStyle w:val="IndexLink"/>
                <w:rtl w:val="true"/>
              </w:rPr>
              <w:t>[</w:t>
            </w:r>
            <w:r>
              <w:rPr>
                <w:rStyle w:val="IndexLink"/>
                <w:rtl w:val="true"/>
              </w:rPr>
              <w:t>صلاة الخوف</w:t>
            </w:r>
            <w:r>
              <w:rPr>
                <w:rStyle w:val="IndexLink"/>
                <w:rtl w:val="true"/>
              </w:rPr>
              <w:t>]</w:t>
              <w:tab/>
            </w:r>
            <w:r>
              <w:rPr>
                <w:rStyle w:val="IndexLink"/>
              </w:rPr>
              <w:t>196</w:t>
            </w:r>
          </w:hyperlink>
        </w:p>
        <w:p>
          <w:pPr>
            <w:pStyle w:val="Contents5"/>
            <w:tabs>
              <w:tab w:val="clear" w:pos="7892"/>
              <w:tab w:val="right" w:pos="9026" w:leader="dot"/>
            </w:tabs>
            <w:rPr/>
          </w:pPr>
          <w:hyperlink w:anchor="__RefHeading___Toc2018574_1067777946">
            <w:r>
              <w:rPr>
                <w:webHidden/>
                <w:rStyle w:val="IndexLink"/>
                <w:rtl w:val="true"/>
              </w:rPr>
              <w:t>[</w:t>
            </w:r>
            <w:r>
              <w:rPr>
                <w:rStyle w:val="IndexLink"/>
                <w:rtl w:val="true"/>
              </w:rPr>
              <w:t>شروطها</w:t>
            </w:r>
            <w:r>
              <w:rPr>
                <w:rStyle w:val="IndexLink"/>
                <w:rtl w:val="true"/>
              </w:rPr>
              <w:t>]</w:t>
              <w:tab/>
            </w:r>
            <w:r>
              <w:rPr>
                <w:rStyle w:val="IndexLink"/>
              </w:rPr>
              <w:t>196</w:t>
            </w:r>
          </w:hyperlink>
        </w:p>
        <w:p>
          <w:pPr>
            <w:pStyle w:val="Contents5"/>
            <w:tabs>
              <w:tab w:val="clear" w:pos="7892"/>
              <w:tab w:val="right" w:pos="9026" w:leader="dot"/>
            </w:tabs>
            <w:rPr/>
          </w:pPr>
          <w:hyperlink w:anchor="__RefHeading___Toc2018576_1067777946">
            <w:r>
              <w:rPr>
                <w:webHidden/>
                <w:rStyle w:val="IndexLink"/>
                <w:rtl w:val="true"/>
              </w:rPr>
              <w:t>[</w:t>
            </w:r>
            <w:r>
              <w:rPr>
                <w:rStyle w:val="IndexLink"/>
                <w:rtl w:val="true"/>
              </w:rPr>
              <w:t>كيفيّتها</w:t>
            </w:r>
            <w:r>
              <w:rPr>
                <w:rStyle w:val="IndexLink"/>
                <w:rtl w:val="true"/>
              </w:rPr>
              <w:t>]</w:t>
              <w:tab/>
            </w:r>
            <w:r>
              <w:rPr>
                <w:rStyle w:val="IndexLink"/>
              </w:rPr>
              <w:t>197</w:t>
            </w:r>
          </w:hyperlink>
        </w:p>
        <w:p>
          <w:pPr>
            <w:pStyle w:val="Contents5"/>
            <w:tabs>
              <w:tab w:val="clear" w:pos="7892"/>
              <w:tab w:val="right" w:pos="9026" w:leader="dot"/>
            </w:tabs>
            <w:rPr/>
          </w:pPr>
          <w:hyperlink w:anchor="__RefHeading___Toc2018578_1067777946">
            <w:r>
              <w:rPr>
                <w:webHidden/>
                <w:rStyle w:val="IndexLink"/>
                <w:rtl w:val="true"/>
              </w:rPr>
              <w:t>[</w:t>
            </w:r>
            <w:r>
              <w:rPr>
                <w:rStyle w:val="IndexLink"/>
                <w:rtl w:val="true"/>
              </w:rPr>
              <w:t>أحكامها</w:t>
            </w:r>
            <w:r>
              <w:rPr>
                <w:rStyle w:val="IndexLink"/>
                <w:rtl w:val="true"/>
              </w:rPr>
              <w:t>]</w:t>
              <w:tab/>
            </w:r>
            <w:r>
              <w:rPr>
                <w:rStyle w:val="IndexLink"/>
              </w:rPr>
              <w:t>197</w:t>
            </w:r>
          </w:hyperlink>
        </w:p>
        <w:p>
          <w:pPr>
            <w:pStyle w:val="Contents5"/>
            <w:tabs>
              <w:tab w:val="clear" w:pos="7892"/>
              <w:tab w:val="right" w:pos="9026" w:leader="dot"/>
            </w:tabs>
            <w:rPr/>
          </w:pPr>
          <w:hyperlink w:anchor="__RefHeading___Toc2018580_1067777946">
            <w:r>
              <w:rPr>
                <w:webHidden/>
                <w:rStyle w:val="IndexLink"/>
                <w:rtl w:val="true"/>
              </w:rPr>
              <w:t>[</w:t>
            </w:r>
            <w:r>
              <w:rPr>
                <w:rStyle w:val="IndexLink"/>
                <w:rtl w:val="true"/>
              </w:rPr>
              <w:t>صلاة المطاردة</w:t>
            </w:r>
            <w:r>
              <w:rPr>
                <w:rStyle w:val="IndexLink"/>
                <w:rtl w:val="true"/>
              </w:rPr>
              <w:t>]</w:t>
              <w:tab/>
            </w:r>
            <w:r>
              <w:rPr>
                <w:rStyle w:val="IndexLink"/>
              </w:rPr>
              <w:t>198</w:t>
            </w:r>
          </w:hyperlink>
        </w:p>
        <w:p>
          <w:pPr>
            <w:pStyle w:val="Contents4"/>
            <w:tabs>
              <w:tab w:val="clear" w:pos="8176"/>
              <w:tab w:val="right" w:pos="9026" w:leader="dot"/>
            </w:tabs>
            <w:rPr/>
          </w:pPr>
          <w:hyperlink w:anchor="__RefHeading___Toc2018582_1067777946">
            <w:r>
              <w:rPr>
                <w:webHidden/>
                <w:rStyle w:val="IndexLink"/>
                <w:rtl w:val="true"/>
              </w:rPr>
              <w:t>[</w:t>
            </w:r>
            <w:r>
              <w:rPr>
                <w:rStyle w:val="IndexLink"/>
                <w:rtl w:val="true"/>
              </w:rPr>
              <w:t>الفصل الخامس في صلاة المسافر</w:t>
            </w:r>
            <w:r>
              <w:rPr>
                <w:rStyle w:val="IndexLink"/>
                <w:rtl w:val="true"/>
              </w:rPr>
              <w:t>]</w:t>
              <w:tab/>
            </w:r>
            <w:r>
              <w:rPr>
                <w:rStyle w:val="IndexLink"/>
              </w:rPr>
              <w:t>199</w:t>
            </w:r>
          </w:hyperlink>
        </w:p>
        <w:p>
          <w:pPr>
            <w:pStyle w:val="Contents2"/>
            <w:tabs>
              <w:tab w:val="clear" w:pos="8743"/>
              <w:tab w:val="right" w:pos="9026" w:leader="dot"/>
            </w:tabs>
            <w:rPr/>
          </w:pPr>
          <w:hyperlink w:anchor="__RefHeading___Toc2018584_1067777946">
            <w:r>
              <w:rPr>
                <w:webHidden/>
                <w:rStyle w:val="IndexLink"/>
                <w:rtl w:val="true"/>
              </w:rPr>
              <w:t>كتاب الزكاة</w:t>
            </w:r>
            <w:r>
              <w:rPr>
                <w:rStyle w:val="IndexLink"/>
                <w:rtl w:val="true"/>
              </w:rPr>
              <w:tab/>
            </w:r>
            <w:r>
              <w:rPr>
                <w:rStyle w:val="IndexLink"/>
              </w:rPr>
              <w:t>205</w:t>
            </w:r>
          </w:hyperlink>
        </w:p>
        <w:p>
          <w:pPr>
            <w:pStyle w:val="Contents3"/>
            <w:tabs>
              <w:tab w:val="clear" w:pos="8459"/>
              <w:tab w:val="right" w:pos="9026" w:leader="dot"/>
            </w:tabs>
            <w:rPr/>
          </w:pPr>
          <w:hyperlink w:anchor="__RefHeading___Toc2018586_1067777946">
            <w:r>
              <w:rPr>
                <w:webHidden/>
                <w:rStyle w:val="IndexLink"/>
                <w:rtl w:val="true"/>
              </w:rPr>
              <w:t>[</w:t>
            </w:r>
            <w:r>
              <w:rPr>
                <w:rStyle w:val="IndexLink"/>
                <w:rtl w:val="true"/>
              </w:rPr>
              <w:t>القسم الأوّل في زكاة المال</w:t>
            </w:r>
            <w:r>
              <w:rPr>
                <w:rStyle w:val="IndexLink"/>
                <w:rtl w:val="true"/>
              </w:rPr>
              <w:t>]</w:t>
              <w:tab/>
            </w:r>
            <w:r>
              <w:rPr>
                <w:rStyle w:val="IndexLink"/>
              </w:rPr>
              <w:t>205</w:t>
            </w:r>
          </w:hyperlink>
        </w:p>
        <w:p>
          <w:pPr>
            <w:pStyle w:val="Contents4"/>
            <w:tabs>
              <w:tab w:val="clear" w:pos="8176"/>
              <w:tab w:val="right" w:pos="9026" w:leader="dot"/>
            </w:tabs>
            <w:rPr/>
          </w:pPr>
          <w:hyperlink w:anchor="__RefHeading___Toc2018588_1067777946">
            <w:r>
              <w:rPr>
                <w:webHidden/>
                <w:rStyle w:val="IndexLink"/>
                <w:rtl w:val="true"/>
              </w:rPr>
              <w:t>[</w:t>
            </w:r>
            <w:r>
              <w:rPr>
                <w:rStyle w:val="IndexLink"/>
                <w:rtl w:val="true"/>
              </w:rPr>
              <w:t>من تجب عليه</w:t>
            </w:r>
            <w:r>
              <w:rPr>
                <w:rStyle w:val="IndexLink"/>
                <w:rtl w:val="true"/>
              </w:rPr>
              <w:t>]</w:t>
              <w:tab/>
            </w:r>
            <w:r>
              <w:rPr>
                <w:rStyle w:val="IndexLink"/>
              </w:rPr>
              <w:t>205</w:t>
            </w:r>
          </w:hyperlink>
        </w:p>
        <w:p>
          <w:pPr>
            <w:pStyle w:val="Contents4"/>
            <w:tabs>
              <w:tab w:val="clear" w:pos="8176"/>
              <w:tab w:val="right" w:pos="9026" w:leader="dot"/>
            </w:tabs>
            <w:rPr/>
          </w:pPr>
          <w:hyperlink w:anchor="__RefHeading___Toc2018590_1067777946">
            <w:r>
              <w:rPr>
                <w:webHidden/>
                <w:rStyle w:val="IndexLink"/>
                <w:rtl w:val="true"/>
              </w:rPr>
              <w:t>[</w:t>
            </w:r>
            <w:r>
              <w:rPr>
                <w:rStyle w:val="IndexLink"/>
                <w:rtl w:val="true"/>
              </w:rPr>
              <w:t>ماتجب فيه، وماتستحبّ</w:t>
            </w:r>
            <w:r>
              <w:rPr>
                <w:rStyle w:val="IndexLink"/>
                <w:rtl w:val="true"/>
              </w:rPr>
              <w:t>]</w:t>
              <w:tab/>
            </w:r>
            <w:r>
              <w:rPr>
                <w:rStyle w:val="IndexLink"/>
              </w:rPr>
              <w:t>207</w:t>
            </w:r>
          </w:hyperlink>
        </w:p>
        <w:p>
          <w:pPr>
            <w:pStyle w:val="Contents4"/>
            <w:tabs>
              <w:tab w:val="clear" w:pos="8176"/>
              <w:tab w:val="right" w:pos="9026" w:leader="dot"/>
            </w:tabs>
            <w:rPr/>
          </w:pPr>
          <w:hyperlink w:anchor="__RefHeading___Toc2018592_1067777946">
            <w:r>
              <w:rPr>
                <w:webHidden/>
                <w:rStyle w:val="IndexLink"/>
                <w:rtl w:val="true"/>
              </w:rPr>
              <w:t>[</w:t>
            </w:r>
            <w:r>
              <w:rPr>
                <w:rStyle w:val="IndexLink"/>
                <w:rtl w:val="true"/>
              </w:rPr>
              <w:t>القول في زكاة الأنعام</w:t>
            </w:r>
            <w:r>
              <w:rPr>
                <w:rStyle w:val="IndexLink"/>
                <w:rtl w:val="true"/>
              </w:rPr>
              <w:t>]</w:t>
              <w:tab/>
            </w:r>
            <w:r>
              <w:rPr>
                <w:rStyle w:val="IndexLink"/>
              </w:rPr>
              <w:t>208</w:t>
            </w:r>
          </w:hyperlink>
        </w:p>
        <w:p>
          <w:pPr>
            <w:pStyle w:val="Contents4"/>
            <w:tabs>
              <w:tab w:val="clear" w:pos="8176"/>
              <w:tab w:val="right" w:pos="9026" w:leader="dot"/>
            </w:tabs>
            <w:rPr/>
          </w:pPr>
          <w:hyperlink w:anchor="__RefHeading___Toc2018594_1067777946">
            <w:r>
              <w:rPr>
                <w:webHidden/>
                <w:rStyle w:val="IndexLink"/>
                <w:rtl w:val="true"/>
              </w:rPr>
              <w:t>[</w:t>
            </w:r>
            <w:r>
              <w:rPr>
                <w:rStyle w:val="IndexLink"/>
                <w:rtl w:val="true"/>
              </w:rPr>
              <w:t>القول في الفريضة</w:t>
            </w:r>
            <w:r>
              <w:rPr>
                <w:rStyle w:val="IndexLink"/>
                <w:rtl w:val="true"/>
              </w:rPr>
              <w:t>]</w:t>
              <w:tab/>
            </w:r>
            <w:r>
              <w:rPr>
                <w:rStyle w:val="IndexLink"/>
              </w:rPr>
              <w:t>210</w:t>
            </w:r>
          </w:hyperlink>
        </w:p>
        <w:p>
          <w:pPr>
            <w:pStyle w:val="Contents4"/>
            <w:tabs>
              <w:tab w:val="clear" w:pos="8176"/>
              <w:tab w:val="right" w:pos="9026" w:leader="dot"/>
            </w:tabs>
            <w:rPr/>
          </w:pPr>
          <w:hyperlink w:anchor="__RefHeading___Toc2018596_1067777946">
            <w:r>
              <w:rPr>
                <w:webHidden/>
                <w:rStyle w:val="IndexLink"/>
                <w:rtl w:val="true"/>
              </w:rPr>
              <w:t>[</w:t>
            </w:r>
            <w:r>
              <w:rPr>
                <w:rStyle w:val="IndexLink"/>
                <w:rtl w:val="true"/>
              </w:rPr>
              <w:t>اللواحق</w:t>
            </w:r>
            <w:r>
              <w:rPr>
                <w:rStyle w:val="IndexLink"/>
                <w:rtl w:val="true"/>
              </w:rPr>
              <w:t>]</w:t>
              <w:tab/>
            </w:r>
            <w:r>
              <w:rPr>
                <w:rStyle w:val="IndexLink"/>
              </w:rPr>
              <w:t>212</w:t>
            </w:r>
          </w:hyperlink>
        </w:p>
        <w:p>
          <w:pPr>
            <w:pStyle w:val="Contents4"/>
            <w:tabs>
              <w:tab w:val="clear" w:pos="8176"/>
              <w:tab w:val="right" w:pos="9026" w:leader="dot"/>
            </w:tabs>
            <w:rPr/>
          </w:pPr>
          <w:hyperlink w:anchor="__RefHeading___Toc2018598_1067777946">
            <w:r>
              <w:rPr>
                <w:webHidden/>
                <w:rStyle w:val="IndexLink"/>
                <w:rtl w:val="true"/>
              </w:rPr>
              <w:t>[</w:t>
            </w:r>
            <w:r>
              <w:rPr>
                <w:rStyle w:val="IndexLink"/>
                <w:rtl w:val="true"/>
              </w:rPr>
              <w:t>القول في زكاة الذهب والفضّة</w:t>
            </w:r>
            <w:r>
              <w:rPr>
                <w:rStyle w:val="IndexLink"/>
                <w:rtl w:val="true"/>
              </w:rPr>
              <w:t>]</w:t>
              <w:tab/>
            </w:r>
            <w:r>
              <w:rPr>
                <w:rStyle w:val="IndexLink"/>
              </w:rPr>
              <w:t>213</w:t>
            </w:r>
          </w:hyperlink>
        </w:p>
        <w:p>
          <w:pPr>
            <w:pStyle w:val="Contents5"/>
            <w:tabs>
              <w:tab w:val="clear" w:pos="7892"/>
              <w:tab w:val="right" w:pos="9026" w:leader="dot"/>
            </w:tabs>
            <w:rPr/>
          </w:pPr>
          <w:hyperlink w:anchor="__RefHeading___Toc2018600_1067777946">
            <w:r>
              <w:rPr>
                <w:webHidden/>
                <w:rStyle w:val="IndexLink"/>
                <w:rtl w:val="true"/>
              </w:rPr>
              <w:t>[</w:t>
            </w:r>
            <w:r>
              <w:rPr>
                <w:rStyle w:val="IndexLink"/>
                <w:rtl w:val="true"/>
              </w:rPr>
              <w:t>النصاب</w:t>
            </w:r>
            <w:r>
              <w:rPr>
                <w:rStyle w:val="IndexLink"/>
                <w:rtl w:val="true"/>
              </w:rPr>
              <w:t>]</w:t>
              <w:tab/>
            </w:r>
            <w:r>
              <w:rPr>
                <w:rStyle w:val="IndexLink"/>
              </w:rPr>
              <w:t>213</w:t>
            </w:r>
          </w:hyperlink>
        </w:p>
        <w:p>
          <w:pPr>
            <w:pStyle w:val="Contents5"/>
            <w:tabs>
              <w:tab w:val="clear" w:pos="7892"/>
              <w:tab w:val="right" w:pos="9026" w:leader="dot"/>
            </w:tabs>
            <w:rPr/>
          </w:pPr>
          <w:hyperlink w:anchor="__RefHeading___Toc2018602_1067777946">
            <w:r>
              <w:rPr>
                <w:webHidden/>
                <w:rStyle w:val="IndexLink"/>
                <w:rtl w:val="true"/>
              </w:rPr>
              <w:t>[</w:t>
            </w:r>
            <w:r>
              <w:rPr>
                <w:rStyle w:val="IndexLink"/>
                <w:rtl w:val="true"/>
              </w:rPr>
              <w:t>شروط وجوبها</w:t>
            </w:r>
            <w:r>
              <w:rPr>
                <w:rStyle w:val="IndexLink"/>
                <w:rtl w:val="true"/>
              </w:rPr>
              <w:t>]</w:t>
              <w:tab/>
            </w:r>
            <w:r>
              <w:rPr>
                <w:rStyle w:val="IndexLink"/>
              </w:rPr>
              <w:t>214</w:t>
            </w:r>
          </w:hyperlink>
        </w:p>
        <w:p>
          <w:pPr>
            <w:pStyle w:val="Contents5"/>
            <w:tabs>
              <w:tab w:val="clear" w:pos="7892"/>
              <w:tab w:val="right" w:pos="9026" w:leader="dot"/>
            </w:tabs>
            <w:rPr/>
          </w:pPr>
          <w:hyperlink w:anchor="__RefHeading___Toc2018604_1067777946">
            <w:r>
              <w:rPr>
                <w:webHidden/>
                <w:rStyle w:val="IndexLink"/>
                <w:rtl w:val="true"/>
              </w:rPr>
              <w:t>[</w:t>
            </w:r>
            <w:r>
              <w:rPr>
                <w:rStyle w:val="IndexLink"/>
                <w:rtl w:val="true"/>
              </w:rPr>
              <w:t>أحكام زكاة الذهب والفضّة</w:t>
            </w:r>
            <w:r>
              <w:rPr>
                <w:rStyle w:val="IndexLink"/>
                <w:rtl w:val="true"/>
              </w:rPr>
              <w:t>]</w:t>
              <w:tab/>
            </w:r>
            <w:r>
              <w:rPr>
                <w:rStyle w:val="IndexLink"/>
              </w:rPr>
              <w:t>215</w:t>
            </w:r>
          </w:hyperlink>
        </w:p>
        <w:p>
          <w:pPr>
            <w:pStyle w:val="Contents4"/>
            <w:tabs>
              <w:tab w:val="clear" w:pos="8176"/>
              <w:tab w:val="right" w:pos="9026" w:leader="dot"/>
            </w:tabs>
            <w:rPr/>
          </w:pPr>
          <w:hyperlink w:anchor="__RefHeading___Toc2018606_1067777946">
            <w:r>
              <w:rPr>
                <w:webHidden/>
                <w:rStyle w:val="IndexLink"/>
                <w:rtl w:val="true"/>
              </w:rPr>
              <w:t>[</w:t>
            </w:r>
            <w:r>
              <w:rPr>
                <w:rStyle w:val="IndexLink"/>
                <w:rtl w:val="true"/>
              </w:rPr>
              <w:t>القول في</w:t>
            </w:r>
            <w:r>
              <w:rPr>
                <w:rStyle w:val="IndexLink"/>
                <w:rtl w:val="true"/>
              </w:rPr>
              <w:t xml:space="preserve">] </w:t>
            </w:r>
            <w:r>
              <w:rPr>
                <w:rStyle w:val="IndexLink"/>
                <w:rtl w:val="true"/>
              </w:rPr>
              <w:t>زكاة الغلّات</w:t>
            </w:r>
            <w:r>
              <w:rPr>
                <w:rStyle w:val="IndexLink"/>
                <w:rtl w:val="true"/>
              </w:rPr>
              <w:tab/>
            </w:r>
            <w:r>
              <w:rPr>
                <w:rStyle w:val="IndexLink"/>
              </w:rPr>
              <w:t>216</w:t>
            </w:r>
          </w:hyperlink>
        </w:p>
        <w:p>
          <w:pPr>
            <w:pStyle w:val="Contents5"/>
            <w:tabs>
              <w:tab w:val="clear" w:pos="7892"/>
              <w:tab w:val="right" w:pos="9026" w:leader="dot"/>
            </w:tabs>
            <w:rPr/>
          </w:pPr>
          <w:hyperlink w:anchor="__RefHeading___Toc2018608_1067777946">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2018610_1067777946">
            <w:r>
              <w:rPr>
                <w:webHidden/>
                <w:rStyle w:val="IndexLink"/>
                <w:rtl w:val="true"/>
              </w:rPr>
              <w:t>[</w:t>
            </w:r>
            <w:r>
              <w:rPr>
                <w:rStyle w:val="IndexLink"/>
                <w:rtl w:val="true"/>
              </w:rPr>
              <w:t>شروطها</w:t>
            </w:r>
            <w:r>
              <w:rPr>
                <w:rStyle w:val="IndexLink"/>
                <w:rtl w:val="true"/>
              </w:rPr>
              <w:t>]</w:t>
              <w:tab/>
            </w:r>
            <w:r>
              <w:rPr>
                <w:rStyle w:val="IndexLink"/>
              </w:rPr>
              <w:t>216</w:t>
            </w:r>
          </w:hyperlink>
        </w:p>
        <w:p>
          <w:pPr>
            <w:pStyle w:val="Contents5"/>
            <w:tabs>
              <w:tab w:val="clear" w:pos="7892"/>
              <w:tab w:val="right" w:pos="9026" w:leader="dot"/>
            </w:tabs>
            <w:rPr/>
          </w:pPr>
          <w:hyperlink w:anchor="__RefHeading___Toc2018612_1067777946">
            <w:r>
              <w:rPr>
                <w:webHidden/>
                <w:rStyle w:val="IndexLink"/>
                <w:rtl w:val="true"/>
              </w:rPr>
              <w:t>[</w:t>
            </w:r>
            <w:r>
              <w:rPr>
                <w:rStyle w:val="IndexLink"/>
                <w:rtl w:val="true"/>
              </w:rPr>
              <w:t>اللواحق</w:t>
            </w:r>
            <w:r>
              <w:rPr>
                <w:rStyle w:val="IndexLink"/>
                <w:rtl w:val="true"/>
              </w:rPr>
              <w:t>]</w:t>
              <w:tab/>
            </w:r>
            <w:r>
              <w:rPr>
                <w:rStyle w:val="IndexLink"/>
              </w:rPr>
              <w:t>217</w:t>
            </w:r>
          </w:hyperlink>
        </w:p>
        <w:p>
          <w:pPr>
            <w:pStyle w:val="Contents4"/>
            <w:tabs>
              <w:tab w:val="clear" w:pos="8176"/>
              <w:tab w:val="right" w:pos="9026" w:leader="dot"/>
            </w:tabs>
            <w:rPr/>
          </w:pPr>
          <w:hyperlink w:anchor="__RefHeading___Toc2018614_1067777946">
            <w:r>
              <w:rPr>
                <w:webHidden/>
                <w:rStyle w:val="IndexLink"/>
                <w:rtl w:val="true"/>
              </w:rPr>
              <w:t>[</w:t>
            </w:r>
            <w:r>
              <w:rPr>
                <w:rStyle w:val="IndexLink"/>
                <w:rtl w:val="true"/>
              </w:rPr>
              <w:t>القول في زكاة مال التجارة</w:t>
            </w:r>
            <w:r>
              <w:rPr>
                <w:rStyle w:val="IndexLink"/>
                <w:rtl w:val="true"/>
              </w:rPr>
              <w:t>]</w:t>
              <w:tab/>
            </w:r>
            <w:r>
              <w:rPr>
                <w:rStyle w:val="IndexLink"/>
              </w:rPr>
              <w:t>219</w:t>
            </w:r>
          </w:hyperlink>
        </w:p>
        <w:p>
          <w:pPr>
            <w:pStyle w:val="Contents5"/>
            <w:tabs>
              <w:tab w:val="clear" w:pos="7892"/>
              <w:tab w:val="right" w:pos="9026" w:leader="dot"/>
            </w:tabs>
            <w:rPr/>
          </w:pPr>
          <w:hyperlink w:anchor="__RefHeading___Toc2018616_106777794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2018618_1067777946">
            <w:r>
              <w:rPr>
                <w:webHidden/>
                <w:rStyle w:val="IndexLink"/>
                <w:rtl w:val="true"/>
              </w:rPr>
              <w:t>[</w:t>
            </w:r>
            <w:r>
              <w:rPr>
                <w:rStyle w:val="IndexLink"/>
                <w:rtl w:val="true"/>
              </w:rPr>
              <w:t>شروطها</w:t>
            </w:r>
            <w:r>
              <w:rPr>
                <w:rStyle w:val="IndexLink"/>
                <w:rtl w:val="true"/>
              </w:rPr>
              <w:t>]</w:t>
              <w:tab/>
            </w:r>
            <w:r>
              <w:rPr>
                <w:rStyle w:val="IndexLink"/>
              </w:rPr>
              <w:t>220</w:t>
            </w:r>
          </w:hyperlink>
        </w:p>
        <w:p>
          <w:pPr>
            <w:pStyle w:val="Contents5"/>
            <w:tabs>
              <w:tab w:val="clear" w:pos="7892"/>
              <w:tab w:val="right" w:pos="9026" w:leader="dot"/>
            </w:tabs>
            <w:rPr/>
          </w:pPr>
          <w:hyperlink w:anchor="__RefHeading___Toc2018620_1067777946">
            <w:r>
              <w:rPr>
                <w:webHidden/>
                <w:rStyle w:val="IndexLink"/>
                <w:rtl w:val="true"/>
              </w:rPr>
              <w:t>[</w:t>
            </w:r>
            <w:r>
              <w:rPr>
                <w:rStyle w:val="IndexLink"/>
                <w:rtl w:val="true"/>
              </w:rPr>
              <w:t>أحكامها</w:t>
            </w:r>
            <w:r>
              <w:rPr>
                <w:rStyle w:val="IndexLink"/>
                <w:rtl w:val="true"/>
              </w:rPr>
              <w:t>]</w:t>
              <w:tab/>
            </w:r>
            <w:r>
              <w:rPr>
                <w:rStyle w:val="IndexLink"/>
              </w:rPr>
              <w:t>220</w:t>
            </w:r>
          </w:hyperlink>
        </w:p>
        <w:p>
          <w:pPr>
            <w:pStyle w:val="Contents4"/>
            <w:tabs>
              <w:tab w:val="clear" w:pos="8176"/>
              <w:tab w:val="right" w:pos="9026" w:leader="dot"/>
            </w:tabs>
            <w:rPr/>
          </w:pPr>
          <w:hyperlink w:anchor="__RefHeading___Toc2018622_1067777946">
            <w:r>
              <w:rPr>
                <w:webHidden/>
                <w:rStyle w:val="IndexLink"/>
                <w:rtl w:val="true"/>
              </w:rPr>
              <w:t>[</w:t>
            </w:r>
            <w:r>
              <w:rPr>
                <w:rStyle w:val="IndexLink"/>
                <w:rtl w:val="true"/>
              </w:rPr>
              <w:t>النظر الثالث فيمن تصرف إليه الزكاة</w:t>
            </w:r>
            <w:r>
              <w:rPr>
                <w:rStyle w:val="IndexLink"/>
                <w:rtl w:val="true"/>
              </w:rPr>
              <w:t>]</w:t>
              <w:tab/>
            </w:r>
            <w:r>
              <w:rPr>
                <w:rStyle w:val="IndexLink"/>
              </w:rPr>
              <w:t>222</w:t>
            </w:r>
          </w:hyperlink>
        </w:p>
        <w:p>
          <w:pPr>
            <w:pStyle w:val="Contents5"/>
            <w:tabs>
              <w:tab w:val="clear" w:pos="7892"/>
              <w:tab w:val="right" w:pos="9026" w:leader="dot"/>
            </w:tabs>
            <w:rPr/>
          </w:pPr>
          <w:hyperlink w:anchor="__RefHeading___Toc2018624_1067777946">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018626_1067777946">
            <w:r>
              <w:rPr>
                <w:webHidden/>
                <w:rStyle w:val="IndexLink"/>
                <w:rtl w:val="true"/>
              </w:rPr>
              <w:t>[</w:t>
            </w:r>
            <w:r>
              <w:rPr>
                <w:rStyle w:val="IndexLink"/>
                <w:rtl w:val="true"/>
              </w:rPr>
              <w:t>الفقراء والمساكين</w:t>
            </w:r>
            <w:r>
              <w:rPr>
                <w:rStyle w:val="IndexLink"/>
                <w:rtl w:val="true"/>
              </w:rPr>
              <w:t>]</w:t>
              <w:tab/>
            </w:r>
            <w:r>
              <w:rPr>
                <w:rStyle w:val="IndexLink"/>
              </w:rPr>
              <w:t>222</w:t>
            </w:r>
          </w:hyperlink>
        </w:p>
        <w:p>
          <w:pPr>
            <w:pStyle w:val="Contents5"/>
            <w:tabs>
              <w:tab w:val="clear" w:pos="7892"/>
              <w:tab w:val="right" w:pos="9026" w:leader="dot"/>
            </w:tabs>
            <w:rPr/>
          </w:pPr>
          <w:hyperlink w:anchor="__RefHeading___Toc2018628_1067777946">
            <w:r>
              <w:rPr>
                <w:webHidden/>
                <w:rStyle w:val="IndexLink"/>
                <w:rtl w:val="true"/>
              </w:rPr>
              <w:t>[</w:t>
            </w:r>
            <w:r>
              <w:rPr>
                <w:rStyle w:val="IndexLink"/>
                <w:rtl w:val="true"/>
              </w:rPr>
              <w:t>العاملون</w:t>
            </w:r>
            <w:r>
              <w:rPr>
                <w:rStyle w:val="IndexLink"/>
                <w:rtl w:val="true"/>
              </w:rPr>
              <w:t>]</w:t>
              <w:tab/>
            </w:r>
            <w:r>
              <w:rPr>
                <w:rStyle w:val="IndexLink"/>
              </w:rPr>
              <w:t>223</w:t>
            </w:r>
          </w:hyperlink>
        </w:p>
        <w:p>
          <w:pPr>
            <w:pStyle w:val="Contents5"/>
            <w:tabs>
              <w:tab w:val="clear" w:pos="7892"/>
              <w:tab w:val="right" w:pos="9026" w:leader="dot"/>
            </w:tabs>
            <w:rPr/>
          </w:pPr>
          <w:hyperlink w:anchor="__RefHeading___Toc2018630_1067777946">
            <w:r>
              <w:rPr>
                <w:webHidden/>
                <w:rStyle w:val="IndexLink"/>
                <w:rtl w:val="true"/>
              </w:rPr>
              <w:t>[</w:t>
            </w:r>
            <w:r>
              <w:rPr>
                <w:rStyle w:val="IndexLink"/>
                <w:rtl w:val="true"/>
              </w:rPr>
              <w:t>المؤلّفة قلوبهم</w:t>
            </w:r>
            <w:r>
              <w:rPr>
                <w:rStyle w:val="IndexLink"/>
                <w:rtl w:val="true"/>
              </w:rPr>
              <w:t>]</w:t>
              <w:tab/>
            </w:r>
            <w:r>
              <w:rPr>
                <w:rStyle w:val="IndexLink"/>
              </w:rPr>
              <w:t>224</w:t>
            </w:r>
          </w:hyperlink>
        </w:p>
        <w:p>
          <w:pPr>
            <w:pStyle w:val="Contents5"/>
            <w:tabs>
              <w:tab w:val="clear" w:pos="7892"/>
              <w:tab w:val="right" w:pos="9026" w:leader="dot"/>
            </w:tabs>
            <w:rPr/>
          </w:pPr>
          <w:hyperlink w:anchor="__RefHeading___Toc2018632_1067777946">
            <w:r>
              <w:rPr>
                <w:webHidden/>
                <w:rStyle w:val="IndexLink"/>
                <w:rtl w:val="true"/>
              </w:rPr>
              <w:t>[</w:t>
            </w:r>
            <w:r>
              <w:rPr>
                <w:rStyle w:val="IndexLink"/>
                <w:rtl w:val="true"/>
              </w:rPr>
              <w:t>في الرقاب</w:t>
            </w:r>
            <w:r>
              <w:rPr>
                <w:rStyle w:val="IndexLink"/>
                <w:rtl w:val="true"/>
              </w:rPr>
              <w:t>]</w:t>
              <w:tab/>
            </w:r>
            <w:r>
              <w:rPr>
                <w:rStyle w:val="IndexLink"/>
              </w:rPr>
              <w:t>224</w:t>
            </w:r>
          </w:hyperlink>
        </w:p>
        <w:p>
          <w:pPr>
            <w:pStyle w:val="Contents5"/>
            <w:tabs>
              <w:tab w:val="clear" w:pos="7892"/>
              <w:tab w:val="right" w:pos="9026" w:leader="dot"/>
            </w:tabs>
            <w:rPr/>
          </w:pPr>
          <w:hyperlink w:anchor="__RefHeading___Toc2018634_1067777946">
            <w:r>
              <w:rPr>
                <w:webHidden/>
                <w:rStyle w:val="IndexLink"/>
                <w:rtl w:val="true"/>
              </w:rPr>
              <w:t>[</w:t>
            </w:r>
            <w:r>
              <w:rPr>
                <w:rStyle w:val="IndexLink"/>
                <w:rtl w:val="true"/>
              </w:rPr>
              <w:t>الغارمون</w:t>
            </w:r>
            <w:r>
              <w:rPr>
                <w:rStyle w:val="IndexLink"/>
                <w:rtl w:val="true"/>
              </w:rPr>
              <w:t>]</w:t>
              <w:tab/>
            </w:r>
            <w:r>
              <w:rPr>
                <w:rStyle w:val="IndexLink"/>
              </w:rPr>
              <w:t>225</w:t>
            </w:r>
          </w:hyperlink>
        </w:p>
        <w:p>
          <w:pPr>
            <w:pStyle w:val="Contents5"/>
            <w:tabs>
              <w:tab w:val="clear" w:pos="7892"/>
              <w:tab w:val="right" w:pos="9026" w:leader="dot"/>
            </w:tabs>
            <w:rPr/>
          </w:pPr>
          <w:hyperlink w:anchor="__RefHeading___Toc2018636_1067777946">
            <w:r>
              <w:rPr>
                <w:webHidden/>
                <w:rStyle w:val="IndexLink"/>
                <w:rtl w:val="true"/>
              </w:rPr>
              <w:t>[</w:t>
            </w:r>
            <w:r>
              <w:rPr>
                <w:rStyle w:val="IndexLink"/>
                <w:rtl w:val="true"/>
              </w:rPr>
              <w:t>سبيل الله</w:t>
            </w:r>
            <w:r>
              <w:rPr>
                <w:rStyle w:val="IndexLink"/>
                <w:rtl w:val="true"/>
              </w:rPr>
              <w:t>]</w:t>
              <w:tab/>
            </w:r>
            <w:r>
              <w:rPr>
                <w:rStyle w:val="IndexLink"/>
              </w:rPr>
              <w:t>226</w:t>
            </w:r>
          </w:hyperlink>
        </w:p>
        <w:p>
          <w:pPr>
            <w:pStyle w:val="Contents5"/>
            <w:tabs>
              <w:tab w:val="clear" w:pos="7892"/>
              <w:tab w:val="right" w:pos="9026" w:leader="dot"/>
            </w:tabs>
            <w:rPr/>
          </w:pPr>
          <w:hyperlink w:anchor="__RefHeading___Toc2018638_1067777946">
            <w:r>
              <w:rPr>
                <w:webHidden/>
                <w:rStyle w:val="IndexLink"/>
                <w:rtl w:val="true"/>
              </w:rPr>
              <w:t>[</w:t>
            </w:r>
            <w:r>
              <w:rPr>
                <w:rStyle w:val="IndexLink"/>
                <w:rtl w:val="true"/>
              </w:rPr>
              <w:t>ابن السبيل</w:t>
            </w:r>
            <w:r>
              <w:rPr>
                <w:rStyle w:val="IndexLink"/>
                <w:rtl w:val="true"/>
              </w:rPr>
              <w:t>]</w:t>
              <w:tab/>
            </w:r>
            <w:r>
              <w:rPr>
                <w:rStyle w:val="IndexLink"/>
              </w:rPr>
              <w:t>226</w:t>
            </w:r>
          </w:hyperlink>
        </w:p>
        <w:p>
          <w:pPr>
            <w:pStyle w:val="Contents5"/>
            <w:tabs>
              <w:tab w:val="clear" w:pos="7892"/>
              <w:tab w:val="right" w:pos="9026" w:leader="dot"/>
            </w:tabs>
            <w:rPr/>
          </w:pPr>
          <w:hyperlink w:anchor="__RefHeading___Toc2018640_1067777946">
            <w:r>
              <w:rPr>
                <w:webHidden/>
                <w:rStyle w:val="IndexLink"/>
                <w:rtl w:val="true"/>
              </w:rPr>
              <w:t>[</w:t>
            </w:r>
            <w:r>
              <w:rPr>
                <w:rStyle w:val="IndexLink"/>
                <w:rtl w:val="true"/>
              </w:rPr>
              <w:t>أوصاف المستحقّين</w:t>
            </w:r>
            <w:r>
              <w:rPr>
                <w:rStyle w:val="IndexLink"/>
                <w:rtl w:val="true"/>
              </w:rPr>
              <w:t>]</w:t>
              <w:tab/>
            </w:r>
            <w:r>
              <w:rPr>
                <w:rStyle w:val="IndexLink"/>
              </w:rPr>
              <w:t>226</w:t>
            </w:r>
          </w:hyperlink>
        </w:p>
        <w:p>
          <w:pPr>
            <w:pStyle w:val="Contents5"/>
            <w:tabs>
              <w:tab w:val="clear" w:pos="7892"/>
              <w:tab w:val="right" w:pos="9026" w:leader="dot"/>
            </w:tabs>
            <w:rPr/>
          </w:pPr>
          <w:hyperlink w:anchor="__RefHeading___Toc2018642_1067777946">
            <w:r>
              <w:rPr>
                <w:webHidden/>
                <w:rStyle w:val="IndexLink"/>
                <w:rtl w:val="true"/>
              </w:rPr>
              <w:t>[</w:t>
            </w:r>
            <w:r>
              <w:rPr>
                <w:rStyle w:val="IndexLink"/>
                <w:rtl w:val="true"/>
              </w:rPr>
              <w:t>المتولّي لإخراج الزكاة</w:t>
            </w:r>
            <w:r>
              <w:rPr>
                <w:rStyle w:val="IndexLink"/>
                <w:rtl w:val="true"/>
              </w:rPr>
              <w:t>]</w:t>
              <w:tab/>
            </w:r>
            <w:r>
              <w:rPr>
                <w:rStyle w:val="IndexLink"/>
              </w:rPr>
              <w:t>228</w:t>
            </w:r>
          </w:hyperlink>
        </w:p>
        <w:p>
          <w:pPr>
            <w:pStyle w:val="Contents5"/>
            <w:tabs>
              <w:tab w:val="clear" w:pos="7892"/>
              <w:tab w:val="right" w:pos="9026" w:leader="dot"/>
            </w:tabs>
            <w:rPr/>
          </w:pPr>
          <w:hyperlink w:anchor="__RefHeading___Toc2018644_1067777946">
            <w:r>
              <w:rPr>
                <w:webHidden/>
                <w:rStyle w:val="IndexLink"/>
                <w:rtl w:val="true"/>
              </w:rPr>
              <w:t>[</w:t>
            </w:r>
            <w:r>
              <w:rPr>
                <w:rStyle w:val="IndexLink"/>
                <w:rtl w:val="true"/>
              </w:rPr>
              <w:t>اللواحق</w:t>
            </w:r>
            <w:r>
              <w:rPr>
                <w:rStyle w:val="IndexLink"/>
                <w:rtl w:val="true"/>
              </w:rPr>
              <w:t>]</w:t>
              <w:tab/>
            </w:r>
            <w:r>
              <w:rPr>
                <w:rStyle w:val="IndexLink"/>
              </w:rPr>
              <w:t>229</w:t>
            </w:r>
          </w:hyperlink>
        </w:p>
        <w:p>
          <w:pPr>
            <w:pStyle w:val="Contents4"/>
            <w:tabs>
              <w:tab w:val="clear" w:pos="8176"/>
              <w:tab w:val="right" w:pos="9026" w:leader="dot"/>
            </w:tabs>
            <w:rPr/>
          </w:pPr>
          <w:hyperlink w:anchor="__RefHeading___Toc2018646_1067777946">
            <w:r>
              <w:rPr>
                <w:webHidden/>
                <w:rStyle w:val="IndexLink"/>
                <w:rtl w:val="true"/>
              </w:rPr>
              <w:t>[</w:t>
            </w:r>
            <w:r>
              <w:rPr>
                <w:rStyle w:val="IndexLink"/>
                <w:rtl w:val="true"/>
              </w:rPr>
              <w:t>القول في وقت تسليم الزكاة</w:t>
            </w:r>
            <w:r>
              <w:rPr>
                <w:rStyle w:val="IndexLink"/>
                <w:rtl w:val="true"/>
              </w:rPr>
              <w:t>]</w:t>
              <w:tab/>
            </w:r>
            <w:r>
              <w:rPr>
                <w:rStyle w:val="IndexLink"/>
              </w:rPr>
              <w:t>230</w:t>
            </w:r>
          </w:hyperlink>
        </w:p>
        <w:p>
          <w:pPr>
            <w:pStyle w:val="Contents4"/>
            <w:tabs>
              <w:tab w:val="clear" w:pos="8176"/>
              <w:tab w:val="right" w:pos="9026" w:leader="dot"/>
            </w:tabs>
            <w:rPr/>
          </w:pPr>
          <w:hyperlink w:anchor="__RefHeading___Toc2018648_1067777946">
            <w:r>
              <w:rPr>
                <w:webHidden/>
                <w:rStyle w:val="IndexLink"/>
                <w:rtl w:val="true"/>
              </w:rPr>
              <w:t>[</w:t>
            </w:r>
            <w:r>
              <w:rPr>
                <w:rStyle w:val="IndexLink"/>
                <w:rtl w:val="true"/>
              </w:rPr>
              <w:t>القول في نيّة دفع الزكاة</w:t>
            </w:r>
            <w:r>
              <w:rPr>
                <w:rStyle w:val="IndexLink"/>
                <w:rtl w:val="true"/>
              </w:rPr>
              <w:t>]</w:t>
              <w:tab/>
            </w:r>
            <w:r>
              <w:rPr>
                <w:rStyle w:val="IndexLink"/>
              </w:rPr>
              <w:t>231</w:t>
            </w:r>
          </w:hyperlink>
        </w:p>
        <w:p>
          <w:pPr>
            <w:pStyle w:val="Contents3"/>
            <w:tabs>
              <w:tab w:val="clear" w:pos="8459"/>
              <w:tab w:val="right" w:pos="9026" w:leader="dot"/>
            </w:tabs>
            <w:rPr/>
          </w:pPr>
          <w:hyperlink w:anchor="__RefHeading___Toc2018650_1067777946">
            <w:r>
              <w:rPr>
                <w:webHidden/>
                <w:rStyle w:val="IndexLink"/>
                <w:rtl w:val="true"/>
              </w:rPr>
              <w:t>[</w:t>
            </w:r>
            <w:r>
              <w:rPr>
                <w:rStyle w:val="IndexLink"/>
                <w:rtl w:val="true"/>
              </w:rPr>
              <w:t>القسم الثاني في زكاة الفطرة</w:t>
            </w:r>
            <w:r>
              <w:rPr>
                <w:rStyle w:val="IndexLink"/>
                <w:rtl w:val="true"/>
              </w:rPr>
              <w:t>]</w:t>
              <w:tab/>
            </w:r>
            <w:r>
              <w:rPr>
                <w:rStyle w:val="IndexLink"/>
              </w:rPr>
              <w:t>233</w:t>
            </w:r>
          </w:hyperlink>
        </w:p>
        <w:p>
          <w:pPr>
            <w:pStyle w:val="Contents4"/>
            <w:tabs>
              <w:tab w:val="clear" w:pos="8176"/>
              <w:tab w:val="right" w:pos="9026" w:leader="dot"/>
            </w:tabs>
            <w:rPr/>
          </w:pPr>
          <w:hyperlink w:anchor="__RefHeading___Toc2018652_1067777946">
            <w:r>
              <w:rPr>
                <w:webHidden/>
                <w:rStyle w:val="IndexLink"/>
                <w:rtl w:val="true"/>
              </w:rPr>
              <w:t>[</w:t>
            </w:r>
            <w:r>
              <w:rPr>
                <w:rStyle w:val="IndexLink"/>
                <w:rtl w:val="true"/>
              </w:rPr>
              <w:t>من تجب عليه</w:t>
            </w:r>
            <w:r>
              <w:rPr>
                <w:rStyle w:val="IndexLink"/>
                <w:rtl w:val="true"/>
              </w:rPr>
              <w:t>]</w:t>
              <w:tab/>
            </w:r>
            <w:r>
              <w:rPr>
                <w:rStyle w:val="IndexLink"/>
              </w:rPr>
              <w:t>233</w:t>
            </w:r>
          </w:hyperlink>
        </w:p>
        <w:p>
          <w:pPr>
            <w:pStyle w:val="Contents4"/>
            <w:tabs>
              <w:tab w:val="clear" w:pos="8176"/>
              <w:tab w:val="right" w:pos="9026" w:leader="dot"/>
            </w:tabs>
            <w:rPr/>
          </w:pPr>
          <w:hyperlink w:anchor="__RefHeading___Toc2018654_1067777946">
            <w:r>
              <w:rPr>
                <w:webHidden/>
                <w:rStyle w:val="IndexLink"/>
                <w:rtl w:val="true"/>
              </w:rPr>
              <w:t>[</w:t>
            </w:r>
            <w:r>
              <w:rPr>
                <w:rStyle w:val="IndexLink"/>
                <w:rtl w:val="true"/>
              </w:rPr>
              <w:t>جنسها وقدرها</w:t>
            </w:r>
            <w:r>
              <w:rPr>
                <w:rStyle w:val="IndexLink"/>
                <w:rtl w:val="true"/>
              </w:rPr>
              <w:t>]</w:t>
              <w:tab/>
            </w:r>
            <w:r>
              <w:rPr>
                <w:rStyle w:val="IndexLink"/>
              </w:rPr>
              <w:t>235</w:t>
            </w:r>
          </w:hyperlink>
        </w:p>
        <w:p>
          <w:pPr>
            <w:pStyle w:val="Contents4"/>
            <w:tabs>
              <w:tab w:val="clear" w:pos="8176"/>
              <w:tab w:val="right" w:pos="9026" w:leader="dot"/>
            </w:tabs>
            <w:rPr/>
          </w:pPr>
          <w:hyperlink w:anchor="__RefHeading___Toc2018656_1067777946">
            <w:r>
              <w:rPr>
                <w:webHidden/>
                <w:rStyle w:val="IndexLink"/>
                <w:rtl w:val="true"/>
              </w:rPr>
              <w:t>[</w:t>
            </w:r>
            <w:r>
              <w:rPr>
                <w:rStyle w:val="IndexLink"/>
                <w:rtl w:val="true"/>
              </w:rPr>
              <w:t>وقتها</w:t>
            </w:r>
            <w:r>
              <w:rPr>
                <w:rStyle w:val="IndexLink"/>
                <w:rtl w:val="true"/>
              </w:rPr>
              <w:t>]</w:t>
              <w:tab/>
            </w:r>
            <w:r>
              <w:rPr>
                <w:rStyle w:val="IndexLink"/>
              </w:rPr>
              <w:t>235</w:t>
            </w:r>
          </w:hyperlink>
        </w:p>
        <w:p>
          <w:pPr>
            <w:pStyle w:val="Contents4"/>
            <w:tabs>
              <w:tab w:val="clear" w:pos="8176"/>
              <w:tab w:val="right" w:pos="9026" w:leader="dot"/>
            </w:tabs>
            <w:rPr/>
          </w:pPr>
          <w:hyperlink w:anchor="__RefHeading___Toc2018658_1067777946">
            <w:r>
              <w:rPr>
                <w:webHidden/>
                <w:rStyle w:val="IndexLink"/>
                <w:rtl w:val="true"/>
              </w:rPr>
              <w:t>[</w:t>
            </w:r>
            <w:r>
              <w:rPr>
                <w:rStyle w:val="IndexLink"/>
                <w:rtl w:val="true"/>
              </w:rPr>
              <w:t>مصرفها</w:t>
            </w:r>
            <w:r>
              <w:rPr>
                <w:rStyle w:val="IndexLink"/>
                <w:rtl w:val="true"/>
              </w:rPr>
              <w:t>]</w:t>
              <w:tab/>
            </w:r>
            <w:r>
              <w:rPr>
                <w:rStyle w:val="IndexLink"/>
              </w:rPr>
              <w:t>236</w:t>
            </w:r>
          </w:hyperlink>
        </w:p>
        <w:p>
          <w:pPr>
            <w:pStyle w:val="Contents2"/>
            <w:tabs>
              <w:tab w:val="clear" w:pos="8743"/>
              <w:tab w:val="right" w:pos="9026" w:leader="dot"/>
            </w:tabs>
            <w:rPr/>
          </w:pPr>
          <w:hyperlink w:anchor="__RefHeading___Toc2018660_1067777946">
            <w:r>
              <w:rPr>
                <w:webHidden/>
                <w:rStyle w:val="IndexLink"/>
                <w:rtl w:val="true"/>
              </w:rPr>
              <w:t>كتاب الخمس</w:t>
            </w:r>
            <w:r>
              <w:rPr>
                <w:rStyle w:val="IndexLink"/>
                <w:rtl w:val="true"/>
              </w:rPr>
              <w:tab/>
            </w:r>
            <w:r>
              <w:rPr>
                <w:rStyle w:val="IndexLink"/>
              </w:rPr>
              <w:t>237</w:t>
            </w:r>
          </w:hyperlink>
        </w:p>
        <w:p>
          <w:pPr>
            <w:pStyle w:val="Contents3"/>
            <w:tabs>
              <w:tab w:val="clear" w:pos="8459"/>
              <w:tab w:val="right" w:pos="9026" w:leader="dot"/>
            </w:tabs>
            <w:rPr/>
          </w:pPr>
          <w:hyperlink w:anchor="__RefHeading___Toc2018662_1067777946">
            <w:r>
              <w:rPr>
                <w:webHidden/>
                <w:rStyle w:val="IndexLink"/>
                <w:rtl w:val="true"/>
              </w:rPr>
              <w:t>[</w:t>
            </w:r>
            <w:r>
              <w:rPr>
                <w:rStyle w:val="IndexLink"/>
                <w:rtl w:val="true"/>
              </w:rPr>
              <w:t>الفصل الأوّل فيما يجب فيه</w:t>
            </w:r>
            <w:r>
              <w:rPr>
                <w:rStyle w:val="IndexLink"/>
                <w:rtl w:val="true"/>
              </w:rPr>
              <w:t>]</w:t>
              <w:tab/>
            </w:r>
            <w:r>
              <w:rPr>
                <w:rStyle w:val="IndexLink"/>
              </w:rPr>
              <w:t>237</w:t>
            </w:r>
          </w:hyperlink>
        </w:p>
        <w:p>
          <w:pPr>
            <w:pStyle w:val="Contents3"/>
            <w:tabs>
              <w:tab w:val="clear" w:pos="8459"/>
              <w:tab w:val="right" w:pos="9026" w:leader="dot"/>
            </w:tabs>
            <w:rPr/>
          </w:pPr>
          <w:hyperlink w:anchor="__RefHeading___Toc2018664_1067777946">
            <w:r>
              <w:rPr>
                <w:webHidden/>
                <w:rStyle w:val="IndexLink"/>
                <w:rtl w:val="true"/>
              </w:rPr>
              <w:t>[</w:t>
            </w:r>
            <w:r>
              <w:rPr>
                <w:rStyle w:val="IndexLink"/>
                <w:rtl w:val="true"/>
              </w:rPr>
              <w:t>الفصل الثاني في قسمة الخمس</w:t>
            </w:r>
            <w:r>
              <w:rPr>
                <w:rStyle w:val="IndexLink"/>
                <w:rtl w:val="true"/>
              </w:rPr>
              <w:t>]</w:t>
              <w:tab/>
            </w:r>
            <w:r>
              <w:rPr>
                <w:rStyle w:val="IndexLink"/>
              </w:rPr>
              <w:t>240</w:t>
            </w:r>
          </w:hyperlink>
        </w:p>
        <w:p>
          <w:pPr>
            <w:pStyle w:val="Contents4"/>
            <w:tabs>
              <w:tab w:val="clear" w:pos="8176"/>
              <w:tab w:val="right" w:pos="9026" w:leader="dot"/>
            </w:tabs>
            <w:rPr/>
          </w:pPr>
          <w:hyperlink w:anchor="__RefHeading___Toc2018666_1067777946">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2018668_1067777946">
            <w:r>
              <w:rPr>
                <w:webHidden/>
                <w:rStyle w:val="IndexLink"/>
                <w:rtl w:val="true"/>
              </w:rPr>
              <w:t>[</w:t>
            </w:r>
            <w:r>
              <w:rPr>
                <w:rStyle w:val="IndexLink"/>
                <w:rtl w:val="true"/>
              </w:rPr>
              <w:t>في الأنفال</w:t>
            </w:r>
            <w:r>
              <w:rPr>
                <w:rStyle w:val="IndexLink"/>
                <w:rtl w:val="true"/>
              </w:rPr>
              <w:t>]</w:t>
              <w:tab/>
            </w:r>
            <w:r>
              <w:rPr>
                <w:rStyle w:val="IndexLink"/>
              </w:rPr>
              <w:t>242</w:t>
            </w:r>
          </w:hyperlink>
        </w:p>
        <w:p>
          <w:pPr>
            <w:pStyle w:val="Contents5"/>
            <w:tabs>
              <w:tab w:val="clear" w:pos="7892"/>
              <w:tab w:val="right" w:pos="9026" w:leader="dot"/>
            </w:tabs>
            <w:rPr/>
          </w:pPr>
          <w:hyperlink w:anchor="__RefHeading___Toc2018670_1067777946">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2018672_1067777946">
            <w:r>
              <w:rPr>
                <w:webHidden/>
                <w:rStyle w:val="IndexLink"/>
                <w:rtl w:val="true"/>
              </w:rPr>
              <w:t>[</w:t>
            </w:r>
            <w:r>
              <w:rPr>
                <w:rStyle w:val="IndexLink"/>
                <w:rtl w:val="true"/>
              </w:rPr>
              <w:t>كيفيّة التصرّف في الأنفال</w:t>
            </w:r>
            <w:r>
              <w:rPr>
                <w:rStyle w:val="IndexLink"/>
                <w:rtl w:val="true"/>
              </w:rPr>
              <w:t>]</w:t>
              <w:tab/>
            </w:r>
            <w:r>
              <w:rPr>
                <w:rStyle w:val="IndexLink"/>
              </w:rPr>
              <w:t>242</w:t>
            </w:r>
          </w:hyperlink>
        </w:p>
        <w:p>
          <w:pPr>
            <w:pStyle w:val="Contents2"/>
            <w:tabs>
              <w:tab w:val="clear" w:pos="8743"/>
              <w:tab w:val="right" w:pos="9026" w:leader="dot"/>
            </w:tabs>
            <w:rPr/>
          </w:pPr>
          <w:hyperlink w:anchor="__RefHeading___Toc2018674_1067777946">
            <w:r>
              <w:rPr>
                <w:webHidden/>
                <w:rStyle w:val="IndexLink"/>
                <w:rtl w:val="true"/>
              </w:rPr>
              <w:t>كتاب الصوم</w:t>
            </w:r>
            <w:r>
              <w:rPr>
                <w:rStyle w:val="IndexLink"/>
                <w:rtl w:val="true"/>
              </w:rPr>
              <w:tab/>
            </w:r>
            <w:r>
              <w:rPr>
                <w:rStyle w:val="IndexLink"/>
              </w:rPr>
              <w:t>245</w:t>
            </w:r>
          </w:hyperlink>
        </w:p>
        <w:p>
          <w:pPr>
            <w:pStyle w:val="Contents3"/>
            <w:tabs>
              <w:tab w:val="clear" w:pos="8459"/>
              <w:tab w:val="right" w:pos="9026" w:leader="dot"/>
            </w:tabs>
            <w:rPr/>
          </w:pPr>
          <w:hyperlink w:anchor="__RefHeading___Toc2018676_1067777946">
            <w:r>
              <w:rPr>
                <w:webHidden/>
                <w:rStyle w:val="IndexLink"/>
                <w:rtl w:val="true"/>
              </w:rPr>
              <w:t>[</w:t>
            </w:r>
            <w:r>
              <w:rPr>
                <w:rStyle w:val="IndexLink"/>
                <w:rtl w:val="true"/>
              </w:rPr>
              <w:t>النظر الأوّل في أركانه</w:t>
            </w:r>
            <w:r>
              <w:rPr>
                <w:rStyle w:val="IndexLink"/>
                <w:rtl w:val="true"/>
              </w:rPr>
              <w:t>]</w:t>
              <w:tab/>
            </w:r>
            <w:r>
              <w:rPr>
                <w:rStyle w:val="IndexLink"/>
              </w:rPr>
              <w:t>245</w:t>
            </w:r>
          </w:hyperlink>
        </w:p>
        <w:p>
          <w:pPr>
            <w:pStyle w:val="Contents4"/>
            <w:tabs>
              <w:tab w:val="clear" w:pos="8176"/>
              <w:tab w:val="right" w:pos="9026" w:leader="dot"/>
            </w:tabs>
            <w:rPr/>
          </w:pPr>
          <w:hyperlink w:anchor="__RefHeading___Toc2018678_1067777946">
            <w:r>
              <w:rPr>
                <w:webHidden/>
                <w:rStyle w:val="IndexLink"/>
                <w:rtl w:val="true"/>
              </w:rPr>
              <w:t>[</w:t>
            </w:r>
            <w:r>
              <w:rPr>
                <w:rStyle w:val="IndexLink"/>
                <w:rtl w:val="true"/>
              </w:rPr>
              <w:t>الركن الأوّل في نيّة الصوم</w:t>
            </w:r>
            <w:r>
              <w:rPr>
                <w:rStyle w:val="IndexLink"/>
                <w:rtl w:val="true"/>
              </w:rPr>
              <w:t>]</w:t>
              <w:tab/>
            </w:r>
            <w:r>
              <w:rPr>
                <w:rStyle w:val="IndexLink"/>
              </w:rPr>
              <w:t>245</w:t>
            </w:r>
          </w:hyperlink>
        </w:p>
        <w:p>
          <w:pPr>
            <w:pStyle w:val="Contents4"/>
            <w:tabs>
              <w:tab w:val="clear" w:pos="8176"/>
              <w:tab w:val="right" w:pos="9026" w:leader="dot"/>
            </w:tabs>
            <w:rPr/>
          </w:pPr>
          <w:hyperlink w:anchor="__RefHeading___Toc2018680_1067777946">
            <w:r>
              <w:rPr>
                <w:webHidden/>
                <w:rStyle w:val="IndexLink"/>
                <w:rtl w:val="true"/>
              </w:rPr>
              <w:t>[</w:t>
            </w:r>
            <w:r>
              <w:rPr>
                <w:rStyle w:val="IndexLink"/>
                <w:rtl w:val="true"/>
              </w:rPr>
              <w:t>الركن الثاني</w:t>
            </w:r>
            <w:r>
              <w:rPr>
                <w:rStyle w:val="IndexLink"/>
                <w:rtl w:val="true"/>
              </w:rPr>
              <w:t xml:space="preserve">: </w:t>
            </w:r>
            <w:r>
              <w:rPr>
                <w:rStyle w:val="IndexLink"/>
                <w:rtl w:val="true"/>
              </w:rPr>
              <w:t>ما يمسك عنه الصائم</w:t>
            </w:r>
            <w:r>
              <w:rPr>
                <w:rStyle w:val="IndexLink"/>
                <w:rtl w:val="true"/>
              </w:rPr>
              <w:t>]</w:t>
              <w:tab/>
            </w:r>
            <w:r>
              <w:rPr>
                <w:rStyle w:val="IndexLink"/>
              </w:rPr>
              <w:t>246</w:t>
            </w:r>
          </w:hyperlink>
        </w:p>
        <w:p>
          <w:pPr>
            <w:pStyle w:val="Contents4"/>
            <w:tabs>
              <w:tab w:val="clear" w:pos="8176"/>
              <w:tab w:val="right" w:pos="9026" w:leader="dot"/>
            </w:tabs>
            <w:rPr/>
          </w:pPr>
          <w:hyperlink w:anchor="__RefHeading___Toc2018682_1067777946">
            <w:r>
              <w:rPr>
                <w:webHidden/>
                <w:rStyle w:val="IndexLink"/>
                <w:rtl w:val="true"/>
              </w:rPr>
              <w:t>[</w:t>
            </w:r>
            <w:r>
              <w:rPr>
                <w:rStyle w:val="IndexLink"/>
                <w:rtl w:val="true"/>
              </w:rPr>
              <w:t>القضاء والكفّارات</w:t>
            </w:r>
            <w:r>
              <w:rPr>
                <w:rStyle w:val="IndexLink"/>
                <w:rtl w:val="true"/>
              </w:rPr>
              <w:t>]</w:t>
              <w:tab/>
            </w:r>
            <w:r>
              <w:rPr>
                <w:rStyle w:val="IndexLink"/>
              </w:rPr>
              <w:t>249</w:t>
            </w:r>
          </w:hyperlink>
        </w:p>
        <w:p>
          <w:pPr>
            <w:pStyle w:val="Contents4"/>
            <w:tabs>
              <w:tab w:val="clear" w:pos="8176"/>
              <w:tab w:val="right" w:pos="9026" w:leader="dot"/>
            </w:tabs>
            <w:rPr/>
          </w:pPr>
          <w:hyperlink w:anchor="__RefHeading___Toc2018684_1067777946">
            <w:r>
              <w:rPr>
                <w:webHidden/>
                <w:rStyle w:val="IndexLink"/>
                <w:rtl w:val="true"/>
              </w:rPr>
              <w:t>[</w:t>
            </w:r>
            <w:r>
              <w:rPr>
                <w:rStyle w:val="IndexLink"/>
                <w:rtl w:val="true"/>
              </w:rPr>
              <w:t>فروع</w:t>
            </w:r>
            <w:r>
              <w:rPr>
                <w:rStyle w:val="IndexLink"/>
                <w:rtl w:val="true"/>
              </w:rPr>
              <w:t>]</w:t>
              <w:tab/>
            </w:r>
            <w:r>
              <w:rPr>
                <w:rStyle w:val="IndexLink"/>
              </w:rPr>
              <w:t>252</w:t>
            </w:r>
          </w:hyperlink>
        </w:p>
        <w:p>
          <w:pPr>
            <w:pStyle w:val="Contents4"/>
            <w:tabs>
              <w:tab w:val="clear" w:pos="8176"/>
              <w:tab w:val="right" w:pos="9026" w:leader="dot"/>
            </w:tabs>
            <w:rPr/>
          </w:pPr>
          <w:hyperlink w:anchor="__RefHeading___Toc2018686_1067777946">
            <w:r>
              <w:rPr>
                <w:webHidden/>
                <w:rStyle w:val="IndexLink"/>
                <w:rtl w:val="true"/>
              </w:rPr>
              <w:t>[</w:t>
            </w:r>
            <w:r>
              <w:rPr>
                <w:rStyle w:val="IndexLink"/>
                <w:rtl w:val="true"/>
              </w:rPr>
              <w:t>المقصد الثالث فيما يكره للصائم</w:t>
            </w:r>
            <w:r>
              <w:rPr>
                <w:rStyle w:val="IndexLink"/>
                <w:rtl w:val="true"/>
              </w:rPr>
              <w:t>]</w:t>
              <w:tab/>
            </w:r>
            <w:r>
              <w:rPr>
                <w:rStyle w:val="IndexLink"/>
              </w:rPr>
              <w:t>254</w:t>
            </w:r>
          </w:hyperlink>
        </w:p>
        <w:p>
          <w:pPr>
            <w:pStyle w:val="Contents4"/>
            <w:tabs>
              <w:tab w:val="clear" w:pos="8176"/>
              <w:tab w:val="right" w:pos="9026" w:leader="dot"/>
            </w:tabs>
            <w:rPr/>
          </w:pPr>
          <w:hyperlink w:anchor="__RefHeading___Toc2018688_1067777946">
            <w:r>
              <w:rPr>
                <w:webHidden/>
                <w:rStyle w:val="IndexLink"/>
                <w:rtl w:val="true"/>
              </w:rPr>
              <w:t>[</w:t>
            </w:r>
            <w:r>
              <w:rPr>
                <w:rStyle w:val="IndexLink"/>
                <w:rtl w:val="true"/>
              </w:rPr>
              <w:t>الركن الثالث</w:t>
            </w:r>
            <w:r>
              <w:rPr>
                <w:rStyle w:val="IndexLink"/>
                <w:rtl w:val="true"/>
              </w:rPr>
              <w:t xml:space="preserve">: </w:t>
            </w:r>
            <w:r>
              <w:rPr>
                <w:rStyle w:val="IndexLink"/>
                <w:rtl w:val="true"/>
              </w:rPr>
              <w:t>الزمان الذي يصحّ فيه الصوم</w:t>
            </w:r>
            <w:r>
              <w:rPr>
                <w:rStyle w:val="IndexLink"/>
                <w:rtl w:val="true"/>
              </w:rPr>
              <w:t>)</w:t>
              <w:tab/>
            </w:r>
            <w:r>
              <w:rPr>
                <w:rStyle w:val="IndexLink"/>
              </w:rPr>
              <w:t>254</w:t>
            </w:r>
          </w:hyperlink>
        </w:p>
        <w:p>
          <w:pPr>
            <w:pStyle w:val="Contents4"/>
            <w:tabs>
              <w:tab w:val="clear" w:pos="8176"/>
              <w:tab w:val="right" w:pos="9026" w:leader="dot"/>
            </w:tabs>
            <w:rPr/>
          </w:pPr>
          <w:hyperlink w:anchor="__RefHeading___Toc2018690_1067777946">
            <w:r>
              <w:rPr>
                <w:webHidden/>
                <w:rStyle w:val="IndexLink"/>
                <w:rtl w:val="true"/>
              </w:rPr>
              <w:t>[</w:t>
            </w:r>
            <w:r>
              <w:rPr>
                <w:rStyle w:val="IndexLink"/>
                <w:rtl w:val="true"/>
              </w:rPr>
              <w:t>الركن الرابع</w:t>
            </w:r>
            <w:r>
              <w:rPr>
                <w:rStyle w:val="IndexLink"/>
                <w:rtl w:val="true"/>
              </w:rPr>
              <w:t xml:space="preserve">: </w:t>
            </w:r>
            <w:r>
              <w:rPr>
                <w:rStyle w:val="IndexLink"/>
                <w:rtl w:val="true"/>
              </w:rPr>
              <w:t>من يصحّ منه الصوم</w:t>
            </w:r>
            <w:r>
              <w:rPr>
                <w:rStyle w:val="IndexLink"/>
                <w:rtl w:val="true"/>
              </w:rPr>
              <w:t>]</w:t>
              <w:tab/>
            </w:r>
            <w:r>
              <w:rPr>
                <w:rStyle w:val="IndexLink"/>
              </w:rPr>
              <w:t>254</w:t>
            </w:r>
          </w:hyperlink>
        </w:p>
        <w:p>
          <w:pPr>
            <w:pStyle w:val="Contents3"/>
            <w:tabs>
              <w:tab w:val="clear" w:pos="8459"/>
              <w:tab w:val="right" w:pos="9026" w:leader="dot"/>
            </w:tabs>
            <w:rPr/>
          </w:pPr>
          <w:hyperlink w:anchor="__RefHeading___Toc2018692_1067777946">
            <w:r>
              <w:rPr>
                <w:webHidden/>
                <w:rStyle w:val="IndexLink"/>
                <w:rtl w:val="true"/>
              </w:rPr>
              <w:t>[</w:t>
            </w:r>
            <w:r>
              <w:rPr>
                <w:rStyle w:val="IndexLink"/>
                <w:rtl w:val="true"/>
              </w:rPr>
              <w:t>النظر الثاني في أقسام الصوم</w:t>
            </w:r>
            <w:r>
              <w:rPr>
                <w:rStyle w:val="IndexLink"/>
                <w:rtl w:val="true"/>
              </w:rPr>
              <w:t>]</w:t>
              <w:tab/>
            </w:r>
            <w:r>
              <w:rPr>
                <w:rStyle w:val="IndexLink"/>
              </w:rPr>
              <w:t>257</w:t>
            </w:r>
          </w:hyperlink>
        </w:p>
        <w:p>
          <w:pPr>
            <w:pStyle w:val="Contents4"/>
            <w:tabs>
              <w:tab w:val="clear" w:pos="8176"/>
              <w:tab w:val="right" w:pos="9026" w:leader="dot"/>
            </w:tabs>
            <w:rPr/>
          </w:pPr>
          <w:hyperlink w:anchor="__RefHeading___Toc2018694_1067777946">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018696_1067777946">
            <w:r>
              <w:rPr>
                <w:webHidden/>
                <w:rStyle w:val="IndexLink"/>
                <w:rtl w:val="true"/>
              </w:rPr>
              <w:t>[</w:t>
            </w:r>
            <w:r>
              <w:rPr>
                <w:rStyle w:val="IndexLink"/>
                <w:rtl w:val="true"/>
              </w:rPr>
              <w:t>القول في صوم شهر رمضان</w:t>
            </w:r>
            <w:r>
              <w:rPr>
                <w:rStyle w:val="IndexLink"/>
                <w:rtl w:val="true"/>
              </w:rPr>
              <w:t>]</w:t>
              <w:tab/>
            </w:r>
            <w:r>
              <w:rPr>
                <w:rStyle w:val="IndexLink"/>
              </w:rPr>
              <w:t>257</w:t>
            </w:r>
          </w:hyperlink>
        </w:p>
        <w:p>
          <w:pPr>
            <w:pStyle w:val="Contents5"/>
            <w:tabs>
              <w:tab w:val="clear" w:pos="7892"/>
              <w:tab w:val="right" w:pos="9026" w:leader="dot"/>
            </w:tabs>
            <w:rPr/>
          </w:pPr>
          <w:hyperlink w:anchor="__RefHeading___Toc2018698_1067777946">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018700_1067777946">
            <w:r>
              <w:rPr>
                <w:webHidden/>
                <w:rStyle w:val="IndexLink"/>
                <w:rtl w:val="true"/>
              </w:rPr>
              <w:t>[</w:t>
            </w:r>
            <w:r>
              <w:rPr>
                <w:rStyle w:val="IndexLink"/>
                <w:rtl w:val="true"/>
              </w:rPr>
              <w:t>شروط وجوب الصوم</w:t>
            </w:r>
            <w:r>
              <w:rPr>
                <w:rStyle w:val="IndexLink"/>
                <w:rtl w:val="true"/>
              </w:rPr>
              <w:t>]</w:t>
              <w:tab/>
            </w:r>
            <w:r>
              <w:rPr>
                <w:rStyle w:val="IndexLink"/>
              </w:rPr>
              <w:t>259</w:t>
            </w:r>
          </w:hyperlink>
        </w:p>
        <w:p>
          <w:pPr>
            <w:pStyle w:val="Contents5"/>
            <w:tabs>
              <w:tab w:val="clear" w:pos="7892"/>
              <w:tab w:val="right" w:pos="9026" w:leader="dot"/>
            </w:tabs>
            <w:rPr/>
          </w:pPr>
          <w:hyperlink w:anchor="__RefHeading___Toc2018702_1067777946">
            <w:r>
              <w:rPr>
                <w:webHidden/>
                <w:rStyle w:val="IndexLink"/>
                <w:rtl w:val="true"/>
              </w:rPr>
              <w:t>[</w:t>
            </w:r>
            <w:r>
              <w:rPr>
                <w:rStyle w:val="IndexLink"/>
                <w:rtl w:val="true"/>
              </w:rPr>
              <w:t>أحكام قضاء الصوم</w:t>
            </w:r>
            <w:r>
              <w:rPr>
                <w:rStyle w:val="IndexLink"/>
                <w:rtl w:val="true"/>
              </w:rPr>
              <w:t>]</w:t>
              <w:tab/>
            </w:r>
            <w:r>
              <w:rPr>
                <w:rStyle w:val="IndexLink"/>
              </w:rPr>
              <w:t>260</w:t>
            </w:r>
          </w:hyperlink>
        </w:p>
        <w:p>
          <w:pPr>
            <w:pStyle w:val="Contents4"/>
            <w:tabs>
              <w:tab w:val="clear" w:pos="8176"/>
              <w:tab w:val="right" w:pos="9026" w:leader="dot"/>
            </w:tabs>
            <w:rPr/>
          </w:pPr>
          <w:hyperlink w:anchor="__RefHeading___Toc2018704_1067777946">
            <w:r>
              <w:rPr>
                <w:webHidden/>
                <w:rStyle w:val="IndexLink"/>
                <w:rtl w:val="true"/>
              </w:rPr>
              <w:t>[</w:t>
            </w:r>
            <w:r>
              <w:rPr>
                <w:rStyle w:val="IndexLink"/>
                <w:rtl w:val="true"/>
              </w:rPr>
              <w:t>القول في صوم الكفّارات</w:t>
            </w:r>
            <w:r>
              <w:rPr>
                <w:rStyle w:val="IndexLink"/>
                <w:rtl w:val="true"/>
              </w:rPr>
              <w:t>]</w:t>
              <w:tab/>
            </w:r>
            <w:r>
              <w:rPr>
                <w:rStyle w:val="IndexLink"/>
              </w:rPr>
              <w:t>263</w:t>
            </w:r>
          </w:hyperlink>
        </w:p>
        <w:p>
          <w:pPr>
            <w:pStyle w:val="Contents4"/>
            <w:tabs>
              <w:tab w:val="clear" w:pos="8176"/>
              <w:tab w:val="right" w:pos="9026" w:leader="dot"/>
            </w:tabs>
            <w:rPr/>
          </w:pPr>
          <w:hyperlink w:anchor="__RefHeading___Toc2018706_1067777946">
            <w:r>
              <w:rPr>
                <w:webHidden/>
                <w:rStyle w:val="IndexLink"/>
                <w:rtl w:val="true"/>
              </w:rPr>
              <w:t>[</w:t>
            </w:r>
            <w:r>
              <w:rPr>
                <w:rStyle w:val="IndexLink"/>
                <w:rtl w:val="true"/>
              </w:rPr>
              <w:t>الصوم المندوب والصوم المكروه</w:t>
            </w:r>
            <w:r>
              <w:rPr>
                <w:rStyle w:val="IndexLink"/>
                <w:rtl w:val="true"/>
              </w:rPr>
              <w:t>]</w:t>
              <w:tab/>
            </w:r>
            <w:r>
              <w:rPr>
                <w:rStyle w:val="IndexLink"/>
              </w:rPr>
              <w:t>265</w:t>
            </w:r>
          </w:hyperlink>
        </w:p>
        <w:p>
          <w:pPr>
            <w:pStyle w:val="Contents4"/>
            <w:tabs>
              <w:tab w:val="clear" w:pos="8176"/>
              <w:tab w:val="right" w:pos="9026" w:leader="dot"/>
            </w:tabs>
            <w:rPr/>
          </w:pPr>
          <w:hyperlink w:anchor="__RefHeading___Toc2018708_1067777946">
            <w:r>
              <w:rPr>
                <w:webHidden/>
                <w:rStyle w:val="IndexLink"/>
                <w:rtl w:val="true"/>
              </w:rPr>
              <w:t>[</w:t>
            </w:r>
            <w:r>
              <w:rPr>
                <w:rStyle w:val="IndexLink"/>
                <w:rtl w:val="true"/>
              </w:rPr>
              <w:t>الصوم المكروه</w:t>
            </w:r>
            <w:r>
              <w:rPr>
                <w:rStyle w:val="IndexLink"/>
                <w:rtl w:val="true"/>
              </w:rPr>
              <w:t>]</w:t>
              <w:tab/>
            </w:r>
            <w:r>
              <w:rPr>
                <w:rStyle w:val="IndexLink"/>
              </w:rPr>
              <w:t>266</w:t>
            </w:r>
          </w:hyperlink>
        </w:p>
        <w:p>
          <w:pPr>
            <w:pStyle w:val="Contents4"/>
            <w:tabs>
              <w:tab w:val="clear" w:pos="8176"/>
              <w:tab w:val="right" w:pos="9026" w:leader="dot"/>
            </w:tabs>
            <w:rPr/>
          </w:pPr>
          <w:hyperlink w:anchor="__RefHeading___Toc2018710_1067777946">
            <w:r>
              <w:rPr>
                <w:webHidden/>
                <w:rStyle w:val="IndexLink"/>
                <w:rtl w:val="true"/>
              </w:rPr>
              <w:t>[</w:t>
            </w:r>
            <w:r>
              <w:rPr>
                <w:rStyle w:val="IndexLink"/>
                <w:rtl w:val="true"/>
              </w:rPr>
              <w:t>الصوم المحظور</w:t>
            </w:r>
            <w:r>
              <w:rPr>
                <w:rStyle w:val="IndexLink"/>
                <w:rtl w:val="true"/>
              </w:rPr>
              <w:t>]</w:t>
              <w:tab/>
            </w:r>
            <w:r>
              <w:rPr>
                <w:rStyle w:val="IndexLink"/>
              </w:rPr>
              <w:t>267</w:t>
            </w:r>
          </w:hyperlink>
        </w:p>
        <w:p>
          <w:pPr>
            <w:pStyle w:val="Contents3"/>
            <w:tabs>
              <w:tab w:val="clear" w:pos="8459"/>
              <w:tab w:val="right" w:pos="9026" w:leader="dot"/>
            </w:tabs>
            <w:rPr/>
          </w:pPr>
          <w:hyperlink w:anchor="__RefHeading___Toc2018712_1067777946">
            <w:r>
              <w:rPr>
                <w:webHidden/>
                <w:rStyle w:val="IndexLink"/>
                <w:rtl w:val="true"/>
              </w:rPr>
              <w:t>[</w:t>
            </w:r>
            <w:r>
              <w:rPr>
                <w:rStyle w:val="IndexLink"/>
                <w:rtl w:val="true"/>
              </w:rPr>
              <w:t>النظر الثالث في اللواحق</w:t>
            </w:r>
            <w:r>
              <w:rPr>
                <w:rStyle w:val="IndexLink"/>
                <w:rtl w:val="true"/>
              </w:rPr>
              <w:t>]</w:t>
              <w:tab/>
            </w:r>
            <w:r>
              <w:rPr>
                <w:rStyle w:val="IndexLink"/>
              </w:rPr>
              <w:t>268</w:t>
            </w:r>
          </w:hyperlink>
        </w:p>
        <w:p>
          <w:pPr>
            <w:pStyle w:val="Contents2"/>
            <w:tabs>
              <w:tab w:val="clear" w:pos="8743"/>
              <w:tab w:val="right" w:pos="9026" w:leader="dot"/>
            </w:tabs>
            <w:rPr/>
          </w:pPr>
          <w:hyperlink w:anchor="__RefHeading___Toc2018714_1067777946">
            <w:r>
              <w:rPr>
                <w:webHidden/>
                <w:rStyle w:val="IndexLink"/>
                <w:rtl w:val="true"/>
              </w:rPr>
              <w:t>كتاب الاعتكاف</w:t>
            </w:r>
            <w:r>
              <w:rPr>
                <w:rStyle w:val="IndexLink"/>
                <w:rtl w:val="true"/>
              </w:rPr>
              <w:tab/>
            </w:r>
            <w:r>
              <w:rPr>
                <w:rStyle w:val="IndexLink"/>
              </w:rPr>
              <w:t>271</w:t>
            </w:r>
          </w:hyperlink>
        </w:p>
        <w:p>
          <w:pPr>
            <w:pStyle w:val="Contents3"/>
            <w:tabs>
              <w:tab w:val="clear" w:pos="8459"/>
              <w:tab w:val="right" w:pos="9026" w:leader="dot"/>
            </w:tabs>
            <w:rPr/>
          </w:pPr>
          <w:hyperlink w:anchor="__RefHeading___Toc2018716_1067777946">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2018718_1067777946">
            <w:r>
              <w:rPr>
                <w:webHidden/>
                <w:rStyle w:val="IndexLink"/>
                <w:rtl w:val="true"/>
              </w:rPr>
              <w:t>[</w:t>
            </w:r>
            <w:r>
              <w:rPr>
                <w:rStyle w:val="IndexLink"/>
                <w:rtl w:val="true"/>
              </w:rPr>
              <w:t>شرائط الاعتكاف</w:t>
            </w:r>
            <w:r>
              <w:rPr>
                <w:rStyle w:val="IndexLink"/>
                <w:rtl w:val="true"/>
              </w:rPr>
              <w:t>]</w:t>
              <w:tab/>
            </w:r>
            <w:r>
              <w:rPr>
                <w:rStyle w:val="IndexLink"/>
              </w:rPr>
              <w:t>271</w:t>
            </w:r>
          </w:hyperlink>
        </w:p>
        <w:p>
          <w:pPr>
            <w:pStyle w:val="Contents3"/>
            <w:tabs>
              <w:tab w:val="clear" w:pos="8459"/>
              <w:tab w:val="right" w:pos="9026" w:leader="dot"/>
            </w:tabs>
            <w:rPr/>
          </w:pPr>
          <w:hyperlink w:anchor="__RefHeading___Toc2018720_1067777946">
            <w:r>
              <w:rPr>
                <w:webHidden/>
                <w:rStyle w:val="IndexLink"/>
                <w:rtl w:val="true"/>
              </w:rPr>
              <w:t>[</w:t>
            </w:r>
            <w:r>
              <w:rPr>
                <w:rStyle w:val="IndexLink"/>
                <w:rtl w:val="true"/>
              </w:rPr>
              <w:t>أقسام الاعتكاف</w:t>
            </w:r>
            <w:r>
              <w:rPr>
                <w:rStyle w:val="IndexLink"/>
                <w:rtl w:val="true"/>
              </w:rPr>
              <w:t>]</w:t>
              <w:tab/>
            </w:r>
            <w:r>
              <w:rPr>
                <w:rStyle w:val="IndexLink"/>
              </w:rPr>
              <w:t>275</w:t>
            </w:r>
          </w:hyperlink>
        </w:p>
        <w:p>
          <w:pPr>
            <w:pStyle w:val="Contents3"/>
            <w:tabs>
              <w:tab w:val="clear" w:pos="8459"/>
              <w:tab w:val="right" w:pos="9026" w:leader="dot"/>
            </w:tabs>
            <w:rPr/>
          </w:pPr>
          <w:hyperlink w:anchor="__RefHeading___Toc2018722_1067777946">
            <w:r>
              <w:rPr>
                <w:webHidden/>
                <w:rStyle w:val="IndexLink"/>
                <w:rtl w:val="true"/>
              </w:rPr>
              <w:t>[</w:t>
            </w:r>
            <w:r>
              <w:rPr>
                <w:rStyle w:val="IndexLink"/>
                <w:rtl w:val="true"/>
              </w:rPr>
              <w:t>أحكام الاعتكاف</w:t>
            </w:r>
            <w:r>
              <w:rPr>
                <w:rStyle w:val="IndexLink"/>
                <w:rtl w:val="true"/>
              </w:rPr>
              <w:t>]</w:t>
              <w:tab/>
            </w:r>
            <w:r>
              <w:rPr>
                <w:rStyle w:val="IndexLink"/>
              </w:rPr>
              <w:t>275</w:t>
            </w:r>
          </w:hyperlink>
        </w:p>
        <w:p>
          <w:pPr>
            <w:pStyle w:val="Contents2"/>
            <w:tabs>
              <w:tab w:val="clear" w:pos="8743"/>
              <w:tab w:val="right" w:pos="9026" w:leader="dot"/>
            </w:tabs>
            <w:rPr/>
          </w:pPr>
          <w:hyperlink w:anchor="__RefHeading___Toc2018724_1067777946">
            <w:r>
              <w:rPr>
                <w:webHidden/>
                <w:rStyle w:val="IndexLink"/>
                <w:rtl w:val="true"/>
              </w:rPr>
              <w:t>كتاب الحجّ</w:t>
            </w:r>
            <w:r>
              <w:rPr>
                <w:rStyle w:val="IndexLink"/>
                <w:rtl w:val="true"/>
              </w:rPr>
              <w:tab/>
            </w:r>
            <w:r>
              <w:rPr>
                <w:rStyle w:val="IndexLink"/>
              </w:rPr>
              <w:t>279</w:t>
            </w:r>
          </w:hyperlink>
        </w:p>
        <w:p>
          <w:pPr>
            <w:pStyle w:val="Contents3"/>
            <w:tabs>
              <w:tab w:val="clear" w:pos="8459"/>
              <w:tab w:val="right" w:pos="9026" w:leader="dot"/>
            </w:tabs>
            <w:rPr/>
          </w:pPr>
          <w:hyperlink w:anchor="__RefHeading___Toc2018726_1067777946">
            <w:r>
              <w:rPr>
                <w:webHidden/>
                <w:rStyle w:val="IndexLink"/>
                <w:rtl w:val="true"/>
              </w:rPr>
              <w:t>[</w:t>
            </w:r>
            <w:r>
              <w:rPr>
                <w:rStyle w:val="IndexLink"/>
                <w:rtl w:val="true"/>
              </w:rPr>
              <w:t>الركن الأوّل في المقدّمات</w:t>
            </w:r>
            <w:r>
              <w:rPr>
                <w:rStyle w:val="IndexLink"/>
                <w:rtl w:val="true"/>
              </w:rPr>
              <w:t>]</w:t>
              <w:tab/>
            </w:r>
            <w:r>
              <w:rPr>
                <w:rStyle w:val="IndexLink"/>
              </w:rPr>
              <w:t>279</w:t>
            </w:r>
          </w:hyperlink>
        </w:p>
        <w:p>
          <w:pPr>
            <w:pStyle w:val="Contents4"/>
            <w:tabs>
              <w:tab w:val="clear" w:pos="8176"/>
              <w:tab w:val="right" w:pos="9026" w:leader="dot"/>
            </w:tabs>
            <w:rPr/>
          </w:pPr>
          <w:hyperlink w:anchor="__RefHeading___Toc2018728_1067777946">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018730_1067777946">
            <w:r>
              <w:rPr>
                <w:webHidden/>
                <w:rStyle w:val="IndexLink"/>
                <w:rtl w:val="true"/>
              </w:rPr>
              <w:t>[</w:t>
            </w:r>
            <w:r>
              <w:rPr>
                <w:rStyle w:val="IndexLink"/>
                <w:rtl w:val="true"/>
              </w:rPr>
              <w:t>القول في حجّة الإسلام</w:t>
            </w:r>
            <w:r>
              <w:rPr>
                <w:rStyle w:val="IndexLink"/>
                <w:rtl w:val="true"/>
              </w:rPr>
              <w:t>]</w:t>
              <w:tab/>
            </w:r>
            <w:r>
              <w:rPr>
                <w:rStyle w:val="IndexLink"/>
              </w:rPr>
              <w:t>280</w:t>
            </w:r>
          </w:hyperlink>
        </w:p>
        <w:p>
          <w:pPr>
            <w:pStyle w:val="Contents5"/>
            <w:tabs>
              <w:tab w:val="clear" w:pos="7892"/>
              <w:tab w:val="right" w:pos="9026" w:leader="dot"/>
            </w:tabs>
            <w:rPr/>
          </w:pPr>
          <w:hyperlink w:anchor="__RefHeading___Toc2018732_1067777946">
            <w:r>
              <w:rPr>
                <w:webHidden/>
                <w:rStyle w:val="IndexLink"/>
                <w:rtl w:val="true"/>
              </w:rPr>
              <w:t>[</w:t>
            </w:r>
            <w:r>
              <w:rPr>
                <w:rStyle w:val="IndexLink"/>
                <w:rtl w:val="true"/>
              </w:rPr>
              <w:t>شرائط وجوبها</w:t>
            </w:r>
            <w:r>
              <w:rPr>
                <w:rStyle w:val="IndexLink"/>
                <w:rtl w:val="true"/>
              </w:rPr>
              <w:t>]</w:t>
              <w:tab/>
            </w:r>
            <w:r>
              <w:rPr>
                <w:rStyle w:val="IndexLink"/>
              </w:rPr>
              <w:t>280</w:t>
            </w:r>
          </w:hyperlink>
        </w:p>
        <w:p>
          <w:pPr>
            <w:pStyle w:val="Contents4"/>
            <w:tabs>
              <w:tab w:val="clear" w:pos="8176"/>
              <w:tab w:val="right" w:pos="9026" w:leader="dot"/>
            </w:tabs>
            <w:rPr/>
          </w:pPr>
          <w:hyperlink w:anchor="__RefHeading___Toc2018734_1067777946">
            <w:r>
              <w:rPr>
                <w:webHidden/>
                <w:rStyle w:val="IndexLink"/>
                <w:rtl w:val="true"/>
              </w:rPr>
              <w:t>[</w:t>
            </w:r>
            <w:r>
              <w:rPr>
                <w:rStyle w:val="IndexLink"/>
                <w:rtl w:val="true"/>
              </w:rPr>
              <w:t>مسائل أربع</w:t>
            </w:r>
            <w:r>
              <w:rPr>
                <w:rStyle w:val="IndexLink"/>
                <w:rtl w:val="true"/>
              </w:rPr>
              <w:t>:]</w:t>
              <w:tab/>
            </w:r>
            <w:r>
              <w:rPr>
                <w:rStyle w:val="IndexLink"/>
              </w:rPr>
              <w:t>286</w:t>
            </w:r>
          </w:hyperlink>
        </w:p>
        <w:p>
          <w:pPr>
            <w:pStyle w:val="Contents4"/>
            <w:tabs>
              <w:tab w:val="clear" w:pos="8176"/>
              <w:tab w:val="right" w:pos="9026" w:leader="dot"/>
            </w:tabs>
            <w:rPr/>
          </w:pPr>
          <w:hyperlink w:anchor="__RefHeading___Toc2018736_1067777946">
            <w:r>
              <w:rPr>
                <w:webHidden/>
                <w:rStyle w:val="IndexLink"/>
                <w:rtl w:val="true"/>
              </w:rPr>
              <w:t>[</w:t>
            </w:r>
            <w:r>
              <w:rPr>
                <w:rStyle w:val="IndexLink"/>
                <w:rtl w:val="true"/>
              </w:rPr>
              <w:t>القول في ما يجب بالنذر، واليمين، والعهد</w:t>
            </w:r>
            <w:r>
              <w:rPr>
                <w:rStyle w:val="IndexLink"/>
                <w:rtl w:val="true"/>
              </w:rPr>
              <w:t>]</w:t>
              <w:tab/>
            </w:r>
            <w:r>
              <w:rPr>
                <w:rStyle w:val="IndexLink"/>
              </w:rPr>
              <w:t>287</w:t>
            </w:r>
          </w:hyperlink>
        </w:p>
        <w:p>
          <w:pPr>
            <w:pStyle w:val="Contents4"/>
            <w:tabs>
              <w:tab w:val="clear" w:pos="8176"/>
              <w:tab w:val="right" w:pos="9026" w:leader="dot"/>
            </w:tabs>
            <w:rPr/>
          </w:pPr>
          <w:hyperlink w:anchor="__RefHeading___Toc2018738_1067777946">
            <w:r>
              <w:rPr>
                <w:webHidden/>
                <w:rStyle w:val="IndexLink"/>
                <w:rtl w:val="true"/>
              </w:rPr>
              <w:t>[</w:t>
            </w:r>
            <w:r>
              <w:rPr>
                <w:rStyle w:val="IndexLink"/>
                <w:rtl w:val="true"/>
              </w:rPr>
              <w:t>القول في النيابة</w:t>
            </w:r>
            <w:r>
              <w:rPr>
                <w:rStyle w:val="IndexLink"/>
                <w:rtl w:val="true"/>
              </w:rPr>
              <w:t>]</w:t>
              <w:tab/>
            </w:r>
            <w:r>
              <w:rPr>
                <w:rStyle w:val="IndexLink"/>
              </w:rPr>
              <w:t>288</w:t>
            </w:r>
          </w:hyperlink>
        </w:p>
        <w:p>
          <w:pPr>
            <w:pStyle w:val="Contents4"/>
            <w:tabs>
              <w:tab w:val="clear" w:pos="8176"/>
              <w:tab w:val="right" w:pos="9026" w:leader="dot"/>
            </w:tabs>
            <w:rPr/>
          </w:pPr>
          <w:hyperlink w:anchor="__RefHeading___Toc2018740_1067777946">
            <w:r>
              <w:rPr>
                <w:webHidden/>
                <w:rStyle w:val="IndexLink"/>
                <w:rtl w:val="true"/>
              </w:rPr>
              <w:t>[</w:t>
            </w:r>
            <w:r>
              <w:rPr>
                <w:rStyle w:val="IndexLink"/>
                <w:rtl w:val="true"/>
              </w:rPr>
              <w:t>في أقسام الحجّ</w:t>
            </w:r>
            <w:r>
              <w:rPr>
                <w:rStyle w:val="IndexLink"/>
                <w:rtl w:val="true"/>
              </w:rPr>
              <w:t>]</w:t>
              <w:tab/>
            </w:r>
            <w:r>
              <w:rPr>
                <w:rStyle w:val="IndexLink"/>
              </w:rPr>
              <w:t>294</w:t>
            </w:r>
          </w:hyperlink>
        </w:p>
        <w:p>
          <w:pPr>
            <w:pStyle w:val="Contents5"/>
            <w:tabs>
              <w:tab w:val="clear" w:pos="7892"/>
              <w:tab w:val="right" w:pos="9026" w:leader="dot"/>
            </w:tabs>
            <w:rPr/>
          </w:pPr>
          <w:hyperlink w:anchor="__RefHeading___Toc2018742_1067777946">
            <w:r>
              <w:rPr>
                <w:webHidden/>
                <w:rStyle w:val="IndexLink"/>
                <w:rtl w:val="true"/>
              </w:rPr>
              <w:t>[</w:t>
            </w:r>
            <w:r>
              <w:rPr>
                <w:rStyle w:val="IndexLink"/>
                <w:rtl w:val="true"/>
              </w:rPr>
              <w:t>التمتّع</w:t>
            </w:r>
            <w:r>
              <w:rPr>
                <w:rStyle w:val="IndexLink"/>
                <w:rtl w:val="true"/>
              </w:rPr>
              <w:t>]</w:t>
              <w:tab/>
            </w:r>
            <w:r>
              <w:rPr>
                <w:rStyle w:val="IndexLink"/>
              </w:rPr>
              <w:t>294</w:t>
            </w:r>
          </w:hyperlink>
        </w:p>
        <w:p>
          <w:pPr>
            <w:pStyle w:val="Contents5"/>
            <w:tabs>
              <w:tab w:val="clear" w:pos="7892"/>
              <w:tab w:val="right" w:pos="9026" w:leader="dot"/>
            </w:tabs>
            <w:rPr/>
          </w:pPr>
          <w:hyperlink w:anchor="__RefHeading___Toc2018744_1067777946">
            <w:r>
              <w:rPr>
                <w:webHidden/>
                <w:rStyle w:val="IndexLink"/>
                <w:rtl w:val="true"/>
              </w:rPr>
              <w:t>[</w:t>
            </w:r>
            <w:r>
              <w:rPr>
                <w:rStyle w:val="IndexLink"/>
                <w:rtl w:val="true"/>
              </w:rPr>
              <w:t>الإفراد</w:t>
            </w:r>
            <w:r>
              <w:rPr>
                <w:rStyle w:val="IndexLink"/>
                <w:rtl w:val="true"/>
              </w:rPr>
              <w:t>]</w:t>
              <w:tab/>
            </w:r>
            <w:r>
              <w:rPr>
                <w:rStyle w:val="IndexLink"/>
              </w:rPr>
              <w:t>298</w:t>
            </w:r>
          </w:hyperlink>
        </w:p>
        <w:p>
          <w:pPr>
            <w:pStyle w:val="Contents5"/>
            <w:tabs>
              <w:tab w:val="clear" w:pos="7892"/>
              <w:tab w:val="right" w:pos="9026" w:leader="dot"/>
            </w:tabs>
            <w:rPr/>
          </w:pPr>
          <w:hyperlink w:anchor="__RefHeading___Toc2018746_1067777946">
            <w:r>
              <w:rPr>
                <w:webHidden/>
                <w:rStyle w:val="IndexLink"/>
                <w:rtl w:val="true"/>
              </w:rPr>
              <w:t>[</w:t>
            </w:r>
            <w:r>
              <w:rPr>
                <w:rStyle w:val="IndexLink"/>
                <w:rtl w:val="true"/>
              </w:rPr>
              <w:t>القِران</w:t>
            </w:r>
            <w:r>
              <w:rPr>
                <w:rStyle w:val="IndexLink"/>
                <w:rtl w:val="true"/>
              </w:rPr>
              <w:t>]</w:t>
              <w:tab/>
            </w:r>
            <w:r>
              <w:rPr>
                <w:rStyle w:val="IndexLink"/>
              </w:rPr>
              <w:t>299</w:t>
            </w:r>
          </w:hyperlink>
        </w:p>
        <w:p>
          <w:pPr>
            <w:pStyle w:val="Contents4"/>
            <w:tabs>
              <w:tab w:val="clear" w:pos="8176"/>
              <w:tab w:val="right" w:pos="9026" w:leader="dot"/>
            </w:tabs>
            <w:rPr/>
          </w:pPr>
          <w:hyperlink w:anchor="__RefHeading___Toc2018748_1067777946">
            <w:r>
              <w:rPr>
                <w:webHidden/>
                <w:rStyle w:val="IndexLink"/>
                <w:rtl w:val="true"/>
              </w:rPr>
              <w:t>[</w:t>
            </w:r>
            <w:r>
              <w:rPr>
                <w:rStyle w:val="IndexLink"/>
                <w:rtl w:val="true"/>
              </w:rPr>
              <w:t>المقدّمة الرابعة في المواقيت</w:t>
            </w:r>
            <w:r>
              <w:rPr>
                <w:rStyle w:val="IndexLink"/>
                <w:rtl w:val="true"/>
              </w:rPr>
              <w:t>]</w:t>
              <w:tab/>
            </w:r>
            <w:r>
              <w:rPr>
                <w:rStyle w:val="IndexLink"/>
              </w:rPr>
              <w:t>301</w:t>
            </w:r>
          </w:hyperlink>
        </w:p>
        <w:p>
          <w:pPr>
            <w:pStyle w:val="Contents5"/>
            <w:tabs>
              <w:tab w:val="clear" w:pos="7892"/>
              <w:tab w:val="right" w:pos="9026" w:leader="dot"/>
            </w:tabs>
            <w:rPr/>
          </w:pPr>
          <w:hyperlink w:anchor="__RefHeading___Toc2018750_1067777946">
            <w:r>
              <w:rPr>
                <w:webHidden/>
                <w:rStyle w:val="IndexLink"/>
                <w:rtl w:val="true"/>
              </w:rPr>
              <w:t>[</w:t>
            </w:r>
            <w:r>
              <w:rPr>
                <w:rStyle w:val="IndexLink"/>
                <w:rtl w:val="true"/>
              </w:rPr>
              <w:t>أقسامها</w:t>
            </w:r>
            <w:r>
              <w:rPr>
                <w:rStyle w:val="IndexLink"/>
                <w:rtl w:val="true"/>
              </w:rPr>
              <w:t>]</w:t>
              <w:tab/>
            </w:r>
            <w:r>
              <w:rPr>
                <w:rStyle w:val="IndexLink"/>
              </w:rPr>
              <w:t>301</w:t>
            </w:r>
          </w:hyperlink>
        </w:p>
        <w:p>
          <w:pPr>
            <w:pStyle w:val="Contents5"/>
            <w:tabs>
              <w:tab w:val="clear" w:pos="7892"/>
              <w:tab w:val="right" w:pos="9026" w:leader="dot"/>
            </w:tabs>
            <w:rPr/>
          </w:pPr>
          <w:hyperlink w:anchor="__RefHeading___Toc2018752_1067777946">
            <w:r>
              <w:rPr>
                <w:webHidden/>
                <w:rStyle w:val="IndexLink"/>
                <w:rtl w:val="true"/>
              </w:rPr>
              <w:t>[</w:t>
            </w:r>
            <w:r>
              <w:rPr>
                <w:rStyle w:val="IndexLink"/>
                <w:rtl w:val="true"/>
              </w:rPr>
              <w:t>أحكامها</w:t>
            </w:r>
            <w:r>
              <w:rPr>
                <w:rStyle w:val="IndexLink"/>
                <w:rtl w:val="true"/>
              </w:rPr>
              <w:t>]</w:t>
              <w:tab/>
            </w:r>
            <w:r>
              <w:rPr>
                <w:rStyle w:val="IndexLink"/>
              </w:rPr>
              <w:t>302</w:t>
            </w:r>
          </w:hyperlink>
        </w:p>
        <w:p>
          <w:pPr>
            <w:pStyle w:val="Contents3"/>
            <w:tabs>
              <w:tab w:val="clear" w:pos="8459"/>
              <w:tab w:val="right" w:pos="9026" w:leader="dot"/>
            </w:tabs>
            <w:rPr/>
          </w:pPr>
          <w:hyperlink w:anchor="__RefHeading___Toc2018754_1067777946">
            <w:r>
              <w:rPr>
                <w:webHidden/>
                <w:rStyle w:val="IndexLink"/>
                <w:rtl w:val="true"/>
              </w:rPr>
              <w:t>[</w:t>
            </w:r>
            <w:r>
              <w:rPr>
                <w:rStyle w:val="IndexLink"/>
                <w:rtl w:val="true"/>
              </w:rPr>
              <w:t>الركن الثاني في أفعال الحجّ</w:t>
            </w:r>
            <w:r>
              <w:rPr>
                <w:rStyle w:val="IndexLink"/>
                <w:rtl w:val="true"/>
              </w:rPr>
              <w:t>]</w:t>
              <w:tab/>
            </w:r>
            <w:r>
              <w:rPr>
                <w:rStyle w:val="IndexLink"/>
              </w:rPr>
              <w:t>304</w:t>
            </w:r>
          </w:hyperlink>
        </w:p>
        <w:p>
          <w:pPr>
            <w:pStyle w:val="Contents4"/>
            <w:tabs>
              <w:tab w:val="clear" w:pos="8176"/>
              <w:tab w:val="right" w:pos="9026" w:leader="dot"/>
            </w:tabs>
            <w:rPr/>
          </w:pPr>
          <w:hyperlink w:anchor="__RefHeading___Toc2018756_1067777946">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2018758_1067777946">
            <w:r>
              <w:rPr>
                <w:webHidden/>
                <w:rStyle w:val="IndexLink"/>
                <w:rtl w:val="true"/>
              </w:rPr>
              <w:t>[</w:t>
            </w:r>
            <w:r>
              <w:rPr>
                <w:rStyle w:val="IndexLink"/>
                <w:rtl w:val="true"/>
              </w:rPr>
              <w:t>الإحرام</w:t>
            </w:r>
            <w:r>
              <w:rPr>
                <w:rStyle w:val="IndexLink"/>
                <w:rtl w:val="true"/>
              </w:rPr>
              <w:t>]</w:t>
              <w:tab/>
            </w:r>
            <w:r>
              <w:rPr>
                <w:rStyle w:val="IndexLink"/>
              </w:rPr>
              <w:t>304</w:t>
            </w:r>
          </w:hyperlink>
        </w:p>
        <w:p>
          <w:pPr>
            <w:pStyle w:val="Contents5"/>
            <w:tabs>
              <w:tab w:val="clear" w:pos="7892"/>
              <w:tab w:val="right" w:pos="9026" w:leader="dot"/>
            </w:tabs>
            <w:rPr/>
          </w:pPr>
          <w:hyperlink w:anchor="__RefHeading___Toc2018760_1067777946">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2018762_1067777946">
            <w:r>
              <w:rPr>
                <w:webHidden/>
                <w:rStyle w:val="IndexLink"/>
                <w:rtl w:val="true"/>
              </w:rPr>
              <w:t>[</w:t>
            </w:r>
            <w:r>
              <w:rPr>
                <w:rStyle w:val="IndexLink"/>
                <w:rtl w:val="true"/>
              </w:rPr>
              <w:t>نيّة الإحرام</w:t>
            </w:r>
            <w:r>
              <w:rPr>
                <w:rStyle w:val="IndexLink"/>
                <w:rtl w:val="true"/>
              </w:rPr>
              <w:t>]</w:t>
              <w:tab/>
            </w:r>
            <w:r>
              <w:rPr>
                <w:rStyle w:val="IndexLink"/>
              </w:rPr>
              <w:t>305</w:t>
            </w:r>
          </w:hyperlink>
        </w:p>
        <w:p>
          <w:pPr>
            <w:pStyle w:val="Contents5"/>
            <w:tabs>
              <w:tab w:val="clear" w:pos="7892"/>
              <w:tab w:val="right" w:pos="9026" w:leader="dot"/>
            </w:tabs>
            <w:rPr/>
          </w:pPr>
          <w:hyperlink w:anchor="__RefHeading___Toc2018764_1067777946">
            <w:r>
              <w:rPr>
                <w:webHidden/>
                <w:rStyle w:val="IndexLink"/>
                <w:rtl w:val="true"/>
              </w:rPr>
              <w:t>[</w:t>
            </w:r>
            <w:r>
              <w:rPr>
                <w:rStyle w:val="IndexLink"/>
                <w:rtl w:val="true"/>
              </w:rPr>
              <w:t>التلبيات الأربع</w:t>
            </w:r>
            <w:r>
              <w:rPr>
                <w:rStyle w:val="IndexLink"/>
                <w:rtl w:val="true"/>
              </w:rPr>
              <w:t>]</w:t>
              <w:tab/>
            </w:r>
            <w:r>
              <w:rPr>
                <w:rStyle w:val="IndexLink"/>
              </w:rPr>
              <w:t>306</w:t>
            </w:r>
          </w:hyperlink>
        </w:p>
        <w:p>
          <w:pPr>
            <w:pStyle w:val="Contents5"/>
            <w:tabs>
              <w:tab w:val="clear" w:pos="7892"/>
              <w:tab w:val="right" w:pos="9026" w:leader="dot"/>
            </w:tabs>
            <w:rPr/>
          </w:pPr>
          <w:hyperlink w:anchor="__RefHeading___Toc2018766_1067777946">
            <w:r>
              <w:rPr>
                <w:webHidden/>
                <w:rStyle w:val="IndexLink"/>
                <w:rtl w:val="true"/>
              </w:rPr>
              <w:t>[</w:t>
            </w:r>
            <w:r>
              <w:rPr>
                <w:rStyle w:val="IndexLink"/>
                <w:rtl w:val="true"/>
              </w:rPr>
              <w:t>لبس ثوبي الإحرام</w:t>
            </w:r>
            <w:r>
              <w:rPr>
                <w:rStyle w:val="IndexLink"/>
                <w:rtl w:val="true"/>
              </w:rPr>
              <w:t>]</w:t>
              <w:tab/>
            </w:r>
            <w:r>
              <w:rPr>
                <w:rStyle w:val="IndexLink"/>
              </w:rPr>
              <w:t>306</w:t>
            </w:r>
          </w:hyperlink>
        </w:p>
        <w:p>
          <w:pPr>
            <w:pStyle w:val="Contents5"/>
            <w:tabs>
              <w:tab w:val="clear" w:pos="7892"/>
              <w:tab w:val="right" w:pos="9026" w:leader="dot"/>
            </w:tabs>
            <w:rPr/>
          </w:pPr>
          <w:hyperlink w:anchor="__RefHeading___Toc2018768_1067777946">
            <w:r>
              <w:rPr>
                <w:webHidden/>
                <w:rStyle w:val="IndexLink"/>
                <w:rtl w:val="true"/>
              </w:rPr>
              <w:t>[</w:t>
            </w:r>
            <w:r>
              <w:rPr>
                <w:rStyle w:val="IndexLink"/>
                <w:rtl w:val="true"/>
              </w:rPr>
              <w:t>أحكام الإحرام</w:t>
            </w:r>
            <w:r>
              <w:rPr>
                <w:rStyle w:val="IndexLink"/>
                <w:rtl w:val="true"/>
              </w:rPr>
              <w:t>]</w:t>
              <w:tab/>
            </w:r>
            <w:r>
              <w:rPr>
                <w:rStyle w:val="IndexLink"/>
              </w:rPr>
              <w:t>307</w:t>
            </w:r>
          </w:hyperlink>
        </w:p>
        <w:p>
          <w:pPr>
            <w:pStyle w:val="Contents5"/>
            <w:tabs>
              <w:tab w:val="clear" w:pos="7892"/>
              <w:tab w:val="right" w:pos="9026" w:leader="dot"/>
            </w:tabs>
            <w:rPr/>
          </w:pPr>
          <w:hyperlink w:anchor="__RefHeading___Toc2018770_1067777946">
            <w:r>
              <w:rPr>
                <w:webHidden/>
                <w:rStyle w:val="IndexLink"/>
                <w:rtl w:val="true"/>
              </w:rPr>
              <w:t>[</w:t>
            </w:r>
            <w:r>
              <w:rPr>
                <w:rStyle w:val="IndexLink"/>
                <w:rtl w:val="true"/>
              </w:rPr>
              <w:t>مندوبات الإحرام</w:t>
            </w:r>
            <w:r>
              <w:rPr>
                <w:rStyle w:val="IndexLink"/>
                <w:rtl w:val="true"/>
              </w:rPr>
              <w:t>]</w:t>
              <w:tab/>
            </w:r>
            <w:r>
              <w:rPr>
                <w:rStyle w:val="IndexLink"/>
              </w:rPr>
              <w:t>309</w:t>
            </w:r>
          </w:hyperlink>
        </w:p>
        <w:p>
          <w:pPr>
            <w:pStyle w:val="Contents5"/>
            <w:tabs>
              <w:tab w:val="clear" w:pos="7892"/>
              <w:tab w:val="right" w:pos="9026" w:leader="dot"/>
            </w:tabs>
            <w:rPr/>
          </w:pPr>
          <w:hyperlink w:anchor="__RefHeading___Toc2018772_1067777946">
            <w:r>
              <w:rPr>
                <w:webHidden/>
                <w:rStyle w:val="IndexLink"/>
                <w:rtl w:val="true"/>
              </w:rPr>
              <w:t>[</w:t>
            </w:r>
            <w:r>
              <w:rPr>
                <w:rStyle w:val="IndexLink"/>
                <w:rtl w:val="true"/>
              </w:rPr>
              <w:t>تروك الإحرام</w:t>
            </w:r>
            <w:r>
              <w:rPr>
                <w:rStyle w:val="IndexLink"/>
                <w:rtl w:val="true"/>
              </w:rPr>
              <w:t>]</w:t>
              <w:tab/>
            </w:r>
            <w:r>
              <w:rPr>
                <w:rStyle w:val="IndexLink"/>
              </w:rPr>
              <w:t>310</w:t>
            </w:r>
          </w:hyperlink>
        </w:p>
        <w:p>
          <w:pPr>
            <w:pStyle w:val="Contents5"/>
            <w:tabs>
              <w:tab w:val="clear" w:pos="7892"/>
              <w:tab w:val="right" w:pos="9026" w:leader="dot"/>
            </w:tabs>
            <w:rPr/>
          </w:pPr>
          <w:hyperlink w:anchor="__RefHeading___Toc2018774_1067777946">
            <w:r>
              <w:rPr>
                <w:webHidden/>
                <w:rStyle w:val="IndexLink"/>
                <w:rtl w:val="true"/>
              </w:rPr>
              <w:t>[</w:t>
            </w:r>
            <w:r>
              <w:rPr>
                <w:rStyle w:val="IndexLink"/>
                <w:rtl w:val="true"/>
              </w:rPr>
              <w:t>خاتمة</w:t>
            </w:r>
            <w:r>
              <w:rPr>
                <w:rStyle w:val="IndexLink"/>
                <w:rtl w:val="true"/>
              </w:rPr>
              <w:t>]</w:t>
              <w:tab/>
            </w:r>
            <w:r>
              <w:rPr>
                <w:rStyle w:val="IndexLink"/>
              </w:rPr>
              <w:t>315</w:t>
            </w:r>
          </w:hyperlink>
        </w:p>
        <w:p>
          <w:pPr>
            <w:pStyle w:val="Contents4"/>
            <w:tabs>
              <w:tab w:val="clear" w:pos="8176"/>
              <w:tab w:val="right" w:pos="9026" w:leader="dot"/>
            </w:tabs>
            <w:rPr/>
          </w:pPr>
          <w:hyperlink w:anchor="__RefHeading___Toc2018776_1067777946">
            <w:r>
              <w:rPr>
                <w:webHidden/>
                <w:rStyle w:val="IndexLink"/>
                <w:rtl w:val="true"/>
              </w:rPr>
              <w:t>[</w:t>
            </w:r>
            <w:r>
              <w:rPr>
                <w:rStyle w:val="IndexLink"/>
                <w:rtl w:val="true"/>
              </w:rPr>
              <w:t>القول في الوقوف بعرفات</w:t>
            </w:r>
            <w:r>
              <w:rPr>
                <w:rStyle w:val="IndexLink"/>
                <w:rtl w:val="true"/>
              </w:rPr>
              <w:t>]</w:t>
              <w:tab/>
            </w:r>
            <w:r>
              <w:rPr>
                <w:rStyle w:val="IndexLink"/>
              </w:rPr>
              <w:t>316</w:t>
            </w:r>
          </w:hyperlink>
        </w:p>
        <w:p>
          <w:pPr>
            <w:pStyle w:val="Contents5"/>
            <w:tabs>
              <w:tab w:val="clear" w:pos="7892"/>
              <w:tab w:val="right" w:pos="9026" w:leader="dot"/>
            </w:tabs>
            <w:rPr/>
          </w:pPr>
          <w:hyperlink w:anchor="__RefHeading___Toc2018778_1067777946">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2018780_1067777946">
            <w:r>
              <w:rPr>
                <w:webHidden/>
                <w:rStyle w:val="IndexLink"/>
                <w:rtl w:val="true"/>
              </w:rPr>
              <w:t>[</w:t>
            </w:r>
            <w:r>
              <w:rPr>
                <w:rStyle w:val="IndexLink"/>
                <w:rtl w:val="true"/>
              </w:rPr>
              <w:t>واجباته</w:t>
            </w:r>
            <w:r>
              <w:rPr>
                <w:rStyle w:val="IndexLink"/>
                <w:rtl w:val="true"/>
              </w:rPr>
              <w:t>]</w:t>
              <w:tab/>
            </w:r>
            <w:r>
              <w:rPr>
                <w:rStyle w:val="IndexLink"/>
              </w:rPr>
              <w:t>317</w:t>
            </w:r>
          </w:hyperlink>
        </w:p>
        <w:p>
          <w:pPr>
            <w:pStyle w:val="Contents5"/>
            <w:tabs>
              <w:tab w:val="clear" w:pos="7892"/>
              <w:tab w:val="right" w:pos="9026" w:leader="dot"/>
            </w:tabs>
            <w:rPr/>
          </w:pPr>
          <w:hyperlink w:anchor="__RefHeading___Toc2018782_1067777946">
            <w:r>
              <w:rPr>
                <w:webHidden/>
                <w:rStyle w:val="IndexLink"/>
                <w:rtl w:val="true"/>
              </w:rPr>
              <w:t>[</w:t>
            </w:r>
            <w:r>
              <w:rPr>
                <w:rStyle w:val="IndexLink"/>
                <w:rtl w:val="true"/>
              </w:rPr>
              <w:t>مندوباته</w:t>
            </w:r>
            <w:r>
              <w:rPr>
                <w:rStyle w:val="IndexLink"/>
                <w:rtl w:val="true"/>
              </w:rPr>
              <w:t>]</w:t>
              <w:tab/>
            </w:r>
            <w:r>
              <w:rPr>
                <w:rStyle w:val="IndexLink"/>
              </w:rPr>
              <w:t>318</w:t>
            </w:r>
          </w:hyperlink>
        </w:p>
        <w:p>
          <w:pPr>
            <w:pStyle w:val="Contents4"/>
            <w:tabs>
              <w:tab w:val="clear" w:pos="8176"/>
              <w:tab w:val="right" w:pos="9026" w:leader="dot"/>
            </w:tabs>
            <w:rPr/>
          </w:pPr>
          <w:hyperlink w:anchor="__RefHeading___Toc2018784_1067777946">
            <w:r>
              <w:rPr>
                <w:webHidden/>
                <w:rStyle w:val="IndexLink"/>
                <w:rtl w:val="true"/>
              </w:rPr>
              <w:t>[</w:t>
            </w:r>
            <w:r>
              <w:rPr>
                <w:rStyle w:val="IndexLink"/>
                <w:rtl w:val="true"/>
              </w:rPr>
              <w:t>القول في الوقوف بالمشعر</w:t>
            </w:r>
            <w:r>
              <w:rPr>
                <w:rStyle w:val="IndexLink"/>
                <w:rtl w:val="true"/>
              </w:rPr>
              <w:t>]</w:t>
              <w:tab/>
            </w:r>
            <w:r>
              <w:rPr>
                <w:rStyle w:val="IndexLink"/>
              </w:rPr>
              <w:t>319</w:t>
            </w:r>
          </w:hyperlink>
        </w:p>
        <w:p>
          <w:pPr>
            <w:pStyle w:val="Contents5"/>
            <w:tabs>
              <w:tab w:val="clear" w:pos="7892"/>
              <w:tab w:val="right" w:pos="9026" w:leader="dot"/>
            </w:tabs>
            <w:rPr/>
          </w:pPr>
          <w:hyperlink w:anchor="__RefHeading___Toc2018786_1067777946">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2018788_1067777946">
            <w:r>
              <w:rPr>
                <w:webHidden/>
                <w:rStyle w:val="IndexLink"/>
                <w:rtl w:val="true"/>
              </w:rPr>
              <w:t>[</w:t>
            </w:r>
            <w:r>
              <w:rPr>
                <w:rStyle w:val="IndexLink"/>
                <w:rtl w:val="true"/>
              </w:rPr>
              <w:t>كيفيّة الوقوف بالمشعر</w:t>
            </w:r>
            <w:r>
              <w:rPr>
                <w:rStyle w:val="IndexLink"/>
                <w:rtl w:val="true"/>
              </w:rPr>
              <w:t>]</w:t>
              <w:tab/>
            </w:r>
            <w:r>
              <w:rPr>
                <w:rStyle w:val="IndexLink"/>
              </w:rPr>
              <w:t>319</w:t>
            </w:r>
          </w:hyperlink>
        </w:p>
        <w:p>
          <w:pPr>
            <w:pStyle w:val="Contents4"/>
            <w:tabs>
              <w:tab w:val="clear" w:pos="8176"/>
              <w:tab w:val="right" w:pos="9026" w:leader="dot"/>
            </w:tabs>
            <w:rPr/>
          </w:pPr>
          <w:hyperlink w:anchor="__RefHeading___Toc2018790_1067777946">
            <w:r>
              <w:rPr>
                <w:webHidden/>
                <w:rStyle w:val="IndexLink"/>
                <w:rtl w:val="true"/>
              </w:rPr>
              <w:t>[</w:t>
            </w:r>
            <w:r>
              <w:rPr>
                <w:rStyle w:val="IndexLink"/>
                <w:rtl w:val="true"/>
              </w:rPr>
              <w:t>القول في نزول مِنى ومابها من المناسك</w:t>
            </w:r>
            <w:r>
              <w:rPr>
                <w:rStyle w:val="IndexLink"/>
                <w:rtl w:val="true"/>
              </w:rPr>
              <w:t>]</w:t>
              <w:tab/>
            </w:r>
            <w:r>
              <w:rPr>
                <w:rStyle w:val="IndexLink"/>
              </w:rPr>
              <w:t>321</w:t>
            </w:r>
          </w:hyperlink>
        </w:p>
        <w:p>
          <w:pPr>
            <w:pStyle w:val="Contents5"/>
            <w:tabs>
              <w:tab w:val="clear" w:pos="7892"/>
              <w:tab w:val="right" w:pos="9026" w:leader="dot"/>
            </w:tabs>
            <w:rPr/>
          </w:pPr>
          <w:hyperlink w:anchor="__RefHeading___Toc2018792_1067777946">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2018794_1067777946">
            <w:r>
              <w:rPr>
                <w:webHidden/>
                <w:rStyle w:val="IndexLink"/>
                <w:rtl w:val="true"/>
              </w:rPr>
              <w:t>[</w:t>
            </w:r>
            <w:r>
              <w:rPr>
                <w:rStyle w:val="IndexLink"/>
                <w:rtl w:val="true"/>
              </w:rPr>
              <w:t>رمي جمرة العقبة</w:t>
            </w:r>
            <w:r>
              <w:rPr>
                <w:rStyle w:val="IndexLink"/>
                <w:rtl w:val="true"/>
              </w:rPr>
              <w:t>]</w:t>
              <w:tab/>
            </w:r>
            <w:r>
              <w:rPr>
                <w:rStyle w:val="IndexLink"/>
              </w:rPr>
              <w:t>322</w:t>
            </w:r>
          </w:hyperlink>
        </w:p>
        <w:p>
          <w:pPr>
            <w:pStyle w:val="Contents5"/>
            <w:tabs>
              <w:tab w:val="clear" w:pos="7892"/>
              <w:tab w:val="right" w:pos="9026" w:leader="dot"/>
            </w:tabs>
            <w:rPr/>
          </w:pPr>
          <w:hyperlink w:anchor="__RefHeading___Toc2018796_1067777946">
            <w:r>
              <w:rPr>
                <w:webHidden/>
                <w:rStyle w:val="IndexLink"/>
                <w:rtl w:val="true"/>
              </w:rPr>
              <w:t>[</w:t>
            </w:r>
            <w:r>
              <w:rPr>
                <w:rStyle w:val="IndexLink"/>
                <w:rtl w:val="true"/>
              </w:rPr>
              <w:t>الهدي</w:t>
            </w:r>
            <w:r>
              <w:rPr>
                <w:rStyle w:val="IndexLink"/>
                <w:rtl w:val="true"/>
              </w:rPr>
              <w:t>]</w:t>
              <w:tab/>
            </w:r>
            <w:r>
              <w:rPr>
                <w:rStyle w:val="IndexLink"/>
              </w:rPr>
              <w:t>322</w:t>
            </w:r>
          </w:hyperlink>
        </w:p>
        <w:p>
          <w:pPr>
            <w:pStyle w:val="Contents5"/>
            <w:tabs>
              <w:tab w:val="clear" w:pos="7892"/>
              <w:tab w:val="right" w:pos="9026" w:leader="dot"/>
            </w:tabs>
            <w:rPr/>
          </w:pPr>
          <w:hyperlink w:anchor="__RefHeading___Toc2018798_1067777946">
            <w:r>
              <w:rPr>
                <w:webHidden/>
                <w:rStyle w:val="IndexLink"/>
                <w:rtl w:val="true"/>
              </w:rPr>
              <w:t>[</w:t>
            </w:r>
            <w:r>
              <w:rPr>
                <w:rStyle w:val="IndexLink"/>
                <w:rtl w:val="true"/>
              </w:rPr>
              <w:t>البدل</w:t>
            </w:r>
            <w:r>
              <w:rPr>
                <w:rStyle w:val="IndexLink"/>
                <w:rtl w:val="true"/>
              </w:rPr>
              <w:t>]</w:t>
              <w:tab/>
            </w:r>
            <w:r>
              <w:rPr>
                <w:rStyle w:val="IndexLink"/>
              </w:rPr>
              <w:t>325</w:t>
            </w:r>
          </w:hyperlink>
        </w:p>
        <w:p>
          <w:pPr>
            <w:pStyle w:val="Contents5"/>
            <w:tabs>
              <w:tab w:val="clear" w:pos="7892"/>
              <w:tab w:val="right" w:pos="9026" w:leader="dot"/>
            </w:tabs>
            <w:rPr/>
          </w:pPr>
          <w:hyperlink w:anchor="__RefHeading___Toc2018800_1067777946">
            <w:r>
              <w:rPr>
                <w:webHidden/>
                <w:rStyle w:val="IndexLink"/>
                <w:rtl w:val="true"/>
              </w:rPr>
              <w:t>هدي القِران</w:t>
            </w:r>
            <w:r>
              <w:rPr>
                <w:rStyle w:val="IndexLink"/>
                <w:rtl w:val="true"/>
              </w:rPr>
              <w:tab/>
            </w:r>
            <w:r>
              <w:rPr>
                <w:rStyle w:val="IndexLink"/>
              </w:rPr>
              <w:t>326</w:t>
            </w:r>
          </w:hyperlink>
        </w:p>
        <w:p>
          <w:pPr>
            <w:pStyle w:val="Contents5"/>
            <w:tabs>
              <w:tab w:val="clear" w:pos="7892"/>
              <w:tab w:val="right" w:pos="9026" w:leader="dot"/>
            </w:tabs>
            <w:rPr/>
          </w:pPr>
          <w:hyperlink w:anchor="__RefHeading___Toc2018802_1067777946">
            <w:r>
              <w:rPr>
                <w:webHidden/>
                <w:rStyle w:val="IndexLink"/>
                <w:rtl w:val="true"/>
              </w:rPr>
              <w:t>[</w:t>
            </w:r>
            <w:r>
              <w:rPr>
                <w:rStyle w:val="IndexLink"/>
                <w:rtl w:val="true"/>
              </w:rPr>
              <w:t>في الأُضحيّة</w:t>
            </w:r>
            <w:r>
              <w:rPr>
                <w:rStyle w:val="IndexLink"/>
                <w:rtl w:val="true"/>
              </w:rPr>
              <w:t>]</w:t>
              <w:tab/>
            </w:r>
            <w:r>
              <w:rPr>
                <w:rStyle w:val="IndexLink"/>
              </w:rPr>
              <w:t>328</w:t>
            </w:r>
          </w:hyperlink>
        </w:p>
        <w:p>
          <w:pPr>
            <w:pStyle w:val="Contents4"/>
            <w:tabs>
              <w:tab w:val="clear" w:pos="8176"/>
              <w:tab w:val="right" w:pos="9026" w:leader="dot"/>
            </w:tabs>
            <w:rPr/>
          </w:pPr>
          <w:hyperlink w:anchor="__RefHeading___Toc2018804_1067777946">
            <w:r>
              <w:rPr>
                <w:webHidden/>
                <w:rStyle w:val="IndexLink"/>
                <w:rtl w:val="true"/>
              </w:rPr>
              <w:t>[</w:t>
            </w:r>
            <w:r>
              <w:rPr>
                <w:rStyle w:val="IndexLink"/>
                <w:rtl w:val="true"/>
              </w:rPr>
              <w:t>الحلق والتقصير</w:t>
            </w:r>
            <w:r>
              <w:rPr>
                <w:rStyle w:val="IndexLink"/>
                <w:rtl w:val="true"/>
              </w:rPr>
              <w:t>]</w:t>
              <w:tab/>
            </w:r>
            <w:r>
              <w:rPr>
                <w:rStyle w:val="IndexLink"/>
              </w:rPr>
              <w:t>329</w:t>
            </w:r>
          </w:hyperlink>
        </w:p>
        <w:p>
          <w:pPr>
            <w:pStyle w:val="Contents4"/>
            <w:tabs>
              <w:tab w:val="clear" w:pos="8176"/>
              <w:tab w:val="right" w:pos="9026" w:leader="dot"/>
            </w:tabs>
            <w:rPr/>
          </w:pPr>
          <w:hyperlink w:anchor="__RefHeading___Toc2018806_1067777946">
            <w:r>
              <w:rPr>
                <w:webHidden/>
                <w:rStyle w:val="IndexLink"/>
                <w:rtl w:val="true"/>
              </w:rPr>
              <w:t>[</w:t>
            </w:r>
            <w:r>
              <w:rPr>
                <w:rStyle w:val="IndexLink"/>
                <w:rtl w:val="true"/>
              </w:rPr>
              <w:t>القول في الطواف</w:t>
            </w:r>
            <w:r>
              <w:rPr>
                <w:rStyle w:val="IndexLink"/>
                <w:rtl w:val="true"/>
              </w:rPr>
              <w:t>]</w:t>
              <w:tab/>
            </w:r>
            <w:r>
              <w:rPr>
                <w:rStyle w:val="IndexLink"/>
              </w:rPr>
              <w:t>331</w:t>
            </w:r>
          </w:hyperlink>
        </w:p>
        <w:p>
          <w:pPr>
            <w:pStyle w:val="Contents5"/>
            <w:tabs>
              <w:tab w:val="clear" w:pos="7892"/>
              <w:tab w:val="right" w:pos="9026" w:leader="dot"/>
            </w:tabs>
            <w:rPr/>
          </w:pPr>
          <w:hyperlink w:anchor="__RefHeading___Toc2018808_1067777946">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2018810_1067777946">
            <w:r>
              <w:rPr>
                <w:webHidden/>
                <w:rStyle w:val="IndexLink"/>
                <w:rtl w:val="true"/>
              </w:rPr>
              <w:t>[</w:t>
            </w:r>
            <w:r>
              <w:rPr>
                <w:rStyle w:val="IndexLink"/>
                <w:rtl w:val="true"/>
              </w:rPr>
              <w:t>واجبات الطواف</w:t>
            </w:r>
            <w:r>
              <w:rPr>
                <w:rStyle w:val="IndexLink"/>
                <w:rtl w:val="true"/>
              </w:rPr>
              <w:t>]</w:t>
              <w:tab/>
            </w:r>
            <w:r>
              <w:rPr>
                <w:rStyle w:val="IndexLink"/>
              </w:rPr>
              <w:t>332</w:t>
            </w:r>
          </w:hyperlink>
        </w:p>
        <w:p>
          <w:pPr>
            <w:pStyle w:val="Contents5"/>
            <w:tabs>
              <w:tab w:val="clear" w:pos="7892"/>
              <w:tab w:val="right" w:pos="9026" w:leader="dot"/>
            </w:tabs>
            <w:rPr/>
          </w:pPr>
          <w:hyperlink w:anchor="__RefHeading___Toc2018812_1067777946">
            <w:r>
              <w:rPr>
                <w:webHidden/>
                <w:rStyle w:val="IndexLink"/>
                <w:rtl w:val="true"/>
              </w:rPr>
              <w:t>[</w:t>
            </w:r>
            <w:r>
              <w:rPr>
                <w:rStyle w:val="IndexLink"/>
                <w:rtl w:val="true"/>
              </w:rPr>
              <w:t>مندوبات الطواف</w:t>
            </w:r>
            <w:r>
              <w:rPr>
                <w:rStyle w:val="IndexLink"/>
                <w:rtl w:val="true"/>
              </w:rPr>
              <w:t>]</w:t>
              <w:tab/>
            </w:r>
            <w:r>
              <w:rPr>
                <w:rStyle w:val="IndexLink"/>
              </w:rPr>
              <w:t>334</w:t>
            </w:r>
          </w:hyperlink>
        </w:p>
        <w:p>
          <w:pPr>
            <w:pStyle w:val="Contents5"/>
            <w:tabs>
              <w:tab w:val="clear" w:pos="7892"/>
              <w:tab w:val="right" w:pos="9026" w:leader="dot"/>
            </w:tabs>
            <w:rPr/>
          </w:pPr>
          <w:hyperlink w:anchor="__RefHeading___Toc2018814_1067777946">
            <w:r>
              <w:rPr>
                <w:webHidden/>
                <w:rStyle w:val="IndexLink"/>
                <w:rtl w:val="true"/>
              </w:rPr>
              <w:t>[</w:t>
            </w:r>
            <w:r>
              <w:rPr>
                <w:rStyle w:val="IndexLink"/>
                <w:rtl w:val="true"/>
              </w:rPr>
              <w:t>أحكام الطواف</w:t>
            </w:r>
            <w:r>
              <w:rPr>
                <w:rStyle w:val="IndexLink"/>
                <w:rtl w:val="true"/>
              </w:rPr>
              <w:t>]</w:t>
              <w:tab/>
            </w:r>
            <w:r>
              <w:rPr>
                <w:rStyle w:val="IndexLink"/>
              </w:rPr>
              <w:t>334</w:t>
            </w:r>
          </w:hyperlink>
        </w:p>
        <w:p>
          <w:pPr>
            <w:pStyle w:val="Contents4"/>
            <w:tabs>
              <w:tab w:val="clear" w:pos="8176"/>
              <w:tab w:val="right" w:pos="9026" w:leader="dot"/>
            </w:tabs>
            <w:rPr/>
          </w:pPr>
          <w:hyperlink w:anchor="__RefHeading___Toc2018816_1067777946">
            <w:r>
              <w:rPr>
                <w:webHidden/>
                <w:rStyle w:val="IndexLink"/>
                <w:rtl w:val="true"/>
              </w:rPr>
              <w:t>[</w:t>
            </w:r>
            <w:r>
              <w:rPr>
                <w:rStyle w:val="IndexLink"/>
                <w:rtl w:val="true"/>
              </w:rPr>
              <w:t>القول في السعي</w:t>
            </w:r>
            <w:r>
              <w:rPr>
                <w:rStyle w:val="IndexLink"/>
                <w:rtl w:val="true"/>
              </w:rPr>
              <w:t>]</w:t>
              <w:tab/>
            </w:r>
            <w:r>
              <w:rPr>
                <w:rStyle w:val="IndexLink"/>
              </w:rPr>
              <w:t>336</w:t>
            </w:r>
          </w:hyperlink>
        </w:p>
        <w:p>
          <w:pPr>
            <w:pStyle w:val="Contents5"/>
            <w:tabs>
              <w:tab w:val="clear" w:pos="7892"/>
              <w:tab w:val="right" w:pos="9026" w:leader="dot"/>
            </w:tabs>
            <w:rPr/>
          </w:pPr>
          <w:hyperlink w:anchor="__RefHeading___Toc2018818_1067777946">
            <w:r>
              <w:rPr>
                <w:webHidden/>
                <w:rStyle w:val="IndexLink"/>
                <w:rtl w:val="true"/>
              </w:rPr>
              <w:t>[</w:t>
            </w:r>
            <w:r>
              <w:rPr>
                <w:rStyle w:val="IndexLink"/>
                <w:rtl w:val="true"/>
              </w:rPr>
              <w:t>مقدّماته</w:t>
            </w:r>
            <w:r>
              <w:rPr>
                <w:rStyle w:val="IndexLink"/>
                <w:rtl w:val="true"/>
              </w:rPr>
              <w:t>]</w:t>
              <w:tab/>
            </w:r>
            <w:r>
              <w:rPr>
                <w:rStyle w:val="IndexLink"/>
              </w:rPr>
              <w:t>336</w:t>
            </w:r>
          </w:hyperlink>
        </w:p>
        <w:p>
          <w:pPr>
            <w:pStyle w:val="Contents5"/>
            <w:tabs>
              <w:tab w:val="clear" w:pos="7892"/>
              <w:tab w:val="right" w:pos="9026" w:leader="dot"/>
            </w:tabs>
            <w:rPr/>
          </w:pPr>
          <w:hyperlink w:anchor="__RefHeading___Toc2018820_1067777946">
            <w:r>
              <w:rPr>
                <w:webHidden/>
                <w:rStyle w:val="IndexLink"/>
                <w:rtl w:val="true"/>
              </w:rPr>
              <w:t>[</w:t>
            </w:r>
            <w:r>
              <w:rPr>
                <w:rStyle w:val="IndexLink"/>
                <w:rtl w:val="true"/>
              </w:rPr>
              <w:t>کیفیّته</w:t>
            </w:r>
            <w:r>
              <w:rPr>
                <w:rStyle w:val="IndexLink"/>
                <w:rtl w:val="true"/>
              </w:rPr>
              <w:t>]</w:t>
              <w:tab/>
            </w:r>
            <w:r>
              <w:rPr>
                <w:rStyle w:val="IndexLink"/>
              </w:rPr>
              <w:t>337</w:t>
            </w:r>
          </w:hyperlink>
        </w:p>
        <w:p>
          <w:pPr>
            <w:pStyle w:val="Contents5"/>
            <w:tabs>
              <w:tab w:val="clear" w:pos="7892"/>
              <w:tab w:val="right" w:pos="9026" w:leader="dot"/>
            </w:tabs>
            <w:rPr/>
          </w:pPr>
          <w:hyperlink w:anchor="__RefHeading___Toc2018822_1067777946">
            <w:r>
              <w:rPr>
                <w:webHidden/>
                <w:rStyle w:val="IndexLink"/>
                <w:rtl w:val="true"/>
              </w:rPr>
              <w:t>[</w:t>
            </w:r>
            <w:r>
              <w:rPr>
                <w:rStyle w:val="IndexLink"/>
                <w:rtl w:val="true"/>
              </w:rPr>
              <w:t>أحكام السعي</w:t>
            </w:r>
            <w:r>
              <w:rPr>
                <w:rStyle w:val="IndexLink"/>
                <w:rtl w:val="true"/>
              </w:rPr>
              <w:t>]</w:t>
              <w:tab/>
            </w:r>
            <w:r>
              <w:rPr>
                <w:rStyle w:val="IndexLink"/>
              </w:rPr>
              <w:t>338</w:t>
            </w:r>
          </w:hyperlink>
        </w:p>
        <w:p>
          <w:pPr>
            <w:pStyle w:val="Contents4"/>
            <w:tabs>
              <w:tab w:val="clear" w:pos="8176"/>
              <w:tab w:val="right" w:pos="9026" w:leader="dot"/>
            </w:tabs>
            <w:rPr/>
          </w:pPr>
          <w:hyperlink w:anchor="__RefHeading___Toc2018824_1067777946">
            <w:r>
              <w:rPr>
                <w:webHidden/>
                <w:rStyle w:val="IndexLink"/>
                <w:rtl w:val="true"/>
              </w:rPr>
              <w:t>[</w:t>
            </w:r>
            <w:r>
              <w:rPr>
                <w:rStyle w:val="IndexLink"/>
                <w:rtl w:val="true"/>
              </w:rPr>
              <w:t>القول في الأحكام المتعلّقة بمنى بعد العَود</w:t>
            </w:r>
            <w:r>
              <w:rPr>
                <w:rStyle w:val="IndexLink"/>
                <w:rtl w:val="true"/>
              </w:rPr>
              <w:t>]</w:t>
              <w:tab/>
            </w:r>
            <w:r>
              <w:rPr>
                <w:rStyle w:val="IndexLink"/>
              </w:rPr>
              <w:t>339</w:t>
            </w:r>
          </w:hyperlink>
        </w:p>
        <w:p>
          <w:pPr>
            <w:pStyle w:val="Contents4"/>
            <w:tabs>
              <w:tab w:val="clear" w:pos="8176"/>
              <w:tab w:val="right" w:pos="9026" w:leader="dot"/>
            </w:tabs>
            <w:rPr/>
          </w:pPr>
          <w:hyperlink w:anchor="__RefHeading___Toc2018826_1067777946">
            <w:r>
              <w:rPr>
                <w:webHidden/>
                <w:rStyle w:val="IndexLink"/>
                <w:rtl w:val="true"/>
              </w:rPr>
              <w:t>[</w:t>
            </w:r>
            <w:r>
              <w:rPr>
                <w:rStyle w:val="IndexLink"/>
                <w:rtl w:val="true"/>
              </w:rPr>
              <w:t>مسائل</w:t>
            </w:r>
            <w:r>
              <w:rPr>
                <w:rStyle w:val="IndexLink"/>
                <w:rtl w:val="true"/>
              </w:rPr>
              <w:t>:]</w:t>
              <w:tab/>
            </w:r>
            <w:r>
              <w:rPr>
                <w:rStyle w:val="IndexLink"/>
              </w:rPr>
              <w:t>341</w:t>
            </w:r>
          </w:hyperlink>
        </w:p>
        <w:p>
          <w:pPr>
            <w:pStyle w:val="Contents3"/>
            <w:tabs>
              <w:tab w:val="clear" w:pos="8459"/>
              <w:tab w:val="right" w:pos="9026" w:leader="dot"/>
            </w:tabs>
            <w:rPr/>
          </w:pPr>
          <w:hyperlink w:anchor="__RefHeading___Toc2018828_1067777946">
            <w:r>
              <w:rPr>
                <w:webHidden/>
                <w:rStyle w:val="IndexLink"/>
                <w:rtl w:val="true"/>
              </w:rPr>
              <w:t>[</w:t>
            </w:r>
            <w:r>
              <w:rPr>
                <w:rStyle w:val="IndexLink"/>
                <w:rtl w:val="true"/>
              </w:rPr>
              <w:t>الركن الثالث في اللواحق</w:t>
            </w:r>
            <w:r>
              <w:rPr>
                <w:rStyle w:val="IndexLink"/>
                <w:rtl w:val="true"/>
              </w:rPr>
              <w:t>]</w:t>
              <w:tab/>
            </w:r>
            <w:r>
              <w:rPr>
                <w:rStyle w:val="IndexLink"/>
              </w:rPr>
              <w:t>345</w:t>
            </w:r>
          </w:hyperlink>
        </w:p>
        <w:p>
          <w:pPr>
            <w:pStyle w:val="Contents4"/>
            <w:tabs>
              <w:tab w:val="clear" w:pos="8176"/>
              <w:tab w:val="right" w:pos="9026" w:leader="dot"/>
            </w:tabs>
            <w:rPr/>
          </w:pPr>
          <w:hyperlink w:anchor="__RefHeading___Toc2018830_1067777946">
            <w:r>
              <w:rPr>
                <w:webHidden/>
                <w:rStyle w:val="IndexLink"/>
                <w:rtl w:val="true"/>
              </w:rPr>
              <w:t>[</w:t>
            </w:r>
            <w:r>
              <w:rPr>
                <w:rStyle w:val="IndexLink"/>
                <w:rtl w:val="true"/>
              </w:rPr>
              <w:t>المقصد الأوّل في الإحصار والصدّ</w:t>
            </w:r>
            <w:r>
              <w:rPr>
                <w:rStyle w:val="IndexLink"/>
                <w:rtl w:val="true"/>
              </w:rPr>
              <w:t>]</w:t>
              <w:tab/>
            </w:r>
            <w:r>
              <w:rPr>
                <w:rStyle w:val="IndexLink"/>
              </w:rPr>
              <w:t>345</w:t>
            </w:r>
          </w:hyperlink>
        </w:p>
        <w:p>
          <w:pPr>
            <w:pStyle w:val="Contents4"/>
            <w:tabs>
              <w:tab w:val="clear" w:pos="8176"/>
              <w:tab w:val="right" w:pos="9026" w:leader="dot"/>
            </w:tabs>
            <w:rPr/>
          </w:pPr>
          <w:hyperlink w:anchor="__RefHeading___Toc2018832_1067777946">
            <w:r>
              <w:rPr>
                <w:webHidden/>
                <w:rStyle w:val="IndexLink"/>
                <w:rtl w:val="true"/>
              </w:rPr>
              <w:t>[</w:t>
            </w:r>
            <w:r>
              <w:rPr>
                <w:rStyle w:val="IndexLink"/>
                <w:rtl w:val="true"/>
              </w:rPr>
              <w:t>المقصد الثاني في أحكام الصيد</w:t>
            </w:r>
            <w:r>
              <w:rPr>
                <w:rStyle w:val="IndexLink"/>
                <w:rtl w:val="true"/>
              </w:rPr>
              <w:t>]</w:t>
              <w:tab/>
            </w:r>
            <w:r>
              <w:rPr>
                <w:rStyle w:val="IndexLink"/>
              </w:rPr>
              <w:t>350</w:t>
            </w:r>
          </w:hyperlink>
        </w:p>
        <w:p>
          <w:pPr>
            <w:pStyle w:val="Contents5"/>
            <w:tabs>
              <w:tab w:val="clear" w:pos="7892"/>
              <w:tab w:val="right" w:pos="9026" w:leader="dot"/>
            </w:tabs>
            <w:rPr/>
          </w:pPr>
          <w:hyperlink w:anchor="__RefHeading___Toc2018834_1067777946">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2018836_1067777946">
            <w:r>
              <w:rPr>
                <w:webHidden/>
                <w:rStyle w:val="IndexLink"/>
                <w:rtl w:val="true"/>
              </w:rPr>
              <w:t>[</w:t>
            </w:r>
            <w:r>
              <w:rPr>
                <w:rStyle w:val="IndexLink"/>
                <w:rtl w:val="true"/>
              </w:rPr>
              <w:t>ما لا يتعلّق به كفّارة</w:t>
            </w:r>
            <w:r>
              <w:rPr>
                <w:rStyle w:val="IndexLink"/>
                <w:rtl w:val="true"/>
              </w:rPr>
              <w:t>]</w:t>
              <w:tab/>
            </w:r>
            <w:r>
              <w:rPr>
                <w:rStyle w:val="IndexLink"/>
              </w:rPr>
              <w:t>350</w:t>
            </w:r>
          </w:hyperlink>
        </w:p>
        <w:p>
          <w:pPr>
            <w:pStyle w:val="Contents5"/>
            <w:tabs>
              <w:tab w:val="clear" w:pos="7892"/>
              <w:tab w:val="right" w:pos="9026" w:leader="dot"/>
            </w:tabs>
            <w:rPr/>
          </w:pPr>
          <w:hyperlink w:anchor="__RefHeading___Toc2018838_1067777946">
            <w:r>
              <w:rPr>
                <w:webHidden/>
                <w:rStyle w:val="IndexLink"/>
                <w:rtl w:val="true"/>
              </w:rPr>
              <w:t>[</w:t>
            </w:r>
            <w:r>
              <w:rPr>
                <w:rStyle w:val="IndexLink"/>
                <w:rtl w:val="true"/>
              </w:rPr>
              <w:t>ما لكفّارته بدل على الخصوص</w:t>
            </w:r>
            <w:r>
              <w:rPr>
                <w:rStyle w:val="IndexLink"/>
                <w:rtl w:val="true"/>
              </w:rPr>
              <w:t>]</w:t>
              <w:tab/>
            </w:r>
            <w:r>
              <w:rPr>
                <w:rStyle w:val="IndexLink"/>
              </w:rPr>
              <w:t>351</w:t>
            </w:r>
          </w:hyperlink>
        </w:p>
        <w:p>
          <w:pPr>
            <w:pStyle w:val="Contents5"/>
            <w:tabs>
              <w:tab w:val="clear" w:pos="7892"/>
              <w:tab w:val="right" w:pos="9026" w:leader="dot"/>
            </w:tabs>
            <w:rPr/>
          </w:pPr>
          <w:hyperlink w:anchor="__RefHeading___Toc2018840_1067777946">
            <w:r>
              <w:rPr>
                <w:webHidden/>
                <w:rStyle w:val="IndexLink"/>
                <w:rtl w:val="true"/>
              </w:rPr>
              <w:t>[</w:t>
            </w:r>
            <w:r>
              <w:rPr>
                <w:rStyle w:val="IndexLink"/>
                <w:rtl w:val="true"/>
              </w:rPr>
              <w:t>ما لا بدل له على الخصوص</w:t>
            </w:r>
            <w:r>
              <w:rPr>
                <w:rStyle w:val="IndexLink"/>
                <w:rtl w:val="true"/>
              </w:rPr>
              <w:t>]</w:t>
              <w:tab/>
            </w:r>
            <w:r>
              <w:rPr>
                <w:rStyle w:val="IndexLink"/>
              </w:rPr>
              <w:t>353</w:t>
            </w:r>
          </w:hyperlink>
        </w:p>
        <w:p>
          <w:pPr>
            <w:pStyle w:val="Contents5"/>
            <w:tabs>
              <w:tab w:val="clear" w:pos="7892"/>
              <w:tab w:val="right" w:pos="9026" w:leader="dot"/>
            </w:tabs>
            <w:rPr/>
          </w:pPr>
          <w:hyperlink w:anchor="__RefHeading___Toc2018842_1067777946">
            <w:r>
              <w:rPr>
                <w:webHidden/>
                <w:rStyle w:val="IndexLink"/>
                <w:rtl w:val="true"/>
              </w:rPr>
              <w:t>[</w:t>
            </w:r>
            <w:r>
              <w:rPr>
                <w:rStyle w:val="IndexLink"/>
                <w:rtl w:val="true"/>
              </w:rPr>
              <w:t>الفصل الثاني في موجبات الضمان</w:t>
            </w:r>
            <w:r>
              <w:rPr>
                <w:rStyle w:val="IndexLink"/>
                <w:rtl w:val="true"/>
              </w:rPr>
              <w:t>]</w:t>
              <w:tab/>
            </w:r>
            <w:r>
              <w:rPr>
                <w:rStyle w:val="IndexLink"/>
              </w:rPr>
              <w:t>357</w:t>
            </w:r>
          </w:hyperlink>
        </w:p>
        <w:p>
          <w:pPr>
            <w:pStyle w:val="Contents6"/>
            <w:tabs>
              <w:tab w:val="clear" w:pos="7609"/>
              <w:tab w:val="right" w:pos="9026" w:leader="dot"/>
            </w:tabs>
            <w:rPr/>
          </w:pPr>
          <w:hyperlink w:anchor="__RefHeading___Toc2018844_1067777946">
            <w:r>
              <w:rPr>
                <w:webHidden/>
                <w:rStyle w:val="IndexLink"/>
                <w:rtl w:val="true"/>
              </w:rPr>
              <w:t>[</w:t>
            </w:r>
            <w:r>
              <w:rPr>
                <w:rStyle w:val="IndexLink"/>
              </w:rPr>
              <w:t>1</w:t>
            </w:r>
            <w:r>
              <w:rPr>
                <w:rStyle w:val="IndexLink"/>
                <w:rtl w:val="true"/>
              </w:rPr>
              <w:t xml:space="preserve">- </w:t>
            </w:r>
            <w:r>
              <w:rPr>
                <w:rStyle w:val="IndexLink"/>
                <w:rtl w:val="true"/>
              </w:rPr>
              <w:t>مباشرة الإتلاف</w:t>
            </w:r>
            <w:r>
              <w:rPr>
                <w:rStyle w:val="IndexLink"/>
                <w:rtl w:val="true"/>
              </w:rPr>
              <w:t>]</w:t>
              <w:tab/>
            </w:r>
            <w:r>
              <w:rPr>
                <w:rStyle w:val="IndexLink"/>
              </w:rPr>
              <w:t>357</w:t>
            </w:r>
          </w:hyperlink>
        </w:p>
        <w:p>
          <w:pPr>
            <w:pStyle w:val="Contents6"/>
            <w:tabs>
              <w:tab w:val="clear" w:pos="7609"/>
              <w:tab w:val="right" w:pos="9026" w:leader="dot"/>
            </w:tabs>
            <w:rPr/>
          </w:pPr>
          <w:hyperlink w:anchor="__RefHeading___Toc2018846_1067777946">
            <w:r>
              <w:rPr>
                <w:webHidden/>
                <w:rStyle w:val="IndexLink"/>
                <w:rtl w:val="true"/>
              </w:rPr>
              <w:t>[</w:t>
            </w:r>
            <w:r>
              <w:rPr>
                <w:rStyle w:val="IndexLink"/>
              </w:rPr>
              <w:t>2</w:t>
            </w:r>
            <w:r>
              <w:rPr>
                <w:rStyle w:val="IndexLink"/>
                <w:rtl w:val="true"/>
              </w:rPr>
              <w:t xml:space="preserve">- </w:t>
            </w:r>
            <w:r>
              <w:rPr>
                <w:rStyle w:val="IndexLink"/>
                <w:rtl w:val="true"/>
              </w:rPr>
              <w:t>اليد</w:t>
            </w:r>
            <w:r>
              <w:rPr>
                <w:rStyle w:val="IndexLink"/>
                <w:rtl w:val="true"/>
              </w:rPr>
              <w:t>]</w:t>
              <w:tab/>
            </w:r>
            <w:r>
              <w:rPr>
                <w:rStyle w:val="IndexLink"/>
              </w:rPr>
              <w:t>358</w:t>
            </w:r>
          </w:hyperlink>
        </w:p>
        <w:p>
          <w:pPr>
            <w:pStyle w:val="Contents6"/>
            <w:tabs>
              <w:tab w:val="clear" w:pos="7609"/>
              <w:tab w:val="right" w:pos="9026" w:leader="dot"/>
            </w:tabs>
            <w:rPr/>
          </w:pPr>
          <w:hyperlink w:anchor="__RefHeading___Toc2018848_1067777946">
            <w:r>
              <w:rPr>
                <w:webHidden/>
                <w:rStyle w:val="IndexLink"/>
                <w:rtl w:val="true"/>
              </w:rPr>
              <w:t>[</w:t>
            </w:r>
            <w:r>
              <w:rPr>
                <w:rStyle w:val="IndexLink"/>
              </w:rPr>
              <w:t>3</w:t>
            </w:r>
            <w:r>
              <w:rPr>
                <w:rStyle w:val="IndexLink"/>
                <w:rtl w:val="true"/>
              </w:rPr>
              <w:t xml:space="preserve">- </w:t>
            </w:r>
            <w:r>
              <w:rPr>
                <w:rStyle w:val="IndexLink"/>
                <w:rtl w:val="true"/>
              </w:rPr>
              <w:t>السبب</w:t>
            </w:r>
            <w:r>
              <w:rPr>
                <w:rStyle w:val="IndexLink"/>
                <w:rtl w:val="true"/>
              </w:rPr>
              <w:t>]</w:t>
              <w:tab/>
            </w:r>
            <w:r>
              <w:rPr>
                <w:rStyle w:val="IndexLink"/>
              </w:rPr>
              <w:t>359</w:t>
            </w:r>
          </w:hyperlink>
        </w:p>
        <w:p>
          <w:pPr>
            <w:pStyle w:val="Contents5"/>
            <w:tabs>
              <w:tab w:val="clear" w:pos="7892"/>
              <w:tab w:val="right" w:pos="9026" w:leader="dot"/>
            </w:tabs>
            <w:rPr/>
          </w:pPr>
          <w:hyperlink w:anchor="__RefHeading___Toc2018850_1067777946">
            <w:r>
              <w:rPr>
                <w:webHidden/>
                <w:rStyle w:val="IndexLink"/>
                <w:rtl w:val="true"/>
              </w:rPr>
              <w:t>[</w:t>
            </w:r>
            <w:r>
              <w:rPr>
                <w:rStyle w:val="IndexLink"/>
                <w:rtl w:val="true"/>
              </w:rPr>
              <w:t>الفصل الثالث في صيد الحرم</w:t>
            </w:r>
            <w:r>
              <w:rPr>
                <w:rStyle w:val="IndexLink"/>
                <w:rtl w:val="true"/>
              </w:rPr>
              <w:t>]</w:t>
              <w:tab/>
            </w:r>
            <w:r>
              <w:rPr>
                <w:rStyle w:val="IndexLink"/>
              </w:rPr>
              <w:t>361</w:t>
            </w:r>
          </w:hyperlink>
        </w:p>
        <w:p>
          <w:pPr>
            <w:pStyle w:val="Contents5"/>
            <w:tabs>
              <w:tab w:val="clear" w:pos="7892"/>
              <w:tab w:val="right" w:pos="9026" w:leader="dot"/>
            </w:tabs>
            <w:rPr/>
          </w:pPr>
          <w:hyperlink w:anchor="__RefHeading___Toc2018852_1067777946">
            <w:r>
              <w:rPr>
                <w:webHidden/>
                <w:rStyle w:val="IndexLink"/>
                <w:rtl w:val="true"/>
              </w:rPr>
              <w:t>[</w:t>
            </w:r>
            <w:r>
              <w:rPr>
                <w:rStyle w:val="IndexLink"/>
                <w:rtl w:val="true"/>
              </w:rPr>
              <w:t>الفصل الرابع في التوابع</w:t>
            </w:r>
            <w:r>
              <w:rPr>
                <w:rStyle w:val="IndexLink"/>
                <w:rtl w:val="true"/>
              </w:rPr>
              <w:t>]</w:t>
              <w:tab/>
            </w:r>
            <w:r>
              <w:rPr>
                <w:rStyle w:val="IndexLink"/>
              </w:rPr>
              <w:t>362</w:t>
            </w:r>
          </w:hyperlink>
        </w:p>
        <w:p>
          <w:pPr>
            <w:pStyle w:val="Contents4"/>
            <w:tabs>
              <w:tab w:val="clear" w:pos="8176"/>
              <w:tab w:val="right" w:pos="9026" w:leader="dot"/>
            </w:tabs>
            <w:rPr/>
          </w:pPr>
          <w:hyperlink w:anchor="__RefHeading___Toc2018854_1067777946">
            <w:r>
              <w:rPr>
                <w:webHidden/>
                <w:rStyle w:val="IndexLink"/>
                <w:rtl w:val="true"/>
              </w:rPr>
              <w:t>[</w:t>
            </w:r>
            <w:r>
              <w:rPr>
                <w:rStyle w:val="IndexLink"/>
                <w:rtl w:val="true"/>
              </w:rPr>
              <w:t>المقصد الثالث في باقي المحظورات</w:t>
            </w:r>
            <w:r>
              <w:rPr>
                <w:rStyle w:val="IndexLink"/>
                <w:rtl w:val="true"/>
              </w:rPr>
              <w:t>]</w:t>
              <w:tab/>
            </w:r>
            <w:r>
              <w:rPr>
                <w:rStyle w:val="IndexLink"/>
              </w:rPr>
              <w:t>364</w:t>
            </w:r>
          </w:hyperlink>
        </w:p>
        <w:p>
          <w:pPr>
            <w:pStyle w:val="Contents5"/>
            <w:tabs>
              <w:tab w:val="clear" w:pos="7892"/>
              <w:tab w:val="right" w:pos="9026" w:leader="dot"/>
            </w:tabs>
            <w:rPr/>
          </w:pPr>
          <w:hyperlink w:anchor="__RefHeading___Toc2018856_1067777946">
            <w:r>
              <w:rPr>
                <w:webHidden/>
                <w:rStyle w:val="IndexLink"/>
                <w:rtl w:val="true"/>
              </w:rPr>
              <w:t>[</w:t>
            </w:r>
            <w:r>
              <w:rPr>
                <w:rStyle w:val="IndexLink"/>
                <w:rtl w:val="true"/>
              </w:rPr>
              <w:t>الاستمتاع بالنساء</w:t>
            </w:r>
            <w:r>
              <w:rPr>
                <w:rStyle w:val="IndexLink"/>
                <w:rtl w:val="true"/>
              </w:rPr>
              <w:t>]</w:t>
              <w:tab/>
            </w:r>
            <w:r>
              <w:rPr>
                <w:rStyle w:val="IndexLink"/>
              </w:rPr>
              <w:t>364</w:t>
            </w:r>
          </w:hyperlink>
        </w:p>
        <w:p>
          <w:pPr>
            <w:pStyle w:val="Contents5"/>
            <w:tabs>
              <w:tab w:val="clear" w:pos="7892"/>
              <w:tab w:val="right" w:pos="9026" w:leader="dot"/>
            </w:tabs>
            <w:rPr/>
          </w:pPr>
          <w:hyperlink w:anchor="__RefHeading___Toc2018858_1067777946">
            <w:r>
              <w:rPr>
                <w:webHidden/>
                <w:rStyle w:val="IndexLink"/>
                <w:rtl w:val="true"/>
              </w:rPr>
              <w:t>[</w:t>
            </w:r>
            <w:r>
              <w:rPr>
                <w:rStyle w:val="IndexLink"/>
                <w:rtl w:val="true"/>
              </w:rPr>
              <w:t>الطيب</w:t>
            </w:r>
            <w:r>
              <w:rPr>
                <w:rStyle w:val="IndexLink"/>
                <w:rtl w:val="true"/>
              </w:rPr>
              <w:t>]</w:t>
              <w:tab/>
            </w:r>
            <w:r>
              <w:rPr>
                <w:rStyle w:val="IndexLink"/>
              </w:rPr>
              <w:t>366</w:t>
            </w:r>
          </w:hyperlink>
        </w:p>
        <w:p>
          <w:pPr>
            <w:pStyle w:val="Contents5"/>
            <w:tabs>
              <w:tab w:val="clear" w:pos="7892"/>
              <w:tab w:val="right" w:pos="9026" w:leader="dot"/>
            </w:tabs>
            <w:rPr/>
          </w:pPr>
          <w:hyperlink w:anchor="__RefHeading___Toc2018860_1067777946">
            <w:r>
              <w:rPr>
                <w:webHidden/>
                <w:rStyle w:val="IndexLink"/>
                <w:rtl w:val="true"/>
              </w:rPr>
              <w:t>[</w:t>
            </w:r>
            <w:r>
              <w:rPr>
                <w:rStyle w:val="IndexLink"/>
                <w:rtl w:val="true"/>
              </w:rPr>
              <w:t>قلم الأظفار</w:t>
            </w:r>
            <w:r>
              <w:rPr>
                <w:rStyle w:val="IndexLink"/>
                <w:rtl w:val="true"/>
              </w:rPr>
              <w:t>]</w:t>
              <w:tab/>
            </w:r>
            <w:r>
              <w:rPr>
                <w:rStyle w:val="IndexLink"/>
              </w:rPr>
              <w:t>367</w:t>
            </w:r>
          </w:hyperlink>
        </w:p>
        <w:p>
          <w:pPr>
            <w:pStyle w:val="Contents5"/>
            <w:tabs>
              <w:tab w:val="clear" w:pos="7892"/>
              <w:tab w:val="right" w:pos="9026" w:leader="dot"/>
            </w:tabs>
            <w:rPr/>
          </w:pPr>
          <w:hyperlink w:anchor="__RefHeading___Toc2018862_1067777946">
            <w:r>
              <w:rPr>
                <w:webHidden/>
                <w:rStyle w:val="IndexLink"/>
                <w:rtl w:val="true"/>
              </w:rPr>
              <w:t>[</w:t>
            </w:r>
            <w:r>
              <w:rPr>
                <w:rStyle w:val="IndexLink"/>
                <w:rtl w:val="true"/>
              </w:rPr>
              <w:t>حلق الشعر</w:t>
            </w:r>
            <w:r>
              <w:rPr>
                <w:rStyle w:val="IndexLink"/>
                <w:rtl w:val="true"/>
              </w:rPr>
              <w:t>]</w:t>
              <w:tab/>
            </w:r>
            <w:r>
              <w:rPr>
                <w:rStyle w:val="IndexLink"/>
              </w:rPr>
              <w:t>367</w:t>
            </w:r>
          </w:hyperlink>
        </w:p>
        <w:p>
          <w:pPr>
            <w:pStyle w:val="Contents5"/>
            <w:tabs>
              <w:tab w:val="clear" w:pos="7892"/>
              <w:tab w:val="right" w:pos="9026" w:leader="dot"/>
            </w:tabs>
            <w:rPr/>
          </w:pPr>
          <w:hyperlink w:anchor="__RefHeading___Toc2018864_1067777946">
            <w:r>
              <w:rPr>
                <w:webHidden/>
                <w:rStyle w:val="IndexLink"/>
                <w:rtl w:val="true"/>
              </w:rPr>
              <w:t>[</w:t>
            </w:r>
            <w:r>
              <w:rPr>
                <w:rStyle w:val="IndexLink"/>
                <w:rtl w:val="true"/>
              </w:rPr>
              <w:t>الجدال</w:t>
            </w:r>
            <w:r>
              <w:rPr>
                <w:rStyle w:val="IndexLink"/>
                <w:rtl w:val="true"/>
              </w:rPr>
              <w:t>]</w:t>
              <w:tab/>
            </w:r>
            <w:r>
              <w:rPr>
                <w:rStyle w:val="IndexLink"/>
              </w:rPr>
              <w:t>367</w:t>
            </w:r>
          </w:hyperlink>
        </w:p>
        <w:p>
          <w:pPr>
            <w:pStyle w:val="Contents5"/>
            <w:tabs>
              <w:tab w:val="clear" w:pos="7892"/>
              <w:tab w:val="right" w:pos="9026" w:leader="dot"/>
            </w:tabs>
            <w:rPr/>
          </w:pPr>
          <w:hyperlink w:anchor="__RefHeading___Toc2018866_1067777946">
            <w:r>
              <w:rPr>
                <w:webHidden/>
                <w:rStyle w:val="IndexLink"/>
                <w:rtl w:val="true"/>
              </w:rPr>
              <w:t>[</w:t>
            </w:r>
            <w:r>
              <w:rPr>
                <w:rStyle w:val="IndexLink"/>
                <w:rtl w:val="true"/>
              </w:rPr>
              <w:t>قلع شجرة الحرم</w:t>
            </w:r>
            <w:r>
              <w:rPr>
                <w:rStyle w:val="IndexLink"/>
                <w:rtl w:val="true"/>
              </w:rPr>
              <w:t>]</w:t>
              <w:tab/>
            </w:r>
            <w:r>
              <w:rPr>
                <w:rStyle w:val="IndexLink"/>
              </w:rPr>
              <w:t>368</w:t>
            </w:r>
          </w:hyperlink>
        </w:p>
        <w:p>
          <w:pPr>
            <w:pStyle w:val="Contents5"/>
            <w:tabs>
              <w:tab w:val="clear" w:pos="7892"/>
              <w:tab w:val="right" w:pos="9026" w:leader="dot"/>
            </w:tabs>
            <w:rPr/>
          </w:pPr>
          <w:hyperlink w:anchor="__RefHeading___Toc2018868_1067777946">
            <w:r>
              <w:rPr>
                <w:webHidden/>
                <w:rStyle w:val="IndexLink"/>
                <w:rtl w:val="true"/>
              </w:rPr>
              <w:t>[</w:t>
            </w:r>
            <w:r>
              <w:rPr>
                <w:rStyle w:val="IndexLink"/>
                <w:rtl w:val="true"/>
              </w:rPr>
              <w:t>خاتمة</w:t>
            </w:r>
            <w:r>
              <w:rPr>
                <w:rStyle w:val="IndexLink"/>
                <w:rtl w:val="true"/>
              </w:rPr>
              <w:t>]</w:t>
              <w:tab/>
            </w:r>
            <w:r>
              <w:rPr>
                <w:rStyle w:val="IndexLink"/>
              </w:rPr>
              <w:t>368</w:t>
            </w:r>
          </w:hyperlink>
        </w:p>
        <w:p>
          <w:pPr>
            <w:pStyle w:val="Contents2"/>
            <w:tabs>
              <w:tab w:val="clear" w:pos="8743"/>
              <w:tab w:val="right" w:pos="9026" w:leader="dot"/>
            </w:tabs>
            <w:rPr/>
          </w:pPr>
          <w:hyperlink w:anchor="__RefHeading___Toc2018870_1067777946">
            <w:r>
              <w:rPr>
                <w:webHidden/>
                <w:rStyle w:val="IndexLink"/>
                <w:rtl w:val="true"/>
              </w:rPr>
              <w:t>كتاب العمرة</w:t>
            </w:r>
            <w:r>
              <w:rPr>
                <w:rStyle w:val="IndexLink"/>
                <w:rtl w:val="true"/>
              </w:rPr>
              <w:tab/>
            </w:r>
            <w:r>
              <w:rPr>
                <w:rStyle w:val="IndexLink"/>
              </w:rPr>
              <w:t>369</w:t>
            </w:r>
          </w:hyperlink>
        </w:p>
        <w:p>
          <w:pPr>
            <w:pStyle w:val="Contents3"/>
            <w:tabs>
              <w:tab w:val="clear" w:pos="8459"/>
              <w:tab w:val="right" w:pos="9026" w:leader="dot"/>
            </w:tabs>
            <w:rPr/>
          </w:pPr>
          <w:hyperlink w:anchor="__RefHeading___Toc2018872_1067777946">
            <w:r>
              <w:rPr>
                <w:webHidden/>
                <w:rStyle w:val="IndexLink"/>
                <w:rtl w:val="true"/>
              </w:rPr>
              <w:t>[</w:t>
            </w:r>
            <w:r>
              <w:rPr>
                <w:rStyle w:val="IndexLink"/>
                <w:rtl w:val="true"/>
              </w:rPr>
              <w:t>صورتها</w:t>
            </w:r>
            <w:r>
              <w:rPr>
                <w:rStyle w:val="IndexLink"/>
                <w:rtl w:val="true"/>
              </w:rPr>
              <w:t>]</w:t>
              <w:tab/>
            </w:r>
            <w:r>
              <w:rPr>
                <w:rStyle w:val="IndexLink"/>
              </w:rPr>
              <w:t>369</w:t>
            </w:r>
          </w:hyperlink>
        </w:p>
        <w:p>
          <w:pPr>
            <w:pStyle w:val="Contents3"/>
            <w:tabs>
              <w:tab w:val="clear" w:pos="8459"/>
              <w:tab w:val="right" w:pos="9026" w:leader="dot"/>
            </w:tabs>
            <w:rPr/>
          </w:pPr>
          <w:hyperlink w:anchor="__RefHeading___Toc2018874_1067777946">
            <w:r>
              <w:rPr>
                <w:webHidden/>
                <w:rStyle w:val="IndexLink"/>
                <w:rtl w:val="true"/>
              </w:rPr>
              <w:t>[</w:t>
            </w:r>
            <w:r>
              <w:rPr>
                <w:rStyle w:val="IndexLink"/>
                <w:rtl w:val="true"/>
              </w:rPr>
              <w:t>أقسامها</w:t>
            </w:r>
            <w:r>
              <w:rPr>
                <w:rStyle w:val="IndexLink"/>
                <w:rtl w:val="true"/>
              </w:rPr>
              <w:t>]</w:t>
              <w:tab/>
            </w:r>
            <w:r>
              <w:rPr>
                <w:rStyle w:val="IndexLink"/>
              </w:rPr>
              <w:t>370</w:t>
            </w:r>
          </w:hyperlink>
        </w:p>
        <w:p>
          <w:pPr>
            <w:pStyle w:val="Contents2"/>
            <w:tabs>
              <w:tab w:val="clear" w:pos="8743"/>
              <w:tab w:val="right" w:pos="9026" w:leader="dot"/>
            </w:tabs>
            <w:rPr/>
          </w:pPr>
          <w:hyperlink w:anchor="__RefHeading___Toc2018876_1067777946">
            <w:r>
              <w:rPr>
                <w:webHidden/>
                <w:rStyle w:val="IndexLink"/>
                <w:rtl w:val="true"/>
              </w:rPr>
              <w:t>كتاب الجهاد</w:t>
            </w:r>
            <w:r>
              <w:rPr>
                <w:rStyle w:val="IndexLink"/>
                <w:rtl w:val="true"/>
              </w:rPr>
              <w:tab/>
            </w:r>
            <w:r>
              <w:rPr>
                <w:rStyle w:val="IndexLink"/>
              </w:rPr>
              <w:t>371</w:t>
            </w:r>
          </w:hyperlink>
        </w:p>
        <w:p>
          <w:pPr>
            <w:pStyle w:val="Contents3"/>
            <w:tabs>
              <w:tab w:val="clear" w:pos="8459"/>
              <w:tab w:val="right" w:pos="9026" w:leader="dot"/>
            </w:tabs>
            <w:rPr/>
          </w:pPr>
          <w:hyperlink w:anchor="__RefHeading___Toc2018878_1067777946">
            <w:r>
              <w:rPr>
                <w:webHidden/>
                <w:rStyle w:val="IndexLink"/>
                <w:rtl w:val="true"/>
              </w:rPr>
              <w:t>[</w:t>
            </w:r>
            <w:r>
              <w:rPr>
                <w:rStyle w:val="IndexLink"/>
                <w:rtl w:val="true"/>
              </w:rPr>
              <w:t>من يجب عليه الجهاد</w:t>
            </w:r>
            <w:r>
              <w:rPr>
                <w:rStyle w:val="IndexLink"/>
                <w:rtl w:val="true"/>
              </w:rPr>
              <w:t>]</w:t>
              <w:tab/>
            </w:r>
            <w:r>
              <w:rPr>
                <w:rStyle w:val="IndexLink"/>
              </w:rPr>
              <w:t>371</w:t>
            </w:r>
          </w:hyperlink>
        </w:p>
        <w:p>
          <w:pPr>
            <w:pStyle w:val="Contents4"/>
            <w:tabs>
              <w:tab w:val="clear" w:pos="8176"/>
              <w:tab w:val="right" w:pos="9026" w:leader="dot"/>
            </w:tabs>
            <w:rPr/>
          </w:pPr>
          <w:hyperlink w:anchor="__RefHeading___Toc2018880_1067777946">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2018882_1067777946">
            <w:r>
              <w:rPr>
                <w:webHidden/>
                <w:rStyle w:val="IndexLink"/>
                <w:rtl w:val="true"/>
              </w:rPr>
              <w:t>[</w:t>
            </w:r>
            <w:r>
              <w:rPr>
                <w:rStyle w:val="IndexLink"/>
                <w:rtl w:val="true"/>
              </w:rPr>
              <w:t>المرابطة</w:t>
            </w:r>
            <w:r>
              <w:rPr>
                <w:rStyle w:val="IndexLink"/>
                <w:rtl w:val="true"/>
              </w:rPr>
              <w:t>]</w:t>
              <w:tab/>
            </w:r>
            <w:r>
              <w:rPr>
                <w:rStyle w:val="IndexLink"/>
              </w:rPr>
              <w:t>373</w:t>
            </w:r>
          </w:hyperlink>
        </w:p>
        <w:p>
          <w:pPr>
            <w:pStyle w:val="Contents3"/>
            <w:tabs>
              <w:tab w:val="clear" w:pos="8459"/>
              <w:tab w:val="right" w:pos="9026" w:leader="dot"/>
            </w:tabs>
            <w:rPr/>
          </w:pPr>
          <w:hyperlink w:anchor="__RefHeading___Toc2018884_1067777946">
            <w:r>
              <w:rPr>
                <w:webHidden/>
                <w:rStyle w:val="IndexLink"/>
                <w:rtl w:val="true"/>
              </w:rPr>
              <w:t>[</w:t>
            </w:r>
            <w:r>
              <w:rPr>
                <w:rStyle w:val="IndexLink"/>
                <w:rtl w:val="true"/>
              </w:rPr>
              <w:t>من يجب جهاده</w:t>
            </w:r>
            <w:r>
              <w:rPr>
                <w:rStyle w:val="IndexLink"/>
                <w:rtl w:val="true"/>
              </w:rPr>
              <w:t>]</w:t>
              <w:tab/>
            </w:r>
            <w:r>
              <w:rPr>
                <w:rStyle w:val="IndexLink"/>
              </w:rPr>
              <w:t>373</w:t>
            </w:r>
          </w:hyperlink>
        </w:p>
        <w:p>
          <w:pPr>
            <w:pStyle w:val="Contents4"/>
            <w:tabs>
              <w:tab w:val="clear" w:pos="8176"/>
              <w:tab w:val="right" w:pos="9026" w:leader="dot"/>
            </w:tabs>
            <w:rPr/>
          </w:pPr>
          <w:hyperlink w:anchor="__RefHeading___Toc2018886_1067777946">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2018888_1067777946">
            <w:r>
              <w:rPr>
                <w:webHidden/>
                <w:rStyle w:val="IndexLink"/>
                <w:rtl w:val="true"/>
              </w:rPr>
              <w:t>[</w:t>
            </w:r>
            <w:r>
              <w:rPr>
                <w:rStyle w:val="IndexLink"/>
                <w:rtl w:val="true"/>
              </w:rPr>
              <w:t>كيفيّة قتال أهل الحرب</w:t>
            </w:r>
            <w:r>
              <w:rPr>
                <w:rStyle w:val="IndexLink"/>
                <w:rtl w:val="true"/>
              </w:rPr>
              <w:t>]</w:t>
              <w:tab/>
            </w:r>
            <w:r>
              <w:rPr>
                <w:rStyle w:val="IndexLink"/>
              </w:rPr>
              <w:t>374</w:t>
            </w:r>
          </w:hyperlink>
        </w:p>
        <w:p>
          <w:pPr>
            <w:pStyle w:val="Contents4"/>
            <w:tabs>
              <w:tab w:val="clear" w:pos="8176"/>
              <w:tab w:val="right" w:pos="9026" w:leader="dot"/>
            </w:tabs>
            <w:rPr/>
          </w:pPr>
          <w:hyperlink w:anchor="__RefHeading___Toc2018890_1067777946">
            <w:r>
              <w:rPr>
                <w:webHidden/>
                <w:rStyle w:val="IndexLink"/>
                <w:rtl w:val="true"/>
              </w:rPr>
              <w:t>[</w:t>
            </w:r>
            <w:r>
              <w:rPr>
                <w:rStyle w:val="IndexLink"/>
                <w:rtl w:val="true"/>
              </w:rPr>
              <w:t>الذمام</w:t>
            </w:r>
            <w:r>
              <w:rPr>
                <w:rStyle w:val="IndexLink"/>
                <w:rtl w:val="true"/>
              </w:rPr>
              <w:t>]</w:t>
              <w:tab/>
            </w:r>
            <w:r>
              <w:rPr>
                <w:rStyle w:val="IndexLink"/>
              </w:rPr>
              <w:t>375</w:t>
            </w:r>
          </w:hyperlink>
        </w:p>
        <w:p>
          <w:pPr>
            <w:pStyle w:val="Contents4"/>
            <w:tabs>
              <w:tab w:val="clear" w:pos="8176"/>
              <w:tab w:val="right" w:pos="9026" w:leader="dot"/>
            </w:tabs>
            <w:rPr/>
          </w:pPr>
          <w:hyperlink w:anchor="__RefHeading___Toc2018892_1067777946">
            <w:r>
              <w:rPr>
                <w:webHidden/>
                <w:rStyle w:val="IndexLink"/>
                <w:rtl w:val="true"/>
              </w:rPr>
              <w:t>[</w:t>
            </w:r>
            <w:r>
              <w:rPr>
                <w:rStyle w:val="IndexLink"/>
                <w:rtl w:val="true"/>
              </w:rPr>
              <w:t>خاتمة</w:t>
            </w:r>
            <w:r>
              <w:rPr>
                <w:rStyle w:val="IndexLink"/>
                <w:rtl w:val="true"/>
              </w:rPr>
              <w:t>]</w:t>
              <w:tab/>
            </w:r>
            <w:r>
              <w:rPr>
                <w:rStyle w:val="IndexLink"/>
              </w:rPr>
              <w:t>376</w:t>
            </w:r>
          </w:hyperlink>
        </w:p>
        <w:p>
          <w:pPr>
            <w:pStyle w:val="Contents4"/>
            <w:tabs>
              <w:tab w:val="clear" w:pos="8176"/>
              <w:tab w:val="right" w:pos="9026" w:leader="dot"/>
            </w:tabs>
            <w:rPr/>
          </w:pPr>
          <w:hyperlink w:anchor="__RefHeading___Toc2018894_1067777946">
            <w:r>
              <w:rPr>
                <w:webHidden/>
                <w:rStyle w:val="IndexLink"/>
                <w:rtl w:val="true"/>
              </w:rPr>
              <w:t>[</w:t>
            </w:r>
            <w:r>
              <w:rPr>
                <w:rStyle w:val="IndexLink"/>
                <w:rtl w:val="true"/>
              </w:rPr>
              <w:t>الأسارى</w:t>
            </w:r>
            <w:r>
              <w:rPr>
                <w:rStyle w:val="IndexLink"/>
                <w:rtl w:val="true"/>
              </w:rPr>
              <w:t>]</w:t>
              <w:tab/>
            </w:r>
            <w:r>
              <w:rPr>
                <w:rStyle w:val="IndexLink"/>
              </w:rPr>
              <w:t>376</w:t>
            </w:r>
          </w:hyperlink>
        </w:p>
        <w:p>
          <w:pPr>
            <w:pStyle w:val="Contents4"/>
            <w:tabs>
              <w:tab w:val="clear" w:pos="8176"/>
              <w:tab w:val="right" w:pos="9026" w:leader="dot"/>
            </w:tabs>
            <w:rPr/>
          </w:pPr>
          <w:hyperlink w:anchor="__RefHeading___Toc2018896_1067777946">
            <w:r>
              <w:rPr>
                <w:webHidden/>
                <w:rStyle w:val="IndexLink"/>
                <w:rtl w:val="true"/>
              </w:rPr>
              <w:t>[</w:t>
            </w:r>
            <w:r>
              <w:rPr>
                <w:rStyle w:val="IndexLink"/>
                <w:rtl w:val="true"/>
              </w:rPr>
              <w:t>أحكام الغنيمة</w:t>
            </w:r>
            <w:r>
              <w:rPr>
                <w:rStyle w:val="IndexLink"/>
                <w:rtl w:val="true"/>
              </w:rPr>
              <w:t>]</w:t>
              <w:tab/>
            </w:r>
            <w:r>
              <w:rPr>
                <w:rStyle w:val="IndexLink"/>
              </w:rPr>
              <w:t>377</w:t>
            </w:r>
          </w:hyperlink>
        </w:p>
        <w:p>
          <w:pPr>
            <w:pStyle w:val="Contents5"/>
            <w:tabs>
              <w:tab w:val="clear" w:pos="7892"/>
              <w:tab w:val="right" w:pos="9026" w:leader="dot"/>
            </w:tabs>
            <w:rPr/>
          </w:pPr>
          <w:hyperlink w:anchor="__RefHeading___Toc2018898_1067777946">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2018900_1067777946">
            <w:r>
              <w:rPr>
                <w:webHidden/>
                <w:rStyle w:val="IndexLink"/>
                <w:rtl w:val="true"/>
              </w:rPr>
              <w:t>[</w:t>
            </w:r>
            <w:r>
              <w:rPr>
                <w:rStyle w:val="IndexLink"/>
                <w:rtl w:val="true"/>
              </w:rPr>
              <w:t>أحكام الأرضين</w:t>
            </w:r>
            <w:r>
              <w:rPr>
                <w:rStyle w:val="IndexLink"/>
                <w:rtl w:val="true"/>
              </w:rPr>
              <w:t>]</w:t>
              <w:tab/>
            </w:r>
            <w:r>
              <w:rPr>
                <w:rStyle w:val="IndexLink"/>
              </w:rPr>
              <w:t>378</w:t>
            </w:r>
          </w:hyperlink>
        </w:p>
        <w:p>
          <w:pPr>
            <w:pStyle w:val="Contents5"/>
            <w:tabs>
              <w:tab w:val="clear" w:pos="7892"/>
              <w:tab w:val="right" w:pos="9026" w:leader="dot"/>
            </w:tabs>
            <w:rPr/>
          </w:pPr>
          <w:hyperlink w:anchor="__RefHeading___Toc2018902_1067777946">
            <w:r>
              <w:rPr>
                <w:webHidden/>
                <w:rStyle w:val="IndexLink"/>
                <w:rtl w:val="true"/>
              </w:rPr>
              <w:t>[</w:t>
            </w:r>
            <w:r>
              <w:rPr>
                <w:rStyle w:val="IndexLink"/>
                <w:rtl w:val="true"/>
              </w:rPr>
              <w:t>قسمة الغنيمة</w:t>
            </w:r>
            <w:r>
              <w:rPr>
                <w:rStyle w:val="IndexLink"/>
                <w:rtl w:val="true"/>
              </w:rPr>
              <w:t>]</w:t>
              <w:tab/>
            </w:r>
            <w:r>
              <w:rPr>
                <w:rStyle w:val="IndexLink"/>
              </w:rPr>
              <w:t>379</w:t>
            </w:r>
          </w:hyperlink>
        </w:p>
        <w:p>
          <w:pPr>
            <w:pStyle w:val="Contents4"/>
            <w:tabs>
              <w:tab w:val="clear" w:pos="8176"/>
              <w:tab w:val="right" w:pos="9026" w:leader="dot"/>
            </w:tabs>
            <w:rPr/>
          </w:pPr>
          <w:hyperlink w:anchor="__RefHeading___Toc2018904_1067777946">
            <w:r>
              <w:rPr>
                <w:webHidden/>
                <w:rStyle w:val="IndexLink"/>
                <w:rtl w:val="true"/>
              </w:rPr>
              <w:t>[</w:t>
            </w:r>
            <w:r>
              <w:rPr>
                <w:rStyle w:val="IndexLink"/>
                <w:rtl w:val="true"/>
              </w:rPr>
              <w:t>أحكام أهل الذمّة</w:t>
            </w:r>
            <w:r>
              <w:rPr>
                <w:rStyle w:val="IndexLink"/>
                <w:rtl w:val="true"/>
              </w:rPr>
              <w:t>]</w:t>
              <w:tab/>
            </w:r>
            <w:r>
              <w:rPr>
                <w:rStyle w:val="IndexLink"/>
              </w:rPr>
              <w:t>381</w:t>
            </w:r>
          </w:hyperlink>
        </w:p>
        <w:p>
          <w:pPr>
            <w:pStyle w:val="Contents5"/>
            <w:tabs>
              <w:tab w:val="clear" w:pos="7892"/>
              <w:tab w:val="right" w:pos="9026" w:leader="dot"/>
            </w:tabs>
            <w:rPr/>
          </w:pPr>
          <w:hyperlink w:anchor="__RefHeading___Toc2018906_1067777946">
            <w:r>
              <w:rPr>
                <w:webHidden/>
                <w:rStyle w:val="IndexLink"/>
                <w:rtl w:val="true"/>
              </w:rPr>
              <w:t>[</w:t>
            </w:r>
            <w:r>
              <w:rPr>
                <w:rStyle w:val="IndexLink"/>
                <w:rtl w:val="true"/>
              </w:rPr>
              <w:t>من تؤخذ منه الجزية</w:t>
            </w:r>
            <w:r>
              <w:rPr>
                <w:rStyle w:val="IndexLink"/>
                <w:rtl w:val="true"/>
              </w:rPr>
              <w:t>]</w:t>
              <w:tab/>
            </w:r>
            <w:r>
              <w:rPr>
                <w:rStyle w:val="IndexLink"/>
              </w:rPr>
              <w:t>381</w:t>
            </w:r>
          </w:hyperlink>
        </w:p>
        <w:p>
          <w:pPr>
            <w:pStyle w:val="Contents5"/>
            <w:tabs>
              <w:tab w:val="clear" w:pos="7892"/>
              <w:tab w:val="right" w:pos="9026" w:leader="dot"/>
            </w:tabs>
            <w:rPr/>
          </w:pPr>
          <w:hyperlink w:anchor="__RefHeading___Toc2018908_1067777946">
            <w:r>
              <w:rPr>
                <w:webHidden/>
                <w:rStyle w:val="IndexLink"/>
                <w:rtl w:val="true"/>
              </w:rPr>
              <w:t>[</w:t>
            </w:r>
            <w:r>
              <w:rPr>
                <w:rStyle w:val="IndexLink"/>
                <w:rtl w:val="true"/>
              </w:rPr>
              <w:t>كميّة الجزية</w:t>
            </w:r>
            <w:r>
              <w:rPr>
                <w:rStyle w:val="IndexLink"/>
                <w:rtl w:val="true"/>
              </w:rPr>
              <w:t>]</w:t>
              <w:tab/>
            </w:r>
            <w:r>
              <w:rPr>
                <w:rStyle w:val="IndexLink"/>
              </w:rPr>
              <w:t>382</w:t>
            </w:r>
          </w:hyperlink>
        </w:p>
        <w:p>
          <w:pPr>
            <w:pStyle w:val="Contents5"/>
            <w:tabs>
              <w:tab w:val="clear" w:pos="7892"/>
              <w:tab w:val="right" w:pos="9026" w:leader="dot"/>
            </w:tabs>
            <w:rPr/>
          </w:pPr>
          <w:hyperlink w:anchor="__RefHeading___Toc2018910_1067777946">
            <w:r>
              <w:rPr>
                <w:webHidden/>
                <w:rStyle w:val="IndexLink"/>
                <w:rtl w:val="true"/>
              </w:rPr>
              <w:t>[</w:t>
            </w:r>
            <w:r>
              <w:rPr>
                <w:rStyle w:val="IndexLink"/>
                <w:rtl w:val="true"/>
              </w:rPr>
              <w:t>شرائط الذمّة</w:t>
            </w:r>
            <w:r>
              <w:rPr>
                <w:rStyle w:val="IndexLink"/>
                <w:rtl w:val="true"/>
              </w:rPr>
              <w:t>]</w:t>
              <w:tab/>
            </w:r>
            <w:r>
              <w:rPr>
                <w:rStyle w:val="IndexLink"/>
              </w:rPr>
              <w:t>383</w:t>
            </w:r>
          </w:hyperlink>
        </w:p>
        <w:p>
          <w:pPr>
            <w:pStyle w:val="Contents4"/>
            <w:tabs>
              <w:tab w:val="clear" w:pos="8176"/>
              <w:tab w:val="right" w:pos="9026" w:leader="dot"/>
            </w:tabs>
            <w:rPr/>
          </w:pPr>
          <w:hyperlink w:anchor="__RefHeading___Toc2018912_1067777946">
            <w:r>
              <w:rPr>
                <w:webHidden/>
                <w:rStyle w:val="IndexLink"/>
                <w:rtl w:val="true"/>
              </w:rPr>
              <w:t>[</w:t>
            </w:r>
            <w:r>
              <w:rPr>
                <w:rStyle w:val="IndexLink"/>
                <w:rtl w:val="true"/>
              </w:rPr>
              <w:t>حكم الأبنية</w:t>
            </w:r>
            <w:r>
              <w:rPr>
                <w:rStyle w:val="IndexLink"/>
                <w:rtl w:val="true"/>
              </w:rPr>
              <w:t>]</w:t>
              <w:tab/>
            </w:r>
            <w:r>
              <w:rPr>
                <w:rStyle w:val="IndexLink"/>
              </w:rPr>
              <w:t>383</w:t>
            </w:r>
          </w:hyperlink>
        </w:p>
        <w:p>
          <w:pPr>
            <w:pStyle w:val="Contents4"/>
            <w:tabs>
              <w:tab w:val="clear" w:pos="8176"/>
              <w:tab w:val="right" w:pos="9026" w:leader="dot"/>
            </w:tabs>
            <w:rPr/>
          </w:pPr>
          <w:hyperlink w:anchor="__RefHeading___Toc2018914_1067777946">
            <w:r>
              <w:rPr>
                <w:webHidden/>
                <w:rStyle w:val="IndexLink"/>
                <w:rtl w:val="true"/>
              </w:rPr>
              <w:t>[</w:t>
            </w:r>
            <w:r>
              <w:rPr>
                <w:rStyle w:val="IndexLink"/>
                <w:rtl w:val="true"/>
              </w:rPr>
              <w:t>المهادنة</w:t>
            </w:r>
            <w:r>
              <w:rPr>
                <w:rStyle w:val="IndexLink"/>
                <w:rtl w:val="true"/>
              </w:rPr>
              <w:t>]</w:t>
              <w:tab/>
            </w:r>
            <w:r>
              <w:rPr>
                <w:rStyle w:val="IndexLink"/>
              </w:rPr>
              <w:t>385</w:t>
            </w:r>
          </w:hyperlink>
        </w:p>
        <w:p>
          <w:pPr>
            <w:pStyle w:val="Contents4"/>
            <w:tabs>
              <w:tab w:val="clear" w:pos="8176"/>
              <w:tab w:val="right" w:pos="9026" w:leader="dot"/>
            </w:tabs>
            <w:rPr/>
          </w:pPr>
          <w:hyperlink w:anchor="__RefHeading___Toc2018916_1067777946">
            <w:r>
              <w:rPr>
                <w:webHidden/>
                <w:rStyle w:val="IndexLink"/>
                <w:rtl w:val="true"/>
              </w:rPr>
              <w:t>[</w:t>
            </w:r>
            <w:r>
              <w:rPr>
                <w:rStyle w:val="IndexLink"/>
                <w:rtl w:val="true"/>
              </w:rPr>
              <w:t>قتال أهل البغي</w:t>
            </w:r>
            <w:r>
              <w:rPr>
                <w:rStyle w:val="IndexLink"/>
                <w:rtl w:val="true"/>
              </w:rPr>
              <w:t>]</w:t>
              <w:tab/>
            </w:r>
            <w:r>
              <w:rPr>
                <w:rStyle w:val="IndexLink"/>
              </w:rPr>
              <w:t>386</w:t>
            </w:r>
          </w:hyperlink>
        </w:p>
        <w:p>
          <w:pPr>
            <w:pStyle w:val="Contents2"/>
            <w:tabs>
              <w:tab w:val="clear" w:pos="8743"/>
              <w:tab w:val="right" w:pos="9026" w:leader="dot"/>
            </w:tabs>
            <w:rPr/>
          </w:pPr>
          <w:hyperlink w:anchor="__RefHeading___Toc2018918_1067777946">
            <w:r>
              <w:rPr>
                <w:webHidden/>
                <w:rStyle w:val="IndexLink"/>
                <w:rtl w:val="true"/>
              </w:rPr>
              <w:t>كتاب الأمر بالمعروف والنهي عن المنكر</w:t>
            </w:r>
            <w:r>
              <w:rPr>
                <w:rStyle w:val="IndexLink"/>
                <w:rtl w:val="true"/>
              </w:rPr>
              <w:tab/>
            </w:r>
            <w:r>
              <w:rPr>
                <w:rStyle w:val="IndexLink"/>
              </w:rPr>
              <w:t>389</w:t>
            </w:r>
          </w:hyperlink>
        </w:p>
        <w:p>
          <w:pPr>
            <w:pStyle w:val="Contents3"/>
            <w:tabs>
              <w:tab w:val="clear" w:pos="8459"/>
              <w:tab w:val="right" w:pos="9026" w:leader="dot"/>
            </w:tabs>
            <w:rPr/>
          </w:pPr>
          <w:hyperlink w:anchor="__RefHeading___Toc2018920_1067777946">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2018922_1067777946">
            <w:r>
              <w:rPr>
                <w:webHidden/>
                <w:rStyle w:val="IndexLink"/>
                <w:rtl w:val="true"/>
              </w:rPr>
              <w:t>[</w:t>
            </w:r>
            <w:r>
              <w:rPr>
                <w:rStyle w:val="IndexLink"/>
                <w:rtl w:val="true"/>
              </w:rPr>
              <w:t>شروط النهي عن المنكر</w:t>
            </w:r>
            <w:r>
              <w:rPr>
                <w:rStyle w:val="IndexLink"/>
                <w:rtl w:val="true"/>
              </w:rPr>
              <w:t>]</w:t>
              <w:tab/>
            </w:r>
            <w:r>
              <w:rPr>
                <w:rStyle w:val="IndexLink"/>
              </w:rPr>
              <w:t>390</w:t>
            </w:r>
          </w:hyperlink>
        </w:p>
        <w:p>
          <w:pPr>
            <w:pStyle w:val="Contents3"/>
            <w:tabs>
              <w:tab w:val="clear" w:pos="8459"/>
              <w:tab w:val="right" w:pos="9026" w:leader="dot"/>
            </w:tabs>
            <w:rPr/>
          </w:pPr>
          <w:hyperlink w:anchor="__RefHeading___Toc2018924_1067777946">
            <w:r>
              <w:rPr>
                <w:webHidden/>
                <w:rStyle w:val="IndexLink"/>
                <w:rtl w:val="true"/>
              </w:rPr>
              <w:t>[</w:t>
            </w:r>
            <w:r>
              <w:rPr>
                <w:rStyle w:val="IndexLink"/>
                <w:rtl w:val="true"/>
              </w:rPr>
              <w:t>مراتب الإنكار</w:t>
            </w:r>
            <w:r>
              <w:rPr>
                <w:rStyle w:val="IndexLink"/>
                <w:rtl w:val="true"/>
              </w:rPr>
              <w:t>]</w:t>
              <w:tab/>
            </w:r>
            <w:r>
              <w:rPr>
                <w:rStyle w:val="IndexLink"/>
              </w:rPr>
              <w:t>391</w:t>
            </w:r>
          </w:hyperlink>
        </w:p>
        <w:p>
          <w:pPr>
            <w:pStyle w:val="Contents3"/>
            <w:tabs>
              <w:tab w:val="clear" w:pos="8459"/>
              <w:tab w:val="right" w:pos="9026" w:leader="dot"/>
            </w:tabs>
            <w:rPr/>
          </w:pPr>
          <w:hyperlink w:anchor="__RefHeading___Toc2018926_1067777946">
            <w:r>
              <w:rPr>
                <w:webHidden/>
                <w:rStyle w:val="IndexLink"/>
                <w:rtl w:val="true"/>
              </w:rPr>
              <w:t>[</w:t>
            </w:r>
            <w:r>
              <w:rPr>
                <w:rStyle w:val="IndexLink"/>
                <w:rtl w:val="true"/>
              </w:rPr>
              <w:t>المقيم للحدّ</w:t>
            </w:r>
            <w:r>
              <w:rPr>
                <w:rStyle w:val="IndexLink"/>
                <w:rtl w:val="true"/>
              </w:rPr>
              <w:t>]</w:t>
              <w:tab/>
            </w:r>
            <w:r>
              <w:rPr>
                <w:rStyle w:val="IndexLink"/>
              </w:rPr>
              <w:t>392</w:t>
            </w:r>
          </w:hyperlink>
        </w:p>
        <w:p>
          <w:pPr>
            <w:pStyle w:val="Contents2"/>
            <w:tabs>
              <w:tab w:val="clear" w:pos="8743"/>
              <w:tab w:val="right" w:pos="9026" w:leader="dot"/>
            </w:tabs>
            <w:rPr/>
          </w:pPr>
          <w:hyperlink w:anchor="__RefHeading___Toc2018928_1067777946">
            <w:r>
              <w:rPr>
                <w:webHidden/>
                <w:rStyle w:val="IndexLink"/>
                <w:rtl w:val="true"/>
              </w:rPr>
              <w:t>كتاب التجارة</w:t>
            </w:r>
            <w:r>
              <w:rPr>
                <w:rStyle w:val="IndexLink"/>
                <w:rtl w:val="true"/>
              </w:rPr>
              <w:tab/>
            </w:r>
            <w:r>
              <w:rPr>
                <w:rStyle w:val="IndexLink"/>
              </w:rPr>
              <w:t>393</w:t>
            </w:r>
          </w:hyperlink>
        </w:p>
        <w:p>
          <w:pPr>
            <w:pStyle w:val="Contents3"/>
            <w:tabs>
              <w:tab w:val="clear" w:pos="8459"/>
              <w:tab w:val="right" w:pos="9026" w:leader="dot"/>
            </w:tabs>
            <w:rPr/>
          </w:pPr>
          <w:hyperlink w:anchor="__RefHeading___Toc2018930_1067777946">
            <w:r>
              <w:rPr>
                <w:webHidden/>
                <w:rStyle w:val="IndexLink"/>
                <w:rtl w:val="true"/>
              </w:rPr>
              <w:t>[</w:t>
            </w:r>
            <w:r>
              <w:rPr>
                <w:rStyle w:val="IndexLink"/>
                <w:rtl w:val="true"/>
              </w:rPr>
              <w:t>الفصل الأوّل فيما يكتسب به</w:t>
            </w:r>
            <w:r>
              <w:rPr>
                <w:rStyle w:val="IndexLink"/>
                <w:rtl w:val="true"/>
              </w:rPr>
              <w:t>]</w:t>
              <w:tab/>
            </w:r>
            <w:r>
              <w:rPr>
                <w:rStyle w:val="IndexLink"/>
              </w:rPr>
              <w:t>393</w:t>
            </w:r>
          </w:hyperlink>
        </w:p>
        <w:p>
          <w:pPr>
            <w:pStyle w:val="Contents4"/>
            <w:tabs>
              <w:tab w:val="clear" w:pos="8176"/>
              <w:tab w:val="right" w:pos="9026" w:leader="dot"/>
            </w:tabs>
            <w:rPr/>
          </w:pPr>
          <w:hyperlink w:anchor="__RefHeading___Toc2018932_1067777946">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2018934_1067777946">
            <w:r>
              <w:rPr>
                <w:webHidden/>
                <w:rStyle w:val="IndexLink"/>
                <w:rtl w:val="true"/>
              </w:rPr>
              <w:t>[</w:t>
            </w:r>
            <w:r>
              <w:rPr>
                <w:rStyle w:val="IndexLink"/>
                <w:rtl w:val="true"/>
              </w:rPr>
              <w:t>مسائل</w:t>
            </w:r>
            <w:r>
              <w:rPr>
                <w:rStyle w:val="IndexLink"/>
                <w:rtl w:val="true"/>
              </w:rPr>
              <w:t>:]</w:t>
              <w:tab/>
            </w:r>
            <w:r>
              <w:rPr>
                <w:rStyle w:val="IndexLink"/>
              </w:rPr>
              <w:t>396</w:t>
            </w:r>
          </w:hyperlink>
        </w:p>
        <w:p>
          <w:pPr>
            <w:pStyle w:val="Contents3"/>
            <w:tabs>
              <w:tab w:val="clear" w:pos="8459"/>
              <w:tab w:val="right" w:pos="9026" w:leader="dot"/>
            </w:tabs>
            <w:rPr/>
          </w:pPr>
          <w:hyperlink w:anchor="__RefHeading___Toc2018936_1067777946">
            <w:r>
              <w:rPr>
                <w:webHidden/>
                <w:rStyle w:val="IndexLink"/>
                <w:rtl w:val="true"/>
              </w:rPr>
              <w:t>[</w:t>
            </w:r>
            <w:r>
              <w:rPr>
                <w:rStyle w:val="IndexLink"/>
                <w:rtl w:val="true"/>
              </w:rPr>
              <w:t>الفصل الثاني في عقد البيع</w:t>
            </w:r>
            <w:r>
              <w:rPr>
                <w:rStyle w:val="IndexLink"/>
                <w:rtl w:val="true"/>
              </w:rPr>
              <w:t>]</w:t>
              <w:tab/>
            </w:r>
            <w:r>
              <w:rPr>
                <w:rStyle w:val="IndexLink"/>
              </w:rPr>
              <w:t>398</w:t>
            </w:r>
          </w:hyperlink>
        </w:p>
        <w:p>
          <w:pPr>
            <w:pStyle w:val="Contents4"/>
            <w:tabs>
              <w:tab w:val="clear" w:pos="8176"/>
              <w:tab w:val="right" w:pos="9026" w:leader="dot"/>
            </w:tabs>
            <w:rPr/>
          </w:pPr>
          <w:hyperlink w:anchor="__RefHeading___Toc2018938_1067777946">
            <w:r>
              <w:rPr>
                <w:webHidden/>
                <w:rStyle w:val="IndexLink"/>
                <w:rtl w:val="true"/>
              </w:rPr>
              <w:t>[</w:t>
            </w:r>
            <w:r>
              <w:rPr>
                <w:rStyle w:val="IndexLink"/>
                <w:rtl w:val="true"/>
              </w:rPr>
              <w:t>العقد</w:t>
            </w:r>
            <w:r>
              <w:rPr>
                <w:rStyle w:val="IndexLink"/>
                <w:rtl w:val="true"/>
              </w:rPr>
              <w:t>]</w:t>
              <w:tab/>
            </w:r>
            <w:r>
              <w:rPr>
                <w:rStyle w:val="IndexLink"/>
              </w:rPr>
              <w:t>398</w:t>
            </w:r>
          </w:hyperlink>
        </w:p>
        <w:p>
          <w:pPr>
            <w:pStyle w:val="Contents4"/>
            <w:tabs>
              <w:tab w:val="clear" w:pos="8176"/>
              <w:tab w:val="right" w:pos="9026" w:leader="dot"/>
            </w:tabs>
            <w:rPr/>
          </w:pPr>
          <w:hyperlink w:anchor="__RefHeading___Toc2018940_1067777946">
            <w:r>
              <w:rPr>
                <w:webHidden/>
                <w:rStyle w:val="IndexLink"/>
                <w:rtl w:val="true"/>
              </w:rPr>
              <w:t>[</w:t>
            </w:r>
            <w:r>
              <w:rPr>
                <w:rStyle w:val="IndexLink"/>
                <w:rtl w:val="true"/>
              </w:rPr>
              <w:t>ما يتعلّق بالمتعاقدين</w:t>
            </w:r>
            <w:r>
              <w:rPr>
                <w:rStyle w:val="IndexLink"/>
                <w:rtl w:val="true"/>
              </w:rPr>
              <w:t>]</w:t>
              <w:tab/>
            </w:r>
            <w:r>
              <w:rPr>
                <w:rStyle w:val="IndexLink"/>
              </w:rPr>
              <w:t>399</w:t>
            </w:r>
          </w:hyperlink>
        </w:p>
        <w:p>
          <w:pPr>
            <w:pStyle w:val="Contents4"/>
            <w:tabs>
              <w:tab w:val="clear" w:pos="8176"/>
              <w:tab w:val="right" w:pos="9026" w:leader="dot"/>
            </w:tabs>
            <w:rPr/>
          </w:pPr>
          <w:hyperlink w:anchor="__RefHeading___Toc2018942_1067777946">
            <w:r>
              <w:rPr>
                <w:webHidden/>
                <w:rStyle w:val="IndexLink"/>
                <w:rtl w:val="true"/>
              </w:rPr>
              <w:t>[</w:t>
            </w:r>
            <w:r>
              <w:rPr>
                <w:rStyle w:val="IndexLink"/>
                <w:rtl w:val="true"/>
              </w:rPr>
              <w:t>ما يتعلّق بالمبيع</w:t>
            </w:r>
            <w:r>
              <w:rPr>
                <w:rStyle w:val="IndexLink"/>
                <w:rtl w:val="true"/>
              </w:rPr>
              <w:t>]</w:t>
              <w:tab/>
            </w:r>
            <w:r>
              <w:rPr>
                <w:rStyle w:val="IndexLink"/>
              </w:rPr>
              <w:t>401</w:t>
            </w:r>
          </w:hyperlink>
        </w:p>
        <w:p>
          <w:pPr>
            <w:pStyle w:val="Contents5"/>
            <w:tabs>
              <w:tab w:val="clear" w:pos="7892"/>
              <w:tab w:val="right" w:pos="9026" w:leader="dot"/>
            </w:tabs>
            <w:rPr/>
          </w:pPr>
          <w:hyperlink w:anchor="__RefHeading___Toc2018944_1067777946">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2018946_1067777946">
            <w:r>
              <w:rPr>
                <w:webHidden/>
                <w:rStyle w:val="IndexLink"/>
                <w:rtl w:val="true"/>
              </w:rPr>
              <w:t>[</w:t>
            </w:r>
            <w:r>
              <w:rPr>
                <w:rStyle w:val="IndexLink"/>
                <w:rtl w:val="true"/>
              </w:rPr>
              <w:t>مسألتان</w:t>
            </w:r>
            <w:r>
              <w:rPr>
                <w:rStyle w:val="IndexLink"/>
                <w:rtl w:val="true"/>
              </w:rPr>
              <w:t>:]</w:t>
              <w:tab/>
            </w:r>
            <w:r>
              <w:rPr>
                <w:rStyle w:val="IndexLink"/>
              </w:rPr>
              <w:t>404</w:t>
            </w:r>
          </w:hyperlink>
        </w:p>
        <w:p>
          <w:pPr>
            <w:pStyle w:val="Contents4"/>
            <w:tabs>
              <w:tab w:val="clear" w:pos="8176"/>
              <w:tab w:val="right" w:pos="9026" w:leader="dot"/>
            </w:tabs>
            <w:rPr/>
          </w:pPr>
          <w:hyperlink w:anchor="__RefHeading___Toc2018948_1067777946">
            <w:r>
              <w:rPr>
                <w:webHidden/>
                <w:rStyle w:val="IndexLink"/>
                <w:rtl w:val="true"/>
              </w:rPr>
              <w:t>[</w:t>
            </w:r>
            <w:r>
              <w:rPr>
                <w:rStyle w:val="IndexLink"/>
                <w:rtl w:val="true"/>
              </w:rPr>
              <w:t>آداب التجارة</w:t>
            </w:r>
            <w:r>
              <w:rPr>
                <w:rStyle w:val="IndexLink"/>
                <w:rtl w:val="true"/>
              </w:rPr>
              <w:t>]</w:t>
              <w:tab/>
            </w:r>
            <w:r>
              <w:rPr>
                <w:rStyle w:val="IndexLink"/>
              </w:rPr>
              <w:t>404</w:t>
            </w:r>
          </w:hyperlink>
        </w:p>
        <w:p>
          <w:pPr>
            <w:pStyle w:val="Contents3"/>
            <w:tabs>
              <w:tab w:val="clear" w:pos="8459"/>
              <w:tab w:val="right" w:pos="9026" w:leader="dot"/>
            </w:tabs>
            <w:rPr/>
          </w:pPr>
          <w:hyperlink w:anchor="__RefHeading___Toc2018950_1067777946">
            <w:r>
              <w:rPr>
                <w:webHidden/>
                <w:rStyle w:val="IndexLink"/>
                <w:rtl w:val="true"/>
              </w:rPr>
              <w:t>[</w:t>
            </w:r>
            <w:r>
              <w:rPr>
                <w:rStyle w:val="IndexLink"/>
                <w:rtl w:val="true"/>
              </w:rPr>
              <w:t>الفصل الثالث في الخيار</w:t>
            </w:r>
            <w:r>
              <w:rPr>
                <w:rStyle w:val="IndexLink"/>
                <w:rtl w:val="true"/>
              </w:rPr>
              <w:t>]</w:t>
              <w:tab/>
            </w:r>
            <w:r>
              <w:rPr>
                <w:rStyle w:val="IndexLink"/>
              </w:rPr>
              <w:t>406</w:t>
            </w:r>
          </w:hyperlink>
        </w:p>
        <w:p>
          <w:pPr>
            <w:pStyle w:val="Contents4"/>
            <w:tabs>
              <w:tab w:val="clear" w:pos="8176"/>
              <w:tab w:val="right" w:pos="9026" w:leader="dot"/>
            </w:tabs>
            <w:rPr/>
          </w:pPr>
          <w:hyperlink w:anchor="__RefHeading___Toc2018952_1067777946">
            <w:r>
              <w:rPr>
                <w:webHidden/>
                <w:rStyle w:val="IndexLink"/>
                <w:rtl w:val="true"/>
              </w:rPr>
              <w:t>[</w:t>
            </w:r>
            <w:r>
              <w:rPr>
                <w:rStyle w:val="IndexLink"/>
                <w:rtl w:val="true"/>
              </w:rPr>
              <w:t>خيار المجلس</w:t>
            </w:r>
            <w:r>
              <w:rPr>
                <w:rStyle w:val="IndexLink"/>
                <w:rtl w:val="true"/>
              </w:rPr>
              <w:t>]</w:t>
              <w:tab/>
            </w:r>
            <w:r>
              <w:rPr>
                <w:rStyle w:val="IndexLink"/>
              </w:rPr>
              <w:t>406</w:t>
            </w:r>
          </w:hyperlink>
        </w:p>
        <w:p>
          <w:pPr>
            <w:pStyle w:val="Contents4"/>
            <w:tabs>
              <w:tab w:val="clear" w:pos="8176"/>
              <w:tab w:val="right" w:pos="9026" w:leader="dot"/>
            </w:tabs>
            <w:rPr/>
          </w:pPr>
          <w:hyperlink w:anchor="__RefHeading___Toc2018954_1067777946">
            <w:r>
              <w:rPr>
                <w:webHidden/>
                <w:rStyle w:val="IndexLink"/>
                <w:rtl w:val="true"/>
              </w:rPr>
              <w:t>[</w:t>
            </w:r>
            <w:r>
              <w:rPr>
                <w:rStyle w:val="IndexLink"/>
                <w:rtl w:val="true"/>
              </w:rPr>
              <w:t>خيار الحيوان</w:t>
            </w:r>
            <w:r>
              <w:rPr>
                <w:rStyle w:val="IndexLink"/>
                <w:rtl w:val="true"/>
              </w:rPr>
              <w:t>]</w:t>
              <w:tab/>
            </w:r>
            <w:r>
              <w:rPr>
                <w:rStyle w:val="IndexLink"/>
              </w:rPr>
              <w:t>407</w:t>
            </w:r>
          </w:hyperlink>
        </w:p>
        <w:p>
          <w:pPr>
            <w:pStyle w:val="Contents4"/>
            <w:tabs>
              <w:tab w:val="clear" w:pos="8176"/>
              <w:tab w:val="right" w:pos="9026" w:leader="dot"/>
            </w:tabs>
            <w:rPr/>
          </w:pPr>
          <w:hyperlink w:anchor="__RefHeading___Toc2018956_1067777946">
            <w:r>
              <w:rPr>
                <w:webHidden/>
                <w:rStyle w:val="IndexLink"/>
                <w:rtl w:val="true"/>
              </w:rPr>
              <w:t>[</w:t>
            </w:r>
            <w:r>
              <w:rPr>
                <w:rStyle w:val="IndexLink"/>
                <w:rtl w:val="true"/>
              </w:rPr>
              <w:t>خيار الشرط</w:t>
            </w:r>
            <w:r>
              <w:rPr>
                <w:rStyle w:val="IndexLink"/>
                <w:rtl w:val="true"/>
              </w:rPr>
              <w:t>]</w:t>
              <w:tab/>
            </w:r>
            <w:r>
              <w:rPr>
                <w:rStyle w:val="IndexLink"/>
              </w:rPr>
              <w:t>408</w:t>
            </w:r>
          </w:hyperlink>
        </w:p>
        <w:p>
          <w:pPr>
            <w:pStyle w:val="Contents4"/>
            <w:tabs>
              <w:tab w:val="clear" w:pos="8176"/>
              <w:tab w:val="right" w:pos="9026" w:leader="dot"/>
            </w:tabs>
            <w:rPr/>
          </w:pPr>
          <w:hyperlink w:anchor="__RefHeading___Toc2018958_1067777946">
            <w:r>
              <w:rPr>
                <w:webHidden/>
                <w:rStyle w:val="IndexLink"/>
                <w:rtl w:val="true"/>
              </w:rPr>
              <w:t>[</w:t>
            </w:r>
            <w:r>
              <w:rPr>
                <w:rStyle w:val="IndexLink"/>
                <w:rtl w:val="true"/>
              </w:rPr>
              <w:t>خيار الغبن</w:t>
            </w:r>
            <w:r>
              <w:rPr>
                <w:rStyle w:val="IndexLink"/>
                <w:rtl w:val="true"/>
              </w:rPr>
              <w:t>]</w:t>
              <w:tab/>
            </w:r>
            <w:r>
              <w:rPr>
                <w:rStyle w:val="IndexLink"/>
              </w:rPr>
              <w:t>408</w:t>
            </w:r>
          </w:hyperlink>
        </w:p>
        <w:p>
          <w:pPr>
            <w:pStyle w:val="Contents4"/>
            <w:tabs>
              <w:tab w:val="clear" w:pos="8176"/>
              <w:tab w:val="right" w:pos="9026" w:leader="dot"/>
            </w:tabs>
            <w:rPr/>
          </w:pPr>
          <w:hyperlink w:anchor="__RefHeading___Toc2018960_1067777946">
            <w:r>
              <w:rPr>
                <w:webHidden/>
                <w:rStyle w:val="IndexLink"/>
                <w:rtl w:val="true"/>
              </w:rPr>
              <w:t>[</w:t>
            </w:r>
            <w:r>
              <w:rPr>
                <w:rStyle w:val="IndexLink"/>
                <w:rtl w:val="true"/>
              </w:rPr>
              <w:t>خيار التأخير</w:t>
            </w:r>
            <w:r>
              <w:rPr>
                <w:rStyle w:val="IndexLink"/>
                <w:rtl w:val="true"/>
              </w:rPr>
              <w:t>]</w:t>
              <w:tab/>
            </w:r>
            <w:r>
              <w:rPr>
                <w:rStyle w:val="IndexLink"/>
              </w:rPr>
              <w:t>409</w:t>
            </w:r>
          </w:hyperlink>
        </w:p>
        <w:p>
          <w:pPr>
            <w:pStyle w:val="Contents4"/>
            <w:tabs>
              <w:tab w:val="clear" w:pos="8176"/>
              <w:tab w:val="right" w:pos="9026" w:leader="dot"/>
            </w:tabs>
            <w:rPr/>
          </w:pPr>
          <w:hyperlink w:anchor="__RefHeading___Toc2018962_1067777946">
            <w:r>
              <w:rPr>
                <w:webHidden/>
                <w:rStyle w:val="IndexLink"/>
                <w:rtl w:val="true"/>
              </w:rPr>
              <w:t>[</w:t>
            </w:r>
            <w:r>
              <w:rPr>
                <w:rStyle w:val="IndexLink"/>
                <w:rtl w:val="true"/>
              </w:rPr>
              <w:t>أحكام الخيار</w:t>
            </w:r>
            <w:r>
              <w:rPr>
                <w:rStyle w:val="IndexLink"/>
                <w:rtl w:val="true"/>
              </w:rPr>
              <w:t>]</w:t>
              <w:tab/>
            </w:r>
            <w:r>
              <w:rPr>
                <w:rStyle w:val="IndexLink"/>
              </w:rPr>
              <w:t>410</w:t>
            </w:r>
          </w:hyperlink>
        </w:p>
        <w:p>
          <w:pPr>
            <w:pStyle w:val="Contents4"/>
            <w:tabs>
              <w:tab w:val="clear" w:pos="8176"/>
              <w:tab w:val="right" w:pos="9026" w:leader="dot"/>
            </w:tabs>
            <w:rPr/>
          </w:pPr>
          <w:hyperlink w:anchor="__RefHeading___Toc2018964_1067777946">
            <w:r>
              <w:rPr>
                <w:webHidden/>
                <w:rStyle w:val="IndexLink"/>
                <w:rtl w:val="true"/>
              </w:rPr>
              <w:t>[</w:t>
            </w:r>
            <w:r>
              <w:rPr>
                <w:rStyle w:val="IndexLink"/>
                <w:rtl w:val="true"/>
              </w:rPr>
              <w:t>خيار الرؤية</w:t>
            </w:r>
            <w:r>
              <w:rPr>
                <w:rStyle w:val="IndexLink"/>
                <w:rtl w:val="true"/>
              </w:rPr>
              <w:t>]</w:t>
              <w:tab/>
            </w:r>
            <w:r>
              <w:rPr>
                <w:rStyle w:val="IndexLink"/>
              </w:rPr>
              <w:t>412</w:t>
            </w:r>
          </w:hyperlink>
        </w:p>
        <w:p>
          <w:pPr>
            <w:pStyle w:val="Contents3"/>
            <w:tabs>
              <w:tab w:val="clear" w:pos="8459"/>
              <w:tab w:val="right" w:pos="9026" w:leader="dot"/>
            </w:tabs>
            <w:rPr/>
          </w:pPr>
          <w:hyperlink w:anchor="__RefHeading___Toc2018966_1067777946">
            <w:r>
              <w:rPr>
                <w:webHidden/>
                <w:rStyle w:val="IndexLink"/>
                <w:rtl w:val="true"/>
              </w:rPr>
              <w:t>[</w:t>
            </w:r>
            <w:r>
              <w:rPr>
                <w:rStyle w:val="IndexLink"/>
                <w:rtl w:val="true"/>
              </w:rPr>
              <w:t>الفصل الرابع في أحكام العقود</w:t>
            </w:r>
            <w:r>
              <w:rPr>
                <w:rStyle w:val="IndexLink"/>
                <w:rtl w:val="true"/>
              </w:rPr>
              <w:t>]</w:t>
              <w:tab/>
            </w:r>
            <w:r>
              <w:rPr>
                <w:rStyle w:val="IndexLink"/>
              </w:rPr>
              <w:t>413</w:t>
            </w:r>
          </w:hyperlink>
        </w:p>
        <w:p>
          <w:pPr>
            <w:pStyle w:val="Contents4"/>
            <w:tabs>
              <w:tab w:val="clear" w:pos="8176"/>
              <w:tab w:val="right" w:pos="9026" w:leader="dot"/>
            </w:tabs>
            <w:rPr/>
          </w:pPr>
          <w:hyperlink w:anchor="__RefHeading___Toc2018968_1067777946">
            <w:r>
              <w:rPr>
                <w:webHidden/>
                <w:rStyle w:val="IndexLink"/>
                <w:rtl w:val="true"/>
              </w:rPr>
              <w:t>[</w:t>
            </w:r>
            <w:r>
              <w:rPr>
                <w:rStyle w:val="IndexLink"/>
                <w:rtl w:val="true"/>
              </w:rPr>
              <w:t>النقد والنسيئة</w:t>
            </w:r>
            <w:r>
              <w:rPr>
                <w:rStyle w:val="IndexLink"/>
                <w:rtl w:val="true"/>
              </w:rPr>
              <w:t>]</w:t>
              <w:tab/>
            </w:r>
            <w:r>
              <w:rPr>
                <w:rStyle w:val="IndexLink"/>
              </w:rPr>
              <w:t>413</w:t>
            </w:r>
          </w:hyperlink>
        </w:p>
        <w:p>
          <w:pPr>
            <w:pStyle w:val="Contents4"/>
            <w:tabs>
              <w:tab w:val="clear" w:pos="8176"/>
              <w:tab w:val="right" w:pos="9026" w:leader="dot"/>
            </w:tabs>
            <w:rPr/>
          </w:pPr>
          <w:hyperlink w:anchor="__RefHeading___Toc2018970_1067777946">
            <w:r>
              <w:rPr>
                <w:webHidden/>
                <w:rStyle w:val="IndexLink"/>
                <w:rtl w:val="true"/>
              </w:rPr>
              <w:t>[</w:t>
            </w:r>
            <w:r>
              <w:rPr>
                <w:rStyle w:val="IndexLink"/>
                <w:rtl w:val="true"/>
              </w:rPr>
              <w:t>ما يدخل في المبيع</w:t>
            </w:r>
            <w:r>
              <w:rPr>
                <w:rStyle w:val="IndexLink"/>
                <w:rtl w:val="true"/>
              </w:rPr>
              <w:t>]</w:t>
              <w:tab/>
            </w:r>
            <w:r>
              <w:rPr>
                <w:rStyle w:val="IndexLink"/>
              </w:rPr>
              <w:t>414</w:t>
            </w:r>
          </w:hyperlink>
        </w:p>
        <w:p>
          <w:pPr>
            <w:pStyle w:val="Contents4"/>
            <w:tabs>
              <w:tab w:val="clear" w:pos="8176"/>
              <w:tab w:val="right" w:pos="9026" w:leader="dot"/>
            </w:tabs>
            <w:rPr/>
          </w:pPr>
          <w:hyperlink w:anchor="__RefHeading___Toc2018972_1067777946">
            <w:r>
              <w:rPr>
                <w:webHidden/>
                <w:rStyle w:val="IndexLink"/>
                <w:rtl w:val="true"/>
              </w:rPr>
              <w:t>[</w:t>
            </w:r>
            <w:r>
              <w:rPr>
                <w:rStyle w:val="IndexLink"/>
                <w:rtl w:val="true"/>
              </w:rPr>
              <w:t>فروع</w:t>
            </w:r>
            <w:r>
              <w:rPr>
                <w:rStyle w:val="IndexLink"/>
                <w:rtl w:val="true"/>
              </w:rPr>
              <w:t>:]</w:t>
              <w:tab/>
            </w:r>
            <w:r>
              <w:rPr>
                <w:rStyle w:val="IndexLink"/>
              </w:rPr>
              <w:t>416</w:t>
            </w:r>
          </w:hyperlink>
        </w:p>
        <w:p>
          <w:pPr>
            <w:pStyle w:val="Contents4"/>
            <w:tabs>
              <w:tab w:val="clear" w:pos="8176"/>
              <w:tab w:val="right" w:pos="9026" w:leader="dot"/>
            </w:tabs>
            <w:rPr/>
          </w:pPr>
          <w:hyperlink w:anchor="__RefHeading___Toc2018974_1067777946">
            <w:r>
              <w:rPr>
                <w:webHidden/>
                <w:rStyle w:val="IndexLink"/>
                <w:rtl w:val="true"/>
              </w:rPr>
              <w:t>[</w:t>
            </w:r>
            <w:r>
              <w:rPr>
                <w:rStyle w:val="IndexLink"/>
                <w:rtl w:val="true"/>
              </w:rPr>
              <w:t>التسليم</w:t>
            </w:r>
            <w:r>
              <w:rPr>
                <w:rStyle w:val="IndexLink"/>
                <w:rtl w:val="true"/>
              </w:rPr>
              <w:t>]</w:t>
              <w:tab/>
            </w:r>
            <w:r>
              <w:rPr>
                <w:rStyle w:val="IndexLink"/>
              </w:rPr>
              <w:t>416</w:t>
            </w:r>
          </w:hyperlink>
        </w:p>
        <w:p>
          <w:pPr>
            <w:pStyle w:val="Contents4"/>
            <w:tabs>
              <w:tab w:val="clear" w:pos="8176"/>
              <w:tab w:val="right" w:pos="9026" w:leader="dot"/>
            </w:tabs>
            <w:rPr/>
          </w:pPr>
          <w:hyperlink w:anchor="__RefHeading___Toc2018976_1067777946">
            <w:r>
              <w:rPr>
                <w:webHidden/>
                <w:rStyle w:val="IndexLink"/>
                <w:rtl w:val="true"/>
              </w:rPr>
              <w:t>[</w:t>
            </w:r>
            <w:r>
              <w:rPr>
                <w:rStyle w:val="IndexLink"/>
                <w:rtl w:val="true"/>
              </w:rPr>
              <w:t>بيع مالا يُقبض</w:t>
            </w:r>
            <w:r>
              <w:rPr>
                <w:rStyle w:val="IndexLink"/>
                <w:rtl w:val="true"/>
              </w:rPr>
              <w:t>]</w:t>
              <w:tab/>
            </w:r>
            <w:r>
              <w:rPr>
                <w:rStyle w:val="IndexLink"/>
              </w:rPr>
              <w:t>418</w:t>
            </w:r>
          </w:hyperlink>
        </w:p>
        <w:p>
          <w:pPr>
            <w:pStyle w:val="Contents4"/>
            <w:tabs>
              <w:tab w:val="clear" w:pos="8176"/>
              <w:tab w:val="right" w:pos="9026" w:leader="dot"/>
            </w:tabs>
            <w:rPr/>
          </w:pPr>
          <w:hyperlink w:anchor="__RefHeading___Toc2018978_1067777946">
            <w:r>
              <w:rPr>
                <w:webHidden/>
                <w:rStyle w:val="IndexLink"/>
                <w:rtl w:val="true"/>
              </w:rPr>
              <w:t>اختلاف المتبايعين</w:t>
            </w:r>
            <w:r>
              <w:rPr>
                <w:rStyle w:val="IndexLink"/>
                <w:rtl w:val="true"/>
              </w:rPr>
              <w:tab/>
            </w:r>
            <w:r>
              <w:rPr>
                <w:rStyle w:val="IndexLink"/>
              </w:rPr>
              <w:t>419</w:t>
            </w:r>
          </w:hyperlink>
        </w:p>
        <w:p>
          <w:pPr>
            <w:pStyle w:val="Contents4"/>
            <w:tabs>
              <w:tab w:val="clear" w:pos="8176"/>
              <w:tab w:val="right" w:pos="9026" w:leader="dot"/>
            </w:tabs>
            <w:rPr/>
          </w:pPr>
          <w:hyperlink w:anchor="__RefHeading___Toc2018980_1067777946">
            <w:r>
              <w:rPr>
                <w:webHidden/>
                <w:rStyle w:val="IndexLink"/>
                <w:rtl w:val="true"/>
              </w:rPr>
              <w:t>[</w:t>
            </w:r>
            <w:r>
              <w:rPr>
                <w:rStyle w:val="IndexLink"/>
                <w:rtl w:val="true"/>
              </w:rPr>
              <w:t>في الشروط</w:t>
            </w:r>
            <w:r>
              <w:rPr>
                <w:rStyle w:val="IndexLink"/>
                <w:rtl w:val="true"/>
              </w:rPr>
              <w:t>]</w:t>
              <w:tab/>
            </w:r>
            <w:r>
              <w:rPr>
                <w:rStyle w:val="IndexLink"/>
              </w:rPr>
              <w:t>421</w:t>
            </w:r>
          </w:hyperlink>
        </w:p>
        <w:p>
          <w:pPr>
            <w:pStyle w:val="Contents4"/>
            <w:tabs>
              <w:tab w:val="clear" w:pos="8176"/>
              <w:tab w:val="right" w:pos="9026" w:leader="dot"/>
            </w:tabs>
            <w:rPr/>
          </w:pPr>
          <w:hyperlink w:anchor="__RefHeading___Toc2018982_1067777946">
            <w:r>
              <w:rPr>
                <w:webHidden/>
                <w:rStyle w:val="IndexLink"/>
                <w:rtl w:val="true"/>
              </w:rPr>
              <w:t>[</w:t>
            </w:r>
            <w:r>
              <w:rPr>
                <w:rStyle w:val="IndexLink"/>
                <w:rtl w:val="true"/>
              </w:rPr>
              <w:t>لواحق من أحكام العقود</w:t>
            </w:r>
            <w:r>
              <w:rPr>
                <w:rStyle w:val="IndexLink"/>
                <w:rtl w:val="true"/>
              </w:rPr>
              <w:t>]</w:t>
              <w:tab/>
            </w:r>
            <w:r>
              <w:rPr>
                <w:rStyle w:val="IndexLink"/>
              </w:rPr>
              <w:t>423</w:t>
            </w:r>
          </w:hyperlink>
        </w:p>
        <w:p>
          <w:pPr>
            <w:pStyle w:val="Contents3"/>
            <w:tabs>
              <w:tab w:val="clear" w:pos="8459"/>
              <w:tab w:val="right" w:pos="9026" w:leader="dot"/>
            </w:tabs>
            <w:rPr/>
          </w:pPr>
          <w:hyperlink w:anchor="__RefHeading___Toc2018984_1067777946">
            <w:r>
              <w:rPr>
                <w:webHidden/>
                <w:rStyle w:val="IndexLink"/>
                <w:rtl w:val="true"/>
              </w:rPr>
              <w:t>[</w:t>
            </w:r>
            <w:r>
              <w:rPr>
                <w:rStyle w:val="IndexLink"/>
                <w:rtl w:val="true"/>
              </w:rPr>
              <w:t>الفصل الخامس في أحكام العيوب</w:t>
            </w:r>
            <w:r>
              <w:rPr>
                <w:rStyle w:val="IndexLink"/>
                <w:rtl w:val="true"/>
              </w:rPr>
              <w:t>]</w:t>
              <w:tab/>
            </w:r>
            <w:r>
              <w:rPr>
                <w:rStyle w:val="IndexLink"/>
              </w:rPr>
              <w:t>424</w:t>
            </w:r>
          </w:hyperlink>
        </w:p>
        <w:p>
          <w:pPr>
            <w:pStyle w:val="Contents4"/>
            <w:tabs>
              <w:tab w:val="clear" w:pos="8176"/>
              <w:tab w:val="right" w:pos="9026" w:leader="dot"/>
            </w:tabs>
            <w:rPr/>
          </w:pPr>
          <w:hyperlink w:anchor="__RefHeading___Toc2018986_1067777946">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2018988_1067777946">
            <w:r>
              <w:rPr>
                <w:webHidden/>
                <w:rStyle w:val="IndexLink"/>
                <w:rtl w:val="true"/>
              </w:rPr>
              <w:t>[</w:t>
            </w:r>
            <w:r>
              <w:rPr>
                <w:rStyle w:val="IndexLink"/>
                <w:rtl w:val="true"/>
              </w:rPr>
              <w:t>أقسام العيوب</w:t>
            </w:r>
            <w:r>
              <w:rPr>
                <w:rStyle w:val="IndexLink"/>
                <w:rtl w:val="true"/>
              </w:rPr>
              <w:t>]</w:t>
              <w:tab/>
            </w:r>
            <w:r>
              <w:rPr>
                <w:rStyle w:val="IndexLink"/>
              </w:rPr>
              <w:t>426</w:t>
            </w:r>
          </w:hyperlink>
        </w:p>
        <w:p>
          <w:pPr>
            <w:pStyle w:val="Contents4"/>
            <w:tabs>
              <w:tab w:val="clear" w:pos="8176"/>
              <w:tab w:val="right" w:pos="9026" w:leader="dot"/>
            </w:tabs>
            <w:rPr/>
          </w:pPr>
          <w:hyperlink w:anchor="__RefHeading___Toc2018990_1067777946">
            <w:r>
              <w:rPr>
                <w:webHidden/>
                <w:rStyle w:val="IndexLink"/>
                <w:rtl w:val="true"/>
              </w:rPr>
              <w:t>[</w:t>
            </w:r>
            <w:r>
              <w:rPr>
                <w:rStyle w:val="IndexLink"/>
                <w:rtl w:val="true"/>
              </w:rPr>
              <w:t>تصرية الشاة</w:t>
            </w:r>
            <w:r>
              <w:rPr>
                <w:rStyle w:val="IndexLink"/>
                <w:rtl w:val="true"/>
              </w:rPr>
              <w:t>]</w:t>
              <w:tab/>
            </w:r>
            <w:r>
              <w:rPr>
                <w:rStyle w:val="IndexLink"/>
              </w:rPr>
              <w:t>427</w:t>
            </w:r>
          </w:hyperlink>
        </w:p>
        <w:p>
          <w:pPr>
            <w:pStyle w:val="Contents4"/>
            <w:tabs>
              <w:tab w:val="clear" w:pos="8176"/>
              <w:tab w:val="right" w:pos="9026" w:leader="dot"/>
            </w:tabs>
            <w:rPr/>
          </w:pPr>
          <w:hyperlink w:anchor="__RefHeading___Toc2018992_1067777946">
            <w:r>
              <w:rPr>
                <w:webHidden/>
                <w:rStyle w:val="IndexLink"/>
                <w:rtl w:val="true"/>
              </w:rPr>
              <w:t>[</w:t>
            </w:r>
            <w:r>
              <w:rPr>
                <w:rStyle w:val="IndexLink"/>
                <w:rtl w:val="true"/>
              </w:rPr>
              <w:t>القول في لواحق هذا الفصل</w:t>
            </w:r>
            <w:r>
              <w:rPr>
                <w:rStyle w:val="IndexLink"/>
                <w:rtl w:val="true"/>
              </w:rPr>
              <w:t>]</w:t>
              <w:tab/>
            </w:r>
            <w:r>
              <w:rPr>
                <w:rStyle w:val="IndexLink"/>
              </w:rPr>
              <w:t>428</w:t>
            </w:r>
          </w:hyperlink>
        </w:p>
        <w:p>
          <w:pPr>
            <w:pStyle w:val="Contents3"/>
            <w:tabs>
              <w:tab w:val="clear" w:pos="8459"/>
              <w:tab w:val="right" w:pos="9026" w:leader="dot"/>
            </w:tabs>
            <w:rPr/>
          </w:pPr>
          <w:hyperlink w:anchor="__RefHeading___Toc2018994_1067777946">
            <w:r>
              <w:rPr>
                <w:webHidden/>
                <w:rStyle w:val="IndexLink"/>
                <w:rtl w:val="true"/>
              </w:rPr>
              <w:t>[</w:t>
            </w:r>
            <w:r>
              <w:rPr>
                <w:rStyle w:val="IndexLink"/>
                <w:rtl w:val="true"/>
              </w:rPr>
              <w:t>الفصل السادس في المرابحة، والمواضعة، والتولية</w:t>
            </w:r>
            <w:r>
              <w:rPr>
                <w:rStyle w:val="IndexLink"/>
                <w:rtl w:val="true"/>
              </w:rPr>
              <w:t>]</w:t>
              <w:tab/>
            </w:r>
            <w:r>
              <w:rPr>
                <w:rStyle w:val="IndexLink"/>
              </w:rPr>
              <w:t>430</w:t>
            </w:r>
          </w:hyperlink>
        </w:p>
        <w:p>
          <w:pPr>
            <w:pStyle w:val="Contents4"/>
            <w:tabs>
              <w:tab w:val="clear" w:pos="8176"/>
              <w:tab w:val="right" w:pos="9026" w:leader="dot"/>
            </w:tabs>
            <w:rPr/>
          </w:pPr>
          <w:hyperlink w:anchor="__RefHeading___Toc2018996_1067777946">
            <w:r>
              <w:rPr>
                <w:webHidden/>
                <w:rStyle w:val="IndexLink"/>
                <w:rtl w:val="true"/>
              </w:rPr>
              <w:t>[</w:t>
            </w:r>
            <w:r>
              <w:rPr>
                <w:rStyle w:val="IndexLink"/>
                <w:rtl w:val="true"/>
              </w:rPr>
              <w:t>المرابحة</w:t>
            </w:r>
            <w:r>
              <w:rPr>
                <w:rStyle w:val="IndexLink"/>
                <w:rtl w:val="true"/>
              </w:rPr>
              <w:t>]</w:t>
              <w:tab/>
            </w:r>
            <w:r>
              <w:rPr>
                <w:rStyle w:val="IndexLink"/>
              </w:rPr>
              <w:t>430</w:t>
            </w:r>
          </w:hyperlink>
        </w:p>
        <w:p>
          <w:pPr>
            <w:pStyle w:val="Contents4"/>
            <w:tabs>
              <w:tab w:val="clear" w:pos="8176"/>
              <w:tab w:val="right" w:pos="9026" w:leader="dot"/>
            </w:tabs>
            <w:rPr/>
          </w:pPr>
          <w:hyperlink w:anchor="__RefHeading___Toc2018998_1067777946">
            <w:r>
              <w:rPr>
                <w:webHidden/>
                <w:rStyle w:val="IndexLink"/>
                <w:rtl w:val="true"/>
              </w:rPr>
              <w:t>[</w:t>
            </w:r>
            <w:r>
              <w:rPr>
                <w:rStyle w:val="IndexLink"/>
                <w:rtl w:val="true"/>
              </w:rPr>
              <w:t>التولية</w:t>
            </w:r>
            <w:r>
              <w:rPr>
                <w:rStyle w:val="IndexLink"/>
                <w:rtl w:val="true"/>
              </w:rPr>
              <w:t>]</w:t>
              <w:tab/>
            </w:r>
            <w:r>
              <w:rPr>
                <w:rStyle w:val="IndexLink"/>
              </w:rPr>
              <w:t>431</w:t>
            </w:r>
          </w:hyperlink>
        </w:p>
        <w:p>
          <w:pPr>
            <w:pStyle w:val="Contents4"/>
            <w:tabs>
              <w:tab w:val="clear" w:pos="8176"/>
              <w:tab w:val="right" w:pos="9026" w:leader="dot"/>
            </w:tabs>
            <w:rPr/>
          </w:pPr>
          <w:hyperlink w:anchor="__RefHeading___Toc2019000_1067777946">
            <w:r>
              <w:rPr>
                <w:webHidden/>
                <w:rStyle w:val="IndexLink"/>
                <w:rtl w:val="true"/>
              </w:rPr>
              <w:t>[</w:t>
            </w:r>
            <w:r>
              <w:rPr>
                <w:rStyle w:val="IndexLink"/>
                <w:rtl w:val="true"/>
              </w:rPr>
              <w:t>المواضعة</w:t>
            </w:r>
            <w:r>
              <w:rPr>
                <w:rStyle w:val="IndexLink"/>
                <w:rtl w:val="true"/>
              </w:rPr>
              <w:t>]</w:t>
              <w:tab/>
            </w:r>
            <w:r>
              <w:rPr>
                <w:rStyle w:val="IndexLink"/>
              </w:rPr>
              <w:t>432</w:t>
            </w:r>
          </w:hyperlink>
        </w:p>
        <w:p>
          <w:pPr>
            <w:pStyle w:val="Contents3"/>
            <w:tabs>
              <w:tab w:val="clear" w:pos="8459"/>
              <w:tab w:val="right" w:pos="9026" w:leader="dot"/>
            </w:tabs>
            <w:rPr/>
          </w:pPr>
          <w:hyperlink w:anchor="__RefHeading___Toc2019002_1067777946">
            <w:r>
              <w:rPr>
                <w:webHidden/>
                <w:rStyle w:val="IndexLink"/>
                <w:rtl w:val="true"/>
              </w:rPr>
              <w:t>[</w:t>
            </w:r>
            <w:r>
              <w:rPr>
                <w:rStyle w:val="IndexLink"/>
                <w:rtl w:val="true"/>
              </w:rPr>
              <w:t>الفصل السابع في الربا والقرض</w:t>
            </w:r>
            <w:r>
              <w:rPr>
                <w:rStyle w:val="IndexLink"/>
                <w:rtl w:val="true"/>
              </w:rPr>
              <w:t>]</w:t>
              <w:tab/>
            </w:r>
            <w:r>
              <w:rPr>
                <w:rStyle w:val="IndexLink"/>
              </w:rPr>
              <w:t>432</w:t>
            </w:r>
          </w:hyperlink>
        </w:p>
        <w:p>
          <w:pPr>
            <w:pStyle w:val="Contents4"/>
            <w:tabs>
              <w:tab w:val="clear" w:pos="8176"/>
              <w:tab w:val="right" w:pos="9026" w:leader="dot"/>
            </w:tabs>
            <w:rPr/>
          </w:pPr>
          <w:hyperlink w:anchor="__RefHeading___Toc2019004_1067777946">
            <w:r>
              <w:rPr>
                <w:webHidden/>
                <w:rStyle w:val="IndexLink"/>
                <w:rtl w:val="true"/>
              </w:rPr>
              <w:t>[</w:t>
            </w:r>
            <w:r>
              <w:rPr>
                <w:rStyle w:val="IndexLink"/>
                <w:rtl w:val="true"/>
              </w:rPr>
              <w:t>الربا</w:t>
            </w:r>
            <w:r>
              <w:rPr>
                <w:rStyle w:val="IndexLink"/>
                <w:rtl w:val="true"/>
              </w:rPr>
              <w:t>]</w:t>
              <w:tab/>
            </w:r>
            <w:r>
              <w:rPr>
                <w:rStyle w:val="IndexLink"/>
              </w:rPr>
              <w:t>432</w:t>
            </w:r>
          </w:hyperlink>
        </w:p>
        <w:p>
          <w:pPr>
            <w:pStyle w:val="Contents4"/>
            <w:tabs>
              <w:tab w:val="clear" w:pos="8176"/>
              <w:tab w:val="right" w:pos="9026" w:leader="dot"/>
            </w:tabs>
            <w:rPr/>
          </w:pPr>
          <w:hyperlink w:anchor="__RefHeading___Toc2019006_1067777946">
            <w:r>
              <w:rPr>
                <w:webHidden/>
                <w:rStyle w:val="IndexLink"/>
                <w:rtl w:val="true"/>
              </w:rPr>
              <w:t>[</w:t>
            </w:r>
            <w:r>
              <w:rPr>
                <w:rStyle w:val="IndexLink"/>
                <w:rtl w:val="true"/>
              </w:rPr>
              <w:t>تتمّة فيها مسائل</w:t>
            </w:r>
            <w:r>
              <w:rPr>
                <w:rStyle w:val="IndexLink"/>
                <w:rtl w:val="true"/>
              </w:rPr>
              <w:t>:]</w:t>
              <w:tab/>
            </w:r>
            <w:r>
              <w:rPr>
                <w:rStyle w:val="IndexLink"/>
              </w:rPr>
              <w:t>434</w:t>
            </w:r>
          </w:hyperlink>
        </w:p>
        <w:p>
          <w:pPr>
            <w:pStyle w:val="Contents4"/>
            <w:tabs>
              <w:tab w:val="clear" w:pos="8176"/>
              <w:tab w:val="right" w:pos="9026" w:leader="dot"/>
            </w:tabs>
            <w:rPr/>
          </w:pPr>
          <w:hyperlink w:anchor="__RefHeading___Toc2019008_1067777946">
            <w:r>
              <w:rPr>
                <w:webHidden/>
                <w:rStyle w:val="IndexLink"/>
                <w:rtl w:val="true"/>
              </w:rPr>
              <w:t>[</w:t>
            </w:r>
            <w:r>
              <w:rPr>
                <w:rStyle w:val="IndexLink"/>
                <w:rtl w:val="true"/>
              </w:rPr>
              <w:t>بيع الصرف</w:t>
            </w:r>
            <w:r>
              <w:rPr>
                <w:rStyle w:val="IndexLink"/>
                <w:rtl w:val="true"/>
              </w:rPr>
              <w:t>]</w:t>
              <w:tab/>
            </w:r>
            <w:r>
              <w:rPr>
                <w:rStyle w:val="IndexLink"/>
              </w:rPr>
              <w:t>435</w:t>
            </w:r>
          </w:hyperlink>
        </w:p>
        <w:p>
          <w:pPr>
            <w:pStyle w:val="Contents4"/>
            <w:tabs>
              <w:tab w:val="clear" w:pos="8176"/>
              <w:tab w:val="right" w:pos="9026" w:leader="dot"/>
            </w:tabs>
            <w:rPr/>
          </w:pPr>
          <w:hyperlink w:anchor="__RefHeading___Toc2019010_1067777946">
            <w:r>
              <w:rPr>
                <w:webHidden/>
                <w:rStyle w:val="IndexLink"/>
                <w:rtl w:val="true"/>
              </w:rPr>
              <w:t>[</w:t>
            </w:r>
            <w:r>
              <w:rPr>
                <w:rStyle w:val="IndexLink"/>
                <w:rtl w:val="true"/>
              </w:rPr>
              <w:t>مسائل عشر</w:t>
            </w:r>
            <w:r>
              <w:rPr>
                <w:rStyle w:val="IndexLink"/>
                <w:rtl w:val="true"/>
              </w:rPr>
              <w:t>:]</w:t>
              <w:tab/>
            </w:r>
            <w:r>
              <w:rPr>
                <w:rStyle w:val="IndexLink"/>
              </w:rPr>
              <w:t>437</w:t>
            </w:r>
          </w:hyperlink>
        </w:p>
        <w:p>
          <w:pPr>
            <w:pStyle w:val="Contents3"/>
            <w:tabs>
              <w:tab w:val="clear" w:pos="8459"/>
              <w:tab w:val="right" w:pos="9026" w:leader="dot"/>
            </w:tabs>
            <w:rPr/>
          </w:pPr>
          <w:hyperlink w:anchor="__RefHeading___Toc2019012_1067777946">
            <w:r>
              <w:rPr>
                <w:webHidden/>
                <w:rStyle w:val="IndexLink"/>
                <w:rtl w:val="true"/>
              </w:rPr>
              <w:t>[</w:t>
            </w:r>
            <w:r>
              <w:rPr>
                <w:rStyle w:val="IndexLink"/>
                <w:rtl w:val="true"/>
              </w:rPr>
              <w:t>الفصل الثامن في بيع الثمار</w:t>
            </w:r>
            <w:r>
              <w:rPr>
                <w:rStyle w:val="IndexLink"/>
                <w:rtl w:val="true"/>
              </w:rPr>
              <w:t>]</w:t>
              <w:tab/>
            </w:r>
            <w:r>
              <w:rPr>
                <w:rStyle w:val="IndexLink"/>
              </w:rPr>
              <w:t>440</w:t>
            </w:r>
          </w:hyperlink>
        </w:p>
        <w:p>
          <w:pPr>
            <w:pStyle w:val="Contents4"/>
            <w:tabs>
              <w:tab w:val="clear" w:pos="8176"/>
              <w:tab w:val="right" w:pos="9026" w:leader="dot"/>
            </w:tabs>
            <w:rPr/>
          </w:pPr>
          <w:hyperlink w:anchor="__RefHeading___Toc2019014_1067777946">
            <w:r>
              <w:rPr>
                <w:webHidden/>
                <w:rStyle w:val="IndexLink"/>
                <w:rtl w:val="true"/>
              </w:rPr>
              <w:t>[</w:t>
            </w:r>
            <w:r>
              <w:rPr>
                <w:rStyle w:val="IndexLink"/>
                <w:rtl w:val="true"/>
              </w:rPr>
              <w:t>النخل</w:t>
            </w:r>
            <w:r>
              <w:rPr>
                <w:rStyle w:val="IndexLink"/>
                <w:rtl w:val="true"/>
              </w:rPr>
              <w:t>]</w:t>
              <w:tab/>
            </w:r>
            <w:r>
              <w:rPr>
                <w:rStyle w:val="IndexLink"/>
              </w:rPr>
              <w:t>440</w:t>
            </w:r>
          </w:hyperlink>
        </w:p>
        <w:p>
          <w:pPr>
            <w:pStyle w:val="Contents4"/>
            <w:tabs>
              <w:tab w:val="clear" w:pos="8176"/>
              <w:tab w:val="right" w:pos="9026" w:leader="dot"/>
            </w:tabs>
            <w:rPr/>
          </w:pPr>
          <w:hyperlink w:anchor="__RefHeading___Toc2019016_1067777946">
            <w:r>
              <w:rPr>
                <w:webHidden/>
                <w:rStyle w:val="IndexLink"/>
                <w:rtl w:val="true"/>
              </w:rPr>
              <w:t>[</w:t>
            </w:r>
            <w:r>
              <w:rPr>
                <w:rStyle w:val="IndexLink"/>
                <w:rtl w:val="true"/>
              </w:rPr>
              <w:t>الأشجار</w:t>
            </w:r>
            <w:r>
              <w:rPr>
                <w:rStyle w:val="IndexLink"/>
                <w:rtl w:val="true"/>
              </w:rPr>
              <w:t>]</w:t>
              <w:tab/>
            </w:r>
            <w:r>
              <w:rPr>
                <w:rStyle w:val="IndexLink"/>
              </w:rPr>
              <w:t>441</w:t>
            </w:r>
          </w:hyperlink>
        </w:p>
        <w:p>
          <w:pPr>
            <w:pStyle w:val="Contents4"/>
            <w:tabs>
              <w:tab w:val="clear" w:pos="8176"/>
              <w:tab w:val="right" w:pos="9026" w:leader="dot"/>
            </w:tabs>
            <w:rPr/>
          </w:pPr>
          <w:hyperlink w:anchor="__RefHeading___Toc2019018_1067777946">
            <w:r>
              <w:rPr>
                <w:webHidden/>
                <w:rStyle w:val="IndexLink"/>
                <w:rtl w:val="true"/>
              </w:rPr>
              <w:t>[</w:t>
            </w:r>
            <w:r>
              <w:rPr>
                <w:rStyle w:val="IndexLink"/>
                <w:rtl w:val="true"/>
              </w:rPr>
              <w:t>الخُضَر</w:t>
            </w:r>
            <w:r>
              <w:rPr>
                <w:rStyle w:val="IndexLink"/>
                <w:rtl w:val="true"/>
              </w:rPr>
              <w:t>]</w:t>
              <w:tab/>
            </w:r>
            <w:r>
              <w:rPr>
                <w:rStyle w:val="IndexLink"/>
              </w:rPr>
              <w:t>442</w:t>
            </w:r>
          </w:hyperlink>
        </w:p>
        <w:p>
          <w:pPr>
            <w:pStyle w:val="Contents4"/>
            <w:tabs>
              <w:tab w:val="clear" w:pos="8176"/>
              <w:tab w:val="right" w:pos="9026" w:leader="dot"/>
            </w:tabs>
            <w:rPr/>
          </w:pPr>
          <w:hyperlink w:anchor="__RefHeading___Toc2019020_1067777946">
            <w:r>
              <w:rPr>
                <w:webHidden/>
                <w:rStyle w:val="IndexLink"/>
                <w:rtl w:val="true"/>
              </w:rPr>
              <w:t>[</w:t>
            </w:r>
            <w:r>
              <w:rPr>
                <w:rStyle w:val="IndexLink"/>
                <w:rtl w:val="true"/>
              </w:rPr>
              <w:t>مسائل</w:t>
            </w:r>
            <w:r>
              <w:rPr>
                <w:rStyle w:val="IndexLink"/>
                <w:rtl w:val="true"/>
              </w:rPr>
              <w:t>:]</w:t>
              <w:tab/>
            </w:r>
            <w:r>
              <w:rPr>
                <w:rStyle w:val="IndexLink"/>
              </w:rPr>
              <w:t>442</w:t>
            </w:r>
          </w:hyperlink>
        </w:p>
        <w:p>
          <w:pPr>
            <w:pStyle w:val="Contents3"/>
            <w:tabs>
              <w:tab w:val="clear" w:pos="8459"/>
              <w:tab w:val="right" w:pos="9026" w:leader="dot"/>
            </w:tabs>
            <w:rPr/>
          </w:pPr>
          <w:hyperlink w:anchor="__RefHeading___Toc2019022_1067777946">
            <w:r>
              <w:rPr>
                <w:webHidden/>
                <w:rStyle w:val="IndexLink"/>
                <w:rtl w:val="true"/>
              </w:rPr>
              <w:t>[</w:t>
            </w:r>
            <w:r>
              <w:rPr>
                <w:rStyle w:val="IndexLink"/>
                <w:rtl w:val="true"/>
              </w:rPr>
              <w:t>الفصل التاسع في بيع الحيوان</w:t>
            </w:r>
            <w:r>
              <w:rPr>
                <w:rStyle w:val="IndexLink"/>
                <w:rtl w:val="true"/>
              </w:rPr>
              <w:t>]</w:t>
              <w:tab/>
            </w:r>
            <w:r>
              <w:rPr>
                <w:rStyle w:val="IndexLink"/>
              </w:rPr>
              <w:t>446</w:t>
            </w:r>
          </w:hyperlink>
        </w:p>
        <w:p>
          <w:pPr>
            <w:pStyle w:val="Contents4"/>
            <w:tabs>
              <w:tab w:val="clear" w:pos="8176"/>
              <w:tab w:val="right" w:pos="9026" w:leader="dot"/>
            </w:tabs>
            <w:rPr/>
          </w:pPr>
          <w:hyperlink w:anchor="__RefHeading___Toc2019024_1067777946">
            <w:r>
              <w:rPr>
                <w:webHidden/>
                <w:rStyle w:val="IndexLink"/>
                <w:rtl w:val="true"/>
              </w:rPr>
              <w:t>[</w:t>
            </w:r>
            <w:r>
              <w:rPr>
                <w:rStyle w:val="IndexLink"/>
                <w:rtl w:val="true"/>
              </w:rPr>
              <w:t>من يصحّ تملّكه</w:t>
            </w:r>
            <w:r>
              <w:rPr>
                <w:rStyle w:val="IndexLink"/>
                <w:rtl w:val="true"/>
              </w:rPr>
              <w:t>]</w:t>
              <w:tab/>
            </w:r>
            <w:r>
              <w:rPr>
                <w:rStyle w:val="IndexLink"/>
              </w:rPr>
              <w:t>446</w:t>
            </w:r>
          </w:hyperlink>
        </w:p>
        <w:p>
          <w:pPr>
            <w:pStyle w:val="Contents4"/>
            <w:tabs>
              <w:tab w:val="clear" w:pos="8176"/>
              <w:tab w:val="right" w:pos="9026" w:leader="dot"/>
            </w:tabs>
            <w:rPr/>
          </w:pPr>
          <w:hyperlink w:anchor="__RefHeading___Toc2019026_1067777946">
            <w:r>
              <w:rPr>
                <w:webHidden/>
                <w:rStyle w:val="IndexLink"/>
                <w:rtl w:val="true"/>
              </w:rPr>
              <w:t>[</w:t>
            </w:r>
            <w:r>
              <w:rPr>
                <w:rStyle w:val="IndexLink"/>
                <w:rtl w:val="true"/>
              </w:rPr>
              <w:t>أحكام الابتياع</w:t>
            </w:r>
            <w:r>
              <w:rPr>
                <w:rStyle w:val="IndexLink"/>
                <w:rtl w:val="true"/>
              </w:rPr>
              <w:t>]</w:t>
              <w:tab/>
            </w:r>
            <w:r>
              <w:rPr>
                <w:rStyle w:val="IndexLink"/>
              </w:rPr>
              <w:t>446</w:t>
            </w:r>
          </w:hyperlink>
        </w:p>
        <w:p>
          <w:pPr>
            <w:pStyle w:val="Contents4"/>
            <w:tabs>
              <w:tab w:val="clear" w:pos="8176"/>
              <w:tab w:val="right" w:pos="9026" w:leader="dot"/>
            </w:tabs>
            <w:rPr/>
          </w:pPr>
          <w:hyperlink w:anchor="__RefHeading___Toc2019028_1067777946">
            <w:r>
              <w:rPr>
                <w:webHidden/>
                <w:rStyle w:val="IndexLink"/>
                <w:rtl w:val="true"/>
              </w:rPr>
              <w:t>[</w:t>
            </w:r>
            <w:r>
              <w:rPr>
                <w:rStyle w:val="IndexLink"/>
                <w:rtl w:val="true"/>
              </w:rPr>
              <w:t>لواحق بيع الحيوان</w:t>
            </w:r>
            <w:r>
              <w:rPr>
                <w:rStyle w:val="IndexLink"/>
                <w:rtl w:val="true"/>
              </w:rPr>
              <w:t>]</w:t>
              <w:tab/>
            </w:r>
            <w:r>
              <w:rPr>
                <w:rStyle w:val="IndexLink"/>
              </w:rPr>
              <w:t>448</w:t>
            </w:r>
          </w:hyperlink>
        </w:p>
        <w:p>
          <w:pPr>
            <w:pStyle w:val="Contents3"/>
            <w:tabs>
              <w:tab w:val="clear" w:pos="8459"/>
              <w:tab w:val="right" w:pos="9026" w:leader="dot"/>
            </w:tabs>
            <w:rPr/>
          </w:pPr>
          <w:hyperlink w:anchor="__RefHeading___Toc2019030_1067777946">
            <w:r>
              <w:rPr>
                <w:webHidden/>
                <w:rStyle w:val="IndexLink"/>
                <w:rtl w:val="true"/>
              </w:rPr>
              <w:t>[</w:t>
            </w:r>
            <w:r>
              <w:rPr>
                <w:rStyle w:val="IndexLink"/>
                <w:rtl w:val="true"/>
              </w:rPr>
              <w:t>الفصل العاشر في السلف</w:t>
            </w:r>
            <w:r>
              <w:rPr>
                <w:rStyle w:val="IndexLink"/>
                <w:rtl w:val="true"/>
              </w:rPr>
              <w:t>]</w:t>
              <w:tab/>
            </w:r>
            <w:r>
              <w:rPr>
                <w:rStyle w:val="IndexLink"/>
              </w:rPr>
              <w:t>452</w:t>
            </w:r>
          </w:hyperlink>
        </w:p>
        <w:p>
          <w:pPr>
            <w:pStyle w:val="Contents4"/>
            <w:tabs>
              <w:tab w:val="clear" w:pos="8176"/>
              <w:tab w:val="right" w:pos="9026" w:leader="dot"/>
            </w:tabs>
            <w:rPr/>
          </w:pPr>
          <w:hyperlink w:anchor="__RefHeading___Toc2019032_1067777946">
            <w:r>
              <w:rPr>
                <w:webHidden/>
                <w:rStyle w:val="IndexLink"/>
                <w:rtl w:val="true"/>
              </w:rPr>
              <w:t>[</w:t>
            </w:r>
            <w:r>
              <w:rPr>
                <w:rStyle w:val="IndexLink"/>
                <w:rtl w:val="true"/>
              </w:rPr>
              <w:t>المقصد الأوّل</w:t>
            </w:r>
            <w:r>
              <w:rPr>
                <w:rStyle w:val="IndexLink"/>
                <w:rtl w:val="true"/>
              </w:rPr>
              <w:t xml:space="preserve">: </w:t>
            </w:r>
            <w:r>
              <w:rPr>
                <w:rStyle w:val="IndexLink"/>
                <w:rtl w:val="true"/>
              </w:rPr>
              <w:t>بيع السلم</w:t>
            </w:r>
            <w:r>
              <w:rPr>
                <w:rStyle w:val="IndexLink"/>
                <w:rtl w:val="true"/>
              </w:rPr>
              <w:t>]</w:t>
              <w:tab/>
            </w:r>
            <w:r>
              <w:rPr>
                <w:rStyle w:val="IndexLink"/>
              </w:rPr>
              <w:t>452</w:t>
            </w:r>
          </w:hyperlink>
        </w:p>
        <w:p>
          <w:pPr>
            <w:pStyle w:val="Contents4"/>
            <w:tabs>
              <w:tab w:val="clear" w:pos="8176"/>
              <w:tab w:val="right" w:pos="9026" w:leader="dot"/>
            </w:tabs>
            <w:rPr/>
          </w:pPr>
          <w:hyperlink w:anchor="__RefHeading___Toc2019034_1067777946">
            <w:r>
              <w:rPr>
                <w:webHidden/>
                <w:rStyle w:val="IndexLink"/>
                <w:rtl w:val="true"/>
              </w:rPr>
              <w:t>[</w:t>
            </w:r>
            <w:r>
              <w:rPr>
                <w:rStyle w:val="IndexLink"/>
                <w:rtl w:val="true"/>
              </w:rPr>
              <w:t>المقصد الثاني</w:t>
            </w:r>
            <w:r>
              <w:rPr>
                <w:rStyle w:val="IndexLink"/>
                <w:rtl w:val="true"/>
              </w:rPr>
              <w:t xml:space="preserve">: </w:t>
            </w:r>
            <w:r>
              <w:rPr>
                <w:rStyle w:val="IndexLink"/>
                <w:rtl w:val="true"/>
              </w:rPr>
              <w:t>شرائطه</w:t>
            </w:r>
            <w:r>
              <w:rPr>
                <w:rStyle w:val="IndexLink"/>
                <w:rtl w:val="true"/>
              </w:rPr>
              <w:t>]</w:t>
              <w:tab/>
            </w:r>
            <w:r>
              <w:rPr>
                <w:rStyle w:val="IndexLink"/>
              </w:rPr>
              <w:t>453</w:t>
            </w:r>
          </w:hyperlink>
        </w:p>
        <w:p>
          <w:pPr>
            <w:pStyle w:val="Contents4"/>
            <w:tabs>
              <w:tab w:val="clear" w:pos="8176"/>
              <w:tab w:val="right" w:pos="9026" w:leader="dot"/>
            </w:tabs>
            <w:rPr/>
          </w:pPr>
          <w:hyperlink w:anchor="__RefHeading___Toc2019036_1067777946">
            <w:r>
              <w:rPr>
                <w:webHidden/>
                <w:rStyle w:val="IndexLink"/>
                <w:rtl w:val="true"/>
              </w:rPr>
              <w:t>[</w:t>
            </w:r>
            <w:r>
              <w:rPr>
                <w:rStyle w:val="IndexLink"/>
                <w:rtl w:val="true"/>
              </w:rPr>
              <w:t>المقصد الثالث</w:t>
            </w:r>
            <w:r>
              <w:rPr>
                <w:rStyle w:val="IndexLink"/>
                <w:rtl w:val="true"/>
              </w:rPr>
              <w:t xml:space="preserve">: </w:t>
            </w:r>
            <w:r>
              <w:rPr>
                <w:rStyle w:val="IndexLink"/>
                <w:rtl w:val="true"/>
              </w:rPr>
              <w:t>أحكامه</w:t>
            </w:r>
            <w:r>
              <w:rPr>
                <w:rStyle w:val="IndexLink"/>
                <w:rtl w:val="true"/>
              </w:rPr>
              <w:t>]</w:t>
              <w:tab/>
            </w:r>
            <w:r>
              <w:rPr>
                <w:rStyle w:val="IndexLink"/>
              </w:rPr>
              <w:t>457</w:t>
            </w:r>
          </w:hyperlink>
        </w:p>
        <w:p>
          <w:pPr>
            <w:pStyle w:val="Contents4"/>
            <w:tabs>
              <w:tab w:val="clear" w:pos="8176"/>
              <w:tab w:val="right" w:pos="9026" w:leader="dot"/>
            </w:tabs>
            <w:rPr/>
          </w:pPr>
          <w:hyperlink w:anchor="__RefHeading___Toc2019038_1067777946">
            <w:r>
              <w:rPr>
                <w:webHidden/>
                <w:rStyle w:val="IndexLink"/>
                <w:rtl w:val="true"/>
              </w:rPr>
              <w:t>[</w:t>
            </w:r>
            <w:r>
              <w:rPr>
                <w:rStyle w:val="IndexLink"/>
                <w:rtl w:val="true"/>
              </w:rPr>
              <w:t>المقصد الرابع في الإقالة</w:t>
            </w:r>
            <w:r>
              <w:rPr>
                <w:rStyle w:val="IndexLink"/>
                <w:rtl w:val="true"/>
              </w:rPr>
              <w:t>]</w:t>
              <w:tab/>
            </w:r>
            <w:r>
              <w:rPr>
                <w:rStyle w:val="IndexLink"/>
              </w:rPr>
              <w:t>460</w:t>
            </w:r>
          </w:hyperlink>
        </w:p>
        <w:p>
          <w:pPr>
            <w:pStyle w:val="Contents4"/>
            <w:tabs>
              <w:tab w:val="clear" w:pos="8176"/>
              <w:tab w:val="right" w:pos="9026" w:leader="dot"/>
            </w:tabs>
            <w:rPr/>
          </w:pPr>
          <w:hyperlink w:anchor="__RefHeading___Toc2019040_1067777946">
            <w:r>
              <w:rPr>
                <w:webHidden/>
                <w:rStyle w:val="IndexLink"/>
                <w:rtl w:val="true"/>
              </w:rPr>
              <w:t>[</w:t>
            </w:r>
            <w:r>
              <w:rPr>
                <w:rStyle w:val="IndexLink"/>
                <w:rtl w:val="true"/>
              </w:rPr>
              <w:t>المقصد الخامس في القرض</w:t>
            </w:r>
            <w:r>
              <w:rPr>
                <w:rStyle w:val="IndexLink"/>
                <w:rtl w:val="true"/>
              </w:rPr>
              <w:t>]</w:t>
              <w:tab/>
            </w:r>
            <w:r>
              <w:rPr>
                <w:rStyle w:val="IndexLink"/>
              </w:rPr>
              <w:t>460</w:t>
            </w:r>
          </w:hyperlink>
        </w:p>
        <w:p>
          <w:pPr>
            <w:pStyle w:val="Contents5"/>
            <w:tabs>
              <w:tab w:val="clear" w:pos="7892"/>
              <w:tab w:val="right" w:pos="9026" w:leader="dot"/>
            </w:tabs>
            <w:rPr/>
          </w:pPr>
          <w:hyperlink w:anchor="__RefHeading___Toc2019042_1067777946">
            <w:r>
              <w:rPr>
                <w:webHidden/>
                <w:rStyle w:val="IndexLink"/>
                <w:rtl w:val="true"/>
              </w:rPr>
              <w:t>[</w:t>
            </w:r>
            <w:r>
              <w:rPr>
                <w:rStyle w:val="IndexLink"/>
                <w:rtl w:val="true"/>
              </w:rPr>
              <w:t>حقیقته</w:t>
            </w:r>
            <w:r>
              <w:rPr>
                <w:rStyle w:val="IndexLink"/>
                <w:rtl w:val="true"/>
              </w:rPr>
              <w:t>]</w:t>
              <w:tab/>
            </w:r>
            <w:r>
              <w:rPr>
                <w:rStyle w:val="IndexLink"/>
              </w:rPr>
              <w:t>460</w:t>
            </w:r>
          </w:hyperlink>
        </w:p>
        <w:p>
          <w:pPr>
            <w:pStyle w:val="Contents5"/>
            <w:tabs>
              <w:tab w:val="clear" w:pos="7892"/>
              <w:tab w:val="right" w:pos="9026" w:leader="dot"/>
            </w:tabs>
            <w:rPr/>
          </w:pPr>
          <w:hyperlink w:anchor="__RefHeading___Toc2019044_1067777946">
            <w:r>
              <w:rPr>
                <w:webHidden/>
                <w:rStyle w:val="IndexLink"/>
                <w:rtl w:val="true"/>
              </w:rPr>
              <w:t>[</w:t>
            </w:r>
            <w:r>
              <w:rPr>
                <w:rStyle w:val="IndexLink"/>
                <w:rtl w:val="true"/>
              </w:rPr>
              <w:t>ما يصحّ إقراضه</w:t>
            </w:r>
            <w:r>
              <w:rPr>
                <w:rStyle w:val="IndexLink"/>
                <w:rtl w:val="true"/>
              </w:rPr>
              <w:t>]</w:t>
              <w:tab/>
            </w:r>
            <w:r>
              <w:rPr>
                <w:rStyle w:val="IndexLink"/>
              </w:rPr>
              <w:t>461</w:t>
            </w:r>
          </w:hyperlink>
        </w:p>
        <w:p>
          <w:pPr>
            <w:pStyle w:val="Contents5"/>
            <w:tabs>
              <w:tab w:val="clear" w:pos="7892"/>
              <w:tab w:val="right" w:pos="9026" w:leader="dot"/>
            </w:tabs>
            <w:rPr/>
          </w:pPr>
          <w:hyperlink w:anchor="__RefHeading___Toc2019046_1067777946">
            <w:r>
              <w:rPr>
                <w:webHidden/>
                <w:rStyle w:val="IndexLink"/>
                <w:rtl w:val="true"/>
              </w:rPr>
              <w:t>[</w:t>
            </w:r>
            <w:r>
              <w:rPr>
                <w:rStyle w:val="IndexLink"/>
                <w:rtl w:val="true"/>
              </w:rPr>
              <w:t>أحكام القرض</w:t>
            </w:r>
            <w:r>
              <w:rPr>
                <w:rStyle w:val="IndexLink"/>
                <w:rtl w:val="true"/>
              </w:rPr>
              <w:t>]</w:t>
              <w:tab/>
            </w:r>
            <w:r>
              <w:rPr>
                <w:rStyle w:val="IndexLink"/>
              </w:rPr>
              <w:t>461</w:t>
            </w:r>
          </w:hyperlink>
        </w:p>
        <w:p>
          <w:pPr>
            <w:pStyle w:val="Contents4"/>
            <w:tabs>
              <w:tab w:val="clear" w:pos="8176"/>
              <w:tab w:val="right" w:pos="9026" w:leader="dot"/>
            </w:tabs>
            <w:rPr/>
          </w:pPr>
          <w:hyperlink w:anchor="__RefHeading___Toc2019048_1067777946">
            <w:r>
              <w:rPr>
                <w:webHidden/>
                <w:rStyle w:val="IndexLink"/>
                <w:rtl w:val="true"/>
              </w:rPr>
              <w:t>[</w:t>
            </w:r>
            <w:r>
              <w:rPr>
                <w:rStyle w:val="IndexLink"/>
                <w:rtl w:val="true"/>
              </w:rPr>
              <w:t>المقصد السادس في دين المملوك</w:t>
            </w:r>
            <w:r>
              <w:rPr>
                <w:rStyle w:val="IndexLink"/>
                <w:rtl w:val="true"/>
              </w:rPr>
              <w:t>]</w:t>
              <w:tab/>
            </w:r>
            <w:r>
              <w:rPr>
                <w:rStyle w:val="IndexLink"/>
              </w:rPr>
              <w:t>464</w:t>
            </w:r>
          </w:hyperlink>
        </w:p>
        <w:p>
          <w:pPr>
            <w:pStyle w:val="Contents4"/>
            <w:tabs>
              <w:tab w:val="clear" w:pos="8176"/>
              <w:tab w:val="right" w:pos="9026" w:leader="dot"/>
            </w:tabs>
            <w:rPr/>
          </w:pPr>
          <w:hyperlink w:anchor="__RefHeading___Toc2019050_1067777946">
            <w:r>
              <w:rPr>
                <w:webHidden/>
                <w:rStyle w:val="IndexLink"/>
                <w:rtl w:val="true"/>
              </w:rPr>
              <w:t>[</w:t>
            </w:r>
            <w:r>
              <w:rPr>
                <w:rStyle w:val="IndexLink"/>
                <w:rtl w:val="true"/>
              </w:rPr>
              <w:t>خاتمة</w:t>
            </w:r>
            <w:r>
              <w:rPr>
                <w:rStyle w:val="IndexLink"/>
                <w:rtl w:val="true"/>
              </w:rPr>
              <w:t>]</w:t>
              <w:tab/>
            </w:r>
            <w:r>
              <w:rPr>
                <w:rStyle w:val="IndexLink"/>
              </w:rPr>
              <w:t>465</w:t>
            </w:r>
          </w:hyperlink>
        </w:p>
        <w:p>
          <w:pPr>
            <w:pStyle w:val="Contents2"/>
            <w:tabs>
              <w:tab w:val="clear" w:pos="8743"/>
              <w:tab w:val="right" w:pos="9026" w:leader="dot"/>
            </w:tabs>
            <w:rPr/>
          </w:pPr>
          <w:hyperlink w:anchor="__RefHeading___Toc2019052_1067777946">
            <w:r>
              <w:rPr>
                <w:webHidden/>
                <w:rStyle w:val="IndexLink"/>
                <w:rtl w:val="true"/>
              </w:rPr>
              <w:t>كتاب الرهن</w:t>
            </w:r>
            <w:r>
              <w:rPr>
                <w:rStyle w:val="IndexLink"/>
                <w:rtl w:val="true"/>
              </w:rPr>
              <w:tab/>
            </w:r>
            <w:r>
              <w:rPr>
                <w:rStyle w:val="IndexLink"/>
              </w:rPr>
              <w:t>467</w:t>
            </w:r>
          </w:hyperlink>
        </w:p>
        <w:p>
          <w:pPr>
            <w:pStyle w:val="Contents3"/>
            <w:tabs>
              <w:tab w:val="clear" w:pos="8459"/>
              <w:tab w:val="right" w:pos="9026" w:leader="dot"/>
            </w:tabs>
            <w:rPr/>
          </w:pPr>
          <w:hyperlink w:anchor="__RefHeading___Toc2019054_1067777946">
            <w:r>
              <w:rPr>
                <w:webHidden/>
                <w:rStyle w:val="IndexLink"/>
                <w:rtl w:val="true"/>
              </w:rPr>
              <w:t>[</w:t>
            </w:r>
            <w:r>
              <w:rPr>
                <w:rStyle w:val="IndexLink"/>
                <w:rtl w:val="true"/>
              </w:rPr>
              <w:t>الفصل الأوّل في الرهن</w:t>
            </w:r>
            <w:r>
              <w:rPr>
                <w:rStyle w:val="IndexLink"/>
                <w:rtl w:val="true"/>
              </w:rPr>
              <w:t>]</w:t>
              <w:tab/>
            </w:r>
            <w:r>
              <w:rPr>
                <w:rStyle w:val="IndexLink"/>
              </w:rPr>
              <w:t>467</w:t>
            </w:r>
          </w:hyperlink>
        </w:p>
        <w:p>
          <w:pPr>
            <w:pStyle w:val="Contents3"/>
            <w:tabs>
              <w:tab w:val="clear" w:pos="8459"/>
              <w:tab w:val="right" w:pos="9026" w:leader="dot"/>
            </w:tabs>
            <w:rPr/>
          </w:pPr>
          <w:hyperlink w:anchor="__RefHeading___Toc2019056_1067777946">
            <w:r>
              <w:rPr>
                <w:webHidden/>
                <w:rStyle w:val="IndexLink"/>
                <w:rtl w:val="true"/>
              </w:rPr>
              <w:t>[</w:t>
            </w:r>
            <w:r>
              <w:rPr>
                <w:rStyle w:val="IndexLink"/>
                <w:rtl w:val="true"/>
              </w:rPr>
              <w:t>الفصل الثاني في شرائط الرهن</w:t>
            </w:r>
            <w:r>
              <w:rPr>
                <w:rStyle w:val="IndexLink"/>
                <w:rtl w:val="true"/>
              </w:rPr>
              <w:t>]</w:t>
              <w:tab/>
            </w:r>
            <w:r>
              <w:rPr>
                <w:rStyle w:val="IndexLink"/>
              </w:rPr>
              <w:t>469</w:t>
            </w:r>
          </w:hyperlink>
        </w:p>
        <w:p>
          <w:pPr>
            <w:pStyle w:val="Contents3"/>
            <w:tabs>
              <w:tab w:val="clear" w:pos="8459"/>
              <w:tab w:val="right" w:pos="9026" w:leader="dot"/>
            </w:tabs>
            <w:rPr/>
          </w:pPr>
          <w:hyperlink w:anchor="__RefHeading___Toc2019058_1067777946">
            <w:r>
              <w:rPr>
                <w:webHidden/>
                <w:rStyle w:val="IndexLink"/>
                <w:rtl w:val="true"/>
              </w:rPr>
              <w:t>[</w:t>
            </w:r>
            <w:r>
              <w:rPr>
                <w:rStyle w:val="IndexLink"/>
                <w:rtl w:val="true"/>
              </w:rPr>
              <w:t>الفصل الثالث في الحقّ</w:t>
            </w:r>
            <w:r>
              <w:rPr>
                <w:rStyle w:val="IndexLink"/>
                <w:rtl w:val="true"/>
              </w:rPr>
              <w:t>]</w:t>
              <w:tab/>
            </w:r>
            <w:r>
              <w:rPr>
                <w:rStyle w:val="IndexLink"/>
              </w:rPr>
              <w:t>470</w:t>
            </w:r>
          </w:hyperlink>
        </w:p>
        <w:p>
          <w:pPr>
            <w:pStyle w:val="Contents3"/>
            <w:tabs>
              <w:tab w:val="clear" w:pos="8459"/>
              <w:tab w:val="right" w:pos="9026" w:leader="dot"/>
            </w:tabs>
            <w:rPr/>
          </w:pPr>
          <w:hyperlink w:anchor="__RefHeading___Toc2019060_1067777946">
            <w:r>
              <w:rPr>
                <w:webHidden/>
                <w:rStyle w:val="IndexLink"/>
                <w:rtl w:val="true"/>
              </w:rPr>
              <w:t>[</w:t>
            </w:r>
            <w:r>
              <w:rPr>
                <w:rStyle w:val="IndexLink"/>
                <w:rtl w:val="true"/>
              </w:rPr>
              <w:t>الفصل الخامس في المرتهن</w:t>
            </w:r>
            <w:r>
              <w:rPr>
                <w:rStyle w:val="IndexLink"/>
                <w:rtl w:val="true"/>
              </w:rPr>
              <w:t>]</w:t>
              <w:tab/>
            </w:r>
            <w:r>
              <w:rPr>
                <w:rStyle w:val="IndexLink"/>
              </w:rPr>
              <w:t>471</w:t>
            </w:r>
          </w:hyperlink>
        </w:p>
        <w:p>
          <w:pPr>
            <w:pStyle w:val="Contents3"/>
            <w:tabs>
              <w:tab w:val="clear" w:pos="8459"/>
              <w:tab w:val="right" w:pos="9026" w:leader="dot"/>
            </w:tabs>
            <w:rPr/>
          </w:pPr>
          <w:hyperlink w:anchor="__RefHeading___Toc2019062_1067777946">
            <w:r>
              <w:rPr>
                <w:webHidden/>
                <w:rStyle w:val="IndexLink"/>
                <w:rtl w:val="true"/>
              </w:rPr>
              <w:t>[</w:t>
            </w:r>
            <w:r>
              <w:rPr>
                <w:rStyle w:val="IndexLink"/>
                <w:rtl w:val="true"/>
              </w:rPr>
              <w:t>الفصل السادس في اللواحق</w:t>
            </w:r>
            <w:r>
              <w:rPr>
                <w:rStyle w:val="IndexLink"/>
                <w:rtl w:val="true"/>
              </w:rPr>
              <w:t>]</w:t>
              <w:tab/>
            </w:r>
            <w:r>
              <w:rPr>
                <w:rStyle w:val="IndexLink"/>
              </w:rPr>
              <w:t>473</w:t>
            </w:r>
          </w:hyperlink>
        </w:p>
        <w:p>
          <w:pPr>
            <w:pStyle w:val="Contents4"/>
            <w:tabs>
              <w:tab w:val="clear" w:pos="8176"/>
              <w:tab w:val="right" w:pos="9026" w:leader="dot"/>
            </w:tabs>
            <w:rPr/>
          </w:pPr>
          <w:hyperlink w:anchor="__RefHeading___Toc2019064_1067777946">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2019066_1067777946">
            <w:r>
              <w:rPr>
                <w:webHidden/>
                <w:rStyle w:val="IndexLink"/>
                <w:rtl w:val="true"/>
              </w:rPr>
              <w:t>[</w:t>
            </w:r>
            <w:r>
              <w:rPr>
                <w:rStyle w:val="IndexLink"/>
                <w:rtl w:val="true"/>
              </w:rPr>
              <w:t>أحكام متعلّقة بالرهن</w:t>
            </w:r>
            <w:r>
              <w:rPr>
                <w:rStyle w:val="IndexLink"/>
                <w:rtl w:val="true"/>
              </w:rPr>
              <w:t>]</w:t>
              <w:tab/>
            </w:r>
            <w:r>
              <w:rPr>
                <w:rStyle w:val="IndexLink"/>
              </w:rPr>
              <w:t>474</w:t>
            </w:r>
          </w:hyperlink>
        </w:p>
        <w:p>
          <w:pPr>
            <w:pStyle w:val="Contents4"/>
            <w:tabs>
              <w:tab w:val="clear" w:pos="8176"/>
              <w:tab w:val="right" w:pos="9026" w:leader="dot"/>
            </w:tabs>
            <w:rPr/>
          </w:pPr>
          <w:hyperlink w:anchor="__RefHeading___Toc2019068_1067777946">
            <w:r>
              <w:rPr>
                <w:webHidden/>
                <w:rStyle w:val="IndexLink"/>
                <w:rtl w:val="true"/>
              </w:rPr>
              <w:t>[</w:t>
            </w:r>
            <w:r>
              <w:rPr>
                <w:rStyle w:val="IndexLink"/>
                <w:rtl w:val="true"/>
              </w:rPr>
              <w:t>في مسائل النزاع</w:t>
            </w:r>
            <w:r>
              <w:rPr>
                <w:rStyle w:val="IndexLink"/>
                <w:rtl w:val="true"/>
              </w:rPr>
              <w:t>:]</w:t>
              <w:tab/>
            </w:r>
            <w:r>
              <w:rPr>
                <w:rStyle w:val="IndexLink"/>
              </w:rPr>
              <w:t>477</w:t>
            </w:r>
          </w:hyperlink>
        </w:p>
        <w:p>
          <w:pPr>
            <w:pStyle w:val="Contents2"/>
            <w:tabs>
              <w:tab w:val="clear" w:pos="8743"/>
              <w:tab w:val="right" w:pos="9026" w:leader="dot"/>
            </w:tabs>
            <w:rPr/>
          </w:pPr>
          <w:hyperlink w:anchor="__RefHeading___Toc2019070_1067777946">
            <w:r>
              <w:rPr>
                <w:webHidden/>
                <w:rStyle w:val="IndexLink"/>
                <w:rtl w:val="true"/>
              </w:rPr>
              <w:t>كتاب المفلّس</w:t>
            </w:r>
            <w:r>
              <w:rPr>
                <w:rStyle w:val="IndexLink"/>
                <w:rtl w:val="true"/>
              </w:rPr>
              <w:tab/>
            </w:r>
            <w:r>
              <w:rPr>
                <w:rStyle w:val="IndexLink"/>
              </w:rPr>
              <w:t>479</w:t>
            </w:r>
          </w:hyperlink>
        </w:p>
        <w:p>
          <w:pPr>
            <w:pStyle w:val="Contents3"/>
            <w:tabs>
              <w:tab w:val="clear" w:pos="8459"/>
              <w:tab w:val="right" w:pos="9026" w:leader="dot"/>
            </w:tabs>
            <w:rPr/>
          </w:pPr>
          <w:hyperlink w:anchor="__RefHeading___Toc2019072_1067777946">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2019074_1067777946">
            <w:r>
              <w:rPr>
                <w:webHidden/>
                <w:rStyle w:val="IndexLink"/>
                <w:rtl w:val="true"/>
              </w:rPr>
              <w:t>[</w:t>
            </w:r>
            <w:r>
              <w:rPr>
                <w:rStyle w:val="IndexLink"/>
                <w:rtl w:val="true"/>
              </w:rPr>
              <w:t>القول في منع التصرّف</w:t>
            </w:r>
            <w:r>
              <w:rPr>
                <w:rStyle w:val="IndexLink"/>
                <w:rtl w:val="true"/>
              </w:rPr>
              <w:t>]</w:t>
              <w:tab/>
            </w:r>
            <w:r>
              <w:rPr>
                <w:rStyle w:val="IndexLink"/>
              </w:rPr>
              <w:t>480</w:t>
            </w:r>
          </w:hyperlink>
        </w:p>
        <w:p>
          <w:pPr>
            <w:pStyle w:val="Contents3"/>
            <w:tabs>
              <w:tab w:val="clear" w:pos="8459"/>
              <w:tab w:val="right" w:pos="9026" w:leader="dot"/>
            </w:tabs>
            <w:rPr/>
          </w:pPr>
          <w:hyperlink w:anchor="__RefHeading___Toc2019076_1067777946">
            <w:r>
              <w:rPr>
                <w:webHidden/>
                <w:rStyle w:val="IndexLink"/>
                <w:rtl w:val="true"/>
              </w:rPr>
              <w:t>[</w:t>
            </w:r>
            <w:r>
              <w:rPr>
                <w:rStyle w:val="IndexLink"/>
                <w:rtl w:val="true"/>
              </w:rPr>
              <w:t>القول في اختصاص الغريم بعين ماله</w:t>
            </w:r>
            <w:r>
              <w:rPr>
                <w:rStyle w:val="IndexLink"/>
                <w:rtl w:val="true"/>
              </w:rPr>
              <w:t>]</w:t>
              <w:tab/>
            </w:r>
            <w:r>
              <w:rPr>
                <w:rStyle w:val="IndexLink"/>
              </w:rPr>
              <w:t>481</w:t>
            </w:r>
          </w:hyperlink>
        </w:p>
        <w:p>
          <w:pPr>
            <w:pStyle w:val="Contents3"/>
            <w:tabs>
              <w:tab w:val="clear" w:pos="8459"/>
              <w:tab w:val="right" w:pos="9026" w:leader="dot"/>
            </w:tabs>
            <w:rPr/>
          </w:pPr>
          <w:hyperlink w:anchor="__RefHeading___Toc2019078_1067777946">
            <w:r>
              <w:rPr>
                <w:webHidden/>
                <w:rStyle w:val="IndexLink"/>
                <w:rtl w:val="true"/>
              </w:rPr>
              <w:t>[</w:t>
            </w:r>
            <w:r>
              <w:rPr>
                <w:rStyle w:val="IndexLink"/>
                <w:rtl w:val="true"/>
              </w:rPr>
              <w:t>القول في قسمة ماله</w:t>
            </w:r>
            <w:r>
              <w:rPr>
                <w:rStyle w:val="IndexLink"/>
                <w:rtl w:val="true"/>
              </w:rPr>
              <w:t>]</w:t>
              <w:tab/>
            </w:r>
            <w:r>
              <w:rPr>
                <w:rStyle w:val="IndexLink"/>
              </w:rPr>
              <w:t>483</w:t>
            </w:r>
          </w:hyperlink>
        </w:p>
        <w:p>
          <w:pPr>
            <w:pStyle w:val="Contents3"/>
            <w:tabs>
              <w:tab w:val="clear" w:pos="8459"/>
              <w:tab w:val="right" w:pos="9026" w:leader="dot"/>
            </w:tabs>
            <w:rPr/>
          </w:pPr>
          <w:hyperlink w:anchor="__RefHeading___Toc2019080_1067777946">
            <w:r>
              <w:rPr>
                <w:webHidden/>
                <w:rStyle w:val="IndexLink"/>
                <w:rtl w:val="true"/>
              </w:rPr>
              <w:t>[</w:t>
            </w:r>
            <w:r>
              <w:rPr>
                <w:rStyle w:val="IndexLink"/>
                <w:rtl w:val="true"/>
              </w:rPr>
              <w:t>النظر في حبسه</w:t>
            </w:r>
            <w:r>
              <w:rPr>
                <w:rStyle w:val="IndexLink"/>
                <w:rtl w:val="true"/>
              </w:rPr>
              <w:t>]</w:t>
              <w:tab/>
            </w:r>
            <w:r>
              <w:rPr>
                <w:rStyle w:val="IndexLink"/>
              </w:rPr>
              <w:t>484</w:t>
            </w:r>
          </w:hyperlink>
        </w:p>
        <w:p>
          <w:pPr>
            <w:pStyle w:val="Contents2"/>
            <w:tabs>
              <w:tab w:val="clear" w:pos="8743"/>
              <w:tab w:val="right" w:pos="9026" w:leader="dot"/>
            </w:tabs>
            <w:rPr/>
          </w:pPr>
          <w:hyperlink w:anchor="__RefHeading___Toc2019082_1067777946">
            <w:r>
              <w:rPr>
                <w:webHidden/>
                <w:rStyle w:val="IndexLink"/>
                <w:rtl w:val="true"/>
              </w:rPr>
              <w:t>كتاب الحجر</w:t>
            </w:r>
            <w:r>
              <w:rPr>
                <w:rStyle w:val="IndexLink"/>
                <w:rtl w:val="true"/>
              </w:rPr>
              <w:tab/>
            </w:r>
            <w:r>
              <w:rPr>
                <w:rStyle w:val="IndexLink"/>
              </w:rPr>
              <w:t>485</w:t>
            </w:r>
          </w:hyperlink>
        </w:p>
        <w:p>
          <w:pPr>
            <w:pStyle w:val="Contents3"/>
            <w:tabs>
              <w:tab w:val="clear" w:pos="8459"/>
              <w:tab w:val="right" w:pos="9026" w:leader="dot"/>
            </w:tabs>
            <w:rPr/>
          </w:pPr>
          <w:hyperlink w:anchor="__RefHeading___Toc2019084_1067777946">
            <w:r>
              <w:rPr>
                <w:webHidden/>
                <w:rStyle w:val="IndexLink"/>
                <w:rtl w:val="true"/>
              </w:rPr>
              <w:t>[</w:t>
            </w:r>
            <w:r>
              <w:rPr>
                <w:rStyle w:val="IndexLink"/>
                <w:rtl w:val="true"/>
              </w:rPr>
              <w:t>الفصل الأوّل في موجباته</w:t>
            </w:r>
            <w:r>
              <w:rPr>
                <w:rStyle w:val="IndexLink"/>
                <w:rtl w:val="true"/>
              </w:rPr>
              <w:t>]</w:t>
              <w:tab/>
            </w:r>
            <w:r>
              <w:rPr>
                <w:rStyle w:val="IndexLink"/>
              </w:rPr>
              <w:t>485</w:t>
            </w:r>
          </w:hyperlink>
        </w:p>
        <w:p>
          <w:pPr>
            <w:pStyle w:val="Contents3"/>
            <w:tabs>
              <w:tab w:val="clear" w:pos="8459"/>
              <w:tab w:val="right" w:pos="9026" w:leader="dot"/>
            </w:tabs>
            <w:rPr/>
          </w:pPr>
          <w:hyperlink w:anchor="__RefHeading___Toc2019086_1067777946">
            <w:r>
              <w:rPr>
                <w:webHidden/>
                <w:rStyle w:val="IndexLink"/>
                <w:rtl w:val="true"/>
              </w:rPr>
              <w:t>[</w:t>
            </w:r>
            <w:r>
              <w:rPr>
                <w:rStyle w:val="IndexLink"/>
                <w:rtl w:val="true"/>
              </w:rPr>
              <w:t>الفصل الثاني في أحكام الحجر</w:t>
            </w:r>
            <w:r>
              <w:rPr>
                <w:rStyle w:val="IndexLink"/>
                <w:rtl w:val="true"/>
              </w:rPr>
              <w:t>]</w:t>
              <w:tab/>
            </w:r>
            <w:r>
              <w:rPr>
                <w:rStyle w:val="IndexLink"/>
              </w:rPr>
              <w:t>487</w:t>
            </w:r>
          </w:hyperlink>
        </w:p>
        <w:p>
          <w:pPr>
            <w:pStyle w:val="Contents2"/>
            <w:tabs>
              <w:tab w:val="clear" w:pos="8743"/>
              <w:tab w:val="right" w:pos="9026" w:leader="dot"/>
            </w:tabs>
            <w:rPr/>
          </w:pPr>
          <w:hyperlink w:anchor="__RefHeading___Toc2019088_1067777946">
            <w:r>
              <w:rPr>
                <w:webHidden/>
                <w:rStyle w:val="IndexLink"/>
                <w:rtl w:val="true"/>
              </w:rPr>
              <w:t>كتاب الضمان</w:t>
            </w:r>
            <w:r>
              <w:rPr>
                <w:rStyle w:val="IndexLink"/>
                <w:rtl w:val="true"/>
              </w:rPr>
              <w:tab/>
            </w:r>
            <w:r>
              <w:rPr>
                <w:rStyle w:val="IndexLink"/>
              </w:rPr>
              <w:t>489</w:t>
            </w:r>
          </w:hyperlink>
        </w:p>
        <w:p>
          <w:pPr>
            <w:pStyle w:val="Contents3"/>
            <w:tabs>
              <w:tab w:val="clear" w:pos="8459"/>
              <w:tab w:val="right" w:pos="9026" w:leader="dot"/>
            </w:tabs>
            <w:rPr/>
          </w:pPr>
          <w:hyperlink w:anchor="__RefHeading___Toc2019090_1067777946">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2019092_1067777946">
            <w:r>
              <w:rPr>
                <w:webHidden/>
                <w:rStyle w:val="IndexLink"/>
                <w:rtl w:val="true"/>
              </w:rPr>
              <w:t>[</w:t>
            </w:r>
            <w:r>
              <w:rPr>
                <w:rStyle w:val="IndexLink"/>
                <w:rtl w:val="true"/>
              </w:rPr>
              <w:t>القسم الأوّل في ضمان المال</w:t>
            </w:r>
            <w:r>
              <w:rPr>
                <w:rStyle w:val="IndexLink"/>
                <w:rtl w:val="true"/>
              </w:rPr>
              <w:t>]</w:t>
              <w:tab/>
            </w:r>
            <w:r>
              <w:rPr>
                <w:rStyle w:val="IndexLink"/>
              </w:rPr>
              <w:t>489</w:t>
            </w:r>
          </w:hyperlink>
        </w:p>
        <w:p>
          <w:pPr>
            <w:pStyle w:val="Contents4"/>
            <w:tabs>
              <w:tab w:val="clear" w:pos="8176"/>
              <w:tab w:val="right" w:pos="9026" w:leader="dot"/>
            </w:tabs>
            <w:rPr/>
          </w:pPr>
          <w:hyperlink w:anchor="__RefHeading___Toc2019094_1067777946">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2019096_1067777946">
            <w:r>
              <w:rPr>
                <w:webHidden/>
                <w:rStyle w:val="IndexLink"/>
                <w:rtl w:val="true"/>
              </w:rPr>
              <w:t>[</w:t>
            </w:r>
            <w:r>
              <w:rPr>
                <w:rStyle w:val="IndexLink"/>
                <w:rtl w:val="true"/>
              </w:rPr>
              <w:t>الحقّ المضمون</w:t>
            </w:r>
            <w:r>
              <w:rPr>
                <w:rStyle w:val="IndexLink"/>
                <w:rtl w:val="true"/>
              </w:rPr>
              <w:t>]</w:t>
              <w:tab/>
            </w:r>
            <w:r>
              <w:rPr>
                <w:rStyle w:val="IndexLink"/>
              </w:rPr>
              <w:t>492</w:t>
            </w:r>
          </w:hyperlink>
        </w:p>
        <w:p>
          <w:pPr>
            <w:pStyle w:val="Contents4"/>
            <w:tabs>
              <w:tab w:val="clear" w:pos="8176"/>
              <w:tab w:val="right" w:pos="9026" w:leader="dot"/>
            </w:tabs>
            <w:rPr/>
          </w:pPr>
          <w:hyperlink w:anchor="__RefHeading___Toc2019098_1067777946">
            <w:r>
              <w:rPr>
                <w:webHidden/>
                <w:rStyle w:val="IndexLink"/>
                <w:rtl w:val="true"/>
              </w:rPr>
              <w:t>[</w:t>
            </w:r>
            <w:r>
              <w:rPr>
                <w:rStyle w:val="IndexLink"/>
                <w:rtl w:val="true"/>
              </w:rPr>
              <w:t>في اللواحق</w:t>
            </w:r>
            <w:r>
              <w:rPr>
                <w:rStyle w:val="IndexLink"/>
                <w:rtl w:val="true"/>
              </w:rPr>
              <w:t>]</w:t>
              <w:tab/>
            </w:r>
            <w:r>
              <w:rPr>
                <w:rStyle w:val="IndexLink"/>
              </w:rPr>
              <w:t>494</w:t>
            </w:r>
          </w:hyperlink>
        </w:p>
        <w:p>
          <w:pPr>
            <w:pStyle w:val="Contents3"/>
            <w:tabs>
              <w:tab w:val="clear" w:pos="8459"/>
              <w:tab w:val="right" w:pos="9026" w:leader="dot"/>
            </w:tabs>
            <w:rPr/>
          </w:pPr>
          <w:hyperlink w:anchor="__RefHeading___Toc2019100_1067777946">
            <w:r>
              <w:rPr>
                <w:webHidden/>
                <w:rStyle w:val="IndexLink"/>
                <w:rtl w:val="true"/>
              </w:rPr>
              <w:t>[</w:t>
            </w:r>
            <w:r>
              <w:rPr>
                <w:rStyle w:val="IndexLink"/>
                <w:rtl w:val="true"/>
              </w:rPr>
              <w:t>القسم الثاني في الحوالة</w:t>
            </w:r>
            <w:r>
              <w:rPr>
                <w:rStyle w:val="IndexLink"/>
                <w:rtl w:val="true"/>
              </w:rPr>
              <w:t>]</w:t>
              <w:tab/>
            </w:r>
            <w:r>
              <w:rPr>
                <w:rStyle w:val="IndexLink"/>
              </w:rPr>
              <w:t>498</w:t>
            </w:r>
          </w:hyperlink>
        </w:p>
        <w:p>
          <w:pPr>
            <w:pStyle w:val="Contents4"/>
            <w:tabs>
              <w:tab w:val="clear" w:pos="8176"/>
              <w:tab w:val="right" w:pos="9026" w:leader="dot"/>
            </w:tabs>
            <w:rPr/>
          </w:pPr>
          <w:hyperlink w:anchor="__RefHeading___Toc2019102_1067777946">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2019104_1067777946">
            <w:r>
              <w:rPr>
                <w:webHidden/>
                <w:rStyle w:val="IndexLink"/>
                <w:rtl w:val="true"/>
              </w:rPr>
              <w:t>[</w:t>
            </w:r>
            <w:r>
              <w:rPr>
                <w:rStyle w:val="IndexLink"/>
                <w:rtl w:val="true"/>
              </w:rPr>
              <w:t>شروطها</w:t>
            </w:r>
            <w:r>
              <w:rPr>
                <w:rStyle w:val="IndexLink"/>
                <w:rtl w:val="true"/>
              </w:rPr>
              <w:t>]</w:t>
              <w:tab/>
            </w:r>
            <w:r>
              <w:rPr>
                <w:rStyle w:val="IndexLink"/>
              </w:rPr>
              <w:t>498</w:t>
            </w:r>
          </w:hyperlink>
        </w:p>
        <w:p>
          <w:pPr>
            <w:pStyle w:val="Contents4"/>
            <w:tabs>
              <w:tab w:val="clear" w:pos="8176"/>
              <w:tab w:val="right" w:pos="9026" w:leader="dot"/>
            </w:tabs>
            <w:rPr/>
          </w:pPr>
          <w:hyperlink w:anchor="__RefHeading___Toc2019106_1067777946">
            <w:r>
              <w:rPr>
                <w:webHidden/>
                <w:rStyle w:val="IndexLink"/>
                <w:rtl w:val="true"/>
              </w:rPr>
              <w:t>[</w:t>
            </w:r>
            <w:r>
              <w:rPr>
                <w:rStyle w:val="IndexLink"/>
                <w:rtl w:val="true"/>
              </w:rPr>
              <w:t>أحكامها</w:t>
            </w:r>
            <w:r>
              <w:rPr>
                <w:rStyle w:val="IndexLink"/>
                <w:rtl w:val="true"/>
              </w:rPr>
              <w:t>]</w:t>
              <w:tab/>
            </w:r>
            <w:r>
              <w:rPr>
                <w:rStyle w:val="IndexLink"/>
              </w:rPr>
              <w:t>500</w:t>
            </w:r>
          </w:hyperlink>
        </w:p>
        <w:p>
          <w:pPr>
            <w:pStyle w:val="Contents3"/>
            <w:tabs>
              <w:tab w:val="clear" w:pos="8459"/>
              <w:tab w:val="right" w:pos="9026" w:leader="dot"/>
            </w:tabs>
            <w:rPr/>
          </w:pPr>
          <w:hyperlink w:anchor="__RefHeading___Toc2019108_1067777946">
            <w:r>
              <w:rPr>
                <w:webHidden/>
                <w:rStyle w:val="IndexLink"/>
                <w:rtl w:val="true"/>
              </w:rPr>
              <w:t>[</w:t>
            </w:r>
            <w:r>
              <w:rPr>
                <w:rStyle w:val="IndexLink"/>
                <w:rtl w:val="true"/>
              </w:rPr>
              <w:t>القسم الثالث في الكفالة</w:t>
            </w:r>
            <w:r>
              <w:rPr>
                <w:rStyle w:val="IndexLink"/>
                <w:rtl w:val="true"/>
              </w:rPr>
              <w:t>]</w:t>
              <w:tab/>
            </w:r>
            <w:r>
              <w:rPr>
                <w:rStyle w:val="IndexLink"/>
              </w:rPr>
              <w:t>503</w:t>
            </w:r>
          </w:hyperlink>
        </w:p>
        <w:p>
          <w:pPr>
            <w:pStyle w:val="Contents4"/>
            <w:tabs>
              <w:tab w:val="clear" w:pos="8176"/>
              <w:tab w:val="right" w:pos="9026" w:leader="dot"/>
            </w:tabs>
            <w:rPr/>
          </w:pPr>
          <w:hyperlink w:anchor="__RefHeading___Toc2019110_1067777946">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2019112_1067777946">
            <w:r>
              <w:rPr>
                <w:webHidden/>
                <w:rStyle w:val="IndexLink"/>
                <w:rtl w:val="true"/>
              </w:rPr>
              <w:t>[</w:t>
            </w:r>
            <w:r>
              <w:rPr>
                <w:rStyle w:val="IndexLink"/>
                <w:rtl w:val="true"/>
              </w:rPr>
              <w:t>مسائل</w:t>
            </w:r>
            <w:r>
              <w:rPr>
                <w:rStyle w:val="IndexLink"/>
                <w:rtl w:val="true"/>
              </w:rPr>
              <w:t>:]</w:t>
              <w:tab/>
            </w:r>
            <w:r>
              <w:rPr>
                <w:rStyle w:val="IndexLink"/>
              </w:rPr>
              <w:t>505</w:t>
            </w:r>
          </w:hyperlink>
        </w:p>
        <w:p>
          <w:pPr>
            <w:pStyle w:val="Contents2"/>
            <w:tabs>
              <w:tab w:val="clear" w:pos="8743"/>
              <w:tab w:val="right" w:pos="9026" w:leader="dot"/>
            </w:tabs>
            <w:rPr/>
          </w:pPr>
          <w:hyperlink w:anchor="__RefHeading___Toc2019114_1067777946">
            <w:r>
              <w:rPr>
                <w:webHidden/>
                <w:rStyle w:val="IndexLink"/>
                <w:rtl w:val="true"/>
              </w:rPr>
              <w:t>كتاب الصلح</w:t>
            </w:r>
            <w:r>
              <w:rPr>
                <w:rStyle w:val="IndexLink"/>
                <w:rtl w:val="true"/>
              </w:rPr>
              <w:tab/>
            </w:r>
            <w:r>
              <w:rPr>
                <w:rStyle w:val="IndexLink"/>
              </w:rPr>
              <w:t>507</w:t>
            </w:r>
          </w:hyperlink>
        </w:p>
        <w:p>
          <w:pPr>
            <w:pStyle w:val="Contents3"/>
            <w:tabs>
              <w:tab w:val="clear" w:pos="8459"/>
              <w:tab w:val="right" w:pos="9026" w:leader="dot"/>
            </w:tabs>
            <w:rPr/>
          </w:pPr>
          <w:hyperlink w:anchor="__RefHeading___Toc2019116_1067777946">
            <w:r>
              <w:rPr>
                <w:webHidden/>
                <w:rStyle w:val="IndexLink"/>
                <w:rtl w:val="true"/>
              </w:rPr>
              <w:t>اشارة</w:t>
            </w:r>
            <w:r>
              <w:rPr>
                <w:rStyle w:val="IndexLink"/>
                <w:rtl w:val="true"/>
              </w:rPr>
              <w:tab/>
            </w:r>
            <w:r>
              <w:rPr>
                <w:rStyle w:val="IndexLink"/>
              </w:rPr>
              <w:t>507</w:t>
            </w:r>
          </w:hyperlink>
        </w:p>
        <w:p>
          <w:pPr>
            <w:pStyle w:val="Contents3"/>
            <w:tabs>
              <w:tab w:val="clear" w:pos="8459"/>
              <w:tab w:val="right" w:pos="9026" w:leader="dot"/>
            </w:tabs>
            <w:rPr/>
          </w:pPr>
          <w:hyperlink w:anchor="__RefHeading___Toc2019118_1067777946">
            <w:r>
              <w:rPr>
                <w:webHidden/>
                <w:rStyle w:val="IndexLink"/>
                <w:rtl w:val="true"/>
              </w:rPr>
              <w:t>[</w:t>
            </w:r>
            <w:r>
              <w:rPr>
                <w:rStyle w:val="IndexLink"/>
                <w:rtl w:val="true"/>
              </w:rPr>
              <w:t>أحكام النزاع في الأملاك</w:t>
            </w:r>
            <w:r>
              <w:rPr>
                <w:rStyle w:val="IndexLink"/>
                <w:rtl w:val="true"/>
              </w:rPr>
              <w:t>]</w:t>
              <w:tab/>
            </w:r>
            <w:r>
              <w:rPr>
                <w:rStyle w:val="IndexLink"/>
              </w:rPr>
              <w:t>511</w:t>
            </w:r>
          </w:hyperlink>
        </w:p>
        <w:p>
          <w:pPr>
            <w:pStyle w:val="Contents2"/>
            <w:tabs>
              <w:tab w:val="clear" w:pos="8743"/>
              <w:tab w:val="right" w:pos="9026" w:leader="dot"/>
            </w:tabs>
            <w:rPr/>
          </w:pPr>
          <w:hyperlink w:anchor="__RefHeading___Toc2019120_1067777946">
            <w:r>
              <w:rPr>
                <w:webHidden/>
                <w:rStyle w:val="IndexLink"/>
                <w:rtl w:val="true"/>
              </w:rPr>
              <w:t>كتاب الشركة</w:t>
            </w:r>
            <w:r>
              <w:rPr>
                <w:rStyle w:val="IndexLink"/>
                <w:rtl w:val="true"/>
              </w:rPr>
              <w:tab/>
            </w:r>
            <w:r>
              <w:rPr>
                <w:rStyle w:val="IndexLink"/>
              </w:rPr>
              <w:t>517</w:t>
            </w:r>
          </w:hyperlink>
        </w:p>
        <w:p>
          <w:pPr>
            <w:pStyle w:val="Contents3"/>
            <w:tabs>
              <w:tab w:val="clear" w:pos="8459"/>
              <w:tab w:val="right" w:pos="9026" w:leader="dot"/>
            </w:tabs>
            <w:rPr/>
          </w:pPr>
          <w:hyperlink w:anchor="__RefHeading___Toc2019122_1067777946">
            <w:r>
              <w:rPr>
                <w:webHidden/>
                <w:rStyle w:val="IndexLink"/>
                <w:rtl w:val="true"/>
              </w:rPr>
              <w:t>[</w:t>
            </w:r>
            <w:r>
              <w:rPr>
                <w:rStyle w:val="IndexLink"/>
                <w:rtl w:val="true"/>
              </w:rPr>
              <w:t>الفصل الأوّل في أقسامها</w:t>
            </w:r>
            <w:r>
              <w:rPr>
                <w:rStyle w:val="IndexLink"/>
                <w:rtl w:val="true"/>
              </w:rPr>
              <w:t>]</w:t>
              <w:tab/>
            </w:r>
            <w:r>
              <w:rPr>
                <w:rStyle w:val="IndexLink"/>
              </w:rPr>
              <w:t>517</w:t>
            </w:r>
          </w:hyperlink>
        </w:p>
        <w:p>
          <w:pPr>
            <w:pStyle w:val="Contents3"/>
            <w:tabs>
              <w:tab w:val="clear" w:pos="8459"/>
              <w:tab w:val="right" w:pos="9026" w:leader="dot"/>
            </w:tabs>
            <w:rPr/>
          </w:pPr>
          <w:hyperlink w:anchor="__RefHeading___Toc2019124_1067777946">
            <w:r>
              <w:rPr>
                <w:webHidden/>
                <w:rStyle w:val="IndexLink"/>
                <w:rtl w:val="true"/>
              </w:rPr>
              <w:t>[</w:t>
            </w:r>
            <w:r>
              <w:rPr>
                <w:rStyle w:val="IndexLink"/>
                <w:rtl w:val="true"/>
              </w:rPr>
              <w:t>الفصل الثاني في القسمة</w:t>
            </w:r>
            <w:r>
              <w:rPr>
                <w:rStyle w:val="IndexLink"/>
                <w:rtl w:val="true"/>
              </w:rPr>
              <w:t>]</w:t>
              <w:tab/>
            </w:r>
            <w:r>
              <w:rPr>
                <w:rStyle w:val="IndexLink"/>
              </w:rPr>
              <w:t>519</w:t>
            </w:r>
          </w:hyperlink>
        </w:p>
        <w:p>
          <w:pPr>
            <w:pStyle w:val="Contents3"/>
            <w:tabs>
              <w:tab w:val="clear" w:pos="8459"/>
              <w:tab w:val="right" w:pos="9026" w:leader="dot"/>
            </w:tabs>
            <w:rPr/>
          </w:pPr>
          <w:hyperlink w:anchor="__RefHeading___Toc2019126_1067777946">
            <w:r>
              <w:rPr>
                <w:webHidden/>
                <w:rStyle w:val="IndexLink"/>
                <w:rtl w:val="true"/>
              </w:rPr>
              <w:t>[</w:t>
            </w:r>
            <w:r>
              <w:rPr>
                <w:rStyle w:val="IndexLink"/>
                <w:rtl w:val="true"/>
              </w:rPr>
              <w:t>الفصل الثالث في لواحق الشركة</w:t>
            </w:r>
            <w:r>
              <w:rPr>
                <w:rStyle w:val="IndexLink"/>
                <w:rtl w:val="true"/>
              </w:rPr>
              <w:t>]</w:t>
              <w:tab/>
            </w:r>
            <w:r>
              <w:rPr>
                <w:rStyle w:val="IndexLink"/>
              </w:rPr>
              <w:t>520</w:t>
            </w:r>
          </w:hyperlink>
        </w:p>
        <w:p>
          <w:pPr>
            <w:pStyle w:val="Contents2"/>
            <w:tabs>
              <w:tab w:val="clear" w:pos="8743"/>
              <w:tab w:val="right" w:pos="9026" w:leader="dot"/>
            </w:tabs>
            <w:rPr/>
          </w:pPr>
          <w:hyperlink w:anchor="__RefHeading___Toc2019128_1067777946">
            <w:r>
              <w:rPr>
                <w:webHidden/>
                <w:rStyle w:val="IndexLink"/>
                <w:rtl w:val="true"/>
              </w:rPr>
              <w:t>كتاب المضاربة</w:t>
            </w:r>
            <w:r>
              <w:rPr>
                <w:rStyle w:val="IndexLink"/>
                <w:rtl w:val="true"/>
              </w:rPr>
              <w:tab/>
            </w:r>
            <w:r>
              <w:rPr>
                <w:rStyle w:val="IndexLink"/>
              </w:rPr>
              <w:t>523</w:t>
            </w:r>
          </w:hyperlink>
        </w:p>
        <w:p>
          <w:pPr>
            <w:pStyle w:val="Contents3"/>
            <w:tabs>
              <w:tab w:val="clear" w:pos="8459"/>
              <w:tab w:val="right" w:pos="9026" w:leader="dot"/>
            </w:tabs>
            <w:rPr/>
          </w:pPr>
          <w:hyperlink w:anchor="__RefHeading___Toc2019130_1067777946">
            <w:r>
              <w:rPr>
                <w:webHidden/>
                <w:rStyle w:val="IndexLink"/>
                <w:rtl w:val="true"/>
              </w:rPr>
              <w:t>[</w:t>
            </w:r>
            <w:r>
              <w:rPr>
                <w:rStyle w:val="IndexLink"/>
                <w:rtl w:val="true"/>
              </w:rPr>
              <w:t>في العقد</w:t>
            </w:r>
            <w:r>
              <w:rPr>
                <w:rStyle w:val="IndexLink"/>
                <w:rtl w:val="true"/>
              </w:rPr>
              <w:t>]</w:t>
              <w:tab/>
            </w:r>
            <w:r>
              <w:rPr>
                <w:rStyle w:val="IndexLink"/>
              </w:rPr>
              <w:t>523</w:t>
            </w:r>
          </w:hyperlink>
        </w:p>
        <w:p>
          <w:pPr>
            <w:pStyle w:val="Contents3"/>
            <w:tabs>
              <w:tab w:val="clear" w:pos="8459"/>
              <w:tab w:val="right" w:pos="9026" w:leader="dot"/>
            </w:tabs>
            <w:rPr/>
          </w:pPr>
          <w:hyperlink w:anchor="__RefHeading___Toc2019132_1067777946">
            <w:r>
              <w:rPr>
                <w:webHidden/>
                <w:rStyle w:val="IndexLink"/>
                <w:rtl w:val="true"/>
              </w:rPr>
              <w:t>[</w:t>
            </w:r>
            <w:r>
              <w:rPr>
                <w:rStyle w:val="IndexLink"/>
                <w:rtl w:val="true"/>
              </w:rPr>
              <w:t>في مال القراض</w:t>
            </w:r>
            <w:r>
              <w:rPr>
                <w:rStyle w:val="IndexLink"/>
                <w:rtl w:val="true"/>
              </w:rPr>
              <w:t>]</w:t>
              <w:tab/>
            </w:r>
            <w:r>
              <w:rPr>
                <w:rStyle w:val="IndexLink"/>
              </w:rPr>
              <w:t>525</w:t>
            </w:r>
          </w:hyperlink>
        </w:p>
        <w:p>
          <w:pPr>
            <w:pStyle w:val="Contents3"/>
            <w:tabs>
              <w:tab w:val="clear" w:pos="8459"/>
              <w:tab w:val="right" w:pos="9026" w:leader="dot"/>
            </w:tabs>
            <w:rPr/>
          </w:pPr>
          <w:hyperlink w:anchor="__RefHeading___Toc2019134_1067777946">
            <w:r>
              <w:rPr>
                <w:webHidden/>
                <w:rStyle w:val="IndexLink"/>
                <w:rtl w:val="true"/>
              </w:rPr>
              <w:t>[</w:t>
            </w:r>
            <w:r>
              <w:rPr>
                <w:rStyle w:val="IndexLink"/>
                <w:rtl w:val="true"/>
              </w:rPr>
              <w:t>في الربح</w:t>
            </w:r>
            <w:r>
              <w:rPr>
                <w:rStyle w:val="IndexLink"/>
                <w:rtl w:val="true"/>
              </w:rPr>
              <w:t>]</w:t>
              <w:tab/>
            </w:r>
            <w:r>
              <w:rPr>
                <w:rStyle w:val="IndexLink"/>
              </w:rPr>
              <w:t>526</w:t>
            </w:r>
          </w:hyperlink>
        </w:p>
        <w:p>
          <w:pPr>
            <w:pStyle w:val="Contents3"/>
            <w:tabs>
              <w:tab w:val="clear" w:pos="8459"/>
              <w:tab w:val="right" w:pos="9026" w:leader="dot"/>
            </w:tabs>
            <w:rPr/>
          </w:pPr>
          <w:hyperlink w:anchor="__RefHeading___Toc2019136_1067777946">
            <w:r>
              <w:rPr>
                <w:webHidden/>
                <w:rStyle w:val="IndexLink"/>
                <w:rtl w:val="true"/>
              </w:rPr>
              <w:t>[</w:t>
            </w:r>
            <w:r>
              <w:rPr>
                <w:rStyle w:val="IndexLink"/>
                <w:rtl w:val="true"/>
              </w:rPr>
              <w:t>في اللواحق</w:t>
            </w:r>
            <w:r>
              <w:rPr>
                <w:rStyle w:val="IndexLink"/>
                <w:rtl w:val="true"/>
              </w:rPr>
              <w:t>]</w:t>
              <w:tab/>
            </w:r>
            <w:r>
              <w:rPr>
                <w:rStyle w:val="IndexLink"/>
              </w:rPr>
              <w:t>528</w:t>
            </w:r>
          </w:hyperlink>
        </w:p>
        <w:p>
          <w:pPr>
            <w:pStyle w:val="Contents2"/>
            <w:tabs>
              <w:tab w:val="clear" w:pos="8743"/>
              <w:tab w:val="right" w:pos="9026" w:leader="dot"/>
            </w:tabs>
            <w:rPr/>
          </w:pPr>
          <w:hyperlink w:anchor="__RefHeading___Toc2019138_1067777946">
            <w:r>
              <w:rPr>
                <w:webHidden/>
                <w:rStyle w:val="IndexLink"/>
                <w:rtl w:val="true"/>
              </w:rPr>
              <w:t>كتاب المزارعة والمساقاة</w:t>
            </w:r>
            <w:r>
              <w:rPr>
                <w:rStyle w:val="IndexLink"/>
                <w:rtl w:val="true"/>
              </w:rPr>
              <w:tab/>
            </w:r>
            <w:r>
              <w:rPr>
                <w:rStyle w:val="IndexLink"/>
              </w:rPr>
              <w:t>531</w:t>
            </w:r>
          </w:hyperlink>
        </w:p>
        <w:p>
          <w:pPr>
            <w:pStyle w:val="Contents3"/>
            <w:tabs>
              <w:tab w:val="clear" w:pos="8459"/>
              <w:tab w:val="right" w:pos="9026" w:leader="dot"/>
            </w:tabs>
            <w:rPr/>
          </w:pPr>
          <w:hyperlink w:anchor="__RefHeading___Toc2019140_1067777946">
            <w:r>
              <w:rPr>
                <w:webHidden/>
                <w:rStyle w:val="IndexLink"/>
                <w:rtl w:val="true"/>
              </w:rPr>
              <w:t>[</w:t>
            </w:r>
            <w:r>
              <w:rPr>
                <w:rStyle w:val="IndexLink"/>
                <w:rtl w:val="true"/>
              </w:rPr>
              <w:t>المزارعة</w:t>
            </w:r>
            <w:r>
              <w:rPr>
                <w:rStyle w:val="IndexLink"/>
                <w:rtl w:val="true"/>
              </w:rPr>
              <w:t>]</w:t>
              <w:tab/>
            </w:r>
            <w:r>
              <w:rPr>
                <w:rStyle w:val="IndexLink"/>
              </w:rPr>
              <w:t>531</w:t>
            </w:r>
          </w:hyperlink>
        </w:p>
        <w:p>
          <w:pPr>
            <w:pStyle w:val="Contents4"/>
            <w:tabs>
              <w:tab w:val="clear" w:pos="8176"/>
              <w:tab w:val="right" w:pos="9026" w:leader="dot"/>
            </w:tabs>
            <w:rPr/>
          </w:pPr>
          <w:hyperlink w:anchor="__RefHeading___Toc2019142_1067777946">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2019144_1067777946">
            <w:r>
              <w:rPr>
                <w:webHidden/>
                <w:rStyle w:val="IndexLink"/>
                <w:rtl w:val="true"/>
              </w:rPr>
              <w:t>[</w:t>
            </w:r>
            <w:r>
              <w:rPr>
                <w:rStyle w:val="IndexLink"/>
                <w:rtl w:val="true"/>
              </w:rPr>
              <w:t>شروط المزارعة</w:t>
            </w:r>
            <w:r>
              <w:rPr>
                <w:rStyle w:val="IndexLink"/>
                <w:rtl w:val="true"/>
              </w:rPr>
              <w:t>:]</w:t>
              <w:tab/>
            </w:r>
            <w:r>
              <w:rPr>
                <w:rStyle w:val="IndexLink"/>
              </w:rPr>
              <w:t>532</w:t>
            </w:r>
          </w:hyperlink>
        </w:p>
        <w:p>
          <w:pPr>
            <w:pStyle w:val="Contents5"/>
            <w:tabs>
              <w:tab w:val="clear" w:pos="7892"/>
              <w:tab w:val="right" w:pos="9026" w:leader="dot"/>
            </w:tabs>
            <w:rPr/>
          </w:pPr>
          <w:hyperlink w:anchor="__RefHeading___Toc2019146_1067777946">
            <w:r>
              <w:rPr>
                <w:webHidden/>
                <w:rStyle w:val="IndexLink"/>
                <w:rtl w:val="true"/>
              </w:rPr>
              <w:t>[</w:t>
            </w:r>
            <w:r>
              <w:rPr>
                <w:rStyle w:val="IndexLink"/>
                <w:rtl w:val="true"/>
              </w:rPr>
              <w:t>الأوّل</w:t>
            </w:r>
            <w:r>
              <w:rPr>
                <w:rStyle w:val="IndexLink"/>
                <w:rtl w:val="true"/>
              </w:rPr>
              <w:t xml:space="preserve">: </w:t>
            </w:r>
            <w:r>
              <w:rPr>
                <w:rStyle w:val="IndexLink"/>
                <w:rtl w:val="true"/>
              </w:rPr>
              <w:t>أن يكون النماء مشاعاً بينهما</w:t>
            </w:r>
            <w:r>
              <w:rPr>
                <w:rStyle w:val="IndexLink"/>
                <w:rtl w:val="true"/>
              </w:rPr>
              <w:t>]</w:t>
              <w:tab/>
            </w:r>
            <w:r>
              <w:rPr>
                <w:rStyle w:val="IndexLink"/>
              </w:rPr>
              <w:t>532</w:t>
            </w:r>
          </w:hyperlink>
        </w:p>
        <w:p>
          <w:pPr>
            <w:pStyle w:val="Contents5"/>
            <w:tabs>
              <w:tab w:val="clear" w:pos="7892"/>
              <w:tab w:val="right" w:pos="9026" w:leader="dot"/>
            </w:tabs>
            <w:rPr/>
          </w:pPr>
          <w:hyperlink w:anchor="__RefHeading___Toc2019148_1067777946">
            <w:r>
              <w:rPr>
                <w:webHidden/>
                <w:rStyle w:val="IndexLink"/>
                <w:rtl w:val="true"/>
              </w:rPr>
              <w:t>[</w:t>
            </w:r>
            <w:r>
              <w:rPr>
                <w:rStyle w:val="IndexLink"/>
                <w:rtl w:val="true"/>
              </w:rPr>
              <w:t>الثاني</w:t>
            </w:r>
            <w:r>
              <w:rPr>
                <w:rStyle w:val="IndexLink"/>
                <w:rtl w:val="true"/>
              </w:rPr>
              <w:t xml:space="preserve">: </w:t>
            </w:r>
            <w:r>
              <w:rPr>
                <w:rStyle w:val="IndexLink"/>
                <w:rtl w:val="true"/>
              </w:rPr>
              <w:t>تعيين المدّة</w:t>
            </w:r>
            <w:r>
              <w:rPr>
                <w:rStyle w:val="IndexLink"/>
                <w:rtl w:val="true"/>
              </w:rPr>
              <w:t>]</w:t>
              <w:tab/>
            </w:r>
            <w:r>
              <w:rPr>
                <w:rStyle w:val="IndexLink"/>
              </w:rPr>
              <w:t>532</w:t>
            </w:r>
          </w:hyperlink>
        </w:p>
        <w:p>
          <w:pPr>
            <w:pStyle w:val="Contents5"/>
            <w:tabs>
              <w:tab w:val="clear" w:pos="7892"/>
              <w:tab w:val="right" w:pos="9026" w:leader="dot"/>
            </w:tabs>
            <w:rPr/>
          </w:pPr>
          <w:hyperlink w:anchor="__RefHeading___Toc2019150_1067777946">
            <w:r>
              <w:rPr>
                <w:webHidden/>
                <w:rStyle w:val="IndexLink"/>
                <w:rtl w:val="true"/>
              </w:rPr>
              <w:t>[</w:t>
            </w:r>
            <w:r>
              <w:rPr>
                <w:rStyle w:val="IndexLink"/>
                <w:rtl w:val="true"/>
              </w:rPr>
              <w:t>الثالث</w:t>
            </w:r>
            <w:r>
              <w:rPr>
                <w:rStyle w:val="IndexLink"/>
                <w:rtl w:val="true"/>
              </w:rPr>
              <w:t xml:space="preserve">: </w:t>
            </w:r>
            <w:r>
              <w:rPr>
                <w:rStyle w:val="IndexLink"/>
                <w:rtl w:val="true"/>
              </w:rPr>
              <w:t>أن تكون الأرض ممّا يمكن الانتفاع بها</w:t>
            </w:r>
            <w:r>
              <w:rPr>
                <w:rStyle w:val="IndexLink"/>
                <w:rtl w:val="true"/>
              </w:rPr>
              <w:t>]</w:t>
              <w:tab/>
            </w:r>
            <w:r>
              <w:rPr>
                <w:rStyle w:val="IndexLink"/>
              </w:rPr>
              <w:t>533</w:t>
            </w:r>
          </w:hyperlink>
        </w:p>
        <w:p>
          <w:pPr>
            <w:pStyle w:val="Contents4"/>
            <w:tabs>
              <w:tab w:val="clear" w:pos="8176"/>
              <w:tab w:val="right" w:pos="9026" w:leader="dot"/>
            </w:tabs>
            <w:rPr/>
          </w:pPr>
          <w:hyperlink w:anchor="__RefHeading___Toc2019152_1067777946">
            <w:r>
              <w:rPr>
                <w:webHidden/>
                <w:rStyle w:val="IndexLink"/>
                <w:rtl w:val="true"/>
              </w:rPr>
              <w:t>[</w:t>
            </w:r>
            <w:r>
              <w:rPr>
                <w:rStyle w:val="IndexLink"/>
                <w:rtl w:val="true"/>
              </w:rPr>
              <w:t>أحكامها</w:t>
            </w:r>
            <w:r>
              <w:rPr>
                <w:rStyle w:val="IndexLink"/>
                <w:rtl w:val="true"/>
              </w:rPr>
              <w:t>]</w:t>
              <w:tab/>
            </w:r>
            <w:r>
              <w:rPr>
                <w:rStyle w:val="IndexLink"/>
              </w:rPr>
              <w:t>536</w:t>
            </w:r>
          </w:hyperlink>
        </w:p>
        <w:p>
          <w:pPr>
            <w:pStyle w:val="Contents3"/>
            <w:tabs>
              <w:tab w:val="clear" w:pos="8459"/>
              <w:tab w:val="right" w:pos="9026" w:leader="dot"/>
            </w:tabs>
            <w:rPr/>
          </w:pPr>
          <w:hyperlink w:anchor="__RefHeading___Toc2019154_1067777946">
            <w:r>
              <w:rPr>
                <w:webHidden/>
                <w:rStyle w:val="IndexLink"/>
                <w:rtl w:val="true"/>
              </w:rPr>
              <w:t>[</w:t>
            </w:r>
            <w:r>
              <w:rPr>
                <w:rStyle w:val="IndexLink"/>
                <w:rtl w:val="true"/>
              </w:rPr>
              <w:t>المساقاة</w:t>
            </w:r>
            <w:r>
              <w:rPr>
                <w:rStyle w:val="IndexLink"/>
                <w:rtl w:val="true"/>
              </w:rPr>
              <w:t>]</w:t>
              <w:tab/>
            </w:r>
            <w:r>
              <w:rPr>
                <w:rStyle w:val="IndexLink"/>
              </w:rPr>
              <w:t>539</w:t>
            </w:r>
          </w:hyperlink>
        </w:p>
        <w:p>
          <w:pPr>
            <w:pStyle w:val="Contents4"/>
            <w:tabs>
              <w:tab w:val="clear" w:pos="8176"/>
              <w:tab w:val="right" w:pos="9026" w:leader="dot"/>
            </w:tabs>
            <w:rPr/>
          </w:pPr>
          <w:hyperlink w:anchor="__RefHeading___Toc2019156_1067777946">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2019158_1067777946">
            <w:r>
              <w:rPr>
                <w:webHidden/>
                <w:rStyle w:val="IndexLink"/>
                <w:rtl w:val="true"/>
              </w:rPr>
              <w:t>[</w:t>
            </w:r>
            <w:r>
              <w:rPr>
                <w:rStyle w:val="IndexLink"/>
                <w:rtl w:val="true"/>
              </w:rPr>
              <w:t>في العقد</w:t>
            </w:r>
            <w:r>
              <w:rPr>
                <w:rStyle w:val="IndexLink"/>
                <w:rtl w:val="true"/>
              </w:rPr>
              <w:t>]</w:t>
              <w:tab/>
            </w:r>
            <w:r>
              <w:rPr>
                <w:rStyle w:val="IndexLink"/>
              </w:rPr>
              <w:t>539</w:t>
            </w:r>
          </w:hyperlink>
        </w:p>
        <w:p>
          <w:pPr>
            <w:pStyle w:val="Contents4"/>
            <w:tabs>
              <w:tab w:val="clear" w:pos="8176"/>
              <w:tab w:val="right" w:pos="9026" w:leader="dot"/>
            </w:tabs>
            <w:rPr/>
          </w:pPr>
          <w:hyperlink w:anchor="__RefHeading___Toc2019160_1067777946">
            <w:r>
              <w:rPr>
                <w:webHidden/>
                <w:rStyle w:val="IndexLink"/>
                <w:rtl w:val="true"/>
              </w:rPr>
              <w:t>[</w:t>
            </w:r>
            <w:r>
              <w:rPr>
                <w:rStyle w:val="IndexLink"/>
                <w:rtl w:val="true"/>
              </w:rPr>
              <w:t>مايساقی عليه</w:t>
            </w:r>
            <w:r>
              <w:rPr>
                <w:rStyle w:val="IndexLink"/>
                <w:rtl w:val="true"/>
              </w:rPr>
              <w:t>]</w:t>
              <w:tab/>
            </w:r>
            <w:r>
              <w:rPr>
                <w:rStyle w:val="IndexLink"/>
              </w:rPr>
              <w:t>540</w:t>
            </w:r>
          </w:hyperlink>
        </w:p>
        <w:p>
          <w:pPr>
            <w:pStyle w:val="Contents4"/>
            <w:tabs>
              <w:tab w:val="clear" w:pos="8176"/>
              <w:tab w:val="right" w:pos="9026" w:leader="dot"/>
            </w:tabs>
            <w:rPr/>
          </w:pPr>
          <w:hyperlink w:anchor="__RefHeading___Toc2019162_1067777946">
            <w:r>
              <w:rPr>
                <w:webHidden/>
                <w:rStyle w:val="IndexLink"/>
                <w:rtl w:val="true"/>
              </w:rPr>
              <w:t>[</w:t>
            </w:r>
            <w:r>
              <w:rPr>
                <w:rStyle w:val="IndexLink"/>
                <w:rtl w:val="true"/>
              </w:rPr>
              <w:t>مفاد العمل</w:t>
            </w:r>
            <w:r>
              <w:rPr>
                <w:rStyle w:val="IndexLink"/>
                <w:rtl w:val="true"/>
              </w:rPr>
              <w:t>]</w:t>
              <w:tab/>
            </w:r>
            <w:r>
              <w:rPr>
                <w:rStyle w:val="IndexLink"/>
              </w:rPr>
              <w:t>540</w:t>
            </w:r>
          </w:hyperlink>
        </w:p>
        <w:p>
          <w:pPr>
            <w:pStyle w:val="Contents4"/>
            <w:tabs>
              <w:tab w:val="clear" w:pos="8176"/>
              <w:tab w:val="right" w:pos="9026" w:leader="dot"/>
            </w:tabs>
            <w:rPr/>
          </w:pPr>
          <w:hyperlink w:anchor="__RefHeading___Toc2019164_1067777946">
            <w:r>
              <w:rPr>
                <w:webHidden/>
                <w:rStyle w:val="IndexLink"/>
                <w:rtl w:val="true"/>
              </w:rPr>
              <w:t>[</w:t>
            </w:r>
            <w:r>
              <w:rPr>
                <w:rStyle w:val="IndexLink"/>
                <w:rtl w:val="true"/>
              </w:rPr>
              <w:t>في الفائدة</w:t>
            </w:r>
            <w:r>
              <w:rPr>
                <w:rStyle w:val="IndexLink"/>
                <w:rtl w:val="true"/>
              </w:rPr>
              <w:t>]</w:t>
              <w:tab/>
            </w:r>
            <w:r>
              <w:rPr>
                <w:rStyle w:val="IndexLink"/>
              </w:rPr>
              <w:t>541</w:t>
            </w:r>
          </w:hyperlink>
        </w:p>
        <w:p>
          <w:pPr>
            <w:pStyle w:val="Contents4"/>
            <w:tabs>
              <w:tab w:val="clear" w:pos="8176"/>
              <w:tab w:val="right" w:pos="9026" w:leader="dot"/>
            </w:tabs>
            <w:rPr/>
          </w:pPr>
          <w:hyperlink w:anchor="__RefHeading___Toc2019166_1067777946">
            <w:r>
              <w:rPr>
                <w:webHidden/>
                <w:rStyle w:val="IndexLink"/>
                <w:rtl w:val="true"/>
              </w:rPr>
              <w:t>[</w:t>
            </w:r>
            <w:r>
              <w:rPr>
                <w:rStyle w:val="IndexLink"/>
                <w:rtl w:val="true"/>
              </w:rPr>
              <w:t>في أحكامها</w:t>
            </w:r>
            <w:r>
              <w:rPr>
                <w:rStyle w:val="IndexLink"/>
                <w:rtl w:val="true"/>
              </w:rPr>
              <w:t>]</w:t>
              <w:tab/>
            </w:r>
            <w:r>
              <w:rPr>
                <w:rStyle w:val="IndexLink"/>
              </w:rPr>
              <w:t>542</w:t>
            </w:r>
          </w:hyperlink>
        </w:p>
        <w:p>
          <w:pPr>
            <w:pStyle w:val="Contents2"/>
            <w:tabs>
              <w:tab w:val="clear" w:pos="8743"/>
              <w:tab w:val="right" w:pos="9026" w:leader="dot"/>
            </w:tabs>
            <w:rPr/>
          </w:pPr>
          <w:hyperlink w:anchor="__RefHeading___Toc2019168_1067777946">
            <w:r>
              <w:rPr>
                <w:webHidden/>
                <w:rStyle w:val="IndexLink"/>
                <w:rtl w:val="true"/>
              </w:rPr>
              <w:t>كتاب الوديعة</w:t>
            </w:r>
            <w:r>
              <w:rPr>
                <w:rStyle w:val="IndexLink"/>
                <w:rtl w:val="true"/>
              </w:rPr>
              <w:tab/>
            </w:r>
            <w:r>
              <w:rPr>
                <w:rStyle w:val="IndexLink"/>
              </w:rPr>
              <w:t>545</w:t>
            </w:r>
          </w:hyperlink>
        </w:p>
        <w:p>
          <w:pPr>
            <w:pStyle w:val="Contents3"/>
            <w:tabs>
              <w:tab w:val="clear" w:pos="8459"/>
              <w:tab w:val="right" w:pos="9026" w:leader="dot"/>
            </w:tabs>
            <w:rPr/>
          </w:pPr>
          <w:hyperlink w:anchor="__RefHeading___Toc2019170_1067777946">
            <w:r>
              <w:rPr>
                <w:webHidden/>
                <w:rStyle w:val="IndexLink"/>
                <w:rtl w:val="true"/>
              </w:rPr>
              <w:t>[</w:t>
            </w:r>
            <w:r>
              <w:rPr>
                <w:rStyle w:val="IndexLink"/>
                <w:rtl w:val="true"/>
              </w:rPr>
              <w:t>النظر الأوّل في العقد</w:t>
            </w:r>
            <w:r>
              <w:rPr>
                <w:rStyle w:val="IndexLink"/>
                <w:rtl w:val="true"/>
              </w:rPr>
              <w:t>]</w:t>
              <w:tab/>
            </w:r>
            <w:r>
              <w:rPr>
                <w:rStyle w:val="IndexLink"/>
              </w:rPr>
              <w:t>545</w:t>
            </w:r>
          </w:hyperlink>
        </w:p>
        <w:p>
          <w:pPr>
            <w:pStyle w:val="Contents3"/>
            <w:tabs>
              <w:tab w:val="clear" w:pos="8459"/>
              <w:tab w:val="right" w:pos="9026" w:leader="dot"/>
            </w:tabs>
            <w:rPr/>
          </w:pPr>
          <w:hyperlink w:anchor="__RefHeading___Toc2019172_1067777946">
            <w:r>
              <w:rPr>
                <w:webHidden/>
                <w:rStyle w:val="IndexLink"/>
                <w:rtl w:val="true"/>
              </w:rPr>
              <w:t>[</w:t>
            </w:r>
            <w:r>
              <w:rPr>
                <w:rStyle w:val="IndexLink"/>
                <w:rtl w:val="true"/>
              </w:rPr>
              <w:t>النظر الثاني في موجبات الضمان</w:t>
            </w:r>
            <w:r>
              <w:rPr>
                <w:rStyle w:val="IndexLink"/>
                <w:rtl w:val="true"/>
              </w:rPr>
              <w:t>]</w:t>
              <w:tab/>
            </w:r>
            <w:r>
              <w:rPr>
                <w:rStyle w:val="IndexLink"/>
              </w:rPr>
              <w:t>550</w:t>
            </w:r>
          </w:hyperlink>
        </w:p>
        <w:p>
          <w:pPr>
            <w:pStyle w:val="Contents4"/>
            <w:tabs>
              <w:tab w:val="clear" w:pos="8176"/>
              <w:tab w:val="right" w:pos="9026" w:leader="dot"/>
            </w:tabs>
            <w:rPr/>
          </w:pPr>
          <w:hyperlink w:anchor="__RefHeading___Toc2019174_1067777946">
            <w:r>
              <w:rPr>
                <w:webHidden/>
                <w:rStyle w:val="IndexLink"/>
                <w:rtl w:val="true"/>
              </w:rPr>
              <w:t>[</w:t>
            </w:r>
            <w:r>
              <w:rPr>
                <w:rStyle w:val="IndexLink"/>
                <w:rtl w:val="true"/>
              </w:rPr>
              <w:t>التفريط</w:t>
            </w:r>
            <w:r>
              <w:rPr>
                <w:rStyle w:val="IndexLink"/>
                <w:rtl w:val="true"/>
              </w:rPr>
              <w:t>]</w:t>
              <w:tab/>
            </w:r>
            <w:r>
              <w:rPr>
                <w:rStyle w:val="IndexLink"/>
              </w:rPr>
              <w:t>550</w:t>
            </w:r>
          </w:hyperlink>
        </w:p>
        <w:p>
          <w:pPr>
            <w:pStyle w:val="Contents4"/>
            <w:tabs>
              <w:tab w:val="clear" w:pos="8176"/>
              <w:tab w:val="right" w:pos="9026" w:leader="dot"/>
            </w:tabs>
            <w:rPr/>
          </w:pPr>
          <w:hyperlink w:anchor="__RefHeading___Toc2019176_1067777946">
            <w:r>
              <w:rPr>
                <w:webHidden/>
                <w:rStyle w:val="IndexLink"/>
                <w:rtl w:val="true"/>
              </w:rPr>
              <w:t>[</w:t>
            </w:r>
            <w:r>
              <w:rPr>
                <w:rStyle w:val="IndexLink"/>
                <w:rtl w:val="true"/>
              </w:rPr>
              <w:t>التعدّي</w:t>
            </w:r>
            <w:r>
              <w:rPr>
                <w:rStyle w:val="IndexLink"/>
                <w:rtl w:val="true"/>
              </w:rPr>
              <w:t>]</w:t>
              <w:tab/>
            </w:r>
            <w:r>
              <w:rPr>
                <w:rStyle w:val="IndexLink"/>
              </w:rPr>
              <w:t>551</w:t>
            </w:r>
          </w:hyperlink>
        </w:p>
        <w:p>
          <w:pPr>
            <w:pStyle w:val="Contents3"/>
            <w:tabs>
              <w:tab w:val="clear" w:pos="8459"/>
              <w:tab w:val="right" w:pos="9026" w:leader="dot"/>
            </w:tabs>
            <w:rPr/>
          </w:pPr>
          <w:hyperlink w:anchor="__RefHeading___Toc2019178_1067777946">
            <w:r>
              <w:rPr>
                <w:webHidden/>
                <w:rStyle w:val="IndexLink"/>
                <w:rtl w:val="true"/>
              </w:rPr>
              <w:t>[</w:t>
            </w:r>
            <w:r>
              <w:rPr>
                <w:rStyle w:val="IndexLink"/>
                <w:rtl w:val="true"/>
              </w:rPr>
              <w:t>النظر الثالث في اللواحق</w:t>
            </w:r>
            <w:r>
              <w:rPr>
                <w:rStyle w:val="IndexLink"/>
                <w:rtl w:val="true"/>
              </w:rPr>
              <w:t>]</w:t>
              <w:tab/>
            </w:r>
            <w:r>
              <w:rPr>
                <w:rStyle w:val="IndexLink"/>
              </w:rPr>
              <w:t>552</w:t>
            </w:r>
          </w:hyperlink>
        </w:p>
        <w:p>
          <w:pPr>
            <w:pStyle w:val="Contents2"/>
            <w:tabs>
              <w:tab w:val="clear" w:pos="8743"/>
              <w:tab w:val="right" w:pos="9026" w:leader="dot"/>
            </w:tabs>
            <w:rPr/>
          </w:pPr>
          <w:hyperlink w:anchor="__RefHeading___Toc2019180_1067777946">
            <w:r>
              <w:rPr>
                <w:webHidden/>
                <w:rStyle w:val="IndexLink"/>
                <w:rtl w:val="true"/>
              </w:rPr>
              <w:t>كتاب العارية</w:t>
            </w:r>
            <w:r>
              <w:rPr>
                <w:rStyle w:val="IndexLink"/>
                <w:rtl w:val="true"/>
              </w:rPr>
              <w:tab/>
            </w:r>
            <w:r>
              <w:rPr>
                <w:rStyle w:val="IndexLink"/>
              </w:rPr>
              <w:t>555</w:t>
            </w:r>
          </w:hyperlink>
        </w:p>
        <w:p>
          <w:pPr>
            <w:pStyle w:val="Contents3"/>
            <w:tabs>
              <w:tab w:val="clear" w:pos="8459"/>
              <w:tab w:val="right" w:pos="9026" w:leader="dot"/>
            </w:tabs>
            <w:rPr/>
          </w:pPr>
          <w:hyperlink w:anchor="__RefHeading___Toc2019182_1067777946">
            <w:r>
              <w:rPr>
                <w:webHidden/>
                <w:rStyle w:val="IndexLink"/>
                <w:rtl w:val="true"/>
              </w:rPr>
              <w:t>اشارة</w:t>
            </w:r>
            <w:r>
              <w:rPr>
                <w:rStyle w:val="IndexLink"/>
                <w:rtl w:val="true"/>
              </w:rPr>
              <w:tab/>
            </w:r>
            <w:r>
              <w:rPr>
                <w:rStyle w:val="IndexLink"/>
              </w:rPr>
              <w:t>555</w:t>
            </w:r>
          </w:hyperlink>
        </w:p>
        <w:p>
          <w:pPr>
            <w:pStyle w:val="Contents3"/>
            <w:tabs>
              <w:tab w:val="clear" w:pos="8459"/>
              <w:tab w:val="right" w:pos="9026" w:leader="dot"/>
            </w:tabs>
            <w:rPr/>
          </w:pPr>
          <w:hyperlink w:anchor="__RefHeading___Toc2019184_1067777946">
            <w:r>
              <w:rPr>
                <w:webHidden/>
                <w:rStyle w:val="IndexLink"/>
                <w:rtl w:val="true"/>
              </w:rPr>
              <w:t>[</w:t>
            </w:r>
            <w:r>
              <w:rPr>
                <w:rStyle w:val="IndexLink"/>
                <w:rtl w:val="true"/>
              </w:rPr>
              <w:t>المعير</w:t>
            </w:r>
            <w:r>
              <w:rPr>
                <w:rStyle w:val="IndexLink"/>
                <w:rtl w:val="true"/>
              </w:rPr>
              <w:t>]</w:t>
              <w:tab/>
            </w:r>
            <w:r>
              <w:rPr>
                <w:rStyle w:val="IndexLink"/>
              </w:rPr>
              <w:t>555</w:t>
            </w:r>
          </w:hyperlink>
        </w:p>
        <w:p>
          <w:pPr>
            <w:pStyle w:val="Contents3"/>
            <w:tabs>
              <w:tab w:val="clear" w:pos="8459"/>
              <w:tab w:val="right" w:pos="9026" w:leader="dot"/>
            </w:tabs>
            <w:rPr/>
          </w:pPr>
          <w:hyperlink w:anchor="__RefHeading___Toc2019186_1067777946">
            <w:r>
              <w:rPr>
                <w:webHidden/>
                <w:rStyle w:val="IndexLink"/>
                <w:rtl w:val="true"/>
              </w:rPr>
              <w:t>[</w:t>
            </w:r>
            <w:r>
              <w:rPr>
                <w:rStyle w:val="IndexLink"/>
                <w:rtl w:val="true"/>
              </w:rPr>
              <w:t>المستعير</w:t>
            </w:r>
            <w:r>
              <w:rPr>
                <w:rStyle w:val="IndexLink"/>
                <w:rtl w:val="true"/>
              </w:rPr>
              <w:t>]</w:t>
              <w:tab/>
            </w:r>
            <w:r>
              <w:rPr>
                <w:rStyle w:val="IndexLink"/>
              </w:rPr>
              <w:t>556</w:t>
            </w:r>
          </w:hyperlink>
        </w:p>
        <w:p>
          <w:pPr>
            <w:pStyle w:val="Contents3"/>
            <w:tabs>
              <w:tab w:val="clear" w:pos="8459"/>
              <w:tab w:val="right" w:pos="9026" w:leader="dot"/>
            </w:tabs>
            <w:rPr/>
          </w:pPr>
          <w:hyperlink w:anchor="__RefHeading___Toc2019188_1067777946">
            <w:r>
              <w:rPr>
                <w:webHidden/>
                <w:rStyle w:val="IndexLink"/>
                <w:rtl w:val="true"/>
              </w:rPr>
              <w:t>[</w:t>
            </w:r>
            <w:r>
              <w:rPr>
                <w:rStyle w:val="IndexLink"/>
                <w:rtl w:val="true"/>
              </w:rPr>
              <w:t>العين المُعارة</w:t>
            </w:r>
            <w:r>
              <w:rPr>
                <w:rStyle w:val="IndexLink"/>
                <w:rtl w:val="true"/>
              </w:rPr>
              <w:t>]</w:t>
              <w:tab/>
            </w:r>
            <w:r>
              <w:rPr>
                <w:rStyle w:val="IndexLink"/>
              </w:rPr>
              <w:t>557</w:t>
            </w:r>
          </w:hyperlink>
        </w:p>
        <w:p>
          <w:pPr>
            <w:pStyle w:val="Contents3"/>
            <w:tabs>
              <w:tab w:val="clear" w:pos="8459"/>
              <w:tab w:val="right" w:pos="9026" w:leader="dot"/>
            </w:tabs>
            <w:rPr/>
          </w:pPr>
          <w:hyperlink w:anchor="__RefHeading___Toc2019190_1067777946">
            <w:r>
              <w:rPr>
                <w:webHidden/>
                <w:rStyle w:val="IndexLink"/>
                <w:rtl w:val="true"/>
              </w:rPr>
              <w:t>[</w:t>
            </w:r>
            <w:r>
              <w:rPr>
                <w:rStyle w:val="IndexLink"/>
                <w:rtl w:val="true"/>
              </w:rPr>
              <w:t>في الأحكام المتعلّقة بالعارية</w:t>
            </w:r>
            <w:r>
              <w:rPr>
                <w:rStyle w:val="IndexLink"/>
                <w:rtl w:val="true"/>
              </w:rPr>
              <w:t>]</w:t>
              <w:tab/>
            </w:r>
            <w:r>
              <w:rPr>
                <w:rStyle w:val="IndexLink"/>
              </w:rPr>
              <w:t>558</w:t>
            </w:r>
          </w:hyperlink>
        </w:p>
        <w:p>
          <w:pPr>
            <w:pStyle w:val="Contents2"/>
            <w:tabs>
              <w:tab w:val="clear" w:pos="8743"/>
              <w:tab w:val="right" w:pos="9026" w:leader="dot"/>
            </w:tabs>
            <w:rPr/>
          </w:pPr>
          <w:hyperlink w:anchor="__RefHeading___Toc2019192_1067777946">
            <w:r>
              <w:rPr>
                <w:webHidden/>
                <w:rStyle w:val="IndexLink"/>
                <w:rtl w:val="true"/>
              </w:rPr>
              <w:t>كتاب الإجارة</w:t>
            </w:r>
            <w:r>
              <w:rPr>
                <w:rStyle w:val="IndexLink"/>
                <w:rtl w:val="true"/>
              </w:rPr>
              <w:tab/>
            </w:r>
            <w:r>
              <w:rPr>
                <w:rStyle w:val="IndexLink"/>
              </w:rPr>
              <w:t>563</w:t>
            </w:r>
          </w:hyperlink>
        </w:p>
        <w:p>
          <w:pPr>
            <w:pStyle w:val="Contents3"/>
            <w:tabs>
              <w:tab w:val="clear" w:pos="8459"/>
              <w:tab w:val="right" w:pos="9026" w:leader="dot"/>
            </w:tabs>
            <w:rPr/>
          </w:pPr>
          <w:hyperlink w:anchor="__RefHeading___Toc2019194_1067777946">
            <w:r>
              <w:rPr>
                <w:webHidden/>
                <w:rStyle w:val="IndexLink"/>
                <w:rtl w:val="true"/>
              </w:rPr>
              <w:t>[</w:t>
            </w:r>
            <w:r>
              <w:rPr>
                <w:rStyle w:val="IndexLink"/>
                <w:rtl w:val="true"/>
              </w:rPr>
              <w:t>الفصل الأوّل في العقد</w:t>
            </w:r>
            <w:r>
              <w:rPr>
                <w:rStyle w:val="IndexLink"/>
                <w:rtl w:val="true"/>
              </w:rPr>
              <w:t>]</w:t>
              <w:tab/>
            </w:r>
            <w:r>
              <w:rPr>
                <w:rStyle w:val="IndexLink"/>
              </w:rPr>
              <w:t>563</w:t>
            </w:r>
          </w:hyperlink>
        </w:p>
        <w:p>
          <w:pPr>
            <w:pStyle w:val="Contents3"/>
            <w:tabs>
              <w:tab w:val="clear" w:pos="8459"/>
              <w:tab w:val="right" w:pos="9026" w:leader="dot"/>
            </w:tabs>
            <w:rPr/>
          </w:pPr>
          <w:hyperlink w:anchor="__RefHeading___Toc2019196_1067777946">
            <w:r>
              <w:rPr>
                <w:webHidden/>
                <w:rStyle w:val="IndexLink"/>
                <w:rtl w:val="true"/>
              </w:rPr>
              <w:t>[</w:t>
            </w:r>
            <w:r>
              <w:rPr>
                <w:rStyle w:val="IndexLink"/>
                <w:rtl w:val="true"/>
              </w:rPr>
              <w:t>الفصل الثاني في شرائطها</w:t>
            </w:r>
            <w:r>
              <w:rPr>
                <w:rStyle w:val="IndexLink"/>
                <w:rtl w:val="true"/>
              </w:rPr>
              <w:t>]</w:t>
              <w:tab/>
            </w:r>
            <w:r>
              <w:rPr>
                <w:rStyle w:val="IndexLink"/>
              </w:rPr>
              <w:t>564</w:t>
            </w:r>
          </w:hyperlink>
        </w:p>
        <w:p>
          <w:pPr>
            <w:pStyle w:val="Contents3"/>
            <w:tabs>
              <w:tab w:val="clear" w:pos="8459"/>
              <w:tab w:val="right" w:pos="9026" w:leader="dot"/>
            </w:tabs>
            <w:rPr/>
          </w:pPr>
          <w:hyperlink w:anchor="__RefHeading___Toc2019198_1067777946">
            <w:r>
              <w:rPr>
                <w:webHidden/>
                <w:rStyle w:val="IndexLink"/>
                <w:rtl w:val="true"/>
              </w:rPr>
              <w:t>[</w:t>
            </w:r>
            <w:r>
              <w:rPr>
                <w:rStyle w:val="IndexLink"/>
                <w:rtl w:val="true"/>
              </w:rPr>
              <w:t>الفصل الثالث في أحكامها</w:t>
            </w:r>
            <w:r>
              <w:rPr>
                <w:rStyle w:val="IndexLink"/>
                <w:rtl w:val="true"/>
              </w:rPr>
              <w:t>]</w:t>
              <w:tab/>
            </w:r>
            <w:r>
              <w:rPr>
                <w:rStyle w:val="IndexLink"/>
              </w:rPr>
              <w:t>576</w:t>
            </w:r>
          </w:hyperlink>
        </w:p>
        <w:p>
          <w:pPr>
            <w:pStyle w:val="Contents3"/>
            <w:tabs>
              <w:tab w:val="clear" w:pos="8459"/>
              <w:tab w:val="right" w:pos="9026" w:leader="dot"/>
            </w:tabs>
            <w:rPr/>
          </w:pPr>
          <w:hyperlink w:anchor="__RefHeading___Toc2019200_1067777946">
            <w:r>
              <w:rPr>
                <w:webHidden/>
                <w:rStyle w:val="IndexLink"/>
                <w:rtl w:val="true"/>
              </w:rPr>
              <w:t>[</w:t>
            </w:r>
            <w:r>
              <w:rPr>
                <w:rStyle w:val="IndexLink"/>
                <w:rtl w:val="true"/>
              </w:rPr>
              <w:t>الفصل الرابع في التنازع</w:t>
            </w:r>
            <w:r>
              <w:rPr>
                <w:rStyle w:val="IndexLink"/>
                <w:rtl w:val="true"/>
              </w:rPr>
              <w:t>]</w:t>
              <w:tab/>
            </w:r>
            <w:r>
              <w:rPr>
                <w:rStyle w:val="IndexLink"/>
              </w:rPr>
              <w:t>579</w:t>
            </w:r>
          </w:hyperlink>
        </w:p>
        <w:p>
          <w:pPr>
            <w:pStyle w:val="Contents2"/>
            <w:tabs>
              <w:tab w:val="clear" w:pos="8743"/>
              <w:tab w:val="right" w:pos="9026" w:leader="dot"/>
            </w:tabs>
            <w:rPr/>
          </w:pPr>
          <w:hyperlink w:anchor="__RefHeading___Toc2019202_1067777946">
            <w:r>
              <w:rPr>
                <w:webHidden/>
                <w:rStyle w:val="IndexLink"/>
                <w:rtl w:val="true"/>
              </w:rPr>
              <w:t>كتاب الوكالة</w:t>
            </w:r>
            <w:r>
              <w:rPr>
                <w:rStyle w:val="IndexLink"/>
                <w:rtl w:val="true"/>
              </w:rPr>
              <w:tab/>
            </w:r>
            <w:r>
              <w:rPr>
                <w:rStyle w:val="IndexLink"/>
              </w:rPr>
              <w:t>581</w:t>
            </w:r>
          </w:hyperlink>
        </w:p>
        <w:p>
          <w:pPr>
            <w:pStyle w:val="Contents3"/>
            <w:tabs>
              <w:tab w:val="clear" w:pos="8459"/>
              <w:tab w:val="right" w:pos="9026" w:leader="dot"/>
            </w:tabs>
            <w:rPr/>
          </w:pPr>
          <w:hyperlink w:anchor="__RefHeading___Toc2019204_1067777946">
            <w:r>
              <w:rPr>
                <w:webHidden/>
                <w:rStyle w:val="IndexLink"/>
                <w:rtl w:val="true"/>
              </w:rPr>
              <w:t>[</w:t>
            </w:r>
            <w:r>
              <w:rPr>
                <w:rStyle w:val="IndexLink"/>
                <w:rtl w:val="true"/>
              </w:rPr>
              <w:t>الفصل الأوّل في العقد</w:t>
            </w:r>
            <w:r>
              <w:rPr>
                <w:rStyle w:val="IndexLink"/>
                <w:rtl w:val="true"/>
              </w:rPr>
              <w:t>]</w:t>
              <w:tab/>
            </w:r>
            <w:r>
              <w:rPr>
                <w:rStyle w:val="IndexLink"/>
              </w:rPr>
              <w:t>581</w:t>
            </w:r>
          </w:hyperlink>
        </w:p>
        <w:p>
          <w:pPr>
            <w:pStyle w:val="Contents3"/>
            <w:tabs>
              <w:tab w:val="clear" w:pos="8459"/>
              <w:tab w:val="right" w:pos="9026" w:leader="dot"/>
            </w:tabs>
            <w:rPr/>
          </w:pPr>
          <w:hyperlink w:anchor="__RefHeading___Toc2019206_1067777946">
            <w:r>
              <w:rPr>
                <w:webHidden/>
                <w:rStyle w:val="IndexLink"/>
                <w:rtl w:val="true"/>
              </w:rPr>
              <w:t>[</w:t>
            </w:r>
            <w:r>
              <w:rPr>
                <w:rStyle w:val="IndexLink"/>
                <w:rtl w:val="true"/>
              </w:rPr>
              <w:t>الفصل الثاني فيما لاتصحّ فيه النيابة وما تصحّ فيه</w:t>
            </w:r>
            <w:r>
              <w:rPr>
                <w:rStyle w:val="IndexLink"/>
                <w:rtl w:val="true"/>
              </w:rPr>
              <w:t>]</w:t>
              <w:tab/>
            </w:r>
            <w:r>
              <w:rPr>
                <w:rStyle w:val="IndexLink"/>
              </w:rPr>
              <w:t>584</w:t>
            </w:r>
          </w:hyperlink>
        </w:p>
        <w:p>
          <w:pPr>
            <w:pStyle w:val="Contents3"/>
            <w:tabs>
              <w:tab w:val="clear" w:pos="8459"/>
              <w:tab w:val="right" w:pos="9026" w:leader="dot"/>
            </w:tabs>
            <w:rPr/>
          </w:pPr>
          <w:hyperlink w:anchor="__RefHeading___Toc2019208_1067777946">
            <w:r>
              <w:rPr>
                <w:webHidden/>
                <w:rStyle w:val="IndexLink"/>
                <w:rtl w:val="true"/>
              </w:rPr>
              <w:t>[</w:t>
            </w:r>
            <w:r>
              <w:rPr>
                <w:rStyle w:val="IndexLink"/>
                <w:rtl w:val="true"/>
              </w:rPr>
              <w:t>الفصل الثالث في الموكّل</w:t>
            </w:r>
            <w:r>
              <w:rPr>
                <w:rStyle w:val="IndexLink"/>
                <w:rtl w:val="true"/>
              </w:rPr>
              <w:t>]</w:t>
              <w:tab/>
            </w:r>
            <w:r>
              <w:rPr>
                <w:rStyle w:val="IndexLink"/>
              </w:rPr>
              <w:t>585</w:t>
            </w:r>
          </w:hyperlink>
        </w:p>
        <w:p>
          <w:pPr>
            <w:pStyle w:val="Contents3"/>
            <w:tabs>
              <w:tab w:val="clear" w:pos="8459"/>
              <w:tab w:val="right" w:pos="9026" w:leader="dot"/>
            </w:tabs>
            <w:rPr/>
          </w:pPr>
          <w:hyperlink w:anchor="__RefHeading___Toc2019210_1067777946">
            <w:r>
              <w:rPr>
                <w:webHidden/>
                <w:rStyle w:val="IndexLink"/>
                <w:rtl w:val="true"/>
              </w:rPr>
              <w:t>[</w:t>
            </w:r>
            <w:r>
              <w:rPr>
                <w:rStyle w:val="IndexLink"/>
                <w:rtl w:val="true"/>
              </w:rPr>
              <w:t>الفصل الرابع في الوكيل</w:t>
            </w:r>
            <w:r>
              <w:rPr>
                <w:rStyle w:val="IndexLink"/>
                <w:rtl w:val="true"/>
              </w:rPr>
              <w:t>]</w:t>
              <w:tab/>
            </w:r>
            <w:r>
              <w:rPr>
                <w:rStyle w:val="IndexLink"/>
              </w:rPr>
              <w:t>587</w:t>
            </w:r>
          </w:hyperlink>
        </w:p>
        <w:p>
          <w:pPr>
            <w:pStyle w:val="Contents3"/>
            <w:tabs>
              <w:tab w:val="clear" w:pos="8459"/>
              <w:tab w:val="right" w:pos="9026" w:leader="dot"/>
            </w:tabs>
            <w:rPr/>
          </w:pPr>
          <w:hyperlink w:anchor="__RefHeading___Toc2019212_1067777946">
            <w:r>
              <w:rPr>
                <w:webHidden/>
                <w:rStyle w:val="IndexLink"/>
                <w:rtl w:val="true"/>
              </w:rPr>
              <w:t>[</w:t>
            </w:r>
            <w:r>
              <w:rPr>
                <w:rStyle w:val="IndexLink"/>
                <w:rtl w:val="true"/>
              </w:rPr>
              <w:t>الفصل الخامس فيما به تثبت الوكالة</w:t>
            </w:r>
            <w:r>
              <w:rPr>
                <w:rStyle w:val="IndexLink"/>
                <w:rtl w:val="true"/>
              </w:rPr>
              <w:t>]</w:t>
              <w:tab/>
            </w:r>
            <w:r>
              <w:rPr>
                <w:rStyle w:val="IndexLink"/>
              </w:rPr>
              <w:t>590</w:t>
            </w:r>
          </w:hyperlink>
        </w:p>
        <w:p>
          <w:pPr>
            <w:pStyle w:val="Contents3"/>
            <w:tabs>
              <w:tab w:val="clear" w:pos="8459"/>
              <w:tab w:val="right" w:pos="9026" w:leader="dot"/>
            </w:tabs>
            <w:rPr/>
          </w:pPr>
          <w:hyperlink w:anchor="__RefHeading___Toc2019214_1067777946">
            <w:r>
              <w:rPr>
                <w:webHidden/>
                <w:rStyle w:val="IndexLink"/>
                <w:rtl w:val="true"/>
              </w:rPr>
              <w:t>[</w:t>
            </w:r>
            <w:r>
              <w:rPr>
                <w:rStyle w:val="IndexLink"/>
                <w:rtl w:val="true"/>
              </w:rPr>
              <w:t>الفصل السادس في اللواحق</w:t>
            </w:r>
            <w:r>
              <w:rPr>
                <w:rStyle w:val="IndexLink"/>
                <w:rtl w:val="true"/>
              </w:rPr>
              <w:t>]</w:t>
              <w:tab/>
            </w:r>
            <w:r>
              <w:rPr>
                <w:rStyle w:val="IndexLink"/>
              </w:rPr>
              <w:t>592</w:t>
            </w:r>
          </w:hyperlink>
        </w:p>
        <w:p>
          <w:pPr>
            <w:pStyle w:val="Contents3"/>
            <w:tabs>
              <w:tab w:val="clear" w:pos="8459"/>
              <w:tab w:val="right" w:pos="9026" w:leader="dot"/>
            </w:tabs>
            <w:rPr/>
          </w:pPr>
          <w:hyperlink w:anchor="__RefHeading___Toc2019216_1067777946">
            <w:r>
              <w:rPr>
                <w:webHidden/>
                <w:rStyle w:val="IndexLink"/>
                <w:rtl w:val="true"/>
              </w:rPr>
              <w:t>[</w:t>
            </w:r>
            <w:r>
              <w:rPr>
                <w:rStyle w:val="IndexLink"/>
                <w:rtl w:val="true"/>
              </w:rPr>
              <w:t>الفصل السابع في التنازع</w:t>
            </w:r>
            <w:r>
              <w:rPr>
                <w:rStyle w:val="IndexLink"/>
                <w:rtl w:val="true"/>
              </w:rPr>
              <w:t>]</w:t>
              <w:tab/>
            </w:r>
            <w:r>
              <w:rPr>
                <w:rStyle w:val="IndexLink"/>
              </w:rPr>
              <w:t>593</w:t>
            </w:r>
          </w:hyperlink>
        </w:p>
        <w:p>
          <w:pPr>
            <w:pStyle w:val="Contents2"/>
            <w:tabs>
              <w:tab w:val="clear" w:pos="8743"/>
              <w:tab w:val="right" w:pos="9026" w:leader="dot"/>
            </w:tabs>
            <w:rPr/>
          </w:pPr>
          <w:hyperlink w:anchor="__RefHeading___Toc2019218_1067777946">
            <w:r>
              <w:rPr>
                <w:webHidden/>
                <w:rStyle w:val="IndexLink"/>
                <w:rtl w:val="true"/>
              </w:rPr>
              <w:t>كتاب الوقوف والصدقات</w:t>
            </w:r>
            <w:r>
              <w:rPr>
                <w:rStyle w:val="IndexLink"/>
                <w:rtl w:val="true"/>
              </w:rPr>
              <w:tab/>
            </w:r>
            <w:r>
              <w:rPr>
                <w:rStyle w:val="IndexLink"/>
              </w:rPr>
              <w:t>595</w:t>
            </w:r>
          </w:hyperlink>
        </w:p>
        <w:p>
          <w:pPr>
            <w:pStyle w:val="Contents3"/>
            <w:tabs>
              <w:tab w:val="clear" w:pos="8459"/>
              <w:tab w:val="right" w:pos="9026" w:leader="dot"/>
            </w:tabs>
            <w:rPr/>
          </w:pPr>
          <w:hyperlink w:anchor="__RefHeading___Toc2019220_1067777946">
            <w:r>
              <w:rPr>
                <w:webHidden/>
                <w:rStyle w:val="IndexLink"/>
                <w:rtl w:val="true"/>
              </w:rPr>
              <w:t>[</w:t>
            </w:r>
            <w:r>
              <w:rPr>
                <w:rStyle w:val="IndexLink"/>
                <w:rtl w:val="true"/>
              </w:rPr>
              <w:t>الوقف</w:t>
            </w:r>
            <w:r>
              <w:rPr>
                <w:rStyle w:val="IndexLink"/>
                <w:rtl w:val="true"/>
              </w:rPr>
              <w:t>]</w:t>
              <w:tab/>
            </w:r>
            <w:r>
              <w:rPr>
                <w:rStyle w:val="IndexLink"/>
              </w:rPr>
              <w:t>595</w:t>
            </w:r>
          </w:hyperlink>
        </w:p>
        <w:p>
          <w:pPr>
            <w:pStyle w:val="Contents4"/>
            <w:tabs>
              <w:tab w:val="clear" w:pos="8176"/>
              <w:tab w:val="right" w:pos="9026" w:leader="dot"/>
            </w:tabs>
            <w:rPr/>
          </w:pPr>
          <w:hyperlink w:anchor="__RefHeading___Toc2019222_1067777946">
            <w:r>
              <w:rPr>
                <w:webHidden/>
                <w:rStyle w:val="IndexLink"/>
                <w:rtl w:val="true"/>
              </w:rPr>
              <w:t>[</w:t>
            </w:r>
            <w:r>
              <w:rPr>
                <w:rStyle w:val="IndexLink"/>
                <w:rtl w:val="true"/>
              </w:rPr>
              <w:t>العقد</w:t>
            </w:r>
            <w:r>
              <w:rPr>
                <w:rStyle w:val="IndexLink"/>
                <w:rtl w:val="true"/>
              </w:rPr>
              <w:t>]</w:t>
              <w:tab/>
            </w:r>
            <w:r>
              <w:rPr>
                <w:rStyle w:val="IndexLink"/>
              </w:rPr>
              <w:t>595</w:t>
            </w:r>
          </w:hyperlink>
        </w:p>
        <w:p>
          <w:pPr>
            <w:pStyle w:val="Contents4"/>
            <w:tabs>
              <w:tab w:val="clear" w:pos="8176"/>
              <w:tab w:val="right" w:pos="9026" w:leader="dot"/>
            </w:tabs>
            <w:rPr/>
          </w:pPr>
          <w:hyperlink w:anchor="__RefHeading___Toc2019224_1067777946">
            <w:r>
              <w:rPr>
                <w:webHidden/>
                <w:rStyle w:val="IndexLink"/>
                <w:rtl w:val="true"/>
              </w:rPr>
              <w:t>[</w:t>
            </w:r>
            <w:r>
              <w:rPr>
                <w:rStyle w:val="IndexLink"/>
                <w:rtl w:val="true"/>
              </w:rPr>
              <w:t>في الشرائط</w:t>
            </w:r>
            <w:r>
              <w:rPr>
                <w:rStyle w:val="IndexLink"/>
                <w:rtl w:val="true"/>
              </w:rPr>
              <w:t>]</w:t>
              <w:tab/>
            </w:r>
            <w:r>
              <w:rPr>
                <w:rStyle w:val="IndexLink"/>
              </w:rPr>
              <w:t>596</w:t>
            </w:r>
          </w:hyperlink>
        </w:p>
        <w:p>
          <w:pPr>
            <w:pStyle w:val="Contents5"/>
            <w:tabs>
              <w:tab w:val="clear" w:pos="7892"/>
              <w:tab w:val="right" w:pos="9026" w:leader="dot"/>
            </w:tabs>
            <w:rPr/>
          </w:pPr>
          <w:hyperlink w:anchor="__RefHeading___Toc2019226_1067777946">
            <w:r>
              <w:rPr>
                <w:webHidden/>
                <w:rStyle w:val="IndexLink"/>
                <w:rtl w:val="true"/>
              </w:rPr>
              <w:t>[</w:t>
            </w:r>
            <w:r>
              <w:rPr>
                <w:rStyle w:val="IndexLink"/>
                <w:rtl w:val="true"/>
              </w:rPr>
              <w:t>شرائط الموقوف</w:t>
            </w:r>
            <w:r>
              <w:rPr>
                <w:rStyle w:val="IndexLink"/>
                <w:rtl w:val="true"/>
              </w:rPr>
              <w:t>]</w:t>
              <w:tab/>
            </w:r>
            <w:r>
              <w:rPr>
                <w:rStyle w:val="IndexLink"/>
              </w:rPr>
              <w:t>596</w:t>
            </w:r>
          </w:hyperlink>
        </w:p>
        <w:p>
          <w:pPr>
            <w:pStyle w:val="Contents5"/>
            <w:tabs>
              <w:tab w:val="clear" w:pos="7892"/>
              <w:tab w:val="right" w:pos="9026" w:leader="dot"/>
            </w:tabs>
            <w:rPr/>
          </w:pPr>
          <w:hyperlink w:anchor="__RefHeading___Toc2019228_1067777946">
            <w:r>
              <w:rPr>
                <w:webHidden/>
                <w:rStyle w:val="IndexLink"/>
                <w:rtl w:val="true"/>
              </w:rPr>
              <w:t>[</w:t>
            </w:r>
            <w:r>
              <w:rPr>
                <w:rStyle w:val="IndexLink"/>
                <w:rtl w:val="true"/>
              </w:rPr>
              <w:t>شرائط الواقف</w:t>
            </w:r>
            <w:r>
              <w:rPr>
                <w:rStyle w:val="IndexLink"/>
                <w:rtl w:val="true"/>
              </w:rPr>
              <w:t>]</w:t>
              <w:tab/>
            </w:r>
            <w:r>
              <w:rPr>
                <w:rStyle w:val="IndexLink"/>
              </w:rPr>
              <w:t>596</w:t>
            </w:r>
          </w:hyperlink>
        </w:p>
        <w:p>
          <w:pPr>
            <w:pStyle w:val="Contents5"/>
            <w:tabs>
              <w:tab w:val="clear" w:pos="7892"/>
              <w:tab w:val="right" w:pos="9026" w:leader="dot"/>
            </w:tabs>
            <w:rPr/>
          </w:pPr>
          <w:hyperlink w:anchor="__RefHeading___Toc2019230_1067777946">
            <w:r>
              <w:rPr>
                <w:webHidden/>
                <w:rStyle w:val="IndexLink"/>
                <w:rtl w:val="true"/>
              </w:rPr>
              <w:t>[</w:t>
            </w:r>
            <w:r>
              <w:rPr>
                <w:rStyle w:val="IndexLink"/>
                <w:rtl w:val="true"/>
              </w:rPr>
              <w:t>شرائط الموقوف عليه</w:t>
            </w:r>
            <w:r>
              <w:rPr>
                <w:rStyle w:val="IndexLink"/>
                <w:rtl w:val="true"/>
              </w:rPr>
              <w:t>]</w:t>
              <w:tab/>
            </w:r>
            <w:r>
              <w:rPr>
                <w:rStyle w:val="IndexLink"/>
              </w:rPr>
              <w:t>597</w:t>
            </w:r>
          </w:hyperlink>
        </w:p>
        <w:p>
          <w:pPr>
            <w:pStyle w:val="Contents5"/>
            <w:tabs>
              <w:tab w:val="clear" w:pos="7892"/>
              <w:tab w:val="right" w:pos="9026" w:leader="dot"/>
            </w:tabs>
            <w:rPr/>
          </w:pPr>
          <w:hyperlink w:anchor="__RefHeading___Toc2019232_1067777946">
            <w:r>
              <w:rPr>
                <w:webHidden/>
                <w:rStyle w:val="IndexLink"/>
                <w:rtl w:val="true"/>
              </w:rPr>
              <w:t>[</w:t>
            </w:r>
            <w:r>
              <w:rPr>
                <w:rStyle w:val="IndexLink"/>
                <w:rtl w:val="true"/>
              </w:rPr>
              <w:t>شرائط الوقف</w:t>
            </w:r>
            <w:r>
              <w:rPr>
                <w:rStyle w:val="IndexLink"/>
                <w:rtl w:val="true"/>
              </w:rPr>
              <w:t>]</w:t>
              <w:tab/>
            </w:r>
            <w:r>
              <w:rPr>
                <w:rStyle w:val="IndexLink"/>
              </w:rPr>
              <w:t>601</w:t>
            </w:r>
          </w:hyperlink>
        </w:p>
        <w:p>
          <w:pPr>
            <w:pStyle w:val="Contents4"/>
            <w:tabs>
              <w:tab w:val="clear" w:pos="8176"/>
              <w:tab w:val="right" w:pos="9026" w:leader="dot"/>
            </w:tabs>
            <w:rPr/>
          </w:pPr>
          <w:hyperlink w:anchor="__RefHeading___Toc2019234_1067777946">
            <w:r>
              <w:rPr>
                <w:webHidden/>
                <w:rStyle w:val="IndexLink"/>
                <w:rtl w:val="true"/>
              </w:rPr>
              <w:t>[</w:t>
            </w:r>
            <w:r>
              <w:rPr>
                <w:rStyle w:val="IndexLink"/>
                <w:rtl w:val="true"/>
              </w:rPr>
              <w:t>النظر الثالث في اللواحق</w:t>
            </w:r>
            <w:r>
              <w:rPr>
                <w:rStyle w:val="IndexLink"/>
                <w:rtl w:val="true"/>
              </w:rPr>
              <w:t>]</w:t>
              <w:tab/>
            </w:r>
            <w:r>
              <w:rPr>
                <w:rStyle w:val="IndexLink"/>
              </w:rPr>
              <w:t>603</w:t>
            </w:r>
          </w:hyperlink>
        </w:p>
        <w:p>
          <w:pPr>
            <w:pStyle w:val="Contents3"/>
            <w:tabs>
              <w:tab w:val="clear" w:pos="8459"/>
              <w:tab w:val="right" w:pos="9026" w:leader="dot"/>
            </w:tabs>
            <w:rPr/>
          </w:pPr>
          <w:hyperlink w:anchor="__RefHeading___Toc2019236_1067777946">
            <w:r>
              <w:rPr>
                <w:webHidden/>
                <w:rStyle w:val="IndexLink"/>
                <w:rtl w:val="true"/>
              </w:rPr>
              <w:t>[</w:t>
            </w:r>
            <w:r>
              <w:rPr>
                <w:rStyle w:val="IndexLink"/>
                <w:rtl w:val="true"/>
              </w:rPr>
              <w:t>الصدقة</w:t>
            </w:r>
            <w:r>
              <w:rPr>
                <w:rStyle w:val="IndexLink"/>
                <w:rtl w:val="true"/>
              </w:rPr>
              <w:t>]</w:t>
              <w:tab/>
            </w:r>
            <w:r>
              <w:rPr>
                <w:rStyle w:val="IndexLink"/>
              </w:rPr>
              <w:t>607</w:t>
            </w:r>
          </w:hyperlink>
        </w:p>
        <w:p>
          <w:pPr>
            <w:pStyle w:val="Contents2"/>
            <w:tabs>
              <w:tab w:val="clear" w:pos="8743"/>
              <w:tab w:val="right" w:pos="9026" w:leader="dot"/>
            </w:tabs>
            <w:rPr/>
          </w:pPr>
          <w:hyperlink w:anchor="__RefHeading___Toc2019238_1067777946">
            <w:r>
              <w:rPr>
                <w:webHidden/>
                <w:rStyle w:val="IndexLink"/>
                <w:rtl w:val="true"/>
              </w:rPr>
              <w:t>كتاب السكنى والحبس</w:t>
            </w:r>
            <w:r>
              <w:rPr>
                <w:rStyle w:val="IndexLink"/>
                <w:rtl w:val="true"/>
              </w:rPr>
              <w:tab/>
            </w:r>
            <w:r>
              <w:rPr>
                <w:rStyle w:val="IndexLink"/>
              </w:rPr>
              <w:t>609</w:t>
            </w:r>
          </w:hyperlink>
        </w:p>
        <w:p>
          <w:pPr>
            <w:pStyle w:val="Contents2"/>
            <w:tabs>
              <w:tab w:val="clear" w:pos="8743"/>
              <w:tab w:val="right" w:pos="9026" w:leader="dot"/>
            </w:tabs>
            <w:rPr/>
          </w:pPr>
          <w:hyperlink w:anchor="__RefHeading___Toc2019240_1067777946">
            <w:r>
              <w:rPr>
                <w:webHidden/>
                <w:rStyle w:val="IndexLink"/>
                <w:rtl w:val="true"/>
              </w:rPr>
              <w:t>كتاب الهبات</w:t>
            </w:r>
            <w:r>
              <w:rPr>
                <w:rStyle w:val="IndexLink"/>
                <w:rtl w:val="true"/>
              </w:rPr>
              <w:tab/>
            </w:r>
            <w:r>
              <w:rPr>
                <w:rStyle w:val="IndexLink"/>
              </w:rPr>
              <w:t>613</w:t>
            </w:r>
          </w:hyperlink>
        </w:p>
        <w:p>
          <w:pPr>
            <w:pStyle w:val="Contents3"/>
            <w:tabs>
              <w:tab w:val="clear" w:pos="8459"/>
              <w:tab w:val="right" w:pos="9026" w:leader="dot"/>
            </w:tabs>
            <w:rPr/>
          </w:pPr>
          <w:hyperlink w:anchor="__RefHeading___Toc2019242_1067777946">
            <w:r>
              <w:rPr>
                <w:webHidden/>
                <w:rStyle w:val="IndexLink"/>
                <w:rtl w:val="true"/>
              </w:rPr>
              <w:t>اشارة</w:t>
            </w:r>
            <w:r>
              <w:rPr>
                <w:rStyle w:val="IndexLink"/>
                <w:rtl w:val="true"/>
              </w:rPr>
              <w:tab/>
            </w:r>
            <w:r>
              <w:rPr>
                <w:rStyle w:val="IndexLink"/>
              </w:rPr>
              <w:t>613</w:t>
            </w:r>
          </w:hyperlink>
        </w:p>
        <w:p>
          <w:pPr>
            <w:pStyle w:val="Contents3"/>
            <w:tabs>
              <w:tab w:val="clear" w:pos="8459"/>
              <w:tab w:val="right" w:pos="9026" w:leader="dot"/>
            </w:tabs>
            <w:rPr/>
          </w:pPr>
          <w:hyperlink w:anchor="__RefHeading___Toc2019244_1067777946">
            <w:r>
              <w:rPr>
                <w:webHidden/>
                <w:rStyle w:val="IndexLink"/>
                <w:rtl w:val="true"/>
              </w:rPr>
              <w:t>[</w:t>
            </w:r>
            <w:r>
              <w:rPr>
                <w:rStyle w:val="IndexLink"/>
                <w:rtl w:val="true"/>
              </w:rPr>
              <w:t>حقيقة الهبة</w:t>
            </w:r>
            <w:r>
              <w:rPr>
                <w:rStyle w:val="IndexLink"/>
                <w:rtl w:val="true"/>
              </w:rPr>
              <w:t>]</w:t>
              <w:tab/>
            </w:r>
            <w:r>
              <w:rPr>
                <w:rStyle w:val="IndexLink"/>
              </w:rPr>
              <w:t>613</w:t>
            </w:r>
          </w:hyperlink>
        </w:p>
        <w:p>
          <w:pPr>
            <w:pStyle w:val="Contents3"/>
            <w:tabs>
              <w:tab w:val="clear" w:pos="8459"/>
              <w:tab w:val="right" w:pos="9026" w:leader="dot"/>
            </w:tabs>
            <w:rPr/>
          </w:pPr>
          <w:hyperlink w:anchor="__RefHeading___Toc2019246_1067777946">
            <w:r>
              <w:rPr>
                <w:webHidden/>
                <w:rStyle w:val="IndexLink"/>
                <w:rtl w:val="true"/>
              </w:rPr>
              <w:t>[</w:t>
            </w:r>
            <w:r>
              <w:rPr>
                <w:rStyle w:val="IndexLink"/>
                <w:rtl w:val="true"/>
              </w:rPr>
              <w:t>في حكم الهبات</w:t>
            </w:r>
            <w:r>
              <w:rPr>
                <w:rStyle w:val="IndexLink"/>
                <w:rtl w:val="true"/>
              </w:rPr>
              <w:t>]</w:t>
              <w:tab/>
            </w:r>
            <w:r>
              <w:rPr>
                <w:rStyle w:val="IndexLink"/>
              </w:rPr>
              <w:t>615</w:t>
            </w:r>
          </w:hyperlink>
        </w:p>
        <w:p>
          <w:pPr>
            <w:pStyle w:val="Contents2"/>
            <w:tabs>
              <w:tab w:val="clear" w:pos="8743"/>
              <w:tab w:val="right" w:pos="9026" w:leader="dot"/>
            </w:tabs>
            <w:rPr/>
          </w:pPr>
          <w:hyperlink w:anchor="__RefHeading___Toc2019248_1067777946">
            <w:r>
              <w:rPr>
                <w:webHidden/>
                <w:rStyle w:val="IndexLink"/>
                <w:rtl w:val="true"/>
              </w:rPr>
              <w:t>كتاب السبق والرماية</w:t>
            </w:r>
            <w:r>
              <w:rPr>
                <w:rStyle w:val="IndexLink"/>
                <w:rtl w:val="true"/>
              </w:rPr>
              <w:tab/>
            </w:r>
            <w:r>
              <w:rPr>
                <w:rStyle w:val="IndexLink"/>
              </w:rPr>
              <w:t>619</w:t>
            </w:r>
          </w:hyperlink>
        </w:p>
        <w:p>
          <w:pPr>
            <w:pStyle w:val="Contents3"/>
            <w:tabs>
              <w:tab w:val="clear" w:pos="8459"/>
              <w:tab w:val="right" w:pos="9026" w:leader="dot"/>
            </w:tabs>
            <w:rPr/>
          </w:pPr>
          <w:hyperlink w:anchor="__RefHeading___Toc2019250_1067777946">
            <w:r>
              <w:rPr>
                <w:webHidden/>
                <w:rStyle w:val="IndexLink"/>
                <w:rtl w:val="true"/>
              </w:rPr>
              <w:t>[</w:t>
            </w:r>
            <w:r>
              <w:rPr>
                <w:rStyle w:val="IndexLink"/>
                <w:rtl w:val="true"/>
              </w:rPr>
              <w:t>الفصل الأوّل في الألفاظ المستعملة فيه</w:t>
            </w:r>
            <w:r>
              <w:rPr>
                <w:rStyle w:val="IndexLink"/>
                <w:rtl w:val="true"/>
              </w:rPr>
              <w:t>]</w:t>
              <w:tab/>
            </w:r>
            <w:r>
              <w:rPr>
                <w:rStyle w:val="IndexLink"/>
              </w:rPr>
              <w:t>619</w:t>
            </w:r>
          </w:hyperlink>
        </w:p>
        <w:p>
          <w:pPr>
            <w:pStyle w:val="Contents3"/>
            <w:tabs>
              <w:tab w:val="clear" w:pos="8459"/>
              <w:tab w:val="right" w:pos="9026" w:leader="dot"/>
            </w:tabs>
            <w:rPr/>
          </w:pPr>
          <w:hyperlink w:anchor="__RefHeading___Toc2019252_1067777946">
            <w:r>
              <w:rPr>
                <w:webHidden/>
                <w:rStyle w:val="IndexLink"/>
                <w:rtl w:val="true"/>
              </w:rPr>
              <w:t>[</w:t>
            </w:r>
            <w:r>
              <w:rPr>
                <w:rStyle w:val="IndexLink"/>
                <w:rtl w:val="true"/>
              </w:rPr>
              <w:t>الفصل الثاني في مايسابق به</w:t>
            </w:r>
            <w:r>
              <w:rPr>
                <w:rStyle w:val="IndexLink"/>
                <w:rtl w:val="true"/>
              </w:rPr>
              <w:t>]</w:t>
              <w:tab/>
            </w:r>
            <w:r>
              <w:rPr>
                <w:rStyle w:val="IndexLink"/>
              </w:rPr>
              <w:t>623</w:t>
            </w:r>
          </w:hyperlink>
        </w:p>
        <w:p>
          <w:pPr>
            <w:pStyle w:val="Contents3"/>
            <w:tabs>
              <w:tab w:val="clear" w:pos="8459"/>
              <w:tab w:val="right" w:pos="9026" w:leader="dot"/>
            </w:tabs>
            <w:rPr/>
          </w:pPr>
          <w:hyperlink w:anchor="__RefHeading___Toc2019254_1067777946">
            <w:r>
              <w:rPr>
                <w:webHidden/>
                <w:rStyle w:val="IndexLink"/>
                <w:rtl w:val="true"/>
              </w:rPr>
              <w:t>[</w:t>
            </w:r>
            <w:r>
              <w:rPr>
                <w:rStyle w:val="IndexLink"/>
                <w:rtl w:val="true"/>
              </w:rPr>
              <w:t>الفصل الثالث في عقد المسابقة والرماية</w:t>
            </w:r>
            <w:r>
              <w:rPr>
                <w:rStyle w:val="IndexLink"/>
                <w:rtl w:val="true"/>
              </w:rPr>
              <w:t>]</w:t>
              <w:tab/>
            </w:r>
            <w:r>
              <w:rPr>
                <w:rStyle w:val="IndexLink"/>
              </w:rPr>
              <w:t>624</w:t>
            </w:r>
          </w:hyperlink>
        </w:p>
        <w:p>
          <w:pPr>
            <w:pStyle w:val="Contents3"/>
            <w:tabs>
              <w:tab w:val="clear" w:pos="8459"/>
              <w:tab w:val="right" w:pos="9026" w:leader="dot"/>
            </w:tabs>
            <w:rPr/>
          </w:pPr>
          <w:hyperlink w:anchor="__RefHeading___Toc2019256_1067777946">
            <w:r>
              <w:rPr>
                <w:webHidden/>
                <w:rStyle w:val="IndexLink"/>
                <w:rtl w:val="true"/>
              </w:rPr>
              <w:t>[</w:t>
            </w:r>
            <w:r>
              <w:rPr>
                <w:rStyle w:val="IndexLink"/>
                <w:rtl w:val="true"/>
              </w:rPr>
              <w:t>الفصل الرابع في أحكام النضال</w:t>
            </w:r>
            <w:r>
              <w:rPr>
                <w:rStyle w:val="IndexLink"/>
                <w:rtl w:val="true"/>
              </w:rPr>
              <w:t>]</w:t>
              <w:tab/>
            </w:r>
            <w:r>
              <w:rPr>
                <w:rStyle w:val="IndexLink"/>
              </w:rPr>
              <w:t>625</w:t>
            </w:r>
          </w:hyperlink>
        </w:p>
        <w:p>
          <w:pPr>
            <w:pStyle w:val="Contents2"/>
            <w:tabs>
              <w:tab w:val="clear" w:pos="8743"/>
              <w:tab w:val="right" w:pos="9026" w:leader="dot"/>
            </w:tabs>
            <w:rPr/>
          </w:pPr>
          <w:hyperlink w:anchor="__RefHeading___Toc2019258_1067777946">
            <w:r>
              <w:rPr>
                <w:webHidden/>
                <w:rStyle w:val="IndexLink"/>
                <w:rtl w:val="true"/>
              </w:rPr>
              <w:t>حاشية المختصر النافع</w:t>
            </w:r>
            <w:r>
              <w:rPr>
                <w:rStyle w:val="IndexLink"/>
                <w:rtl w:val="true"/>
              </w:rPr>
              <w:tab/>
            </w:r>
            <w:r>
              <w:rPr>
                <w:rStyle w:val="IndexLink"/>
              </w:rPr>
              <w:t>627</w:t>
            </w:r>
          </w:hyperlink>
        </w:p>
        <w:p>
          <w:pPr>
            <w:pStyle w:val="Contents3"/>
            <w:tabs>
              <w:tab w:val="clear" w:pos="8459"/>
              <w:tab w:val="right" w:pos="9026" w:leader="dot"/>
            </w:tabs>
            <w:rPr/>
          </w:pPr>
          <w:hyperlink w:anchor="__RefHeading___Toc2019260_1067777946">
            <w:r>
              <w:rPr>
                <w:webHidden/>
                <w:rStyle w:val="IndexLink"/>
                <w:rtl w:val="true"/>
              </w:rPr>
              <w:t>اشارة</w:t>
            </w:r>
            <w:r>
              <w:rPr>
                <w:rStyle w:val="IndexLink"/>
                <w:rtl w:val="true"/>
              </w:rPr>
              <w:tab/>
            </w:r>
            <w:r>
              <w:rPr>
                <w:rStyle w:val="IndexLink"/>
              </w:rPr>
              <w:t>627</w:t>
            </w:r>
          </w:hyperlink>
        </w:p>
        <w:p>
          <w:pPr>
            <w:pStyle w:val="Contents3"/>
            <w:tabs>
              <w:tab w:val="clear" w:pos="8459"/>
              <w:tab w:val="right" w:pos="9026" w:leader="dot"/>
            </w:tabs>
            <w:rPr/>
          </w:pPr>
          <w:hyperlink w:anchor="__RefHeading___Toc2019262_1067777946">
            <w:r>
              <w:rPr>
                <w:webHidden/>
                <w:rStyle w:val="IndexLink"/>
                <w:rtl w:val="true"/>
              </w:rPr>
              <w:t>مقدّمة التحقيق</w:t>
            </w:r>
            <w:r>
              <w:rPr>
                <w:rStyle w:val="IndexLink"/>
                <w:rtl w:val="true"/>
              </w:rPr>
              <w:tab/>
            </w:r>
            <w:r>
              <w:rPr>
                <w:rStyle w:val="IndexLink"/>
              </w:rPr>
              <w:t>629</w:t>
            </w:r>
          </w:hyperlink>
        </w:p>
        <w:p>
          <w:pPr>
            <w:pStyle w:val="Contents3"/>
            <w:tabs>
              <w:tab w:val="clear" w:pos="8459"/>
              <w:tab w:val="right" w:pos="9026" w:leader="dot"/>
            </w:tabs>
            <w:rPr/>
          </w:pPr>
          <w:hyperlink w:anchor="__RefHeading___Toc2019264_1067777946">
            <w:r>
              <w:rPr>
                <w:webHidden/>
                <w:rStyle w:val="IndexLink"/>
                <w:rtl w:val="true"/>
              </w:rPr>
              <w:t>نماذج من مصوّرات النسخ الخطّیّة المعتمدة في التحقیق</w:t>
            </w:r>
            <w:r>
              <w:rPr>
                <w:rStyle w:val="IndexLink"/>
                <w:rtl w:val="true"/>
              </w:rPr>
              <w:tab/>
            </w:r>
            <w:r>
              <w:rPr>
                <w:rStyle w:val="IndexLink"/>
              </w:rPr>
              <w:t>633</w:t>
            </w:r>
          </w:hyperlink>
        </w:p>
        <w:p>
          <w:pPr>
            <w:pStyle w:val="Contents3"/>
            <w:tabs>
              <w:tab w:val="clear" w:pos="8459"/>
              <w:tab w:val="right" w:pos="9026" w:leader="dot"/>
            </w:tabs>
            <w:rPr/>
          </w:pPr>
          <w:hyperlink w:anchor="__RefHeading___Toc2019266_1067777946">
            <w:r>
              <w:rPr>
                <w:webHidden/>
                <w:rStyle w:val="IndexLink"/>
                <w:rtl w:val="true"/>
              </w:rPr>
              <w:t>كتاب الطهارة</w:t>
            </w:r>
            <w:r>
              <w:rPr>
                <w:rStyle w:val="IndexLink"/>
                <w:rtl w:val="true"/>
              </w:rPr>
              <w:tab/>
            </w:r>
            <w:r>
              <w:rPr>
                <w:rStyle w:val="IndexLink"/>
              </w:rPr>
              <w:t>636</w:t>
            </w:r>
          </w:hyperlink>
        </w:p>
        <w:p>
          <w:pPr>
            <w:pStyle w:val="Contents4"/>
            <w:tabs>
              <w:tab w:val="clear" w:pos="8176"/>
              <w:tab w:val="right" w:pos="9026" w:leader="dot"/>
            </w:tabs>
            <w:rPr/>
          </w:pPr>
          <w:hyperlink w:anchor="__RefHeading___Toc2019268_1067777946">
            <w:r>
              <w:rPr>
                <w:webHidden/>
                <w:rStyle w:val="IndexLink"/>
                <w:rtl w:val="true"/>
              </w:rPr>
              <w:t>[</w:t>
            </w:r>
            <w:r>
              <w:rPr>
                <w:rStyle w:val="IndexLink"/>
                <w:rtl w:val="true"/>
              </w:rPr>
              <w:t>في المياه</w:t>
            </w:r>
            <w:r>
              <w:rPr>
                <w:rStyle w:val="IndexLink"/>
                <w:rtl w:val="true"/>
              </w:rPr>
              <w:t>]</w:t>
              <w:tab/>
            </w:r>
            <w:r>
              <w:rPr>
                <w:rStyle w:val="IndexLink"/>
              </w:rPr>
              <w:t>636</w:t>
            </w:r>
          </w:hyperlink>
        </w:p>
        <w:p>
          <w:pPr>
            <w:pStyle w:val="Contents4"/>
            <w:tabs>
              <w:tab w:val="clear" w:pos="8176"/>
              <w:tab w:val="right" w:pos="9026" w:leader="dot"/>
            </w:tabs>
            <w:rPr/>
          </w:pPr>
          <w:hyperlink w:anchor="__RefHeading___Toc2019270_1067777946">
            <w:r>
              <w:rPr>
                <w:webHidden/>
                <w:rStyle w:val="IndexLink"/>
                <w:rtl w:val="true"/>
              </w:rPr>
              <w:t>[</w:t>
            </w:r>
            <w:r>
              <w:rPr>
                <w:rStyle w:val="IndexLink"/>
                <w:rtl w:val="true"/>
              </w:rPr>
              <w:t>منزوحات البئر</w:t>
            </w:r>
            <w:r>
              <w:rPr>
                <w:rStyle w:val="IndexLink"/>
                <w:rtl w:val="true"/>
              </w:rPr>
              <w:t>]</w:t>
              <w:tab/>
            </w:r>
            <w:r>
              <w:rPr>
                <w:rStyle w:val="IndexLink"/>
              </w:rPr>
              <w:t>636</w:t>
            </w:r>
          </w:hyperlink>
        </w:p>
        <w:p>
          <w:pPr>
            <w:pStyle w:val="Contents4"/>
            <w:tabs>
              <w:tab w:val="clear" w:pos="8176"/>
              <w:tab w:val="right" w:pos="9026" w:leader="dot"/>
            </w:tabs>
            <w:rPr/>
          </w:pPr>
          <w:hyperlink w:anchor="__RefHeading___Toc2019272_1067777946">
            <w:r>
              <w:rPr>
                <w:webHidden/>
                <w:rStyle w:val="IndexLink"/>
                <w:rtl w:val="true"/>
              </w:rPr>
              <w:t>[</w:t>
            </w:r>
            <w:r>
              <w:rPr>
                <w:rStyle w:val="IndexLink"/>
                <w:rtl w:val="true"/>
              </w:rPr>
              <w:t>الماء المضاف</w:t>
            </w:r>
            <w:r>
              <w:rPr>
                <w:rStyle w:val="IndexLink"/>
                <w:rtl w:val="true"/>
              </w:rPr>
              <w:t>]</w:t>
              <w:tab/>
            </w:r>
            <w:r>
              <w:rPr>
                <w:rStyle w:val="IndexLink"/>
              </w:rPr>
              <w:t>637</w:t>
            </w:r>
          </w:hyperlink>
        </w:p>
        <w:p>
          <w:pPr>
            <w:pStyle w:val="Contents4"/>
            <w:tabs>
              <w:tab w:val="clear" w:pos="8176"/>
              <w:tab w:val="right" w:pos="9026" w:leader="dot"/>
            </w:tabs>
            <w:rPr/>
          </w:pPr>
          <w:hyperlink w:anchor="__RefHeading___Toc2019274_1067777946">
            <w:r>
              <w:rPr>
                <w:webHidden/>
                <w:rStyle w:val="IndexLink"/>
                <w:rtl w:val="true"/>
              </w:rPr>
              <w:t>[</w:t>
            </w:r>
            <w:r>
              <w:rPr>
                <w:rStyle w:val="IndexLink"/>
                <w:rtl w:val="true"/>
              </w:rPr>
              <w:t>الأسئار</w:t>
            </w:r>
            <w:r>
              <w:rPr>
                <w:rStyle w:val="IndexLink"/>
                <w:rtl w:val="true"/>
              </w:rPr>
              <w:t>]</w:t>
              <w:tab/>
            </w:r>
            <w:r>
              <w:rPr>
                <w:rStyle w:val="IndexLink"/>
              </w:rPr>
              <w:t>638</w:t>
            </w:r>
          </w:hyperlink>
        </w:p>
        <w:p>
          <w:pPr>
            <w:pStyle w:val="Contents4"/>
            <w:tabs>
              <w:tab w:val="clear" w:pos="8176"/>
              <w:tab w:val="right" w:pos="9026" w:leader="dot"/>
            </w:tabs>
            <w:rPr/>
          </w:pPr>
          <w:hyperlink w:anchor="__RefHeading___Toc2019276_1067777946">
            <w:r>
              <w:rPr>
                <w:webHidden/>
                <w:rStyle w:val="IndexLink"/>
                <w:rtl w:val="true"/>
              </w:rPr>
              <w:t>[</w:t>
            </w:r>
            <w:r>
              <w:rPr>
                <w:rStyle w:val="IndexLink"/>
                <w:rtl w:val="true"/>
              </w:rPr>
              <w:t>الطهارة المائيّة</w:t>
            </w:r>
            <w:r>
              <w:rPr>
                <w:rStyle w:val="IndexLink"/>
                <w:rtl w:val="true"/>
              </w:rPr>
              <w:t>]</w:t>
              <w:tab/>
            </w:r>
            <w:r>
              <w:rPr>
                <w:rStyle w:val="IndexLink"/>
              </w:rPr>
              <w:t>638</w:t>
            </w:r>
          </w:hyperlink>
        </w:p>
        <w:p>
          <w:pPr>
            <w:pStyle w:val="Contents4"/>
            <w:tabs>
              <w:tab w:val="clear" w:pos="8176"/>
              <w:tab w:val="right" w:pos="9026" w:leader="dot"/>
            </w:tabs>
            <w:rPr/>
          </w:pPr>
          <w:hyperlink w:anchor="__RefHeading___Toc2019278_1067777946">
            <w:r>
              <w:rPr>
                <w:webHidden/>
                <w:rStyle w:val="IndexLink"/>
                <w:rtl w:val="true"/>
              </w:rPr>
              <w:t>[</w:t>
            </w:r>
            <w:r>
              <w:rPr>
                <w:rStyle w:val="IndexLink"/>
                <w:rtl w:val="true"/>
              </w:rPr>
              <w:t>مكروهات التخلّي</w:t>
            </w:r>
            <w:r>
              <w:rPr>
                <w:rStyle w:val="IndexLink"/>
                <w:rtl w:val="true"/>
              </w:rPr>
              <w:t>]</w:t>
              <w:tab/>
            </w:r>
            <w:r>
              <w:rPr>
                <w:rStyle w:val="IndexLink"/>
              </w:rPr>
              <w:t>638</w:t>
            </w:r>
          </w:hyperlink>
        </w:p>
        <w:p>
          <w:pPr>
            <w:pStyle w:val="Contents4"/>
            <w:tabs>
              <w:tab w:val="clear" w:pos="8176"/>
              <w:tab w:val="right" w:pos="9026" w:leader="dot"/>
            </w:tabs>
            <w:rPr/>
          </w:pPr>
          <w:hyperlink w:anchor="__RefHeading___Toc2019280_1067777946">
            <w:r>
              <w:rPr>
                <w:webHidden/>
                <w:rStyle w:val="IndexLink"/>
                <w:rtl w:val="true"/>
              </w:rPr>
              <w:t>[</w:t>
            </w:r>
            <w:r>
              <w:rPr>
                <w:rStyle w:val="IndexLink"/>
                <w:rtl w:val="true"/>
              </w:rPr>
              <w:t>كيفيّة الوضوء</w:t>
            </w:r>
            <w:r>
              <w:rPr>
                <w:rStyle w:val="IndexLink"/>
                <w:rtl w:val="true"/>
              </w:rPr>
              <w:t>]</w:t>
              <w:tab/>
            </w:r>
            <w:r>
              <w:rPr>
                <w:rStyle w:val="IndexLink"/>
              </w:rPr>
              <w:t>638</w:t>
            </w:r>
          </w:hyperlink>
        </w:p>
        <w:p>
          <w:pPr>
            <w:pStyle w:val="Contents4"/>
            <w:tabs>
              <w:tab w:val="clear" w:pos="8176"/>
              <w:tab w:val="right" w:pos="9026" w:leader="dot"/>
            </w:tabs>
            <w:rPr/>
          </w:pPr>
          <w:hyperlink w:anchor="__RefHeading___Toc2019282_1067777946">
            <w:r>
              <w:rPr>
                <w:webHidden/>
                <w:rStyle w:val="IndexLink"/>
                <w:rtl w:val="true"/>
              </w:rPr>
              <w:t>[</w:t>
            </w:r>
            <w:r>
              <w:rPr>
                <w:rStyle w:val="IndexLink"/>
                <w:rtl w:val="true"/>
              </w:rPr>
              <w:t>غسل الجنابة</w:t>
            </w:r>
            <w:r>
              <w:rPr>
                <w:rStyle w:val="IndexLink"/>
                <w:rtl w:val="true"/>
              </w:rPr>
              <w:t>]</w:t>
              <w:tab/>
            </w:r>
            <w:r>
              <w:rPr>
                <w:rStyle w:val="IndexLink"/>
              </w:rPr>
              <w:t>639</w:t>
            </w:r>
          </w:hyperlink>
        </w:p>
        <w:p>
          <w:pPr>
            <w:pStyle w:val="Contents4"/>
            <w:tabs>
              <w:tab w:val="clear" w:pos="8176"/>
              <w:tab w:val="right" w:pos="9026" w:leader="dot"/>
            </w:tabs>
            <w:rPr/>
          </w:pPr>
          <w:hyperlink w:anchor="__RefHeading___Toc2019284_1067777946">
            <w:r>
              <w:rPr>
                <w:webHidden/>
                <w:rStyle w:val="IndexLink"/>
                <w:rtl w:val="true"/>
              </w:rPr>
              <w:t>[</w:t>
            </w:r>
            <w:r>
              <w:rPr>
                <w:rStyle w:val="IndexLink"/>
                <w:rtl w:val="true"/>
              </w:rPr>
              <w:t>غسل الحيض</w:t>
            </w:r>
            <w:r>
              <w:rPr>
                <w:rStyle w:val="IndexLink"/>
                <w:rtl w:val="true"/>
              </w:rPr>
              <w:t>]</w:t>
              <w:tab/>
            </w:r>
            <w:r>
              <w:rPr>
                <w:rStyle w:val="IndexLink"/>
              </w:rPr>
              <w:t>640</w:t>
            </w:r>
          </w:hyperlink>
        </w:p>
        <w:p>
          <w:pPr>
            <w:pStyle w:val="Contents4"/>
            <w:tabs>
              <w:tab w:val="clear" w:pos="8176"/>
              <w:tab w:val="right" w:pos="9026" w:leader="dot"/>
            </w:tabs>
            <w:rPr/>
          </w:pPr>
          <w:hyperlink w:anchor="__RefHeading___Toc2019286_1067777946">
            <w:r>
              <w:rPr>
                <w:webHidden/>
                <w:rStyle w:val="IndexLink"/>
                <w:rtl w:val="true"/>
              </w:rPr>
              <w:t>[</w:t>
            </w:r>
            <w:r>
              <w:rPr>
                <w:rStyle w:val="IndexLink"/>
                <w:rtl w:val="true"/>
              </w:rPr>
              <w:t>غسل الاستحاضة والنفاس</w:t>
            </w:r>
            <w:r>
              <w:rPr>
                <w:rStyle w:val="IndexLink"/>
                <w:rtl w:val="true"/>
              </w:rPr>
              <w:t>]</w:t>
              <w:tab/>
            </w:r>
            <w:r>
              <w:rPr>
                <w:rStyle w:val="IndexLink"/>
              </w:rPr>
              <w:t>641</w:t>
            </w:r>
          </w:hyperlink>
        </w:p>
        <w:p>
          <w:pPr>
            <w:pStyle w:val="Contents4"/>
            <w:tabs>
              <w:tab w:val="clear" w:pos="8176"/>
              <w:tab w:val="right" w:pos="9026" w:leader="dot"/>
            </w:tabs>
            <w:rPr/>
          </w:pPr>
          <w:hyperlink w:anchor="__RefHeading___Toc2019288_1067777946">
            <w:r>
              <w:rPr>
                <w:webHidden/>
                <w:rStyle w:val="IndexLink"/>
                <w:rtl w:val="true"/>
              </w:rPr>
              <w:t>[</w:t>
            </w:r>
            <w:r>
              <w:rPr>
                <w:rStyle w:val="IndexLink"/>
                <w:rtl w:val="true"/>
              </w:rPr>
              <w:t>أحكام الاحتضار</w:t>
            </w:r>
            <w:r>
              <w:rPr>
                <w:rStyle w:val="IndexLink"/>
                <w:rtl w:val="true"/>
              </w:rPr>
              <w:t>]</w:t>
              <w:tab/>
            </w:r>
            <w:r>
              <w:rPr>
                <w:rStyle w:val="IndexLink"/>
              </w:rPr>
              <w:t>642</w:t>
            </w:r>
          </w:hyperlink>
        </w:p>
        <w:p>
          <w:pPr>
            <w:pStyle w:val="Contents4"/>
            <w:tabs>
              <w:tab w:val="clear" w:pos="8176"/>
              <w:tab w:val="right" w:pos="9026" w:leader="dot"/>
            </w:tabs>
            <w:rPr/>
          </w:pPr>
          <w:hyperlink w:anchor="__RefHeading___Toc2019290_1067777946">
            <w:r>
              <w:rPr>
                <w:webHidden/>
                <w:rStyle w:val="IndexLink"/>
                <w:rtl w:val="true"/>
              </w:rPr>
              <w:t>[</w:t>
            </w:r>
            <w:r>
              <w:rPr>
                <w:rStyle w:val="IndexLink"/>
                <w:rtl w:val="true"/>
              </w:rPr>
              <w:t>غسل الميّت</w:t>
            </w:r>
            <w:r>
              <w:rPr>
                <w:rStyle w:val="IndexLink"/>
                <w:rtl w:val="true"/>
              </w:rPr>
              <w:t>]</w:t>
              <w:tab/>
            </w:r>
            <w:r>
              <w:rPr>
                <w:rStyle w:val="IndexLink"/>
              </w:rPr>
              <w:t>642</w:t>
            </w:r>
          </w:hyperlink>
        </w:p>
        <w:p>
          <w:pPr>
            <w:pStyle w:val="Contents4"/>
            <w:tabs>
              <w:tab w:val="clear" w:pos="8176"/>
              <w:tab w:val="right" w:pos="9026" w:leader="dot"/>
            </w:tabs>
            <w:rPr/>
          </w:pPr>
          <w:hyperlink w:anchor="__RefHeading___Toc2019292_1067777946">
            <w:r>
              <w:rPr>
                <w:webHidden/>
                <w:rStyle w:val="IndexLink"/>
                <w:rtl w:val="true"/>
              </w:rPr>
              <w:t>[</w:t>
            </w:r>
            <w:r>
              <w:rPr>
                <w:rStyle w:val="IndexLink"/>
                <w:rtl w:val="true"/>
              </w:rPr>
              <w:t>الكفن</w:t>
            </w:r>
            <w:r>
              <w:rPr>
                <w:rStyle w:val="IndexLink"/>
                <w:rtl w:val="true"/>
              </w:rPr>
              <w:t>]</w:t>
              <w:tab/>
            </w:r>
            <w:r>
              <w:rPr>
                <w:rStyle w:val="IndexLink"/>
              </w:rPr>
              <w:t>642</w:t>
            </w:r>
          </w:hyperlink>
        </w:p>
        <w:p>
          <w:pPr>
            <w:pStyle w:val="Contents4"/>
            <w:tabs>
              <w:tab w:val="clear" w:pos="8176"/>
              <w:tab w:val="right" w:pos="9026" w:leader="dot"/>
            </w:tabs>
            <w:rPr/>
          </w:pPr>
          <w:hyperlink w:anchor="__RefHeading___Toc2019294_1067777946">
            <w:r>
              <w:rPr>
                <w:webHidden/>
                <w:rStyle w:val="IndexLink"/>
                <w:rtl w:val="true"/>
              </w:rPr>
              <w:t>[</w:t>
            </w:r>
            <w:r>
              <w:rPr>
                <w:rStyle w:val="IndexLink"/>
                <w:rtl w:val="true"/>
              </w:rPr>
              <w:t>الدفن</w:t>
            </w:r>
            <w:r>
              <w:rPr>
                <w:rStyle w:val="IndexLink"/>
                <w:rtl w:val="true"/>
              </w:rPr>
              <w:t>]</w:t>
              <w:tab/>
            </w:r>
            <w:r>
              <w:rPr>
                <w:rStyle w:val="IndexLink"/>
              </w:rPr>
              <w:t>643</w:t>
            </w:r>
          </w:hyperlink>
        </w:p>
        <w:p>
          <w:pPr>
            <w:pStyle w:val="Contents4"/>
            <w:tabs>
              <w:tab w:val="clear" w:pos="8176"/>
              <w:tab w:val="right" w:pos="9026" w:leader="dot"/>
            </w:tabs>
            <w:rPr/>
          </w:pPr>
          <w:hyperlink w:anchor="__RefHeading___Toc2019296_1067777946">
            <w:r>
              <w:rPr>
                <w:webHidden/>
                <w:rStyle w:val="IndexLink"/>
                <w:rtl w:val="true"/>
              </w:rPr>
              <w:t>[</w:t>
            </w:r>
            <w:r>
              <w:rPr>
                <w:rStyle w:val="IndexLink"/>
                <w:rtl w:val="true"/>
              </w:rPr>
              <w:t>الطهارة الترابيَّة</w:t>
            </w:r>
            <w:r>
              <w:rPr>
                <w:rStyle w:val="IndexLink"/>
                <w:rtl w:val="true"/>
              </w:rPr>
              <w:t>]</w:t>
              <w:tab/>
            </w:r>
            <w:r>
              <w:rPr>
                <w:rStyle w:val="IndexLink"/>
              </w:rPr>
              <w:t>645</w:t>
            </w:r>
          </w:hyperlink>
        </w:p>
        <w:p>
          <w:pPr>
            <w:pStyle w:val="Contents4"/>
            <w:tabs>
              <w:tab w:val="clear" w:pos="8176"/>
              <w:tab w:val="right" w:pos="9026" w:leader="dot"/>
            </w:tabs>
            <w:rPr/>
          </w:pPr>
          <w:hyperlink w:anchor="__RefHeading___Toc2019298_1067777946">
            <w:r>
              <w:rPr>
                <w:webHidden/>
                <w:rStyle w:val="IndexLink"/>
                <w:rtl w:val="true"/>
              </w:rPr>
              <w:t>[</w:t>
            </w:r>
            <w:r>
              <w:rPr>
                <w:rStyle w:val="IndexLink"/>
                <w:rtl w:val="true"/>
              </w:rPr>
              <w:t>النجاسات</w:t>
            </w:r>
            <w:r>
              <w:rPr>
                <w:rStyle w:val="IndexLink"/>
                <w:rtl w:val="true"/>
              </w:rPr>
              <w:t>]</w:t>
              <w:tab/>
            </w:r>
            <w:r>
              <w:rPr>
                <w:rStyle w:val="IndexLink"/>
              </w:rPr>
              <w:t>646</w:t>
            </w:r>
          </w:hyperlink>
        </w:p>
        <w:p>
          <w:pPr>
            <w:pStyle w:val="Contents4"/>
            <w:tabs>
              <w:tab w:val="clear" w:pos="8176"/>
              <w:tab w:val="right" w:pos="9026" w:leader="dot"/>
            </w:tabs>
            <w:rPr/>
          </w:pPr>
          <w:hyperlink w:anchor="__RefHeading___Toc2019300_1067777946">
            <w:r>
              <w:rPr>
                <w:webHidden/>
                <w:rStyle w:val="IndexLink"/>
                <w:rtl w:val="true"/>
              </w:rPr>
              <w:t>[</w:t>
            </w:r>
            <w:r>
              <w:rPr>
                <w:rStyle w:val="IndexLink"/>
                <w:rtl w:val="true"/>
              </w:rPr>
              <w:t>الأواني</w:t>
            </w:r>
            <w:r>
              <w:rPr>
                <w:rStyle w:val="IndexLink"/>
                <w:rtl w:val="true"/>
              </w:rPr>
              <w:t>]</w:t>
              <w:tab/>
            </w:r>
            <w:r>
              <w:rPr>
                <w:rStyle w:val="IndexLink"/>
              </w:rPr>
              <w:t>648</w:t>
            </w:r>
          </w:hyperlink>
        </w:p>
        <w:p>
          <w:pPr>
            <w:pStyle w:val="Contents3"/>
            <w:tabs>
              <w:tab w:val="clear" w:pos="8459"/>
              <w:tab w:val="right" w:pos="9026" w:leader="dot"/>
            </w:tabs>
            <w:rPr/>
          </w:pPr>
          <w:hyperlink w:anchor="__RefHeading___Toc2019302_1067777946">
            <w:r>
              <w:rPr>
                <w:webHidden/>
                <w:rStyle w:val="IndexLink"/>
                <w:rtl w:val="true"/>
              </w:rPr>
              <w:t>كتاب الصلاة</w:t>
            </w:r>
            <w:r>
              <w:rPr>
                <w:rStyle w:val="IndexLink"/>
                <w:rtl w:val="true"/>
              </w:rPr>
              <w:tab/>
            </w:r>
            <w:r>
              <w:rPr>
                <w:rStyle w:val="IndexLink"/>
              </w:rPr>
              <w:t>649</w:t>
            </w:r>
          </w:hyperlink>
        </w:p>
        <w:p>
          <w:pPr>
            <w:pStyle w:val="Contents4"/>
            <w:tabs>
              <w:tab w:val="clear" w:pos="8176"/>
              <w:tab w:val="right" w:pos="9026" w:leader="dot"/>
            </w:tabs>
            <w:rPr/>
          </w:pPr>
          <w:hyperlink w:anchor="__RefHeading___Toc2019304_1067777946">
            <w:r>
              <w:rPr>
                <w:webHidden/>
                <w:rStyle w:val="IndexLink"/>
                <w:rtl w:val="true"/>
              </w:rPr>
              <w:t>[</w:t>
            </w:r>
            <w:r>
              <w:rPr>
                <w:rStyle w:val="IndexLink"/>
                <w:rtl w:val="true"/>
              </w:rPr>
              <w:t>عدد النوافل</w:t>
            </w:r>
            <w:r>
              <w:rPr>
                <w:rStyle w:val="IndexLink"/>
                <w:rtl w:val="true"/>
              </w:rPr>
              <w:t>]</w:t>
              <w:tab/>
            </w:r>
            <w:r>
              <w:rPr>
                <w:rStyle w:val="IndexLink"/>
              </w:rPr>
              <w:t>649</w:t>
            </w:r>
          </w:hyperlink>
        </w:p>
        <w:p>
          <w:pPr>
            <w:pStyle w:val="Contents4"/>
            <w:tabs>
              <w:tab w:val="clear" w:pos="8176"/>
              <w:tab w:val="right" w:pos="9026" w:leader="dot"/>
            </w:tabs>
            <w:rPr/>
          </w:pPr>
          <w:hyperlink w:anchor="__RefHeading___Toc2019306_1067777946">
            <w:r>
              <w:rPr>
                <w:webHidden/>
                <w:rStyle w:val="IndexLink"/>
                <w:rtl w:val="true"/>
              </w:rPr>
              <w:t>[</w:t>
            </w:r>
            <w:r>
              <w:rPr>
                <w:rStyle w:val="IndexLink"/>
                <w:rtl w:val="true"/>
              </w:rPr>
              <w:t>أوقات الصلاة</w:t>
            </w:r>
            <w:r>
              <w:rPr>
                <w:rStyle w:val="IndexLink"/>
                <w:rtl w:val="true"/>
              </w:rPr>
              <w:t>]</w:t>
              <w:tab/>
            </w:r>
            <w:r>
              <w:rPr>
                <w:rStyle w:val="IndexLink"/>
              </w:rPr>
              <w:t>649</w:t>
            </w:r>
          </w:hyperlink>
        </w:p>
        <w:p>
          <w:pPr>
            <w:pStyle w:val="Contents4"/>
            <w:tabs>
              <w:tab w:val="clear" w:pos="8176"/>
              <w:tab w:val="right" w:pos="9026" w:leader="dot"/>
            </w:tabs>
            <w:rPr/>
          </w:pPr>
          <w:hyperlink w:anchor="__RefHeading___Toc2019308_1067777946">
            <w:r>
              <w:rPr>
                <w:webHidden/>
                <w:rStyle w:val="IndexLink"/>
                <w:rtl w:val="true"/>
              </w:rPr>
              <w:t>[</w:t>
            </w:r>
            <w:r>
              <w:rPr>
                <w:rStyle w:val="IndexLink"/>
                <w:rtl w:val="true"/>
              </w:rPr>
              <w:t>القِبلة</w:t>
            </w:r>
            <w:r>
              <w:rPr>
                <w:rStyle w:val="IndexLink"/>
                <w:rtl w:val="true"/>
              </w:rPr>
              <w:t>]</w:t>
              <w:tab/>
            </w:r>
            <w:r>
              <w:rPr>
                <w:rStyle w:val="IndexLink"/>
              </w:rPr>
              <w:t>652</w:t>
            </w:r>
          </w:hyperlink>
        </w:p>
        <w:p>
          <w:pPr>
            <w:pStyle w:val="Contents4"/>
            <w:tabs>
              <w:tab w:val="clear" w:pos="8176"/>
              <w:tab w:val="right" w:pos="9026" w:leader="dot"/>
            </w:tabs>
            <w:rPr/>
          </w:pPr>
          <w:hyperlink w:anchor="__RefHeading___Toc2019310_1067777946">
            <w:r>
              <w:rPr>
                <w:webHidden/>
                <w:rStyle w:val="IndexLink"/>
                <w:rtl w:val="true"/>
              </w:rPr>
              <w:t>[</w:t>
            </w:r>
            <w:r>
              <w:rPr>
                <w:rStyle w:val="IndexLink"/>
                <w:rtl w:val="true"/>
              </w:rPr>
              <w:t>لباس المصلِّي</w:t>
            </w:r>
            <w:r>
              <w:rPr>
                <w:rStyle w:val="IndexLink"/>
                <w:rtl w:val="true"/>
              </w:rPr>
              <w:t>]</w:t>
              <w:tab/>
            </w:r>
            <w:r>
              <w:rPr>
                <w:rStyle w:val="IndexLink"/>
              </w:rPr>
              <w:t>652</w:t>
            </w:r>
          </w:hyperlink>
        </w:p>
        <w:p>
          <w:pPr>
            <w:pStyle w:val="Contents4"/>
            <w:tabs>
              <w:tab w:val="clear" w:pos="8176"/>
              <w:tab w:val="right" w:pos="9026" w:leader="dot"/>
            </w:tabs>
            <w:rPr/>
          </w:pPr>
          <w:hyperlink w:anchor="__RefHeading___Toc2019312_1067777946">
            <w:r>
              <w:rPr>
                <w:webHidden/>
                <w:rStyle w:val="IndexLink"/>
                <w:rtl w:val="true"/>
              </w:rPr>
              <w:t>[</w:t>
            </w:r>
            <w:r>
              <w:rPr>
                <w:rStyle w:val="IndexLink"/>
                <w:rtl w:val="true"/>
              </w:rPr>
              <w:t>مكان المصلِّي</w:t>
            </w:r>
            <w:r>
              <w:rPr>
                <w:rStyle w:val="IndexLink"/>
                <w:rtl w:val="true"/>
              </w:rPr>
              <w:t>]</w:t>
              <w:tab/>
            </w:r>
            <w:r>
              <w:rPr>
                <w:rStyle w:val="IndexLink"/>
              </w:rPr>
              <w:t>654</w:t>
            </w:r>
          </w:hyperlink>
        </w:p>
        <w:p>
          <w:pPr>
            <w:pStyle w:val="Contents4"/>
            <w:tabs>
              <w:tab w:val="clear" w:pos="8176"/>
              <w:tab w:val="right" w:pos="9026" w:leader="dot"/>
            </w:tabs>
            <w:rPr/>
          </w:pPr>
          <w:hyperlink w:anchor="__RefHeading___Toc2019314_1067777946">
            <w:r>
              <w:rPr>
                <w:webHidden/>
                <w:rStyle w:val="IndexLink"/>
                <w:rtl w:val="true"/>
              </w:rPr>
              <w:t>[</w:t>
            </w:r>
            <w:r>
              <w:rPr>
                <w:rStyle w:val="IndexLink"/>
                <w:rtl w:val="true"/>
              </w:rPr>
              <w:t>ما يُسْجَدُ عليه</w:t>
            </w:r>
            <w:r>
              <w:rPr>
                <w:rStyle w:val="IndexLink"/>
                <w:rtl w:val="true"/>
              </w:rPr>
              <w:t>]</w:t>
              <w:tab/>
            </w:r>
            <w:r>
              <w:rPr>
                <w:rStyle w:val="IndexLink"/>
              </w:rPr>
              <w:t>655</w:t>
            </w:r>
          </w:hyperlink>
        </w:p>
        <w:p>
          <w:pPr>
            <w:pStyle w:val="Contents4"/>
            <w:tabs>
              <w:tab w:val="clear" w:pos="8176"/>
              <w:tab w:val="right" w:pos="9026" w:leader="dot"/>
            </w:tabs>
            <w:rPr/>
          </w:pPr>
          <w:hyperlink w:anchor="__RefHeading___Toc2019316_1067777946">
            <w:r>
              <w:rPr>
                <w:webHidden/>
                <w:rStyle w:val="IndexLink"/>
                <w:rtl w:val="true"/>
              </w:rPr>
              <w:t>[</w:t>
            </w:r>
            <w:r>
              <w:rPr>
                <w:rStyle w:val="IndexLink"/>
                <w:rtl w:val="true"/>
              </w:rPr>
              <w:t>الأذان والإقامة</w:t>
            </w:r>
            <w:r>
              <w:rPr>
                <w:rStyle w:val="IndexLink"/>
                <w:rtl w:val="true"/>
              </w:rPr>
              <w:t>]</w:t>
              <w:tab/>
            </w:r>
            <w:r>
              <w:rPr>
                <w:rStyle w:val="IndexLink"/>
              </w:rPr>
              <w:t>655</w:t>
            </w:r>
          </w:hyperlink>
        </w:p>
        <w:p>
          <w:pPr>
            <w:pStyle w:val="Contents4"/>
            <w:tabs>
              <w:tab w:val="clear" w:pos="8176"/>
              <w:tab w:val="right" w:pos="9026" w:leader="dot"/>
            </w:tabs>
            <w:rPr/>
          </w:pPr>
          <w:hyperlink w:anchor="__RefHeading___Toc2019318_1067777946">
            <w:r>
              <w:rPr>
                <w:webHidden/>
                <w:rStyle w:val="IndexLink"/>
                <w:rtl w:val="true"/>
              </w:rPr>
              <w:t>[</w:t>
            </w:r>
            <w:r>
              <w:rPr>
                <w:rStyle w:val="IndexLink"/>
                <w:rtl w:val="true"/>
              </w:rPr>
              <w:t>أفعال الصلاة</w:t>
            </w:r>
            <w:r>
              <w:rPr>
                <w:rStyle w:val="IndexLink"/>
                <w:rtl w:val="true"/>
              </w:rPr>
              <w:t>]</w:t>
              <w:tab/>
            </w:r>
            <w:r>
              <w:rPr>
                <w:rStyle w:val="IndexLink"/>
              </w:rPr>
              <w:t>657</w:t>
            </w:r>
          </w:hyperlink>
        </w:p>
        <w:p>
          <w:pPr>
            <w:pStyle w:val="Contents4"/>
            <w:tabs>
              <w:tab w:val="clear" w:pos="8176"/>
              <w:tab w:val="right" w:pos="9026" w:leader="dot"/>
            </w:tabs>
            <w:rPr/>
          </w:pPr>
          <w:hyperlink w:anchor="__RefHeading___Toc2019320_1067777946">
            <w:r>
              <w:rPr>
                <w:webHidden/>
                <w:rStyle w:val="IndexLink"/>
                <w:rtl w:val="true"/>
              </w:rPr>
              <w:t>[</w:t>
            </w:r>
            <w:r>
              <w:rPr>
                <w:rStyle w:val="IndexLink"/>
                <w:rtl w:val="true"/>
              </w:rPr>
              <w:t>التكبير</w:t>
            </w:r>
            <w:r>
              <w:rPr>
                <w:rStyle w:val="IndexLink"/>
                <w:rtl w:val="true"/>
              </w:rPr>
              <w:t>]</w:t>
              <w:tab/>
            </w:r>
            <w:r>
              <w:rPr>
                <w:rStyle w:val="IndexLink"/>
              </w:rPr>
              <w:t>657</w:t>
            </w:r>
          </w:hyperlink>
        </w:p>
        <w:p>
          <w:pPr>
            <w:pStyle w:val="Contents4"/>
            <w:tabs>
              <w:tab w:val="clear" w:pos="8176"/>
              <w:tab w:val="right" w:pos="9026" w:leader="dot"/>
            </w:tabs>
            <w:rPr/>
          </w:pPr>
          <w:hyperlink w:anchor="__RefHeading___Toc2019322_1067777946">
            <w:r>
              <w:rPr>
                <w:webHidden/>
                <w:rStyle w:val="IndexLink"/>
                <w:rtl w:val="true"/>
              </w:rPr>
              <w:t>[</w:t>
            </w:r>
            <w:r>
              <w:rPr>
                <w:rStyle w:val="IndexLink"/>
                <w:rtl w:val="true"/>
              </w:rPr>
              <w:t>القيام</w:t>
            </w:r>
            <w:r>
              <w:rPr>
                <w:rStyle w:val="IndexLink"/>
                <w:rtl w:val="true"/>
              </w:rPr>
              <w:t>]</w:t>
              <w:tab/>
            </w:r>
            <w:r>
              <w:rPr>
                <w:rStyle w:val="IndexLink"/>
              </w:rPr>
              <w:t>657</w:t>
            </w:r>
          </w:hyperlink>
        </w:p>
        <w:p>
          <w:pPr>
            <w:pStyle w:val="Contents4"/>
            <w:tabs>
              <w:tab w:val="clear" w:pos="8176"/>
              <w:tab w:val="right" w:pos="9026" w:leader="dot"/>
            </w:tabs>
            <w:rPr/>
          </w:pPr>
          <w:hyperlink w:anchor="__RefHeading___Toc2019324_1067777946">
            <w:r>
              <w:rPr>
                <w:webHidden/>
                <w:rStyle w:val="IndexLink"/>
                <w:rtl w:val="true"/>
              </w:rPr>
              <w:t>[</w:t>
            </w:r>
            <w:r>
              <w:rPr>
                <w:rStyle w:val="IndexLink"/>
                <w:rtl w:val="true"/>
              </w:rPr>
              <w:t>القراءة</w:t>
            </w:r>
            <w:r>
              <w:rPr>
                <w:rStyle w:val="IndexLink"/>
                <w:rtl w:val="true"/>
              </w:rPr>
              <w:t>]</w:t>
              <w:tab/>
            </w:r>
            <w:r>
              <w:rPr>
                <w:rStyle w:val="IndexLink"/>
              </w:rPr>
              <w:t>658</w:t>
            </w:r>
          </w:hyperlink>
        </w:p>
        <w:p>
          <w:pPr>
            <w:pStyle w:val="Contents4"/>
            <w:tabs>
              <w:tab w:val="clear" w:pos="8176"/>
              <w:tab w:val="right" w:pos="9026" w:leader="dot"/>
            </w:tabs>
            <w:rPr/>
          </w:pPr>
          <w:hyperlink w:anchor="__RefHeading___Toc2019326_1067777946">
            <w:r>
              <w:rPr>
                <w:webHidden/>
                <w:rStyle w:val="IndexLink"/>
                <w:rtl w:val="true"/>
              </w:rPr>
              <w:t>[</w:t>
            </w:r>
            <w:r>
              <w:rPr>
                <w:rStyle w:val="IndexLink"/>
                <w:rtl w:val="true"/>
              </w:rPr>
              <w:t>الركوع</w:t>
            </w:r>
            <w:r>
              <w:rPr>
                <w:rStyle w:val="IndexLink"/>
                <w:rtl w:val="true"/>
              </w:rPr>
              <w:t>]</w:t>
              <w:tab/>
            </w:r>
            <w:r>
              <w:rPr>
                <w:rStyle w:val="IndexLink"/>
              </w:rPr>
              <w:t>659</w:t>
            </w:r>
          </w:hyperlink>
        </w:p>
        <w:p>
          <w:pPr>
            <w:pStyle w:val="Contents4"/>
            <w:tabs>
              <w:tab w:val="clear" w:pos="8176"/>
              <w:tab w:val="right" w:pos="9026" w:leader="dot"/>
            </w:tabs>
            <w:rPr/>
          </w:pPr>
          <w:hyperlink w:anchor="__RefHeading___Toc2019328_1067777946">
            <w:r>
              <w:rPr>
                <w:webHidden/>
                <w:rStyle w:val="IndexLink"/>
                <w:rtl w:val="true"/>
              </w:rPr>
              <w:t>[</w:t>
            </w:r>
            <w:r>
              <w:rPr>
                <w:rStyle w:val="IndexLink"/>
                <w:rtl w:val="true"/>
              </w:rPr>
              <w:t>السجود</w:t>
            </w:r>
            <w:r>
              <w:rPr>
                <w:rStyle w:val="IndexLink"/>
                <w:rtl w:val="true"/>
              </w:rPr>
              <w:t>]</w:t>
              <w:tab/>
            </w:r>
            <w:r>
              <w:rPr>
                <w:rStyle w:val="IndexLink"/>
              </w:rPr>
              <w:t>659</w:t>
            </w:r>
          </w:hyperlink>
        </w:p>
        <w:p>
          <w:pPr>
            <w:pStyle w:val="Contents4"/>
            <w:tabs>
              <w:tab w:val="clear" w:pos="8176"/>
              <w:tab w:val="right" w:pos="9026" w:leader="dot"/>
            </w:tabs>
            <w:rPr/>
          </w:pPr>
          <w:hyperlink w:anchor="__RefHeading___Toc2019330_1067777946">
            <w:r>
              <w:rPr>
                <w:webHidden/>
                <w:rStyle w:val="IndexLink"/>
                <w:rtl w:val="true"/>
              </w:rPr>
              <w:t>[</w:t>
            </w:r>
            <w:r>
              <w:rPr>
                <w:rStyle w:val="IndexLink"/>
                <w:rtl w:val="true"/>
              </w:rPr>
              <w:t>التشهّد</w:t>
            </w:r>
            <w:r>
              <w:rPr>
                <w:rStyle w:val="IndexLink"/>
                <w:rtl w:val="true"/>
              </w:rPr>
              <w:t>]</w:t>
              <w:tab/>
            </w:r>
            <w:r>
              <w:rPr>
                <w:rStyle w:val="IndexLink"/>
              </w:rPr>
              <w:t>660</w:t>
            </w:r>
          </w:hyperlink>
        </w:p>
        <w:p>
          <w:pPr>
            <w:pStyle w:val="Contents4"/>
            <w:tabs>
              <w:tab w:val="clear" w:pos="8176"/>
              <w:tab w:val="right" w:pos="9026" w:leader="dot"/>
            </w:tabs>
            <w:rPr/>
          </w:pPr>
          <w:hyperlink w:anchor="__RefHeading___Toc2019332_1067777946">
            <w:r>
              <w:rPr>
                <w:webHidden/>
                <w:rStyle w:val="IndexLink"/>
                <w:rtl w:val="true"/>
              </w:rPr>
              <w:t>[</w:t>
            </w:r>
            <w:r>
              <w:rPr>
                <w:rStyle w:val="IndexLink"/>
                <w:rtl w:val="true"/>
              </w:rPr>
              <w:t>السلام</w:t>
            </w:r>
            <w:r>
              <w:rPr>
                <w:rStyle w:val="IndexLink"/>
                <w:rtl w:val="true"/>
              </w:rPr>
              <w:t>]</w:t>
              <w:tab/>
            </w:r>
            <w:r>
              <w:rPr>
                <w:rStyle w:val="IndexLink"/>
              </w:rPr>
              <w:t>660</w:t>
            </w:r>
          </w:hyperlink>
        </w:p>
        <w:p>
          <w:pPr>
            <w:pStyle w:val="Contents4"/>
            <w:tabs>
              <w:tab w:val="clear" w:pos="8176"/>
              <w:tab w:val="right" w:pos="9026" w:leader="dot"/>
            </w:tabs>
            <w:rPr/>
          </w:pPr>
          <w:hyperlink w:anchor="__RefHeading___Toc2019334_1067777946">
            <w:r>
              <w:rPr>
                <w:webHidden/>
                <w:rStyle w:val="IndexLink"/>
                <w:rtl w:val="true"/>
              </w:rPr>
              <w:t>[</w:t>
            </w:r>
            <w:r>
              <w:rPr>
                <w:rStyle w:val="IndexLink"/>
                <w:rtl w:val="true"/>
              </w:rPr>
              <w:t>مندوبات الصلاة</w:t>
            </w:r>
            <w:r>
              <w:rPr>
                <w:rStyle w:val="IndexLink"/>
                <w:rtl w:val="true"/>
              </w:rPr>
              <w:t>]</w:t>
              <w:tab/>
            </w:r>
            <w:r>
              <w:rPr>
                <w:rStyle w:val="IndexLink"/>
              </w:rPr>
              <w:t>661</w:t>
            </w:r>
          </w:hyperlink>
        </w:p>
        <w:p>
          <w:pPr>
            <w:pStyle w:val="Contents4"/>
            <w:tabs>
              <w:tab w:val="clear" w:pos="8176"/>
              <w:tab w:val="right" w:pos="9026" w:leader="dot"/>
            </w:tabs>
            <w:rPr/>
          </w:pPr>
          <w:hyperlink w:anchor="__RefHeading___Toc2019336_1067777946">
            <w:r>
              <w:rPr>
                <w:webHidden/>
                <w:rStyle w:val="IndexLink"/>
                <w:rtl w:val="true"/>
              </w:rPr>
              <w:t>[</w:t>
            </w:r>
            <w:r>
              <w:rPr>
                <w:rStyle w:val="IndexLink"/>
                <w:rtl w:val="true"/>
              </w:rPr>
              <w:t>المبطلات</w:t>
            </w:r>
            <w:r>
              <w:rPr>
                <w:rStyle w:val="IndexLink"/>
                <w:rtl w:val="true"/>
              </w:rPr>
              <w:t>]</w:t>
              <w:tab/>
            </w:r>
            <w:r>
              <w:rPr>
                <w:rStyle w:val="IndexLink"/>
              </w:rPr>
              <w:t>661</w:t>
            </w:r>
          </w:hyperlink>
        </w:p>
        <w:p>
          <w:pPr>
            <w:pStyle w:val="Contents4"/>
            <w:tabs>
              <w:tab w:val="clear" w:pos="8176"/>
              <w:tab w:val="right" w:pos="9026" w:leader="dot"/>
            </w:tabs>
            <w:rPr/>
          </w:pPr>
          <w:hyperlink w:anchor="__RefHeading___Toc2019338_1067777946">
            <w:r>
              <w:rPr>
                <w:webHidden/>
                <w:rStyle w:val="IndexLink"/>
                <w:rtl w:val="true"/>
              </w:rPr>
              <w:t>[</w:t>
            </w:r>
            <w:r>
              <w:rPr>
                <w:rStyle w:val="IndexLink"/>
                <w:rtl w:val="true"/>
              </w:rPr>
              <w:t>صلاة الجمعة</w:t>
            </w:r>
            <w:r>
              <w:rPr>
                <w:rStyle w:val="IndexLink"/>
                <w:rtl w:val="true"/>
              </w:rPr>
              <w:t>]</w:t>
              <w:tab/>
            </w:r>
            <w:r>
              <w:rPr>
                <w:rStyle w:val="IndexLink"/>
              </w:rPr>
              <w:t>662</w:t>
            </w:r>
          </w:hyperlink>
        </w:p>
        <w:p>
          <w:pPr>
            <w:pStyle w:val="Contents4"/>
            <w:tabs>
              <w:tab w:val="clear" w:pos="8176"/>
              <w:tab w:val="right" w:pos="9026" w:leader="dot"/>
            </w:tabs>
            <w:rPr/>
          </w:pPr>
          <w:hyperlink w:anchor="__RefHeading___Toc2019340_1067777946">
            <w:r>
              <w:rPr>
                <w:webHidden/>
                <w:rStyle w:val="IndexLink"/>
                <w:rtl w:val="true"/>
              </w:rPr>
              <w:t>[</w:t>
            </w:r>
            <w:r>
              <w:rPr>
                <w:rStyle w:val="IndexLink"/>
                <w:rtl w:val="true"/>
              </w:rPr>
              <w:t>صلاة العيدين</w:t>
            </w:r>
            <w:r>
              <w:rPr>
                <w:rStyle w:val="IndexLink"/>
                <w:rtl w:val="true"/>
              </w:rPr>
              <w:t>]</w:t>
              <w:tab/>
            </w:r>
            <w:r>
              <w:rPr>
                <w:rStyle w:val="IndexLink"/>
              </w:rPr>
              <w:t>664</w:t>
            </w:r>
          </w:hyperlink>
        </w:p>
        <w:p>
          <w:pPr>
            <w:pStyle w:val="Contents4"/>
            <w:tabs>
              <w:tab w:val="clear" w:pos="8176"/>
              <w:tab w:val="right" w:pos="9026" w:leader="dot"/>
            </w:tabs>
            <w:rPr/>
          </w:pPr>
          <w:hyperlink w:anchor="__RefHeading___Toc2019342_1067777946">
            <w:r>
              <w:rPr>
                <w:webHidden/>
                <w:rStyle w:val="IndexLink"/>
                <w:rtl w:val="true"/>
              </w:rPr>
              <w:t>[</w:t>
            </w:r>
            <w:r>
              <w:rPr>
                <w:rStyle w:val="IndexLink"/>
                <w:rtl w:val="true"/>
              </w:rPr>
              <w:t>صلاة الكسوف</w:t>
            </w:r>
            <w:r>
              <w:rPr>
                <w:rStyle w:val="IndexLink"/>
                <w:rtl w:val="true"/>
              </w:rPr>
              <w:t>]</w:t>
              <w:tab/>
            </w:r>
            <w:r>
              <w:rPr>
                <w:rStyle w:val="IndexLink"/>
              </w:rPr>
              <w:t>665</w:t>
            </w:r>
          </w:hyperlink>
        </w:p>
        <w:p>
          <w:pPr>
            <w:pStyle w:val="Contents4"/>
            <w:tabs>
              <w:tab w:val="clear" w:pos="8176"/>
              <w:tab w:val="right" w:pos="9026" w:leader="dot"/>
            </w:tabs>
            <w:rPr/>
          </w:pPr>
          <w:hyperlink w:anchor="__RefHeading___Toc2019344_1067777946">
            <w:r>
              <w:rPr>
                <w:webHidden/>
                <w:rStyle w:val="IndexLink"/>
                <w:rtl w:val="true"/>
              </w:rPr>
              <w:t>[</w:t>
            </w:r>
            <w:r>
              <w:rPr>
                <w:rStyle w:val="IndexLink"/>
                <w:rtl w:val="true"/>
              </w:rPr>
              <w:t>صلاة الجنازة</w:t>
            </w:r>
            <w:r>
              <w:rPr>
                <w:rStyle w:val="IndexLink"/>
                <w:rtl w:val="true"/>
              </w:rPr>
              <w:t>]</w:t>
              <w:tab/>
            </w:r>
            <w:r>
              <w:rPr>
                <w:rStyle w:val="IndexLink"/>
              </w:rPr>
              <w:t>666</w:t>
            </w:r>
          </w:hyperlink>
        </w:p>
        <w:p>
          <w:pPr>
            <w:pStyle w:val="Contents4"/>
            <w:tabs>
              <w:tab w:val="clear" w:pos="8176"/>
              <w:tab w:val="right" w:pos="9026" w:leader="dot"/>
            </w:tabs>
            <w:rPr/>
          </w:pPr>
          <w:hyperlink w:anchor="__RefHeading___Toc2019346_1067777946">
            <w:r>
              <w:rPr>
                <w:webHidden/>
                <w:rStyle w:val="IndexLink"/>
                <w:rtl w:val="true"/>
              </w:rPr>
              <w:t>[</w:t>
            </w:r>
            <w:r>
              <w:rPr>
                <w:rStyle w:val="IndexLink"/>
                <w:rtl w:val="true"/>
              </w:rPr>
              <w:t>صلاة الاستسقاء</w:t>
            </w:r>
            <w:r>
              <w:rPr>
                <w:rStyle w:val="IndexLink"/>
                <w:rtl w:val="true"/>
              </w:rPr>
              <w:t>]</w:t>
              <w:tab/>
            </w:r>
            <w:r>
              <w:rPr>
                <w:rStyle w:val="IndexLink"/>
              </w:rPr>
              <w:t>667</w:t>
            </w:r>
          </w:hyperlink>
        </w:p>
        <w:p>
          <w:pPr>
            <w:pStyle w:val="Contents4"/>
            <w:tabs>
              <w:tab w:val="clear" w:pos="8176"/>
              <w:tab w:val="right" w:pos="9026" w:leader="dot"/>
            </w:tabs>
            <w:rPr/>
          </w:pPr>
          <w:hyperlink w:anchor="__RefHeading___Toc2019348_1067777946">
            <w:r>
              <w:rPr>
                <w:webHidden/>
                <w:rStyle w:val="IndexLink"/>
                <w:rtl w:val="true"/>
              </w:rPr>
              <w:t>[</w:t>
            </w:r>
            <w:r>
              <w:rPr>
                <w:rStyle w:val="IndexLink"/>
                <w:rtl w:val="true"/>
              </w:rPr>
              <w:t>نافلة شهر رمضان</w:t>
            </w:r>
            <w:r>
              <w:rPr>
                <w:rStyle w:val="IndexLink"/>
                <w:rtl w:val="true"/>
              </w:rPr>
              <w:t>]</w:t>
              <w:tab/>
            </w:r>
            <w:r>
              <w:rPr>
                <w:rStyle w:val="IndexLink"/>
              </w:rPr>
              <w:t>668</w:t>
            </w:r>
          </w:hyperlink>
        </w:p>
        <w:p>
          <w:pPr>
            <w:pStyle w:val="Contents4"/>
            <w:tabs>
              <w:tab w:val="clear" w:pos="8176"/>
              <w:tab w:val="right" w:pos="9026" w:leader="dot"/>
            </w:tabs>
            <w:rPr/>
          </w:pPr>
          <w:hyperlink w:anchor="__RefHeading___Toc2019350_1067777946">
            <w:r>
              <w:rPr>
                <w:webHidden/>
                <w:rStyle w:val="IndexLink"/>
                <w:rtl w:val="true"/>
              </w:rPr>
              <w:t>[</w:t>
            </w:r>
            <w:r>
              <w:rPr>
                <w:rStyle w:val="IndexLink"/>
                <w:rtl w:val="true"/>
              </w:rPr>
              <w:t>الخلل الواقع في الصلاة</w:t>
            </w:r>
            <w:r>
              <w:rPr>
                <w:rStyle w:val="IndexLink"/>
                <w:rtl w:val="true"/>
              </w:rPr>
              <w:t>]</w:t>
              <w:tab/>
            </w:r>
            <w:r>
              <w:rPr>
                <w:rStyle w:val="IndexLink"/>
              </w:rPr>
              <w:t>668</w:t>
            </w:r>
          </w:hyperlink>
        </w:p>
        <w:p>
          <w:pPr>
            <w:pStyle w:val="Contents4"/>
            <w:tabs>
              <w:tab w:val="clear" w:pos="8176"/>
              <w:tab w:val="right" w:pos="9026" w:leader="dot"/>
            </w:tabs>
            <w:rPr/>
          </w:pPr>
          <w:hyperlink w:anchor="__RefHeading___Toc2019352_1067777946">
            <w:r>
              <w:rPr>
                <w:webHidden/>
                <w:rStyle w:val="IndexLink"/>
                <w:rtl w:val="true"/>
              </w:rPr>
              <w:t>[</w:t>
            </w:r>
            <w:r>
              <w:rPr>
                <w:rStyle w:val="IndexLink"/>
                <w:rtl w:val="true"/>
              </w:rPr>
              <w:t>قضاء الصلاة</w:t>
            </w:r>
            <w:r>
              <w:rPr>
                <w:rStyle w:val="IndexLink"/>
                <w:rtl w:val="true"/>
              </w:rPr>
              <w:t>]</w:t>
              <w:tab/>
            </w:r>
            <w:r>
              <w:rPr>
                <w:rStyle w:val="IndexLink"/>
              </w:rPr>
              <w:t>670</w:t>
            </w:r>
          </w:hyperlink>
        </w:p>
        <w:p>
          <w:pPr>
            <w:pStyle w:val="Contents4"/>
            <w:tabs>
              <w:tab w:val="clear" w:pos="8176"/>
              <w:tab w:val="right" w:pos="9026" w:leader="dot"/>
            </w:tabs>
            <w:rPr/>
          </w:pPr>
          <w:hyperlink w:anchor="__RefHeading___Toc2019354_1067777946">
            <w:r>
              <w:rPr>
                <w:webHidden/>
                <w:rStyle w:val="IndexLink"/>
                <w:rtl w:val="true"/>
              </w:rPr>
              <w:t>[</w:t>
            </w:r>
            <w:r>
              <w:rPr>
                <w:rStyle w:val="IndexLink"/>
                <w:rtl w:val="true"/>
              </w:rPr>
              <w:t>صلاة الجماعة</w:t>
            </w:r>
            <w:r>
              <w:rPr>
                <w:rStyle w:val="IndexLink"/>
                <w:rtl w:val="true"/>
              </w:rPr>
              <w:t>]</w:t>
              <w:tab/>
            </w:r>
            <w:r>
              <w:rPr>
                <w:rStyle w:val="IndexLink"/>
              </w:rPr>
              <w:t>671</w:t>
            </w:r>
          </w:hyperlink>
        </w:p>
        <w:p>
          <w:pPr>
            <w:pStyle w:val="Contents4"/>
            <w:tabs>
              <w:tab w:val="clear" w:pos="8176"/>
              <w:tab w:val="right" w:pos="9026" w:leader="dot"/>
            </w:tabs>
            <w:rPr/>
          </w:pPr>
          <w:hyperlink w:anchor="__RefHeading___Toc2019356_1067777946">
            <w:r>
              <w:rPr>
                <w:webHidden/>
                <w:rStyle w:val="IndexLink"/>
                <w:rtl w:val="true"/>
              </w:rPr>
              <w:t>[</w:t>
            </w:r>
            <w:r>
              <w:rPr>
                <w:rStyle w:val="IndexLink"/>
                <w:rtl w:val="true"/>
              </w:rPr>
              <w:t>أحكام المساجد</w:t>
            </w:r>
            <w:r>
              <w:rPr>
                <w:rStyle w:val="IndexLink"/>
                <w:rtl w:val="true"/>
              </w:rPr>
              <w:t>]</w:t>
              <w:tab/>
            </w:r>
            <w:r>
              <w:rPr>
                <w:rStyle w:val="IndexLink"/>
              </w:rPr>
              <w:t>673</w:t>
            </w:r>
          </w:hyperlink>
        </w:p>
        <w:p>
          <w:pPr>
            <w:pStyle w:val="Contents4"/>
            <w:tabs>
              <w:tab w:val="clear" w:pos="8176"/>
              <w:tab w:val="right" w:pos="9026" w:leader="dot"/>
            </w:tabs>
            <w:rPr/>
          </w:pPr>
          <w:hyperlink w:anchor="__RefHeading___Toc2019358_1067777946">
            <w:r>
              <w:rPr>
                <w:webHidden/>
                <w:rStyle w:val="IndexLink"/>
                <w:rtl w:val="true"/>
              </w:rPr>
              <w:t>[</w:t>
            </w:r>
            <w:r>
              <w:rPr>
                <w:rStyle w:val="IndexLink"/>
                <w:rtl w:val="true"/>
              </w:rPr>
              <w:t>صلاة الخوف</w:t>
            </w:r>
            <w:r>
              <w:rPr>
                <w:rStyle w:val="IndexLink"/>
                <w:rtl w:val="true"/>
              </w:rPr>
              <w:t>]</w:t>
              <w:tab/>
            </w:r>
            <w:r>
              <w:rPr>
                <w:rStyle w:val="IndexLink"/>
              </w:rPr>
              <w:t>674</w:t>
            </w:r>
          </w:hyperlink>
        </w:p>
        <w:p>
          <w:pPr>
            <w:pStyle w:val="Contents4"/>
            <w:tabs>
              <w:tab w:val="clear" w:pos="8176"/>
              <w:tab w:val="right" w:pos="9026" w:leader="dot"/>
            </w:tabs>
            <w:rPr/>
          </w:pPr>
          <w:hyperlink w:anchor="__RefHeading___Toc2019360_1067777946">
            <w:r>
              <w:rPr>
                <w:webHidden/>
                <w:rStyle w:val="IndexLink"/>
                <w:rtl w:val="true"/>
              </w:rPr>
              <w:t>[</w:t>
            </w:r>
            <w:r>
              <w:rPr>
                <w:rStyle w:val="IndexLink"/>
                <w:rtl w:val="true"/>
              </w:rPr>
              <w:t>صلاة المسافر</w:t>
            </w:r>
            <w:r>
              <w:rPr>
                <w:rStyle w:val="IndexLink"/>
                <w:rtl w:val="true"/>
              </w:rPr>
              <w:t>]</w:t>
              <w:tab/>
            </w:r>
            <w:r>
              <w:rPr>
                <w:rStyle w:val="IndexLink"/>
              </w:rPr>
              <w:t>674</w:t>
            </w:r>
          </w:hyperlink>
        </w:p>
        <w:p>
          <w:pPr>
            <w:pStyle w:val="Contents3"/>
            <w:tabs>
              <w:tab w:val="clear" w:pos="8459"/>
              <w:tab w:val="right" w:pos="9026" w:leader="dot"/>
            </w:tabs>
            <w:rPr/>
          </w:pPr>
          <w:hyperlink w:anchor="__RefHeading___Toc2019362_1067777946">
            <w:r>
              <w:rPr>
                <w:webHidden/>
                <w:rStyle w:val="IndexLink"/>
                <w:rtl w:val="true"/>
              </w:rPr>
              <w:t>كتاب الزكاة</w:t>
            </w:r>
            <w:r>
              <w:rPr>
                <w:rStyle w:val="IndexLink"/>
                <w:rtl w:val="true"/>
              </w:rPr>
              <w:tab/>
            </w:r>
            <w:r>
              <w:rPr>
                <w:rStyle w:val="IndexLink"/>
              </w:rPr>
              <w:t>677</w:t>
            </w:r>
          </w:hyperlink>
        </w:p>
        <w:p>
          <w:pPr>
            <w:pStyle w:val="Contents4"/>
            <w:tabs>
              <w:tab w:val="clear" w:pos="8176"/>
              <w:tab w:val="right" w:pos="9026" w:leader="dot"/>
            </w:tabs>
            <w:rPr/>
          </w:pPr>
          <w:hyperlink w:anchor="__RefHeading___Toc2019364_1067777946">
            <w:r>
              <w:rPr>
                <w:webHidden/>
                <w:rStyle w:val="IndexLink"/>
                <w:rtl w:val="true"/>
              </w:rPr>
              <w:t>[</w:t>
            </w:r>
            <w:r>
              <w:rPr>
                <w:rStyle w:val="IndexLink"/>
                <w:rtl w:val="true"/>
              </w:rPr>
              <w:t>زكاة المال</w:t>
            </w:r>
            <w:r>
              <w:rPr>
                <w:rStyle w:val="IndexLink"/>
                <w:rtl w:val="true"/>
              </w:rPr>
              <w:t>]</w:t>
              <w:tab/>
            </w:r>
            <w:r>
              <w:rPr>
                <w:rStyle w:val="IndexLink"/>
              </w:rPr>
              <w:t>677</w:t>
            </w:r>
          </w:hyperlink>
        </w:p>
        <w:p>
          <w:pPr>
            <w:pStyle w:val="Contents4"/>
            <w:tabs>
              <w:tab w:val="clear" w:pos="8176"/>
              <w:tab w:val="right" w:pos="9026" w:leader="dot"/>
            </w:tabs>
            <w:rPr/>
          </w:pPr>
          <w:hyperlink w:anchor="__RefHeading___Toc2019366_1067777946">
            <w:r>
              <w:rPr>
                <w:webHidden/>
                <w:rStyle w:val="IndexLink"/>
                <w:rtl w:val="true"/>
              </w:rPr>
              <w:t>[</w:t>
            </w:r>
            <w:r>
              <w:rPr>
                <w:rStyle w:val="IndexLink"/>
                <w:rtl w:val="true"/>
              </w:rPr>
              <w:t>زكاة الفطر</w:t>
            </w:r>
            <w:r>
              <w:rPr>
                <w:rStyle w:val="IndexLink"/>
                <w:rtl w:val="true"/>
              </w:rPr>
              <w:t>]</w:t>
              <w:tab/>
            </w:r>
            <w:r>
              <w:rPr>
                <w:rStyle w:val="IndexLink"/>
              </w:rPr>
              <w:t>682</w:t>
            </w:r>
          </w:hyperlink>
        </w:p>
        <w:p>
          <w:pPr>
            <w:pStyle w:val="Contents3"/>
            <w:tabs>
              <w:tab w:val="clear" w:pos="8459"/>
              <w:tab w:val="right" w:pos="9026" w:leader="dot"/>
            </w:tabs>
            <w:rPr/>
          </w:pPr>
          <w:hyperlink w:anchor="__RefHeading___Toc2019368_1067777946">
            <w:r>
              <w:rPr>
                <w:webHidden/>
                <w:rStyle w:val="IndexLink"/>
                <w:rtl w:val="true"/>
              </w:rPr>
              <w:t>كتاب الخمس</w:t>
            </w:r>
            <w:r>
              <w:rPr>
                <w:rStyle w:val="IndexLink"/>
                <w:rtl w:val="true"/>
              </w:rPr>
              <w:tab/>
            </w:r>
            <w:r>
              <w:rPr>
                <w:rStyle w:val="IndexLink"/>
              </w:rPr>
              <w:t>684</w:t>
            </w:r>
          </w:hyperlink>
        </w:p>
        <w:p>
          <w:pPr>
            <w:pStyle w:val="Contents3"/>
            <w:tabs>
              <w:tab w:val="clear" w:pos="8459"/>
              <w:tab w:val="right" w:pos="9026" w:leader="dot"/>
            </w:tabs>
            <w:rPr/>
          </w:pPr>
          <w:hyperlink w:anchor="__RefHeading___Toc2019370_1067777946">
            <w:r>
              <w:rPr>
                <w:webHidden/>
                <w:rStyle w:val="IndexLink"/>
                <w:rtl w:val="true"/>
              </w:rPr>
              <w:t>كتاب الصوم</w:t>
            </w:r>
            <w:r>
              <w:rPr>
                <w:rStyle w:val="IndexLink"/>
                <w:rtl w:val="true"/>
              </w:rPr>
              <w:tab/>
            </w:r>
            <w:r>
              <w:rPr>
                <w:rStyle w:val="IndexLink"/>
              </w:rPr>
              <w:t>686</w:t>
            </w:r>
          </w:hyperlink>
        </w:p>
        <w:p>
          <w:pPr>
            <w:pStyle w:val="Contents4"/>
            <w:tabs>
              <w:tab w:val="clear" w:pos="8176"/>
              <w:tab w:val="right" w:pos="9026" w:leader="dot"/>
            </w:tabs>
            <w:rPr/>
          </w:pPr>
          <w:hyperlink w:anchor="__RefHeading___Toc2019372_1067777946">
            <w:r>
              <w:rPr>
                <w:webHidden/>
                <w:rStyle w:val="IndexLink"/>
                <w:rtl w:val="true"/>
              </w:rPr>
              <w:t>اشارة</w:t>
            </w:r>
            <w:r>
              <w:rPr>
                <w:rStyle w:val="IndexLink"/>
                <w:rtl w:val="true"/>
              </w:rPr>
              <w:tab/>
            </w:r>
            <w:r>
              <w:rPr>
                <w:rStyle w:val="IndexLink"/>
              </w:rPr>
              <w:t>686</w:t>
            </w:r>
          </w:hyperlink>
        </w:p>
        <w:p>
          <w:pPr>
            <w:pStyle w:val="Contents4"/>
            <w:tabs>
              <w:tab w:val="clear" w:pos="8176"/>
              <w:tab w:val="right" w:pos="9026" w:leader="dot"/>
            </w:tabs>
            <w:rPr/>
          </w:pPr>
          <w:hyperlink w:anchor="__RefHeading___Toc2019374_1067777946">
            <w:r>
              <w:rPr>
                <w:webHidden/>
                <w:rStyle w:val="IndexLink"/>
                <w:rtl w:val="true"/>
              </w:rPr>
              <w:t>[</w:t>
            </w:r>
            <w:r>
              <w:rPr>
                <w:rStyle w:val="IndexLink"/>
                <w:rtl w:val="true"/>
              </w:rPr>
              <w:t>ما يمسك عنه الصائم</w:t>
            </w:r>
            <w:r>
              <w:rPr>
                <w:rStyle w:val="IndexLink"/>
                <w:rtl w:val="true"/>
              </w:rPr>
              <w:t>]</w:t>
              <w:tab/>
            </w:r>
            <w:r>
              <w:rPr>
                <w:rStyle w:val="IndexLink"/>
              </w:rPr>
              <w:t>686</w:t>
            </w:r>
          </w:hyperlink>
        </w:p>
        <w:p>
          <w:pPr>
            <w:pStyle w:val="Contents4"/>
            <w:tabs>
              <w:tab w:val="clear" w:pos="8176"/>
              <w:tab w:val="right" w:pos="9026" w:leader="dot"/>
            </w:tabs>
            <w:rPr/>
          </w:pPr>
          <w:hyperlink w:anchor="__RefHeading___Toc2019376_1067777946">
            <w:r>
              <w:rPr>
                <w:webHidden/>
                <w:rStyle w:val="IndexLink"/>
                <w:rtl w:val="true"/>
              </w:rPr>
              <w:t>[</w:t>
            </w:r>
            <w:r>
              <w:rPr>
                <w:rStyle w:val="IndexLink"/>
                <w:rtl w:val="true"/>
              </w:rPr>
              <w:t>ما يوجب الكَفّارةَ والقَضاءَ</w:t>
            </w:r>
            <w:r>
              <w:rPr>
                <w:rStyle w:val="IndexLink"/>
                <w:rtl w:val="true"/>
              </w:rPr>
              <w:t>]</w:t>
              <w:tab/>
            </w:r>
            <w:r>
              <w:rPr>
                <w:rStyle w:val="IndexLink"/>
              </w:rPr>
              <w:t>687</w:t>
            </w:r>
          </w:hyperlink>
        </w:p>
        <w:p>
          <w:pPr>
            <w:pStyle w:val="Contents4"/>
            <w:tabs>
              <w:tab w:val="clear" w:pos="8176"/>
              <w:tab w:val="right" w:pos="9026" w:leader="dot"/>
            </w:tabs>
            <w:rPr/>
          </w:pPr>
          <w:hyperlink w:anchor="__RefHeading___Toc2019378_1067777946">
            <w:r>
              <w:rPr>
                <w:webHidden/>
                <w:rStyle w:val="IndexLink"/>
                <w:rtl w:val="true"/>
              </w:rPr>
              <w:t>[</w:t>
            </w:r>
            <w:r>
              <w:rPr>
                <w:rStyle w:val="IndexLink"/>
                <w:rtl w:val="true"/>
              </w:rPr>
              <w:t>مَنْ لا يَصِحّ منه الصوم</w:t>
            </w:r>
            <w:r>
              <w:rPr>
                <w:rStyle w:val="IndexLink"/>
                <w:rtl w:val="true"/>
              </w:rPr>
              <w:t>]</w:t>
              <w:tab/>
            </w:r>
            <w:r>
              <w:rPr>
                <w:rStyle w:val="IndexLink"/>
              </w:rPr>
              <w:t>689</w:t>
            </w:r>
          </w:hyperlink>
        </w:p>
        <w:p>
          <w:pPr>
            <w:pStyle w:val="Contents4"/>
            <w:tabs>
              <w:tab w:val="clear" w:pos="8176"/>
              <w:tab w:val="right" w:pos="9026" w:leader="dot"/>
            </w:tabs>
            <w:rPr/>
          </w:pPr>
          <w:hyperlink w:anchor="__RefHeading___Toc2019380_1067777946">
            <w:r>
              <w:rPr>
                <w:webHidden/>
                <w:rStyle w:val="IndexLink"/>
                <w:rtl w:val="true"/>
              </w:rPr>
              <w:t>[</w:t>
            </w:r>
            <w:r>
              <w:rPr>
                <w:rStyle w:val="IndexLink"/>
                <w:rtl w:val="true"/>
              </w:rPr>
              <w:t>علامة شهر رمضان</w:t>
            </w:r>
            <w:r>
              <w:rPr>
                <w:rStyle w:val="IndexLink"/>
                <w:rtl w:val="true"/>
              </w:rPr>
              <w:t>]</w:t>
              <w:tab/>
            </w:r>
            <w:r>
              <w:rPr>
                <w:rStyle w:val="IndexLink"/>
              </w:rPr>
              <w:t>689</w:t>
            </w:r>
          </w:hyperlink>
        </w:p>
        <w:p>
          <w:pPr>
            <w:pStyle w:val="Contents4"/>
            <w:tabs>
              <w:tab w:val="clear" w:pos="8176"/>
              <w:tab w:val="right" w:pos="9026" w:leader="dot"/>
            </w:tabs>
            <w:rPr/>
          </w:pPr>
          <w:hyperlink w:anchor="__RefHeading___Toc2019382_1067777946">
            <w:r>
              <w:rPr>
                <w:webHidden/>
                <w:rStyle w:val="IndexLink"/>
                <w:rtl w:val="true"/>
              </w:rPr>
              <w:t>[</w:t>
            </w:r>
            <w:r>
              <w:rPr>
                <w:rStyle w:val="IndexLink"/>
                <w:rtl w:val="true"/>
              </w:rPr>
              <w:t>شرائط وجوب الصوم وقضائه</w:t>
            </w:r>
            <w:r>
              <w:rPr>
                <w:rStyle w:val="IndexLink"/>
                <w:rtl w:val="true"/>
              </w:rPr>
              <w:t>]</w:t>
              <w:tab/>
            </w:r>
            <w:r>
              <w:rPr>
                <w:rStyle w:val="IndexLink"/>
              </w:rPr>
              <w:t>689</w:t>
            </w:r>
          </w:hyperlink>
        </w:p>
        <w:p>
          <w:pPr>
            <w:pStyle w:val="Contents4"/>
            <w:tabs>
              <w:tab w:val="clear" w:pos="8176"/>
              <w:tab w:val="right" w:pos="9026" w:leader="dot"/>
            </w:tabs>
            <w:rPr/>
          </w:pPr>
          <w:hyperlink w:anchor="__RefHeading___Toc2019384_1067777946">
            <w:r>
              <w:rPr>
                <w:webHidden/>
                <w:rStyle w:val="IndexLink"/>
                <w:rtl w:val="true"/>
              </w:rPr>
              <w:t>[</w:t>
            </w:r>
            <w:r>
              <w:rPr>
                <w:rStyle w:val="IndexLink"/>
                <w:rtl w:val="true"/>
              </w:rPr>
              <w:t>الصوم المندوب</w:t>
            </w:r>
            <w:r>
              <w:rPr>
                <w:rStyle w:val="IndexLink"/>
                <w:rtl w:val="true"/>
              </w:rPr>
              <w:t>]</w:t>
              <w:tab/>
            </w:r>
            <w:r>
              <w:rPr>
                <w:rStyle w:val="IndexLink"/>
              </w:rPr>
              <w:t>690</w:t>
            </w:r>
          </w:hyperlink>
        </w:p>
        <w:p>
          <w:pPr>
            <w:pStyle w:val="Contents4"/>
            <w:tabs>
              <w:tab w:val="clear" w:pos="8176"/>
              <w:tab w:val="right" w:pos="9026" w:leader="dot"/>
            </w:tabs>
            <w:rPr/>
          </w:pPr>
          <w:hyperlink w:anchor="__RefHeading___Toc2019386_1067777946">
            <w:r>
              <w:rPr>
                <w:webHidden/>
                <w:rStyle w:val="IndexLink"/>
                <w:rtl w:val="true"/>
              </w:rPr>
              <w:t>[</w:t>
            </w:r>
            <w:r>
              <w:rPr>
                <w:rStyle w:val="IndexLink"/>
                <w:rtl w:val="true"/>
              </w:rPr>
              <w:t>الصوم المحظور</w:t>
            </w:r>
            <w:r>
              <w:rPr>
                <w:rStyle w:val="IndexLink"/>
                <w:rtl w:val="true"/>
              </w:rPr>
              <w:t>]</w:t>
              <w:tab/>
            </w:r>
            <w:r>
              <w:rPr>
                <w:rStyle w:val="IndexLink"/>
              </w:rPr>
              <w:t>691</w:t>
            </w:r>
          </w:hyperlink>
        </w:p>
        <w:p>
          <w:pPr>
            <w:pStyle w:val="Contents3"/>
            <w:tabs>
              <w:tab w:val="clear" w:pos="8459"/>
              <w:tab w:val="right" w:pos="9026" w:leader="dot"/>
            </w:tabs>
            <w:rPr/>
          </w:pPr>
          <w:hyperlink w:anchor="__RefHeading___Toc2019388_1067777946">
            <w:r>
              <w:rPr>
                <w:webHidden/>
                <w:rStyle w:val="IndexLink"/>
                <w:rtl w:val="true"/>
              </w:rPr>
              <w:t>كتاب الاعتكاف</w:t>
            </w:r>
            <w:r>
              <w:rPr>
                <w:rStyle w:val="IndexLink"/>
                <w:rtl w:val="true"/>
              </w:rPr>
              <w:tab/>
            </w:r>
            <w:r>
              <w:rPr>
                <w:rStyle w:val="IndexLink"/>
              </w:rPr>
              <w:t>693</w:t>
            </w:r>
          </w:hyperlink>
        </w:p>
        <w:p>
          <w:pPr>
            <w:pStyle w:val="Contents3"/>
            <w:tabs>
              <w:tab w:val="clear" w:pos="8459"/>
              <w:tab w:val="right" w:pos="9026" w:leader="dot"/>
            </w:tabs>
            <w:rPr/>
          </w:pPr>
          <w:hyperlink w:anchor="__RefHeading___Toc2019390_1067777946">
            <w:r>
              <w:rPr>
                <w:webHidden/>
                <w:rStyle w:val="IndexLink"/>
                <w:rtl w:val="true"/>
              </w:rPr>
              <w:t>كتاب الحجّ</w:t>
            </w:r>
            <w:r>
              <w:rPr>
                <w:rStyle w:val="IndexLink"/>
                <w:rtl w:val="true"/>
              </w:rPr>
              <w:tab/>
            </w:r>
            <w:r>
              <w:rPr>
                <w:rStyle w:val="IndexLink"/>
              </w:rPr>
              <w:t>694</w:t>
            </w:r>
          </w:hyperlink>
        </w:p>
        <w:p>
          <w:pPr>
            <w:pStyle w:val="Contents4"/>
            <w:tabs>
              <w:tab w:val="clear" w:pos="8176"/>
              <w:tab w:val="right" w:pos="9026" w:leader="dot"/>
            </w:tabs>
            <w:rPr/>
          </w:pPr>
          <w:hyperlink w:anchor="__RefHeading___Toc2019392_1067777946">
            <w:r>
              <w:rPr>
                <w:webHidden/>
                <w:rStyle w:val="IndexLink"/>
                <w:rtl w:val="true"/>
              </w:rPr>
              <w:t>اشارة</w:t>
            </w:r>
            <w:r>
              <w:rPr>
                <w:rStyle w:val="IndexLink"/>
                <w:rtl w:val="true"/>
              </w:rPr>
              <w:tab/>
            </w:r>
            <w:r>
              <w:rPr>
                <w:rStyle w:val="IndexLink"/>
              </w:rPr>
              <w:t>694</w:t>
            </w:r>
          </w:hyperlink>
        </w:p>
        <w:p>
          <w:pPr>
            <w:pStyle w:val="Contents4"/>
            <w:tabs>
              <w:tab w:val="clear" w:pos="8176"/>
              <w:tab w:val="right" w:pos="9026" w:leader="dot"/>
            </w:tabs>
            <w:rPr/>
          </w:pPr>
          <w:hyperlink w:anchor="__RefHeading___Toc2019394_1067777946">
            <w:r>
              <w:rPr>
                <w:webHidden/>
                <w:rStyle w:val="IndexLink"/>
                <w:rtl w:val="true"/>
              </w:rPr>
              <w:t>[</w:t>
            </w:r>
            <w:r>
              <w:rPr>
                <w:rStyle w:val="IndexLink"/>
                <w:rtl w:val="true"/>
              </w:rPr>
              <w:t>شرائط حجّة الإسلام</w:t>
            </w:r>
            <w:r>
              <w:rPr>
                <w:rStyle w:val="IndexLink"/>
                <w:rtl w:val="true"/>
              </w:rPr>
              <w:t>]</w:t>
              <w:tab/>
            </w:r>
            <w:r>
              <w:rPr>
                <w:rStyle w:val="IndexLink"/>
              </w:rPr>
              <w:t>694</w:t>
            </w:r>
          </w:hyperlink>
        </w:p>
        <w:p>
          <w:pPr>
            <w:pStyle w:val="Contents4"/>
            <w:tabs>
              <w:tab w:val="clear" w:pos="8176"/>
              <w:tab w:val="right" w:pos="9026" w:leader="dot"/>
            </w:tabs>
            <w:rPr/>
          </w:pPr>
          <w:hyperlink w:anchor="__RefHeading___Toc2019396_1067777946">
            <w:r>
              <w:rPr>
                <w:webHidden/>
                <w:rStyle w:val="IndexLink"/>
                <w:rtl w:val="true"/>
              </w:rPr>
              <w:t>[</w:t>
            </w:r>
            <w:r>
              <w:rPr>
                <w:rStyle w:val="IndexLink"/>
                <w:rtl w:val="true"/>
              </w:rPr>
              <w:t>القول في النيابة</w:t>
            </w:r>
            <w:r>
              <w:rPr>
                <w:rStyle w:val="IndexLink"/>
                <w:rtl w:val="true"/>
              </w:rPr>
              <w:t>]</w:t>
              <w:tab/>
            </w:r>
            <w:r>
              <w:rPr>
                <w:rStyle w:val="IndexLink"/>
              </w:rPr>
              <w:t>695</w:t>
            </w:r>
          </w:hyperlink>
        </w:p>
        <w:p>
          <w:pPr>
            <w:pStyle w:val="Contents4"/>
            <w:tabs>
              <w:tab w:val="clear" w:pos="8176"/>
              <w:tab w:val="right" w:pos="9026" w:leader="dot"/>
            </w:tabs>
            <w:rPr/>
          </w:pPr>
          <w:hyperlink w:anchor="__RefHeading___Toc2019398_1067777946">
            <w:r>
              <w:rPr>
                <w:webHidden/>
                <w:rStyle w:val="IndexLink"/>
                <w:rtl w:val="true"/>
              </w:rPr>
              <w:t>[</w:t>
            </w:r>
            <w:r>
              <w:rPr>
                <w:rStyle w:val="IndexLink"/>
                <w:rtl w:val="true"/>
              </w:rPr>
              <w:t>في أنواع الحجّ</w:t>
            </w:r>
            <w:r>
              <w:rPr>
                <w:rStyle w:val="IndexLink"/>
                <w:rtl w:val="true"/>
              </w:rPr>
              <w:t>]</w:t>
              <w:tab/>
            </w:r>
            <w:r>
              <w:rPr>
                <w:rStyle w:val="IndexLink"/>
              </w:rPr>
              <w:t>696</w:t>
            </w:r>
          </w:hyperlink>
        </w:p>
        <w:p>
          <w:pPr>
            <w:pStyle w:val="Contents4"/>
            <w:tabs>
              <w:tab w:val="clear" w:pos="8176"/>
              <w:tab w:val="right" w:pos="9026" w:leader="dot"/>
            </w:tabs>
            <w:rPr/>
          </w:pPr>
          <w:hyperlink w:anchor="__RefHeading___Toc2019400_1067777946">
            <w:r>
              <w:rPr>
                <w:webHidden/>
                <w:rStyle w:val="IndexLink"/>
                <w:rtl w:val="true"/>
              </w:rPr>
              <w:t>[</w:t>
            </w:r>
            <w:r>
              <w:rPr>
                <w:rStyle w:val="IndexLink"/>
                <w:rtl w:val="true"/>
              </w:rPr>
              <w:t>في المواقيت</w:t>
            </w:r>
            <w:r>
              <w:rPr>
                <w:rStyle w:val="IndexLink"/>
                <w:rtl w:val="true"/>
              </w:rPr>
              <w:t>]</w:t>
              <w:tab/>
            </w:r>
            <w:r>
              <w:rPr>
                <w:rStyle w:val="IndexLink"/>
              </w:rPr>
              <w:t>697</w:t>
            </w:r>
          </w:hyperlink>
        </w:p>
        <w:p>
          <w:pPr>
            <w:pStyle w:val="Contents4"/>
            <w:tabs>
              <w:tab w:val="clear" w:pos="8176"/>
              <w:tab w:val="right" w:pos="9026" w:leader="dot"/>
            </w:tabs>
            <w:rPr/>
          </w:pPr>
          <w:hyperlink w:anchor="__RefHeading___Toc2019402_1067777946">
            <w:r>
              <w:rPr>
                <w:webHidden/>
                <w:rStyle w:val="IndexLink"/>
                <w:rtl w:val="true"/>
              </w:rPr>
              <w:t>[</w:t>
            </w:r>
            <w:r>
              <w:rPr>
                <w:rStyle w:val="IndexLink"/>
                <w:rtl w:val="true"/>
              </w:rPr>
              <w:t>في أفعال الحَجّ</w:t>
            </w:r>
            <w:r>
              <w:rPr>
                <w:rStyle w:val="IndexLink"/>
                <w:rtl w:val="true"/>
              </w:rPr>
              <w:t>]</w:t>
              <w:tab/>
            </w:r>
            <w:r>
              <w:rPr>
                <w:rStyle w:val="IndexLink"/>
              </w:rPr>
              <w:t>697</w:t>
            </w:r>
          </w:hyperlink>
        </w:p>
        <w:p>
          <w:pPr>
            <w:pStyle w:val="Contents4"/>
            <w:tabs>
              <w:tab w:val="clear" w:pos="8176"/>
              <w:tab w:val="right" w:pos="9026" w:leader="dot"/>
            </w:tabs>
            <w:rPr/>
          </w:pPr>
          <w:hyperlink w:anchor="__RefHeading___Toc2019404_1067777946">
            <w:r>
              <w:rPr>
                <w:webHidden/>
                <w:rStyle w:val="IndexLink"/>
                <w:rtl w:val="true"/>
              </w:rPr>
              <w:t>[</w:t>
            </w:r>
            <w:r>
              <w:rPr>
                <w:rStyle w:val="IndexLink"/>
                <w:rtl w:val="true"/>
              </w:rPr>
              <w:t>تروك الإحرام</w:t>
            </w:r>
            <w:r>
              <w:rPr>
                <w:rStyle w:val="IndexLink"/>
                <w:rtl w:val="true"/>
              </w:rPr>
              <w:t>]</w:t>
              <w:tab/>
            </w:r>
            <w:r>
              <w:rPr>
                <w:rStyle w:val="IndexLink"/>
              </w:rPr>
              <w:t>699</w:t>
            </w:r>
          </w:hyperlink>
        </w:p>
        <w:p>
          <w:pPr>
            <w:pStyle w:val="Contents4"/>
            <w:tabs>
              <w:tab w:val="clear" w:pos="8176"/>
              <w:tab w:val="right" w:pos="9026" w:leader="dot"/>
            </w:tabs>
            <w:rPr/>
          </w:pPr>
          <w:hyperlink w:anchor="__RefHeading___Toc2019406_1067777946">
            <w:r>
              <w:rPr>
                <w:webHidden/>
                <w:rStyle w:val="IndexLink"/>
                <w:rtl w:val="true"/>
              </w:rPr>
              <w:t>[</w:t>
            </w:r>
            <w:r>
              <w:rPr>
                <w:rStyle w:val="IndexLink"/>
                <w:rtl w:val="true"/>
              </w:rPr>
              <w:t>في الوقوف بعرفات</w:t>
            </w:r>
            <w:r>
              <w:rPr>
                <w:rStyle w:val="IndexLink"/>
                <w:rtl w:val="true"/>
              </w:rPr>
              <w:t>]</w:t>
              <w:tab/>
            </w:r>
            <w:r>
              <w:rPr>
                <w:rStyle w:val="IndexLink"/>
              </w:rPr>
              <w:t>701</w:t>
            </w:r>
          </w:hyperlink>
        </w:p>
        <w:p>
          <w:pPr>
            <w:pStyle w:val="Contents4"/>
            <w:tabs>
              <w:tab w:val="clear" w:pos="8176"/>
              <w:tab w:val="right" w:pos="9026" w:leader="dot"/>
            </w:tabs>
            <w:rPr/>
          </w:pPr>
          <w:hyperlink w:anchor="__RefHeading___Toc2019408_1067777946">
            <w:r>
              <w:rPr>
                <w:webHidden/>
                <w:rStyle w:val="IndexLink"/>
                <w:rtl w:val="true"/>
              </w:rPr>
              <w:t>[</w:t>
            </w:r>
            <w:r>
              <w:rPr>
                <w:rStyle w:val="IndexLink"/>
                <w:rtl w:val="true"/>
              </w:rPr>
              <w:t>في الوقوف بالمشعر</w:t>
            </w:r>
            <w:r>
              <w:rPr>
                <w:rStyle w:val="IndexLink"/>
                <w:rtl w:val="true"/>
              </w:rPr>
              <w:t>]</w:t>
              <w:tab/>
            </w:r>
            <w:r>
              <w:rPr>
                <w:rStyle w:val="IndexLink"/>
              </w:rPr>
              <w:t>701</w:t>
            </w:r>
          </w:hyperlink>
        </w:p>
        <w:p>
          <w:pPr>
            <w:pStyle w:val="Contents4"/>
            <w:tabs>
              <w:tab w:val="clear" w:pos="8176"/>
              <w:tab w:val="right" w:pos="9026" w:leader="dot"/>
            </w:tabs>
            <w:rPr/>
          </w:pPr>
          <w:hyperlink w:anchor="__RefHeading___Toc2019410_1067777946">
            <w:r>
              <w:rPr>
                <w:webHidden/>
                <w:rStyle w:val="IndexLink"/>
                <w:rtl w:val="true"/>
              </w:rPr>
              <w:t>[</w:t>
            </w:r>
            <w:r>
              <w:rPr>
                <w:rStyle w:val="IndexLink"/>
                <w:rtl w:val="true"/>
              </w:rPr>
              <w:t>في مناسك منى</w:t>
            </w:r>
            <w:r>
              <w:rPr>
                <w:rStyle w:val="IndexLink"/>
                <w:rtl w:val="true"/>
              </w:rPr>
              <w:t>]</w:t>
              <w:tab/>
            </w:r>
            <w:r>
              <w:rPr>
                <w:rStyle w:val="IndexLink"/>
              </w:rPr>
              <w:t>702</w:t>
            </w:r>
          </w:hyperlink>
        </w:p>
        <w:p>
          <w:pPr>
            <w:pStyle w:val="Contents4"/>
            <w:tabs>
              <w:tab w:val="clear" w:pos="8176"/>
              <w:tab w:val="right" w:pos="9026" w:leader="dot"/>
            </w:tabs>
            <w:rPr/>
          </w:pPr>
          <w:hyperlink w:anchor="__RefHeading___Toc2019412_1067777946">
            <w:r>
              <w:rPr>
                <w:webHidden/>
                <w:rStyle w:val="IndexLink"/>
                <w:rtl w:val="true"/>
              </w:rPr>
              <w:t>[</w:t>
            </w:r>
            <w:r>
              <w:rPr>
                <w:rStyle w:val="IndexLink"/>
                <w:rtl w:val="true"/>
              </w:rPr>
              <w:t>أحكام الحلق</w:t>
            </w:r>
            <w:r>
              <w:rPr>
                <w:rStyle w:val="IndexLink"/>
                <w:rtl w:val="true"/>
              </w:rPr>
              <w:t>]</w:t>
              <w:tab/>
            </w:r>
            <w:r>
              <w:rPr>
                <w:rStyle w:val="IndexLink"/>
              </w:rPr>
              <w:t>703</w:t>
            </w:r>
          </w:hyperlink>
        </w:p>
        <w:p>
          <w:pPr>
            <w:pStyle w:val="Contents4"/>
            <w:tabs>
              <w:tab w:val="clear" w:pos="8176"/>
              <w:tab w:val="right" w:pos="9026" w:leader="dot"/>
            </w:tabs>
            <w:rPr/>
          </w:pPr>
          <w:hyperlink w:anchor="__RefHeading___Toc2019414_1067777946">
            <w:r>
              <w:rPr>
                <w:webHidden/>
                <w:rStyle w:val="IndexLink"/>
                <w:rtl w:val="true"/>
              </w:rPr>
              <w:t>[</w:t>
            </w:r>
            <w:r>
              <w:rPr>
                <w:rStyle w:val="IndexLink"/>
                <w:rtl w:val="true"/>
              </w:rPr>
              <w:t>في الطواف</w:t>
            </w:r>
            <w:r>
              <w:rPr>
                <w:rStyle w:val="IndexLink"/>
                <w:rtl w:val="true"/>
              </w:rPr>
              <w:t>]</w:t>
              <w:tab/>
            </w:r>
            <w:r>
              <w:rPr>
                <w:rStyle w:val="IndexLink"/>
              </w:rPr>
              <w:t>704</w:t>
            </w:r>
          </w:hyperlink>
        </w:p>
        <w:p>
          <w:pPr>
            <w:pStyle w:val="Contents4"/>
            <w:tabs>
              <w:tab w:val="clear" w:pos="8176"/>
              <w:tab w:val="right" w:pos="9026" w:leader="dot"/>
            </w:tabs>
            <w:rPr/>
          </w:pPr>
          <w:hyperlink w:anchor="__RefHeading___Toc2019416_1067777946">
            <w:r>
              <w:rPr>
                <w:webHidden/>
                <w:rStyle w:val="IndexLink"/>
                <w:rtl w:val="true"/>
              </w:rPr>
              <w:t>[</w:t>
            </w:r>
            <w:r>
              <w:rPr>
                <w:rStyle w:val="IndexLink"/>
                <w:rtl w:val="true"/>
              </w:rPr>
              <w:t>في السعي</w:t>
            </w:r>
            <w:r>
              <w:rPr>
                <w:rStyle w:val="IndexLink"/>
                <w:rtl w:val="true"/>
              </w:rPr>
              <w:t>]</w:t>
              <w:tab/>
            </w:r>
            <w:r>
              <w:rPr>
                <w:rStyle w:val="IndexLink"/>
              </w:rPr>
              <w:t>706</w:t>
            </w:r>
          </w:hyperlink>
        </w:p>
        <w:p>
          <w:pPr>
            <w:pStyle w:val="Contents3"/>
            <w:tabs>
              <w:tab w:val="clear" w:pos="8459"/>
              <w:tab w:val="right" w:pos="9026" w:leader="dot"/>
            </w:tabs>
            <w:rPr/>
          </w:pPr>
          <w:hyperlink w:anchor="__RefHeading___Toc2019418_1067777946">
            <w:r>
              <w:rPr>
                <w:webHidden/>
                <w:rStyle w:val="IndexLink"/>
                <w:rtl w:val="true"/>
              </w:rPr>
              <w:t>کتاب التجاره</w:t>
            </w:r>
            <w:r>
              <w:rPr>
                <w:rStyle w:val="IndexLink"/>
                <w:rtl w:val="true"/>
              </w:rPr>
              <w:tab/>
            </w:r>
            <w:r>
              <w:rPr>
                <w:rStyle w:val="IndexLink"/>
              </w:rPr>
              <w:t>723</w:t>
            </w:r>
          </w:hyperlink>
        </w:p>
        <w:p>
          <w:pPr>
            <w:pStyle w:val="Contents4"/>
            <w:tabs>
              <w:tab w:val="clear" w:pos="8176"/>
              <w:tab w:val="right" w:pos="9026" w:leader="dot"/>
            </w:tabs>
            <w:rPr/>
          </w:pPr>
          <w:hyperlink w:anchor="__RefHeading___Toc2019420_1067777946">
            <w:r>
              <w:rPr>
                <w:webHidden/>
                <w:rStyle w:val="IndexLink"/>
                <w:rtl w:val="true"/>
              </w:rPr>
              <w:t>في لواحق البیع</w:t>
            </w:r>
            <w:r>
              <w:rPr>
                <w:rStyle w:val="IndexLink"/>
                <w:rtl w:val="true"/>
              </w:rPr>
              <w:tab/>
            </w:r>
            <w:r>
              <w:rPr>
                <w:rStyle w:val="IndexLink"/>
              </w:rPr>
              <w:t>723</w:t>
            </w:r>
          </w:hyperlink>
        </w:p>
        <w:p>
          <w:pPr>
            <w:pStyle w:val="Contents4"/>
            <w:tabs>
              <w:tab w:val="clear" w:pos="8176"/>
              <w:tab w:val="right" w:pos="9026" w:leader="dot"/>
            </w:tabs>
            <w:rPr/>
          </w:pPr>
          <w:hyperlink w:anchor="__RefHeading___Toc2019422_1067777946">
            <w:r>
              <w:rPr>
                <w:webHidden/>
                <w:rStyle w:val="IndexLink"/>
                <w:rtl w:val="true"/>
              </w:rPr>
              <w:t>[</w:t>
            </w:r>
            <w:r>
              <w:rPr>
                <w:rStyle w:val="IndexLink"/>
                <w:rtl w:val="true"/>
              </w:rPr>
              <w:t>في الربا</w:t>
            </w:r>
            <w:r>
              <w:rPr>
                <w:rStyle w:val="IndexLink"/>
                <w:rtl w:val="true"/>
              </w:rPr>
              <w:t>]</w:t>
              <w:tab/>
            </w:r>
            <w:r>
              <w:rPr>
                <w:rStyle w:val="IndexLink"/>
              </w:rPr>
              <w:t>724</w:t>
            </w:r>
          </w:hyperlink>
        </w:p>
        <w:p>
          <w:pPr>
            <w:pStyle w:val="Contents4"/>
            <w:tabs>
              <w:tab w:val="clear" w:pos="8176"/>
              <w:tab w:val="right" w:pos="9026" w:leader="dot"/>
            </w:tabs>
            <w:rPr/>
          </w:pPr>
          <w:hyperlink w:anchor="__RefHeading___Toc2019424_1067777946">
            <w:r>
              <w:rPr>
                <w:webHidden/>
                <w:rStyle w:val="IndexLink"/>
                <w:rtl w:val="true"/>
              </w:rPr>
              <w:t>[</w:t>
            </w:r>
            <w:r>
              <w:rPr>
                <w:rStyle w:val="IndexLink"/>
                <w:rtl w:val="true"/>
              </w:rPr>
              <w:t>في الصرف</w:t>
            </w:r>
            <w:r>
              <w:rPr>
                <w:rStyle w:val="IndexLink"/>
                <w:rtl w:val="true"/>
              </w:rPr>
              <w:t>]</w:t>
              <w:tab/>
            </w:r>
            <w:r>
              <w:rPr>
                <w:rStyle w:val="IndexLink"/>
              </w:rPr>
              <w:t>725</w:t>
            </w:r>
          </w:hyperlink>
        </w:p>
        <w:p>
          <w:pPr>
            <w:pStyle w:val="Contents4"/>
            <w:tabs>
              <w:tab w:val="clear" w:pos="8176"/>
              <w:tab w:val="right" w:pos="9026" w:leader="dot"/>
            </w:tabs>
            <w:rPr/>
          </w:pPr>
          <w:hyperlink w:anchor="__RefHeading___Toc2019426_1067777946">
            <w:r>
              <w:rPr>
                <w:webHidden/>
                <w:rStyle w:val="IndexLink"/>
                <w:rtl w:val="true"/>
              </w:rPr>
              <w:t>[</w:t>
            </w:r>
            <w:r>
              <w:rPr>
                <w:rStyle w:val="IndexLink"/>
                <w:rtl w:val="true"/>
              </w:rPr>
              <w:t>في بيع الثمار</w:t>
            </w:r>
            <w:r>
              <w:rPr>
                <w:rStyle w:val="IndexLink"/>
                <w:rtl w:val="true"/>
              </w:rPr>
              <w:t>]</w:t>
              <w:tab/>
            </w:r>
            <w:r>
              <w:rPr>
                <w:rStyle w:val="IndexLink"/>
              </w:rPr>
              <w:t>726</w:t>
            </w:r>
          </w:hyperlink>
        </w:p>
        <w:p>
          <w:pPr>
            <w:pStyle w:val="Contents4"/>
            <w:tabs>
              <w:tab w:val="clear" w:pos="8176"/>
              <w:tab w:val="right" w:pos="9026" w:leader="dot"/>
            </w:tabs>
            <w:rPr/>
          </w:pPr>
          <w:hyperlink w:anchor="__RefHeading___Toc2019428_1067777946">
            <w:r>
              <w:rPr>
                <w:webHidden/>
                <w:rStyle w:val="IndexLink"/>
                <w:rtl w:val="true"/>
              </w:rPr>
              <w:t>[</w:t>
            </w:r>
            <w:r>
              <w:rPr>
                <w:rStyle w:val="IndexLink"/>
                <w:rtl w:val="true"/>
              </w:rPr>
              <w:t>في بيع الحيوان</w:t>
            </w:r>
            <w:r>
              <w:rPr>
                <w:rStyle w:val="IndexLink"/>
                <w:rtl w:val="true"/>
              </w:rPr>
              <w:t>]</w:t>
              <w:tab/>
            </w:r>
            <w:r>
              <w:rPr>
                <w:rStyle w:val="IndexLink"/>
              </w:rPr>
              <w:t>726</w:t>
            </w:r>
          </w:hyperlink>
        </w:p>
        <w:p>
          <w:pPr>
            <w:pStyle w:val="Contents4"/>
            <w:tabs>
              <w:tab w:val="clear" w:pos="8176"/>
              <w:tab w:val="right" w:pos="9026" w:leader="dot"/>
            </w:tabs>
            <w:rPr/>
          </w:pPr>
          <w:hyperlink w:anchor="__RefHeading___Toc2019430_1067777946">
            <w:r>
              <w:rPr>
                <w:webHidden/>
                <w:rStyle w:val="IndexLink"/>
                <w:rtl w:val="true"/>
              </w:rPr>
              <w:t>[</w:t>
            </w:r>
            <w:r>
              <w:rPr>
                <w:rStyle w:val="IndexLink"/>
                <w:rtl w:val="true"/>
              </w:rPr>
              <w:t>في السلف</w:t>
            </w:r>
            <w:r>
              <w:rPr>
                <w:rStyle w:val="IndexLink"/>
                <w:rtl w:val="true"/>
              </w:rPr>
              <w:t>]</w:t>
              <w:tab/>
            </w:r>
            <w:r>
              <w:rPr>
                <w:rStyle w:val="IndexLink"/>
              </w:rPr>
              <w:t>728</w:t>
            </w:r>
          </w:hyperlink>
        </w:p>
        <w:p>
          <w:pPr>
            <w:pStyle w:val="Contents4"/>
            <w:tabs>
              <w:tab w:val="clear" w:pos="8176"/>
              <w:tab w:val="right" w:pos="9026" w:leader="dot"/>
            </w:tabs>
            <w:rPr/>
          </w:pPr>
          <w:hyperlink w:anchor="__RefHeading___Toc2019432_1067777946">
            <w:r>
              <w:rPr>
                <w:webHidden/>
                <w:rStyle w:val="IndexLink"/>
                <w:rtl w:val="true"/>
              </w:rPr>
              <w:t>[</w:t>
            </w:r>
            <w:r>
              <w:rPr>
                <w:rStyle w:val="IndexLink"/>
                <w:rtl w:val="true"/>
              </w:rPr>
              <w:t>في القرض</w:t>
            </w:r>
            <w:r>
              <w:rPr>
                <w:rStyle w:val="IndexLink"/>
                <w:rtl w:val="true"/>
              </w:rPr>
              <w:t>]</w:t>
              <w:tab/>
            </w:r>
            <w:r>
              <w:rPr>
                <w:rStyle w:val="IndexLink"/>
              </w:rPr>
              <w:t>729</w:t>
            </w:r>
          </w:hyperlink>
        </w:p>
        <w:p>
          <w:pPr>
            <w:pStyle w:val="Contents3"/>
            <w:tabs>
              <w:tab w:val="clear" w:pos="8459"/>
              <w:tab w:val="right" w:pos="9026" w:leader="dot"/>
            </w:tabs>
            <w:rPr/>
          </w:pPr>
          <w:hyperlink w:anchor="__RefHeading___Toc2019434_1067777946">
            <w:r>
              <w:rPr>
                <w:webHidden/>
                <w:rStyle w:val="IndexLink"/>
                <w:rtl w:val="true"/>
              </w:rPr>
              <w:t>كتاب الرهن</w:t>
            </w:r>
            <w:r>
              <w:rPr>
                <w:rStyle w:val="IndexLink"/>
                <w:rtl w:val="true"/>
              </w:rPr>
              <w:tab/>
            </w:r>
            <w:r>
              <w:rPr>
                <w:rStyle w:val="IndexLink"/>
              </w:rPr>
              <w:t>731</w:t>
            </w:r>
          </w:hyperlink>
        </w:p>
        <w:p>
          <w:pPr>
            <w:pStyle w:val="Contents3"/>
            <w:tabs>
              <w:tab w:val="clear" w:pos="8459"/>
              <w:tab w:val="right" w:pos="9026" w:leader="dot"/>
            </w:tabs>
            <w:rPr/>
          </w:pPr>
          <w:hyperlink w:anchor="__RefHeading___Toc2019436_1067777946">
            <w:r>
              <w:rPr>
                <w:webHidden/>
                <w:rStyle w:val="IndexLink"/>
                <w:rtl w:val="true"/>
              </w:rPr>
              <w:t>كتاب الحَجر</w:t>
            </w:r>
            <w:r>
              <w:rPr>
                <w:rStyle w:val="IndexLink"/>
                <w:rtl w:val="true"/>
              </w:rPr>
              <w:tab/>
            </w:r>
            <w:r>
              <w:rPr>
                <w:rStyle w:val="IndexLink"/>
              </w:rPr>
              <w:t>732</w:t>
            </w:r>
          </w:hyperlink>
        </w:p>
        <w:p>
          <w:pPr>
            <w:pStyle w:val="Contents3"/>
            <w:tabs>
              <w:tab w:val="clear" w:pos="8459"/>
              <w:tab w:val="right" w:pos="9026" w:leader="dot"/>
            </w:tabs>
            <w:rPr/>
          </w:pPr>
          <w:hyperlink w:anchor="__RefHeading___Toc2019438_1067777946">
            <w:r>
              <w:rPr>
                <w:webHidden/>
                <w:rStyle w:val="IndexLink"/>
                <w:rtl w:val="true"/>
              </w:rPr>
              <w:t>كتاب الضمان</w:t>
            </w:r>
            <w:r>
              <w:rPr>
                <w:rStyle w:val="IndexLink"/>
                <w:rtl w:val="true"/>
              </w:rPr>
              <w:tab/>
            </w:r>
            <w:r>
              <w:rPr>
                <w:rStyle w:val="IndexLink"/>
              </w:rPr>
              <w:t>733</w:t>
            </w:r>
          </w:hyperlink>
        </w:p>
        <w:p>
          <w:pPr>
            <w:pStyle w:val="Contents4"/>
            <w:tabs>
              <w:tab w:val="clear" w:pos="8176"/>
              <w:tab w:val="right" w:pos="9026" w:leader="dot"/>
            </w:tabs>
            <w:rPr/>
          </w:pPr>
          <w:hyperlink w:anchor="__RefHeading___Toc2019440_1067777946">
            <w:r>
              <w:rPr>
                <w:webHidden/>
                <w:rStyle w:val="IndexLink"/>
                <w:rtl w:val="true"/>
              </w:rPr>
              <w:t>[</w:t>
            </w:r>
            <w:r>
              <w:rPr>
                <w:rStyle w:val="IndexLink"/>
                <w:rtl w:val="true"/>
              </w:rPr>
              <w:t>ضَمان المال</w:t>
            </w:r>
            <w:r>
              <w:rPr>
                <w:rStyle w:val="IndexLink"/>
                <w:rtl w:val="true"/>
              </w:rPr>
              <w:t>]</w:t>
              <w:tab/>
            </w:r>
            <w:r>
              <w:rPr>
                <w:rStyle w:val="IndexLink"/>
              </w:rPr>
              <w:t>733</w:t>
            </w:r>
          </w:hyperlink>
        </w:p>
        <w:p>
          <w:pPr>
            <w:pStyle w:val="Contents4"/>
            <w:tabs>
              <w:tab w:val="clear" w:pos="8176"/>
              <w:tab w:val="right" w:pos="9026" w:leader="dot"/>
            </w:tabs>
            <w:rPr/>
          </w:pPr>
          <w:hyperlink w:anchor="__RefHeading___Toc2019442_1067777946">
            <w:r>
              <w:rPr>
                <w:webHidden/>
                <w:rStyle w:val="IndexLink"/>
                <w:rtl w:val="true"/>
              </w:rPr>
              <w:t>[</w:t>
            </w:r>
            <w:r>
              <w:rPr>
                <w:rStyle w:val="IndexLink"/>
                <w:rtl w:val="true"/>
              </w:rPr>
              <w:t>الحوالة</w:t>
            </w:r>
            <w:r>
              <w:rPr>
                <w:rStyle w:val="IndexLink"/>
                <w:rtl w:val="true"/>
              </w:rPr>
              <w:t>]</w:t>
              <w:tab/>
            </w:r>
            <w:r>
              <w:rPr>
                <w:rStyle w:val="IndexLink"/>
              </w:rPr>
              <w:t>733</w:t>
            </w:r>
          </w:hyperlink>
        </w:p>
        <w:p>
          <w:pPr>
            <w:pStyle w:val="Contents4"/>
            <w:tabs>
              <w:tab w:val="clear" w:pos="8176"/>
              <w:tab w:val="right" w:pos="9026" w:leader="dot"/>
            </w:tabs>
            <w:rPr/>
          </w:pPr>
          <w:hyperlink w:anchor="__RefHeading___Toc2019444_1067777946">
            <w:r>
              <w:rPr>
                <w:webHidden/>
                <w:rStyle w:val="IndexLink"/>
                <w:rtl w:val="true"/>
              </w:rPr>
              <w:t>[</w:t>
            </w:r>
            <w:r>
              <w:rPr>
                <w:rStyle w:val="IndexLink"/>
                <w:rtl w:val="true"/>
              </w:rPr>
              <w:t>الكفالة</w:t>
            </w:r>
            <w:r>
              <w:rPr>
                <w:rStyle w:val="IndexLink"/>
                <w:rtl w:val="true"/>
              </w:rPr>
              <w:t>]</w:t>
              <w:tab/>
            </w:r>
            <w:r>
              <w:rPr>
                <w:rStyle w:val="IndexLink"/>
              </w:rPr>
              <w:t>733</w:t>
            </w:r>
          </w:hyperlink>
        </w:p>
        <w:p>
          <w:pPr>
            <w:pStyle w:val="Contents3"/>
            <w:tabs>
              <w:tab w:val="clear" w:pos="8459"/>
              <w:tab w:val="right" w:pos="9026" w:leader="dot"/>
            </w:tabs>
            <w:rPr/>
          </w:pPr>
          <w:hyperlink w:anchor="__RefHeading___Toc2019446_1067777946">
            <w:r>
              <w:rPr>
                <w:webHidden/>
                <w:rStyle w:val="IndexLink"/>
                <w:rtl w:val="true"/>
              </w:rPr>
              <w:t>كتاب الصلح</w:t>
            </w:r>
            <w:r>
              <w:rPr>
                <w:rStyle w:val="IndexLink"/>
                <w:rtl w:val="true"/>
              </w:rPr>
              <w:tab/>
            </w:r>
            <w:r>
              <w:rPr>
                <w:rStyle w:val="IndexLink"/>
              </w:rPr>
              <w:t>734</w:t>
            </w:r>
          </w:hyperlink>
        </w:p>
        <w:p>
          <w:pPr>
            <w:pStyle w:val="Contents3"/>
            <w:tabs>
              <w:tab w:val="clear" w:pos="8459"/>
              <w:tab w:val="right" w:pos="9026" w:leader="dot"/>
            </w:tabs>
            <w:rPr/>
          </w:pPr>
          <w:hyperlink w:anchor="__RefHeading___Toc2019448_1067777946">
            <w:r>
              <w:rPr>
                <w:webHidden/>
                <w:rStyle w:val="IndexLink"/>
                <w:rtl w:val="true"/>
              </w:rPr>
              <w:t>كتاب الشركة</w:t>
            </w:r>
            <w:r>
              <w:rPr>
                <w:rStyle w:val="IndexLink"/>
                <w:rtl w:val="true"/>
              </w:rPr>
              <w:tab/>
            </w:r>
            <w:r>
              <w:rPr>
                <w:rStyle w:val="IndexLink"/>
              </w:rPr>
              <w:t>735</w:t>
            </w:r>
          </w:hyperlink>
        </w:p>
        <w:p>
          <w:pPr>
            <w:pStyle w:val="Contents3"/>
            <w:tabs>
              <w:tab w:val="clear" w:pos="8459"/>
              <w:tab w:val="right" w:pos="9026" w:leader="dot"/>
            </w:tabs>
            <w:rPr/>
          </w:pPr>
          <w:hyperlink w:anchor="__RefHeading___Toc2019450_1067777946">
            <w:r>
              <w:rPr>
                <w:webHidden/>
                <w:rStyle w:val="IndexLink"/>
                <w:rtl w:val="true"/>
              </w:rPr>
              <w:t>كتاب المضارَبة</w:t>
            </w:r>
            <w:r>
              <w:rPr>
                <w:rStyle w:val="IndexLink"/>
                <w:rtl w:val="true"/>
              </w:rPr>
              <w:tab/>
            </w:r>
            <w:r>
              <w:rPr>
                <w:rStyle w:val="IndexLink"/>
              </w:rPr>
              <w:t>736</w:t>
            </w:r>
          </w:hyperlink>
        </w:p>
        <w:p>
          <w:pPr>
            <w:pStyle w:val="Contents3"/>
            <w:tabs>
              <w:tab w:val="clear" w:pos="8459"/>
              <w:tab w:val="right" w:pos="9026" w:leader="dot"/>
            </w:tabs>
            <w:rPr/>
          </w:pPr>
          <w:hyperlink w:anchor="__RefHeading___Toc2019452_1067777946">
            <w:r>
              <w:rPr>
                <w:webHidden/>
                <w:rStyle w:val="IndexLink"/>
                <w:rtl w:val="true"/>
              </w:rPr>
              <w:t>كتاب المزارعة والمساقاة</w:t>
            </w:r>
            <w:r>
              <w:rPr>
                <w:rStyle w:val="IndexLink"/>
                <w:rtl w:val="true"/>
              </w:rPr>
              <w:tab/>
            </w:r>
            <w:r>
              <w:rPr>
                <w:rStyle w:val="IndexLink"/>
              </w:rPr>
              <w:t>738</w:t>
            </w:r>
          </w:hyperlink>
        </w:p>
        <w:p>
          <w:pPr>
            <w:pStyle w:val="Contents4"/>
            <w:tabs>
              <w:tab w:val="clear" w:pos="8176"/>
              <w:tab w:val="right" w:pos="9026" w:leader="dot"/>
            </w:tabs>
            <w:rPr/>
          </w:pPr>
          <w:hyperlink w:anchor="__RefHeading___Toc2019454_1067777946">
            <w:r>
              <w:rPr>
                <w:webHidden/>
                <w:rStyle w:val="IndexLink"/>
                <w:rtl w:val="true"/>
              </w:rPr>
              <w:t>[</w:t>
            </w:r>
            <w:r>
              <w:rPr>
                <w:rStyle w:val="IndexLink"/>
                <w:rtl w:val="true"/>
              </w:rPr>
              <w:t>المزارعة</w:t>
            </w:r>
            <w:r>
              <w:rPr>
                <w:rStyle w:val="IndexLink"/>
                <w:rtl w:val="true"/>
              </w:rPr>
              <w:t>]</w:t>
              <w:tab/>
            </w:r>
            <w:r>
              <w:rPr>
                <w:rStyle w:val="IndexLink"/>
              </w:rPr>
              <w:t>738</w:t>
            </w:r>
          </w:hyperlink>
        </w:p>
        <w:p>
          <w:pPr>
            <w:pStyle w:val="Contents4"/>
            <w:tabs>
              <w:tab w:val="clear" w:pos="8176"/>
              <w:tab w:val="right" w:pos="9026" w:leader="dot"/>
            </w:tabs>
            <w:rPr/>
          </w:pPr>
          <w:hyperlink w:anchor="__RefHeading___Toc2019456_1067777946">
            <w:r>
              <w:rPr>
                <w:webHidden/>
                <w:rStyle w:val="IndexLink"/>
                <w:rtl w:val="true"/>
              </w:rPr>
              <w:t>[</w:t>
            </w:r>
            <w:r>
              <w:rPr>
                <w:rStyle w:val="IndexLink"/>
                <w:rtl w:val="true"/>
              </w:rPr>
              <w:t>المساقاة</w:t>
            </w:r>
            <w:r>
              <w:rPr>
                <w:rStyle w:val="IndexLink"/>
                <w:rtl w:val="true"/>
              </w:rPr>
              <w:t>]</w:t>
              <w:tab/>
            </w:r>
            <w:r>
              <w:rPr>
                <w:rStyle w:val="IndexLink"/>
              </w:rPr>
              <w:t>738</w:t>
            </w:r>
          </w:hyperlink>
        </w:p>
        <w:p>
          <w:pPr>
            <w:pStyle w:val="Contents3"/>
            <w:tabs>
              <w:tab w:val="clear" w:pos="8459"/>
              <w:tab w:val="right" w:pos="9026" w:leader="dot"/>
            </w:tabs>
            <w:rPr/>
          </w:pPr>
          <w:hyperlink w:anchor="__RefHeading___Toc2019458_1067777946">
            <w:r>
              <w:rPr>
                <w:webHidden/>
                <w:rStyle w:val="IndexLink"/>
                <w:rtl w:val="true"/>
              </w:rPr>
              <w:t>کتاب الوديعة والعارية</w:t>
            </w:r>
            <w:r>
              <w:rPr>
                <w:rStyle w:val="IndexLink"/>
                <w:rtl w:val="true"/>
              </w:rPr>
              <w:tab/>
            </w:r>
            <w:r>
              <w:rPr>
                <w:rStyle w:val="IndexLink"/>
              </w:rPr>
              <w:t>739</w:t>
            </w:r>
          </w:hyperlink>
        </w:p>
        <w:p>
          <w:pPr>
            <w:pStyle w:val="Contents4"/>
            <w:tabs>
              <w:tab w:val="clear" w:pos="8176"/>
              <w:tab w:val="right" w:pos="9026" w:leader="dot"/>
            </w:tabs>
            <w:rPr/>
          </w:pPr>
          <w:hyperlink w:anchor="__RefHeading___Toc2019460_1067777946">
            <w:r>
              <w:rPr>
                <w:webHidden/>
                <w:rStyle w:val="IndexLink"/>
                <w:rtl w:val="true"/>
              </w:rPr>
              <w:t>[</w:t>
            </w:r>
            <w:r>
              <w:rPr>
                <w:rStyle w:val="IndexLink"/>
                <w:rtl w:val="true"/>
              </w:rPr>
              <w:t>الوديعة</w:t>
            </w:r>
            <w:r>
              <w:rPr>
                <w:rStyle w:val="IndexLink"/>
                <w:rtl w:val="true"/>
              </w:rPr>
              <w:t>]</w:t>
              <w:tab/>
            </w:r>
            <w:r>
              <w:rPr>
                <w:rStyle w:val="IndexLink"/>
              </w:rPr>
              <w:t>739</w:t>
            </w:r>
          </w:hyperlink>
        </w:p>
        <w:p>
          <w:pPr>
            <w:pStyle w:val="Contents4"/>
            <w:tabs>
              <w:tab w:val="clear" w:pos="8176"/>
              <w:tab w:val="right" w:pos="9026" w:leader="dot"/>
            </w:tabs>
            <w:rPr/>
          </w:pPr>
          <w:hyperlink w:anchor="__RefHeading___Toc2019462_1067777946">
            <w:r>
              <w:rPr>
                <w:webHidden/>
                <w:rStyle w:val="IndexLink"/>
                <w:rtl w:val="true"/>
              </w:rPr>
              <w:t>[</w:t>
            </w:r>
            <w:r>
              <w:rPr>
                <w:rStyle w:val="IndexLink"/>
                <w:rtl w:val="true"/>
              </w:rPr>
              <w:t>العارية</w:t>
            </w:r>
            <w:r>
              <w:rPr>
                <w:rStyle w:val="IndexLink"/>
                <w:rtl w:val="true"/>
              </w:rPr>
              <w:t>]</w:t>
              <w:tab/>
            </w:r>
            <w:r>
              <w:rPr>
                <w:rStyle w:val="IndexLink"/>
              </w:rPr>
              <w:t>739</w:t>
            </w:r>
          </w:hyperlink>
        </w:p>
        <w:p>
          <w:pPr>
            <w:pStyle w:val="Contents3"/>
            <w:tabs>
              <w:tab w:val="clear" w:pos="8459"/>
              <w:tab w:val="right" w:pos="9026" w:leader="dot"/>
            </w:tabs>
            <w:rPr/>
          </w:pPr>
          <w:hyperlink w:anchor="__RefHeading___Toc2019464_1067777946">
            <w:r>
              <w:rPr>
                <w:webHidden/>
                <w:rStyle w:val="IndexLink"/>
                <w:rtl w:val="true"/>
              </w:rPr>
              <w:t>كتاب الإجارة</w:t>
            </w:r>
            <w:r>
              <w:rPr>
                <w:rStyle w:val="IndexLink"/>
                <w:rtl w:val="true"/>
              </w:rPr>
              <w:tab/>
            </w:r>
            <w:r>
              <w:rPr>
                <w:rStyle w:val="IndexLink"/>
              </w:rPr>
              <w:t>740</w:t>
            </w:r>
          </w:hyperlink>
        </w:p>
        <w:p>
          <w:pPr>
            <w:pStyle w:val="Contents3"/>
            <w:tabs>
              <w:tab w:val="clear" w:pos="8459"/>
              <w:tab w:val="right" w:pos="9026" w:leader="dot"/>
            </w:tabs>
            <w:rPr/>
          </w:pPr>
          <w:hyperlink w:anchor="__RefHeading___Toc2019466_1067777946">
            <w:r>
              <w:rPr>
                <w:webHidden/>
                <w:rStyle w:val="IndexLink"/>
                <w:rtl w:val="true"/>
              </w:rPr>
              <w:t>كتاب الوكالة</w:t>
            </w:r>
            <w:r>
              <w:rPr>
                <w:rStyle w:val="IndexLink"/>
                <w:rtl w:val="true"/>
              </w:rPr>
              <w:tab/>
            </w:r>
            <w:r>
              <w:rPr>
                <w:rStyle w:val="IndexLink"/>
              </w:rPr>
              <w:t>742</w:t>
            </w:r>
          </w:hyperlink>
        </w:p>
        <w:p>
          <w:pPr>
            <w:pStyle w:val="Contents3"/>
            <w:tabs>
              <w:tab w:val="clear" w:pos="8459"/>
              <w:tab w:val="right" w:pos="9026" w:leader="dot"/>
            </w:tabs>
            <w:rPr/>
          </w:pPr>
          <w:hyperlink w:anchor="__RefHeading___Toc2019468_1067777946">
            <w:r>
              <w:rPr>
                <w:webHidden/>
                <w:rStyle w:val="IndexLink"/>
                <w:rtl w:val="true"/>
              </w:rPr>
              <w:t>كتاب الوقوف والصدقات والهبات</w:t>
            </w:r>
            <w:r>
              <w:rPr>
                <w:rStyle w:val="IndexLink"/>
                <w:rtl w:val="true"/>
              </w:rPr>
              <w:tab/>
            </w:r>
            <w:r>
              <w:rPr>
                <w:rStyle w:val="IndexLink"/>
              </w:rPr>
              <w:t>744</w:t>
            </w:r>
          </w:hyperlink>
        </w:p>
        <w:p>
          <w:pPr>
            <w:pStyle w:val="Contents4"/>
            <w:tabs>
              <w:tab w:val="clear" w:pos="8176"/>
              <w:tab w:val="right" w:pos="9026" w:leader="dot"/>
            </w:tabs>
            <w:rPr/>
          </w:pPr>
          <w:hyperlink w:anchor="__RefHeading___Toc2019470_1067777946">
            <w:r>
              <w:rPr>
                <w:webHidden/>
                <w:rStyle w:val="IndexLink"/>
                <w:rtl w:val="true"/>
              </w:rPr>
              <w:t>[</w:t>
            </w:r>
            <w:r>
              <w:rPr>
                <w:rStyle w:val="IndexLink"/>
                <w:rtl w:val="true"/>
              </w:rPr>
              <w:t>الوقف</w:t>
            </w:r>
            <w:r>
              <w:rPr>
                <w:rStyle w:val="IndexLink"/>
                <w:rtl w:val="true"/>
              </w:rPr>
              <w:t>]</w:t>
              <w:tab/>
            </w:r>
            <w:r>
              <w:rPr>
                <w:rStyle w:val="IndexLink"/>
              </w:rPr>
              <w:t>744</w:t>
            </w:r>
          </w:hyperlink>
        </w:p>
        <w:p>
          <w:pPr>
            <w:pStyle w:val="Contents4"/>
            <w:tabs>
              <w:tab w:val="clear" w:pos="8176"/>
              <w:tab w:val="right" w:pos="9026" w:leader="dot"/>
            </w:tabs>
            <w:rPr/>
          </w:pPr>
          <w:hyperlink w:anchor="__RefHeading___Toc2019472_1067777946">
            <w:r>
              <w:rPr>
                <w:webHidden/>
                <w:rStyle w:val="IndexLink"/>
                <w:rtl w:val="true"/>
              </w:rPr>
              <w:t>[</w:t>
            </w:r>
            <w:r>
              <w:rPr>
                <w:rStyle w:val="IndexLink"/>
                <w:rtl w:val="true"/>
              </w:rPr>
              <w:t>الصدقة</w:t>
            </w:r>
            <w:r>
              <w:rPr>
                <w:rStyle w:val="IndexLink"/>
                <w:rtl w:val="true"/>
              </w:rPr>
              <w:t>]</w:t>
              <w:tab/>
            </w:r>
            <w:r>
              <w:rPr>
                <w:rStyle w:val="IndexLink"/>
              </w:rPr>
              <w:t>746</w:t>
            </w:r>
          </w:hyperlink>
        </w:p>
        <w:p>
          <w:pPr>
            <w:pStyle w:val="Contents4"/>
            <w:tabs>
              <w:tab w:val="clear" w:pos="8176"/>
              <w:tab w:val="right" w:pos="9026" w:leader="dot"/>
            </w:tabs>
            <w:rPr/>
          </w:pPr>
          <w:hyperlink w:anchor="__RefHeading___Toc2019474_1067777946">
            <w:r>
              <w:rPr>
                <w:webHidden/>
                <w:rStyle w:val="IndexLink"/>
                <w:rtl w:val="true"/>
              </w:rPr>
              <w:t>[</w:t>
            </w:r>
            <w:r>
              <w:rPr>
                <w:rStyle w:val="IndexLink"/>
                <w:rtl w:val="true"/>
              </w:rPr>
              <w:t>الهِبَة</w:t>
            </w:r>
            <w:r>
              <w:rPr>
                <w:rStyle w:val="IndexLink"/>
                <w:rtl w:val="true"/>
              </w:rPr>
              <w:t>]</w:t>
              <w:tab/>
            </w:r>
            <w:r>
              <w:rPr>
                <w:rStyle w:val="IndexLink"/>
              </w:rPr>
              <w:t>746</w:t>
            </w:r>
          </w:hyperlink>
        </w:p>
        <w:p>
          <w:pPr>
            <w:pStyle w:val="Contents3"/>
            <w:tabs>
              <w:tab w:val="clear" w:pos="8459"/>
              <w:tab w:val="right" w:pos="9026" w:leader="dot"/>
            </w:tabs>
            <w:rPr/>
          </w:pPr>
          <w:hyperlink w:anchor="__RefHeading___Toc2019476_1067777946">
            <w:r>
              <w:rPr>
                <w:webHidden/>
                <w:rStyle w:val="IndexLink"/>
                <w:rtl w:val="true"/>
              </w:rPr>
              <w:t>کتاب السبق والرمايَة</w:t>
            </w:r>
            <w:r>
              <w:rPr>
                <w:rStyle w:val="IndexLink"/>
                <w:rtl w:val="true"/>
              </w:rPr>
              <w:tab/>
            </w:r>
            <w:r>
              <w:rPr>
                <w:rStyle w:val="IndexLink"/>
              </w:rPr>
              <w:t>747</w:t>
            </w:r>
          </w:hyperlink>
        </w:p>
        <w:p>
          <w:pPr>
            <w:pStyle w:val="Contents3"/>
            <w:tabs>
              <w:tab w:val="clear" w:pos="8459"/>
              <w:tab w:val="right" w:pos="9026" w:leader="dot"/>
            </w:tabs>
            <w:rPr/>
          </w:pPr>
          <w:hyperlink w:anchor="__RefHeading___Toc2019478_1067777946">
            <w:r>
              <w:rPr>
                <w:webHidden/>
                <w:rStyle w:val="IndexLink"/>
                <w:rtl w:val="true"/>
              </w:rPr>
              <w:t>كتاب الوصايا</w:t>
            </w:r>
            <w:r>
              <w:rPr>
                <w:rStyle w:val="IndexLink"/>
                <w:rtl w:val="true"/>
              </w:rPr>
              <w:tab/>
            </w:r>
            <w:r>
              <w:rPr>
                <w:rStyle w:val="IndexLink"/>
              </w:rPr>
              <w:t>748</w:t>
            </w:r>
          </w:hyperlink>
        </w:p>
        <w:p>
          <w:pPr>
            <w:pStyle w:val="Contents4"/>
            <w:tabs>
              <w:tab w:val="clear" w:pos="8176"/>
              <w:tab w:val="right" w:pos="9026" w:leader="dot"/>
            </w:tabs>
            <w:rPr/>
          </w:pPr>
          <w:hyperlink w:anchor="__RefHeading___Toc2019480_1067777946">
            <w:r>
              <w:rPr>
                <w:webHidden/>
                <w:rStyle w:val="IndexLink"/>
                <w:rtl w:val="true"/>
              </w:rPr>
              <w:t>[</w:t>
            </w:r>
            <w:r>
              <w:rPr>
                <w:rStyle w:val="IndexLink"/>
                <w:rtl w:val="true"/>
              </w:rPr>
              <w:t>الوصيَّة</w:t>
            </w:r>
            <w:r>
              <w:rPr>
                <w:rStyle w:val="IndexLink"/>
                <w:rtl w:val="true"/>
              </w:rPr>
              <w:t>]</w:t>
              <w:tab/>
            </w:r>
            <w:r>
              <w:rPr>
                <w:rStyle w:val="IndexLink"/>
              </w:rPr>
              <w:t>748</w:t>
            </w:r>
          </w:hyperlink>
        </w:p>
        <w:p>
          <w:pPr>
            <w:pStyle w:val="Contents4"/>
            <w:tabs>
              <w:tab w:val="clear" w:pos="8176"/>
              <w:tab w:val="right" w:pos="9026" w:leader="dot"/>
            </w:tabs>
            <w:rPr/>
          </w:pPr>
          <w:hyperlink w:anchor="__RefHeading___Toc2019482_1067777946">
            <w:r>
              <w:rPr>
                <w:webHidden/>
                <w:rStyle w:val="IndexLink"/>
                <w:rtl w:val="true"/>
              </w:rPr>
              <w:t>[</w:t>
            </w:r>
            <w:r>
              <w:rPr>
                <w:rStyle w:val="IndexLink"/>
                <w:rtl w:val="true"/>
              </w:rPr>
              <w:t>في الموصي</w:t>
            </w:r>
            <w:r>
              <w:rPr>
                <w:rStyle w:val="IndexLink"/>
                <w:rtl w:val="true"/>
              </w:rPr>
              <w:t>]</w:t>
              <w:tab/>
            </w:r>
            <w:r>
              <w:rPr>
                <w:rStyle w:val="IndexLink"/>
              </w:rPr>
              <w:t>748</w:t>
            </w:r>
          </w:hyperlink>
        </w:p>
        <w:p>
          <w:pPr>
            <w:pStyle w:val="Contents4"/>
            <w:tabs>
              <w:tab w:val="clear" w:pos="8176"/>
              <w:tab w:val="right" w:pos="9026" w:leader="dot"/>
            </w:tabs>
            <w:rPr/>
          </w:pPr>
          <w:hyperlink w:anchor="__RefHeading___Toc2019484_1067777946">
            <w:r>
              <w:rPr>
                <w:webHidden/>
                <w:rStyle w:val="IndexLink"/>
                <w:rtl w:val="true"/>
              </w:rPr>
              <w:t>[</w:t>
            </w:r>
            <w:r>
              <w:rPr>
                <w:rStyle w:val="IndexLink"/>
                <w:rtl w:val="true"/>
              </w:rPr>
              <w:t>في الموصى له</w:t>
            </w:r>
            <w:r>
              <w:rPr>
                <w:rStyle w:val="IndexLink"/>
                <w:rtl w:val="true"/>
              </w:rPr>
              <w:t>]</w:t>
              <w:tab/>
            </w:r>
            <w:r>
              <w:rPr>
                <w:rStyle w:val="IndexLink"/>
              </w:rPr>
              <w:t>748</w:t>
            </w:r>
          </w:hyperlink>
        </w:p>
        <w:p>
          <w:pPr>
            <w:pStyle w:val="Contents4"/>
            <w:tabs>
              <w:tab w:val="clear" w:pos="8176"/>
              <w:tab w:val="right" w:pos="9026" w:leader="dot"/>
            </w:tabs>
            <w:rPr/>
          </w:pPr>
          <w:hyperlink w:anchor="__RefHeading___Toc2019486_1067777946">
            <w:r>
              <w:rPr>
                <w:webHidden/>
                <w:rStyle w:val="IndexLink"/>
                <w:rtl w:val="true"/>
              </w:rPr>
              <w:t>[</w:t>
            </w:r>
            <w:r>
              <w:rPr>
                <w:rStyle w:val="IndexLink"/>
                <w:rtl w:val="true"/>
              </w:rPr>
              <w:t>في الأوصياء</w:t>
            </w:r>
            <w:r>
              <w:rPr>
                <w:rStyle w:val="IndexLink"/>
                <w:rtl w:val="true"/>
              </w:rPr>
              <w:t>]</w:t>
              <w:tab/>
            </w:r>
            <w:r>
              <w:rPr>
                <w:rStyle w:val="IndexLink"/>
              </w:rPr>
              <w:t>749</w:t>
            </w:r>
          </w:hyperlink>
        </w:p>
        <w:p>
          <w:pPr>
            <w:pStyle w:val="Contents4"/>
            <w:tabs>
              <w:tab w:val="clear" w:pos="8176"/>
              <w:tab w:val="right" w:pos="9026" w:leader="dot"/>
            </w:tabs>
            <w:rPr/>
          </w:pPr>
          <w:hyperlink w:anchor="__RefHeading___Toc2019488_1067777946">
            <w:r>
              <w:rPr>
                <w:webHidden/>
                <w:rStyle w:val="IndexLink"/>
                <w:rtl w:val="true"/>
              </w:rPr>
              <w:t>[</w:t>
            </w:r>
            <w:r>
              <w:rPr>
                <w:rStyle w:val="IndexLink"/>
                <w:rtl w:val="true"/>
              </w:rPr>
              <w:t>في الموصى به</w:t>
            </w:r>
            <w:r>
              <w:rPr>
                <w:rStyle w:val="IndexLink"/>
                <w:rtl w:val="true"/>
              </w:rPr>
              <w:t>]</w:t>
              <w:tab/>
            </w:r>
            <w:r>
              <w:rPr>
                <w:rStyle w:val="IndexLink"/>
              </w:rPr>
              <w:t>750</w:t>
            </w:r>
          </w:hyperlink>
        </w:p>
        <w:p>
          <w:pPr>
            <w:pStyle w:val="Contents4"/>
            <w:tabs>
              <w:tab w:val="clear" w:pos="8176"/>
              <w:tab w:val="right" w:pos="9026" w:leader="dot"/>
            </w:tabs>
            <w:rPr/>
          </w:pPr>
          <w:hyperlink w:anchor="__RefHeading___Toc2019490_1067777946">
            <w:r>
              <w:rPr>
                <w:webHidden/>
                <w:rStyle w:val="IndexLink"/>
                <w:rtl w:val="true"/>
              </w:rPr>
              <w:t>[</w:t>
            </w:r>
            <w:r>
              <w:rPr>
                <w:rStyle w:val="IndexLink"/>
                <w:rtl w:val="true"/>
              </w:rPr>
              <w:t>في أحكام الوصيَّة</w:t>
            </w:r>
            <w:r>
              <w:rPr>
                <w:rStyle w:val="IndexLink"/>
                <w:rtl w:val="true"/>
              </w:rPr>
              <w:t>]</w:t>
              <w:tab/>
            </w:r>
            <w:r>
              <w:rPr>
                <w:rStyle w:val="IndexLink"/>
              </w:rPr>
              <w:t>750</w:t>
            </w:r>
          </w:hyperlink>
        </w:p>
        <w:p>
          <w:pPr>
            <w:pStyle w:val="Contents3"/>
            <w:tabs>
              <w:tab w:val="clear" w:pos="8459"/>
              <w:tab w:val="right" w:pos="9026" w:leader="dot"/>
            </w:tabs>
            <w:rPr/>
          </w:pPr>
          <w:hyperlink w:anchor="__RefHeading___Toc2019492_1067777946">
            <w:r>
              <w:rPr>
                <w:webHidden/>
                <w:rStyle w:val="IndexLink"/>
                <w:rtl w:val="true"/>
              </w:rPr>
              <w:t>كتاب النكاح</w:t>
            </w:r>
            <w:r>
              <w:rPr>
                <w:rStyle w:val="IndexLink"/>
                <w:rtl w:val="true"/>
              </w:rPr>
              <w:tab/>
            </w:r>
            <w:r>
              <w:rPr>
                <w:rStyle w:val="IndexLink"/>
              </w:rPr>
              <w:t>751</w:t>
            </w:r>
          </w:hyperlink>
        </w:p>
        <w:p>
          <w:pPr>
            <w:pStyle w:val="Contents4"/>
            <w:tabs>
              <w:tab w:val="clear" w:pos="8176"/>
              <w:tab w:val="right" w:pos="9026" w:leader="dot"/>
            </w:tabs>
            <w:rPr/>
          </w:pPr>
          <w:hyperlink w:anchor="__RefHeading___Toc2019494_1067777946">
            <w:r>
              <w:rPr>
                <w:webHidden/>
                <w:rStyle w:val="IndexLink"/>
                <w:rtl w:val="true"/>
              </w:rPr>
              <w:t>[</w:t>
            </w:r>
            <w:r>
              <w:rPr>
                <w:rStyle w:val="IndexLink"/>
                <w:rtl w:val="true"/>
              </w:rPr>
              <w:t>في النكاح الدائم</w:t>
            </w:r>
            <w:r>
              <w:rPr>
                <w:rStyle w:val="IndexLink"/>
                <w:rtl w:val="true"/>
              </w:rPr>
              <w:t>]</w:t>
              <w:tab/>
            </w:r>
            <w:r>
              <w:rPr>
                <w:rStyle w:val="IndexLink"/>
              </w:rPr>
              <w:t>751</w:t>
            </w:r>
          </w:hyperlink>
        </w:p>
        <w:p>
          <w:pPr>
            <w:pStyle w:val="Contents4"/>
            <w:tabs>
              <w:tab w:val="clear" w:pos="8176"/>
              <w:tab w:val="right" w:pos="9026" w:leader="dot"/>
            </w:tabs>
            <w:rPr/>
          </w:pPr>
          <w:hyperlink w:anchor="__RefHeading___Toc2019496_1067777946">
            <w:r>
              <w:rPr>
                <w:webHidden/>
                <w:rStyle w:val="IndexLink"/>
                <w:rtl w:val="true"/>
              </w:rPr>
              <w:t>[</w:t>
            </w:r>
            <w:r>
              <w:rPr>
                <w:rStyle w:val="IndexLink"/>
                <w:rtl w:val="true"/>
              </w:rPr>
              <w:t>في أولياء العقد</w:t>
            </w:r>
            <w:r>
              <w:rPr>
                <w:rStyle w:val="IndexLink"/>
                <w:rtl w:val="true"/>
              </w:rPr>
              <w:t>]</w:t>
              <w:tab/>
            </w:r>
            <w:r>
              <w:rPr>
                <w:rStyle w:val="IndexLink"/>
              </w:rPr>
              <w:t>752</w:t>
            </w:r>
          </w:hyperlink>
        </w:p>
        <w:p>
          <w:pPr>
            <w:pStyle w:val="Contents4"/>
            <w:tabs>
              <w:tab w:val="clear" w:pos="8176"/>
              <w:tab w:val="right" w:pos="9026" w:leader="dot"/>
            </w:tabs>
            <w:rPr/>
          </w:pPr>
          <w:hyperlink w:anchor="__RefHeading___Toc2019498_1067777946">
            <w:r>
              <w:rPr>
                <w:webHidden/>
                <w:rStyle w:val="IndexLink"/>
                <w:rtl w:val="true"/>
              </w:rPr>
              <w:t>[</w:t>
            </w:r>
            <w:r>
              <w:rPr>
                <w:rStyle w:val="IndexLink"/>
                <w:rtl w:val="true"/>
              </w:rPr>
              <w:t>في أسباب التحريم</w:t>
            </w:r>
            <w:r>
              <w:rPr>
                <w:rStyle w:val="IndexLink"/>
                <w:rtl w:val="true"/>
              </w:rPr>
              <w:t>]</w:t>
              <w:tab/>
            </w:r>
            <w:r>
              <w:rPr>
                <w:rStyle w:val="IndexLink"/>
              </w:rPr>
              <w:t>752</w:t>
            </w:r>
          </w:hyperlink>
        </w:p>
        <w:p>
          <w:pPr>
            <w:pStyle w:val="Contents4"/>
            <w:tabs>
              <w:tab w:val="clear" w:pos="8176"/>
              <w:tab w:val="right" w:pos="9026" w:leader="dot"/>
            </w:tabs>
            <w:rPr/>
          </w:pPr>
          <w:hyperlink w:anchor="__RefHeading___Toc2019500_1067777946">
            <w:r>
              <w:rPr>
                <w:webHidden/>
                <w:rStyle w:val="IndexLink"/>
                <w:rtl w:val="true"/>
              </w:rPr>
              <w:t>[</w:t>
            </w:r>
            <w:r>
              <w:rPr>
                <w:rStyle w:val="IndexLink"/>
                <w:rtl w:val="true"/>
              </w:rPr>
              <w:t>في النكاح المنقطع</w:t>
            </w:r>
            <w:r>
              <w:rPr>
                <w:rStyle w:val="IndexLink"/>
                <w:rtl w:val="true"/>
              </w:rPr>
              <w:t>]</w:t>
              <w:tab/>
            </w:r>
            <w:r>
              <w:rPr>
                <w:rStyle w:val="IndexLink"/>
              </w:rPr>
              <w:t>755</w:t>
            </w:r>
          </w:hyperlink>
        </w:p>
        <w:p>
          <w:pPr>
            <w:pStyle w:val="Contents4"/>
            <w:tabs>
              <w:tab w:val="clear" w:pos="8176"/>
              <w:tab w:val="right" w:pos="9026" w:leader="dot"/>
            </w:tabs>
            <w:rPr/>
          </w:pPr>
          <w:hyperlink w:anchor="__RefHeading___Toc2019502_1067777946">
            <w:r>
              <w:rPr>
                <w:webHidden/>
                <w:rStyle w:val="IndexLink"/>
                <w:rtl w:val="true"/>
              </w:rPr>
              <w:t>[</w:t>
            </w:r>
            <w:r>
              <w:rPr>
                <w:rStyle w:val="IndexLink"/>
                <w:rtl w:val="true"/>
              </w:rPr>
              <w:t>في نكاح الإماء</w:t>
            </w:r>
            <w:r>
              <w:rPr>
                <w:rStyle w:val="IndexLink"/>
                <w:rtl w:val="true"/>
              </w:rPr>
              <w:t>]</w:t>
              <w:tab/>
            </w:r>
            <w:r>
              <w:rPr>
                <w:rStyle w:val="IndexLink"/>
              </w:rPr>
              <w:t>755</w:t>
            </w:r>
          </w:hyperlink>
        </w:p>
        <w:p>
          <w:pPr>
            <w:pStyle w:val="Contents4"/>
            <w:tabs>
              <w:tab w:val="clear" w:pos="8176"/>
              <w:tab w:val="right" w:pos="9026" w:leader="dot"/>
            </w:tabs>
            <w:rPr/>
          </w:pPr>
          <w:hyperlink w:anchor="__RefHeading___Toc2019504_1067777946">
            <w:r>
              <w:rPr>
                <w:webHidden/>
                <w:rStyle w:val="IndexLink"/>
                <w:rtl w:val="true"/>
              </w:rPr>
              <w:t>[</w:t>
            </w:r>
            <w:r>
              <w:rPr>
                <w:rStyle w:val="IndexLink"/>
                <w:rtl w:val="true"/>
              </w:rPr>
              <w:t>في العيوب</w:t>
            </w:r>
            <w:r>
              <w:rPr>
                <w:rStyle w:val="IndexLink"/>
                <w:rtl w:val="true"/>
              </w:rPr>
              <w:t>]</w:t>
              <w:tab/>
            </w:r>
            <w:r>
              <w:rPr>
                <w:rStyle w:val="IndexLink"/>
              </w:rPr>
              <w:t>756</w:t>
            </w:r>
          </w:hyperlink>
        </w:p>
        <w:p>
          <w:pPr>
            <w:pStyle w:val="Contents4"/>
            <w:tabs>
              <w:tab w:val="clear" w:pos="8176"/>
              <w:tab w:val="right" w:pos="9026" w:leader="dot"/>
            </w:tabs>
            <w:rPr/>
          </w:pPr>
          <w:hyperlink w:anchor="__RefHeading___Toc2019506_1067777946">
            <w:r>
              <w:rPr>
                <w:webHidden/>
                <w:rStyle w:val="IndexLink"/>
                <w:rtl w:val="true"/>
              </w:rPr>
              <w:t>[</w:t>
            </w:r>
            <w:r>
              <w:rPr>
                <w:rStyle w:val="IndexLink"/>
                <w:rtl w:val="true"/>
              </w:rPr>
              <w:t>في المهور</w:t>
            </w:r>
            <w:r>
              <w:rPr>
                <w:rStyle w:val="IndexLink"/>
                <w:rtl w:val="true"/>
              </w:rPr>
              <w:t>]</w:t>
              <w:tab/>
            </w:r>
            <w:r>
              <w:rPr>
                <w:rStyle w:val="IndexLink"/>
              </w:rPr>
              <w:t>757</w:t>
            </w:r>
          </w:hyperlink>
        </w:p>
        <w:p>
          <w:pPr>
            <w:pStyle w:val="Contents4"/>
            <w:tabs>
              <w:tab w:val="clear" w:pos="8176"/>
              <w:tab w:val="right" w:pos="9026" w:leader="dot"/>
            </w:tabs>
            <w:rPr/>
          </w:pPr>
          <w:hyperlink w:anchor="__RefHeading___Toc2019508_1067777946">
            <w:r>
              <w:rPr>
                <w:webHidden/>
                <w:rStyle w:val="IndexLink"/>
                <w:rtl w:val="true"/>
              </w:rPr>
              <w:t>[</w:t>
            </w:r>
            <w:r>
              <w:rPr>
                <w:rStyle w:val="IndexLink"/>
                <w:rtl w:val="true"/>
              </w:rPr>
              <w:t>في القَسم والشقاق</w:t>
            </w:r>
            <w:r>
              <w:rPr>
                <w:rStyle w:val="IndexLink"/>
                <w:rtl w:val="true"/>
              </w:rPr>
              <w:t>]</w:t>
              <w:tab/>
            </w:r>
            <w:r>
              <w:rPr>
                <w:rStyle w:val="IndexLink"/>
              </w:rPr>
              <w:t>757</w:t>
            </w:r>
          </w:hyperlink>
        </w:p>
        <w:p>
          <w:pPr>
            <w:pStyle w:val="Contents4"/>
            <w:tabs>
              <w:tab w:val="clear" w:pos="8176"/>
              <w:tab w:val="right" w:pos="9026" w:leader="dot"/>
            </w:tabs>
            <w:rPr/>
          </w:pPr>
          <w:hyperlink w:anchor="__RefHeading___Toc2019510_1067777946">
            <w:r>
              <w:rPr>
                <w:webHidden/>
                <w:rStyle w:val="IndexLink"/>
                <w:rtl w:val="true"/>
              </w:rPr>
              <w:t>[</w:t>
            </w:r>
            <w:r>
              <w:rPr>
                <w:rStyle w:val="IndexLink"/>
                <w:rtl w:val="true"/>
              </w:rPr>
              <w:t>في أحكام الأولاد</w:t>
            </w:r>
            <w:r>
              <w:rPr>
                <w:rStyle w:val="IndexLink"/>
                <w:rtl w:val="true"/>
              </w:rPr>
              <w:t>]</w:t>
              <w:tab/>
            </w:r>
            <w:r>
              <w:rPr>
                <w:rStyle w:val="IndexLink"/>
              </w:rPr>
              <w:t>757</w:t>
            </w:r>
          </w:hyperlink>
        </w:p>
        <w:p>
          <w:pPr>
            <w:pStyle w:val="Contents4"/>
            <w:tabs>
              <w:tab w:val="clear" w:pos="8176"/>
              <w:tab w:val="right" w:pos="9026" w:leader="dot"/>
            </w:tabs>
            <w:rPr/>
          </w:pPr>
          <w:hyperlink w:anchor="__RefHeading___Toc2019512_1067777946">
            <w:r>
              <w:rPr>
                <w:webHidden/>
                <w:rStyle w:val="IndexLink"/>
                <w:rtl w:val="true"/>
              </w:rPr>
              <w:t>[</w:t>
            </w:r>
            <w:r>
              <w:rPr>
                <w:rStyle w:val="IndexLink"/>
                <w:rtl w:val="true"/>
              </w:rPr>
              <w:t>في الرضاع</w:t>
            </w:r>
            <w:r>
              <w:rPr>
                <w:rStyle w:val="IndexLink"/>
                <w:rtl w:val="true"/>
              </w:rPr>
              <w:t>]</w:t>
              <w:tab/>
            </w:r>
            <w:r>
              <w:rPr>
                <w:rStyle w:val="IndexLink"/>
              </w:rPr>
              <w:t>758</w:t>
            </w:r>
          </w:hyperlink>
        </w:p>
        <w:p>
          <w:pPr>
            <w:pStyle w:val="Contents4"/>
            <w:tabs>
              <w:tab w:val="clear" w:pos="8176"/>
              <w:tab w:val="right" w:pos="9026" w:leader="dot"/>
            </w:tabs>
            <w:rPr/>
          </w:pPr>
          <w:hyperlink w:anchor="__RefHeading___Toc2019514_1067777946">
            <w:r>
              <w:rPr>
                <w:webHidden/>
                <w:rStyle w:val="IndexLink"/>
                <w:rtl w:val="true"/>
              </w:rPr>
              <w:t>[</w:t>
            </w:r>
            <w:r>
              <w:rPr>
                <w:rStyle w:val="IndexLink"/>
                <w:rtl w:val="true"/>
              </w:rPr>
              <w:t>في النفقات</w:t>
            </w:r>
            <w:r>
              <w:rPr>
                <w:rStyle w:val="IndexLink"/>
                <w:rtl w:val="true"/>
              </w:rPr>
              <w:t>]</w:t>
              <w:tab/>
            </w:r>
            <w:r>
              <w:rPr>
                <w:rStyle w:val="IndexLink"/>
              </w:rPr>
              <w:t>758</w:t>
            </w:r>
          </w:hyperlink>
        </w:p>
        <w:p>
          <w:pPr>
            <w:pStyle w:val="Contents3"/>
            <w:tabs>
              <w:tab w:val="clear" w:pos="8459"/>
              <w:tab w:val="right" w:pos="9026" w:leader="dot"/>
            </w:tabs>
            <w:rPr/>
          </w:pPr>
          <w:hyperlink w:anchor="__RefHeading___Toc2019516_1067777946">
            <w:r>
              <w:rPr>
                <w:webHidden/>
                <w:rStyle w:val="IndexLink"/>
                <w:rtl w:val="true"/>
              </w:rPr>
              <w:t>كتاب الطلاق</w:t>
            </w:r>
            <w:r>
              <w:rPr>
                <w:rStyle w:val="IndexLink"/>
                <w:rtl w:val="true"/>
              </w:rPr>
              <w:tab/>
            </w:r>
            <w:r>
              <w:rPr>
                <w:rStyle w:val="IndexLink"/>
              </w:rPr>
              <w:t>759</w:t>
            </w:r>
          </w:hyperlink>
        </w:p>
        <w:p>
          <w:pPr>
            <w:pStyle w:val="Contents4"/>
            <w:tabs>
              <w:tab w:val="clear" w:pos="8176"/>
              <w:tab w:val="right" w:pos="9026" w:leader="dot"/>
            </w:tabs>
            <w:rPr/>
          </w:pPr>
          <w:hyperlink w:anchor="__RefHeading___Toc2019518_1067777946">
            <w:r>
              <w:rPr>
                <w:webHidden/>
                <w:rStyle w:val="IndexLink"/>
                <w:rtl w:val="true"/>
              </w:rPr>
              <w:t>[</w:t>
            </w:r>
            <w:r>
              <w:rPr>
                <w:rStyle w:val="IndexLink"/>
                <w:rtl w:val="true"/>
              </w:rPr>
              <w:t>في الصيغة</w:t>
            </w:r>
            <w:r>
              <w:rPr>
                <w:rStyle w:val="IndexLink"/>
                <w:rtl w:val="true"/>
              </w:rPr>
              <w:t>]</w:t>
              <w:tab/>
            </w:r>
            <w:r>
              <w:rPr>
                <w:rStyle w:val="IndexLink"/>
              </w:rPr>
              <w:t>759</w:t>
            </w:r>
          </w:hyperlink>
        </w:p>
        <w:p>
          <w:pPr>
            <w:pStyle w:val="Contents4"/>
            <w:tabs>
              <w:tab w:val="clear" w:pos="8176"/>
              <w:tab w:val="right" w:pos="9026" w:leader="dot"/>
            </w:tabs>
            <w:rPr/>
          </w:pPr>
          <w:hyperlink w:anchor="__RefHeading___Toc2019520_1067777946">
            <w:r>
              <w:rPr>
                <w:webHidden/>
                <w:rStyle w:val="IndexLink"/>
                <w:rtl w:val="true"/>
              </w:rPr>
              <w:t>[</w:t>
            </w:r>
            <w:r>
              <w:rPr>
                <w:rStyle w:val="IndexLink"/>
                <w:rtl w:val="true"/>
              </w:rPr>
              <w:t>في أقسام الطلاق</w:t>
            </w:r>
            <w:r>
              <w:rPr>
                <w:rStyle w:val="IndexLink"/>
                <w:rtl w:val="true"/>
              </w:rPr>
              <w:t>]</w:t>
              <w:tab/>
            </w:r>
            <w:r>
              <w:rPr>
                <w:rStyle w:val="IndexLink"/>
              </w:rPr>
              <w:t>759</w:t>
            </w:r>
          </w:hyperlink>
        </w:p>
        <w:p>
          <w:pPr>
            <w:pStyle w:val="Contents4"/>
            <w:tabs>
              <w:tab w:val="clear" w:pos="8176"/>
              <w:tab w:val="right" w:pos="9026" w:leader="dot"/>
            </w:tabs>
            <w:rPr/>
          </w:pPr>
          <w:hyperlink w:anchor="__RefHeading___Toc2019522_1067777946">
            <w:r>
              <w:rPr>
                <w:webHidden/>
                <w:rStyle w:val="IndexLink"/>
                <w:rtl w:val="true"/>
              </w:rPr>
              <w:t>[</w:t>
            </w:r>
            <w:r>
              <w:rPr>
                <w:rStyle w:val="IndexLink"/>
                <w:rtl w:val="true"/>
              </w:rPr>
              <w:t>في اللواحق</w:t>
            </w:r>
            <w:r>
              <w:rPr>
                <w:rStyle w:val="IndexLink"/>
                <w:rtl w:val="true"/>
              </w:rPr>
              <w:t>]</w:t>
              <w:tab/>
            </w:r>
            <w:r>
              <w:rPr>
                <w:rStyle w:val="IndexLink"/>
              </w:rPr>
              <w:t>759</w:t>
            </w:r>
          </w:hyperlink>
        </w:p>
        <w:p>
          <w:pPr>
            <w:pStyle w:val="Contents4"/>
            <w:tabs>
              <w:tab w:val="clear" w:pos="8176"/>
              <w:tab w:val="right" w:pos="9026" w:leader="dot"/>
            </w:tabs>
            <w:rPr/>
          </w:pPr>
          <w:hyperlink w:anchor="__RefHeading___Toc2019524_1067777946">
            <w:r>
              <w:rPr>
                <w:webHidden/>
                <w:rStyle w:val="IndexLink"/>
                <w:rtl w:val="true"/>
              </w:rPr>
              <w:t>[</w:t>
            </w:r>
            <w:r>
              <w:rPr>
                <w:rStyle w:val="IndexLink"/>
                <w:rtl w:val="true"/>
              </w:rPr>
              <w:t>العِدَد</w:t>
            </w:r>
            <w:r>
              <w:rPr>
                <w:rStyle w:val="IndexLink"/>
                <w:rtl w:val="true"/>
              </w:rPr>
              <w:t>]</w:t>
              <w:tab/>
            </w:r>
            <w:r>
              <w:rPr>
                <w:rStyle w:val="IndexLink"/>
              </w:rPr>
              <w:t>760</w:t>
            </w:r>
          </w:hyperlink>
        </w:p>
        <w:p>
          <w:pPr>
            <w:pStyle w:val="Contents4"/>
            <w:tabs>
              <w:tab w:val="clear" w:pos="8176"/>
              <w:tab w:val="right" w:pos="9026" w:leader="dot"/>
            </w:tabs>
            <w:rPr/>
          </w:pPr>
          <w:hyperlink w:anchor="__RefHeading___Toc2019526_1067777946">
            <w:r>
              <w:rPr>
                <w:webHidden/>
                <w:rStyle w:val="IndexLink"/>
                <w:rtl w:val="true"/>
              </w:rPr>
              <w:t>[</w:t>
            </w:r>
            <w:r>
              <w:rPr>
                <w:rStyle w:val="IndexLink"/>
                <w:rtl w:val="true"/>
              </w:rPr>
              <w:t>عدَّة الوفاة</w:t>
            </w:r>
            <w:r>
              <w:rPr>
                <w:rStyle w:val="IndexLink"/>
                <w:rtl w:val="true"/>
              </w:rPr>
              <w:t>]</w:t>
              <w:tab/>
            </w:r>
            <w:r>
              <w:rPr>
                <w:rStyle w:val="IndexLink"/>
              </w:rPr>
              <w:t>760</w:t>
            </w:r>
          </w:hyperlink>
        </w:p>
        <w:p>
          <w:pPr>
            <w:pStyle w:val="Contents4"/>
            <w:tabs>
              <w:tab w:val="clear" w:pos="8176"/>
              <w:tab w:val="right" w:pos="9026" w:leader="dot"/>
            </w:tabs>
            <w:rPr/>
          </w:pPr>
          <w:hyperlink w:anchor="__RefHeading___Toc2019528_1067777946">
            <w:r>
              <w:rPr>
                <w:webHidden/>
                <w:rStyle w:val="IndexLink"/>
                <w:rtl w:val="true"/>
              </w:rPr>
              <w:t>[</w:t>
            </w:r>
            <w:r>
              <w:rPr>
                <w:rStyle w:val="IndexLink"/>
                <w:rtl w:val="true"/>
              </w:rPr>
              <w:t>المفقود</w:t>
            </w:r>
            <w:r>
              <w:rPr>
                <w:rStyle w:val="IndexLink"/>
                <w:rtl w:val="true"/>
              </w:rPr>
              <w:t>]</w:t>
              <w:tab/>
            </w:r>
            <w:r>
              <w:rPr>
                <w:rStyle w:val="IndexLink"/>
              </w:rPr>
              <w:t>760</w:t>
            </w:r>
          </w:hyperlink>
        </w:p>
        <w:p>
          <w:pPr>
            <w:pStyle w:val="Contents4"/>
            <w:tabs>
              <w:tab w:val="clear" w:pos="8176"/>
              <w:tab w:val="right" w:pos="9026" w:leader="dot"/>
            </w:tabs>
            <w:rPr/>
          </w:pPr>
          <w:hyperlink w:anchor="__RefHeading___Toc2019530_1067777946">
            <w:r>
              <w:rPr>
                <w:webHidden/>
                <w:rStyle w:val="IndexLink"/>
                <w:rtl w:val="true"/>
              </w:rPr>
              <w:t>[</w:t>
            </w:r>
            <w:r>
              <w:rPr>
                <w:rStyle w:val="IndexLink"/>
                <w:rtl w:val="true"/>
              </w:rPr>
              <w:t>عدَّة الإماء</w:t>
            </w:r>
            <w:r>
              <w:rPr>
                <w:rStyle w:val="IndexLink"/>
                <w:rtl w:val="true"/>
              </w:rPr>
              <w:t>]</w:t>
              <w:tab/>
            </w:r>
            <w:r>
              <w:rPr>
                <w:rStyle w:val="IndexLink"/>
              </w:rPr>
              <w:t>760</w:t>
            </w:r>
          </w:hyperlink>
        </w:p>
        <w:p>
          <w:pPr>
            <w:pStyle w:val="Contents3"/>
            <w:tabs>
              <w:tab w:val="clear" w:pos="8459"/>
              <w:tab w:val="right" w:pos="9026" w:leader="dot"/>
            </w:tabs>
            <w:rPr/>
          </w:pPr>
          <w:hyperlink w:anchor="__RefHeading___Toc2019532_1067777946">
            <w:r>
              <w:rPr>
                <w:webHidden/>
                <w:rStyle w:val="IndexLink"/>
                <w:rtl w:val="true"/>
              </w:rPr>
              <w:t>كتاب الخلع والمباراة</w:t>
            </w:r>
            <w:r>
              <w:rPr>
                <w:rStyle w:val="IndexLink"/>
                <w:rtl w:val="true"/>
              </w:rPr>
              <w:tab/>
            </w:r>
            <w:r>
              <w:rPr>
                <w:rStyle w:val="IndexLink"/>
              </w:rPr>
              <w:t>762</w:t>
            </w:r>
          </w:hyperlink>
        </w:p>
        <w:p>
          <w:pPr>
            <w:pStyle w:val="Contents3"/>
            <w:tabs>
              <w:tab w:val="clear" w:pos="8459"/>
              <w:tab w:val="right" w:pos="9026" w:leader="dot"/>
            </w:tabs>
            <w:rPr/>
          </w:pPr>
          <w:hyperlink w:anchor="__RefHeading___Toc2019534_1067777946">
            <w:r>
              <w:rPr>
                <w:webHidden/>
                <w:rStyle w:val="IndexLink"/>
                <w:rtl w:val="true"/>
              </w:rPr>
              <w:t>كتاب الظهار</w:t>
            </w:r>
            <w:r>
              <w:rPr>
                <w:rStyle w:val="IndexLink"/>
                <w:rtl w:val="true"/>
              </w:rPr>
              <w:tab/>
            </w:r>
            <w:r>
              <w:rPr>
                <w:rStyle w:val="IndexLink"/>
              </w:rPr>
              <w:t>763</w:t>
            </w:r>
          </w:hyperlink>
        </w:p>
        <w:p>
          <w:pPr>
            <w:pStyle w:val="Contents3"/>
            <w:tabs>
              <w:tab w:val="clear" w:pos="8459"/>
              <w:tab w:val="right" w:pos="9026" w:leader="dot"/>
            </w:tabs>
            <w:rPr/>
          </w:pPr>
          <w:hyperlink w:anchor="__RefHeading___Toc2019536_1067777946">
            <w:r>
              <w:rPr>
                <w:webHidden/>
                <w:rStyle w:val="IndexLink"/>
                <w:rtl w:val="true"/>
              </w:rPr>
              <w:t>كتاب الإيلاء</w:t>
            </w:r>
            <w:r>
              <w:rPr>
                <w:rStyle w:val="IndexLink"/>
                <w:rtl w:val="true"/>
              </w:rPr>
              <w:tab/>
            </w:r>
            <w:r>
              <w:rPr>
                <w:rStyle w:val="IndexLink"/>
              </w:rPr>
              <w:t>765</w:t>
            </w:r>
          </w:hyperlink>
        </w:p>
        <w:p>
          <w:pPr>
            <w:pStyle w:val="Contents4"/>
            <w:tabs>
              <w:tab w:val="clear" w:pos="8176"/>
              <w:tab w:val="right" w:pos="9026" w:leader="dot"/>
            </w:tabs>
            <w:rPr/>
          </w:pPr>
          <w:hyperlink w:anchor="__RefHeading___Toc2019538_1067777946">
            <w:r>
              <w:rPr>
                <w:webHidden/>
                <w:rStyle w:val="IndexLink"/>
                <w:rtl w:val="true"/>
              </w:rPr>
              <w:t>اشارة</w:t>
            </w:r>
            <w:r>
              <w:rPr>
                <w:rStyle w:val="IndexLink"/>
                <w:rtl w:val="true"/>
              </w:rPr>
              <w:tab/>
            </w:r>
            <w:r>
              <w:rPr>
                <w:rStyle w:val="IndexLink"/>
              </w:rPr>
              <w:t>765</w:t>
            </w:r>
          </w:hyperlink>
        </w:p>
        <w:p>
          <w:pPr>
            <w:pStyle w:val="Contents4"/>
            <w:tabs>
              <w:tab w:val="clear" w:pos="8176"/>
              <w:tab w:val="right" w:pos="9026" w:leader="dot"/>
            </w:tabs>
            <w:rPr/>
          </w:pPr>
          <w:hyperlink w:anchor="__RefHeading___Toc2019540_1067777946">
            <w:r>
              <w:rPr>
                <w:webHidden/>
                <w:rStyle w:val="IndexLink"/>
                <w:rtl w:val="true"/>
              </w:rPr>
              <w:t>[</w:t>
            </w:r>
            <w:r>
              <w:rPr>
                <w:rStyle w:val="IndexLink"/>
                <w:rtl w:val="true"/>
              </w:rPr>
              <w:t>الكفّارات</w:t>
            </w:r>
            <w:r>
              <w:rPr>
                <w:rStyle w:val="IndexLink"/>
                <w:rtl w:val="true"/>
              </w:rPr>
              <w:t>]</w:t>
              <w:tab/>
            </w:r>
            <w:r>
              <w:rPr>
                <w:rStyle w:val="IndexLink"/>
              </w:rPr>
              <w:t>765</w:t>
            </w:r>
          </w:hyperlink>
        </w:p>
        <w:p>
          <w:pPr>
            <w:pStyle w:val="Contents4"/>
            <w:tabs>
              <w:tab w:val="clear" w:pos="8176"/>
              <w:tab w:val="right" w:pos="9026" w:leader="dot"/>
            </w:tabs>
            <w:rPr/>
          </w:pPr>
          <w:hyperlink w:anchor="__RefHeading___Toc2019542_1067777946">
            <w:r>
              <w:rPr>
                <w:webHidden/>
                <w:rStyle w:val="IndexLink"/>
                <w:rtl w:val="true"/>
              </w:rPr>
              <w:t>[</w:t>
            </w:r>
            <w:r>
              <w:rPr>
                <w:rStyle w:val="IndexLink"/>
                <w:rtl w:val="true"/>
              </w:rPr>
              <w:t>في خصال الكفّارة</w:t>
            </w:r>
            <w:r>
              <w:rPr>
                <w:rStyle w:val="IndexLink"/>
                <w:rtl w:val="true"/>
              </w:rPr>
              <w:t>]</w:t>
              <w:tab/>
            </w:r>
            <w:r>
              <w:rPr>
                <w:rStyle w:val="IndexLink"/>
              </w:rPr>
              <w:t>766</w:t>
            </w:r>
          </w:hyperlink>
        </w:p>
        <w:p>
          <w:pPr>
            <w:pStyle w:val="Contents3"/>
            <w:tabs>
              <w:tab w:val="clear" w:pos="8459"/>
              <w:tab w:val="right" w:pos="9026" w:leader="dot"/>
            </w:tabs>
            <w:rPr/>
          </w:pPr>
          <w:hyperlink w:anchor="__RefHeading___Toc2019544_1067777946">
            <w:r>
              <w:rPr>
                <w:webHidden/>
                <w:rStyle w:val="IndexLink"/>
                <w:rtl w:val="true"/>
              </w:rPr>
              <w:t>كتاب اللعان</w:t>
            </w:r>
            <w:r>
              <w:rPr>
                <w:rStyle w:val="IndexLink"/>
                <w:rtl w:val="true"/>
              </w:rPr>
              <w:tab/>
            </w:r>
            <w:r>
              <w:rPr>
                <w:rStyle w:val="IndexLink"/>
              </w:rPr>
              <w:t>767</w:t>
            </w:r>
          </w:hyperlink>
        </w:p>
        <w:p>
          <w:pPr>
            <w:pStyle w:val="Contents3"/>
            <w:tabs>
              <w:tab w:val="clear" w:pos="8459"/>
              <w:tab w:val="right" w:pos="9026" w:leader="dot"/>
            </w:tabs>
            <w:rPr/>
          </w:pPr>
          <w:hyperlink w:anchor="__RefHeading___Toc2019546_1067777946">
            <w:r>
              <w:rPr>
                <w:webHidden/>
                <w:rStyle w:val="IndexLink"/>
                <w:rtl w:val="true"/>
              </w:rPr>
              <w:t>كتاب العتق</w:t>
            </w:r>
            <w:r>
              <w:rPr>
                <w:rStyle w:val="IndexLink"/>
                <w:rtl w:val="true"/>
              </w:rPr>
              <w:tab/>
            </w:r>
            <w:r>
              <w:rPr>
                <w:rStyle w:val="IndexLink"/>
              </w:rPr>
              <w:t>768</w:t>
            </w:r>
          </w:hyperlink>
        </w:p>
        <w:p>
          <w:pPr>
            <w:pStyle w:val="Contents4"/>
            <w:tabs>
              <w:tab w:val="clear" w:pos="8176"/>
              <w:tab w:val="right" w:pos="9026" w:leader="dot"/>
            </w:tabs>
            <w:rPr/>
          </w:pPr>
          <w:hyperlink w:anchor="__RefHeading___Toc2019548_1067777946">
            <w:r>
              <w:rPr>
                <w:webHidden/>
                <w:rStyle w:val="IndexLink"/>
                <w:rtl w:val="true"/>
              </w:rPr>
              <w:t>[</w:t>
            </w:r>
            <w:r>
              <w:rPr>
                <w:rStyle w:val="IndexLink"/>
                <w:rtl w:val="true"/>
              </w:rPr>
              <w:t>في الرقّ</w:t>
            </w:r>
            <w:r>
              <w:rPr>
                <w:rStyle w:val="IndexLink"/>
                <w:rtl w:val="true"/>
              </w:rPr>
              <w:t>]</w:t>
              <w:tab/>
            </w:r>
            <w:r>
              <w:rPr>
                <w:rStyle w:val="IndexLink"/>
              </w:rPr>
              <w:t>768</w:t>
            </w:r>
          </w:hyperlink>
        </w:p>
        <w:p>
          <w:pPr>
            <w:pStyle w:val="Contents4"/>
            <w:tabs>
              <w:tab w:val="clear" w:pos="8176"/>
              <w:tab w:val="right" w:pos="9026" w:leader="dot"/>
            </w:tabs>
            <w:rPr/>
          </w:pPr>
          <w:hyperlink w:anchor="__RefHeading___Toc2019550_1067777946">
            <w:r>
              <w:rPr>
                <w:webHidden/>
                <w:rStyle w:val="IndexLink"/>
                <w:rtl w:val="true"/>
              </w:rPr>
              <w:t>[</w:t>
            </w:r>
            <w:r>
              <w:rPr>
                <w:rStyle w:val="IndexLink"/>
                <w:rtl w:val="true"/>
              </w:rPr>
              <w:t>في العتق</w:t>
            </w:r>
            <w:r>
              <w:rPr>
                <w:rStyle w:val="IndexLink"/>
                <w:rtl w:val="true"/>
              </w:rPr>
              <w:t>]</w:t>
              <w:tab/>
            </w:r>
            <w:r>
              <w:rPr>
                <w:rStyle w:val="IndexLink"/>
              </w:rPr>
              <w:t>768</w:t>
            </w:r>
          </w:hyperlink>
        </w:p>
        <w:p>
          <w:pPr>
            <w:pStyle w:val="Contents3"/>
            <w:tabs>
              <w:tab w:val="clear" w:pos="8459"/>
              <w:tab w:val="right" w:pos="9026" w:leader="dot"/>
            </w:tabs>
            <w:rPr/>
          </w:pPr>
          <w:hyperlink w:anchor="__RefHeading___Toc2019552_1067777946">
            <w:r>
              <w:rPr>
                <w:webHidden/>
                <w:rStyle w:val="IndexLink"/>
                <w:rtl w:val="true"/>
              </w:rPr>
              <w:t>كتاب التدبير والمكاتبة والاستيلاد</w:t>
            </w:r>
            <w:r>
              <w:rPr>
                <w:rStyle w:val="IndexLink"/>
                <w:rtl w:val="true"/>
              </w:rPr>
              <w:tab/>
            </w:r>
            <w:r>
              <w:rPr>
                <w:rStyle w:val="IndexLink"/>
              </w:rPr>
              <w:t>772</w:t>
            </w:r>
          </w:hyperlink>
        </w:p>
        <w:p>
          <w:pPr>
            <w:pStyle w:val="Contents4"/>
            <w:tabs>
              <w:tab w:val="clear" w:pos="8176"/>
              <w:tab w:val="right" w:pos="9026" w:leader="dot"/>
            </w:tabs>
            <w:rPr/>
          </w:pPr>
          <w:hyperlink w:anchor="__RefHeading___Toc2019554_1067777946">
            <w:r>
              <w:rPr>
                <w:webHidden/>
                <w:rStyle w:val="IndexLink"/>
                <w:rtl w:val="true"/>
              </w:rPr>
              <w:t>[</w:t>
            </w:r>
            <w:r>
              <w:rPr>
                <w:rStyle w:val="IndexLink"/>
                <w:rtl w:val="true"/>
              </w:rPr>
              <w:t>التدبير</w:t>
            </w:r>
            <w:r>
              <w:rPr>
                <w:rStyle w:val="IndexLink"/>
                <w:rtl w:val="true"/>
              </w:rPr>
              <w:t>]</w:t>
              <w:tab/>
            </w:r>
            <w:r>
              <w:rPr>
                <w:rStyle w:val="IndexLink"/>
              </w:rPr>
              <w:t>772</w:t>
            </w:r>
          </w:hyperlink>
        </w:p>
        <w:p>
          <w:pPr>
            <w:pStyle w:val="Contents4"/>
            <w:tabs>
              <w:tab w:val="clear" w:pos="8176"/>
              <w:tab w:val="right" w:pos="9026" w:leader="dot"/>
            </w:tabs>
            <w:rPr/>
          </w:pPr>
          <w:hyperlink w:anchor="__RefHeading___Toc2019556_1067777946">
            <w:r>
              <w:rPr>
                <w:webHidden/>
                <w:rStyle w:val="IndexLink"/>
                <w:rtl w:val="true"/>
              </w:rPr>
              <w:t>[</w:t>
            </w:r>
            <w:r>
              <w:rPr>
                <w:rStyle w:val="IndexLink"/>
                <w:rtl w:val="true"/>
              </w:rPr>
              <w:t>المكاتبة</w:t>
            </w:r>
            <w:r>
              <w:rPr>
                <w:rStyle w:val="IndexLink"/>
                <w:rtl w:val="true"/>
              </w:rPr>
              <w:t>]</w:t>
              <w:tab/>
            </w:r>
            <w:r>
              <w:rPr>
                <w:rStyle w:val="IndexLink"/>
              </w:rPr>
              <w:t>773</w:t>
            </w:r>
          </w:hyperlink>
        </w:p>
        <w:p>
          <w:pPr>
            <w:pStyle w:val="Contents4"/>
            <w:tabs>
              <w:tab w:val="clear" w:pos="8176"/>
              <w:tab w:val="right" w:pos="9026" w:leader="dot"/>
            </w:tabs>
            <w:rPr/>
          </w:pPr>
          <w:hyperlink w:anchor="__RefHeading___Toc2019558_1067777946">
            <w:r>
              <w:rPr>
                <w:webHidden/>
                <w:rStyle w:val="IndexLink"/>
                <w:rtl w:val="true"/>
              </w:rPr>
              <w:t>[</w:t>
            </w:r>
            <w:r>
              <w:rPr>
                <w:rStyle w:val="IndexLink"/>
                <w:rtl w:val="true"/>
              </w:rPr>
              <w:t>الاستيلاد</w:t>
            </w:r>
            <w:r>
              <w:rPr>
                <w:rStyle w:val="IndexLink"/>
                <w:rtl w:val="true"/>
              </w:rPr>
              <w:t>]</w:t>
              <w:tab/>
            </w:r>
            <w:r>
              <w:rPr>
                <w:rStyle w:val="IndexLink"/>
              </w:rPr>
              <w:t>774</w:t>
            </w:r>
          </w:hyperlink>
        </w:p>
        <w:p>
          <w:pPr>
            <w:pStyle w:val="Contents3"/>
            <w:tabs>
              <w:tab w:val="clear" w:pos="8459"/>
              <w:tab w:val="right" w:pos="9026" w:leader="dot"/>
            </w:tabs>
            <w:rPr/>
          </w:pPr>
          <w:hyperlink w:anchor="__RefHeading___Toc2019560_1067777946">
            <w:r>
              <w:rPr>
                <w:webHidden/>
                <w:rStyle w:val="IndexLink"/>
                <w:rtl w:val="true"/>
              </w:rPr>
              <w:t>كتاب الإقرار</w:t>
            </w:r>
            <w:r>
              <w:rPr>
                <w:rStyle w:val="IndexLink"/>
                <w:rtl w:val="true"/>
              </w:rPr>
              <w:tab/>
            </w:r>
            <w:r>
              <w:rPr>
                <w:rStyle w:val="IndexLink"/>
              </w:rPr>
              <w:t>775</w:t>
            </w:r>
          </w:hyperlink>
        </w:p>
        <w:p>
          <w:pPr>
            <w:pStyle w:val="Contents4"/>
            <w:tabs>
              <w:tab w:val="clear" w:pos="8176"/>
              <w:tab w:val="right" w:pos="9026" w:leader="dot"/>
            </w:tabs>
            <w:rPr/>
          </w:pPr>
          <w:hyperlink w:anchor="__RefHeading___Toc2019562_1067777946">
            <w:r>
              <w:rPr>
                <w:webHidden/>
                <w:rStyle w:val="IndexLink"/>
                <w:rtl w:val="true"/>
              </w:rPr>
              <w:t>[</w:t>
            </w:r>
            <w:r>
              <w:rPr>
                <w:rStyle w:val="IndexLink"/>
                <w:rtl w:val="true"/>
              </w:rPr>
              <w:t>الإقرار</w:t>
            </w:r>
            <w:r>
              <w:rPr>
                <w:rStyle w:val="IndexLink"/>
                <w:rtl w:val="true"/>
              </w:rPr>
              <w:t>]</w:t>
              <w:tab/>
            </w:r>
            <w:r>
              <w:rPr>
                <w:rStyle w:val="IndexLink"/>
              </w:rPr>
              <w:t>775</w:t>
            </w:r>
          </w:hyperlink>
        </w:p>
        <w:p>
          <w:pPr>
            <w:pStyle w:val="Contents4"/>
            <w:tabs>
              <w:tab w:val="clear" w:pos="8176"/>
              <w:tab w:val="right" w:pos="9026" w:leader="dot"/>
            </w:tabs>
            <w:rPr/>
          </w:pPr>
          <w:hyperlink w:anchor="__RefHeading___Toc2019564_1067777946">
            <w:r>
              <w:rPr>
                <w:webHidden/>
                <w:rStyle w:val="IndexLink"/>
                <w:rtl w:val="true"/>
              </w:rPr>
              <w:t>[</w:t>
            </w:r>
            <w:r>
              <w:rPr>
                <w:rStyle w:val="IndexLink"/>
                <w:rtl w:val="true"/>
              </w:rPr>
              <w:t>في المُقرّ به</w:t>
            </w:r>
            <w:r>
              <w:rPr>
                <w:rStyle w:val="IndexLink"/>
                <w:rtl w:val="true"/>
              </w:rPr>
              <w:t>]</w:t>
              <w:tab/>
            </w:r>
            <w:r>
              <w:rPr>
                <w:rStyle w:val="IndexLink"/>
              </w:rPr>
              <w:t>776</w:t>
            </w:r>
          </w:hyperlink>
        </w:p>
        <w:p>
          <w:pPr>
            <w:pStyle w:val="Contents4"/>
            <w:tabs>
              <w:tab w:val="clear" w:pos="8176"/>
              <w:tab w:val="right" w:pos="9026" w:leader="dot"/>
            </w:tabs>
            <w:rPr/>
          </w:pPr>
          <w:hyperlink w:anchor="__RefHeading___Toc2019566_1067777946">
            <w:r>
              <w:rPr>
                <w:webHidden/>
                <w:rStyle w:val="IndexLink"/>
                <w:rtl w:val="true"/>
              </w:rPr>
              <w:t>[</w:t>
            </w:r>
            <w:r>
              <w:rPr>
                <w:rStyle w:val="IndexLink"/>
                <w:rtl w:val="true"/>
              </w:rPr>
              <w:t>في المُقرّ به</w:t>
            </w:r>
            <w:r>
              <w:rPr>
                <w:rStyle w:val="IndexLink"/>
                <w:rtl w:val="true"/>
              </w:rPr>
              <w:t>]</w:t>
              <w:tab/>
            </w:r>
            <w:r>
              <w:rPr>
                <w:rStyle w:val="IndexLink"/>
              </w:rPr>
              <w:t>776</w:t>
            </w:r>
          </w:hyperlink>
        </w:p>
        <w:p>
          <w:pPr>
            <w:pStyle w:val="Contents4"/>
            <w:tabs>
              <w:tab w:val="clear" w:pos="8176"/>
              <w:tab w:val="right" w:pos="9026" w:leader="dot"/>
            </w:tabs>
            <w:rPr/>
          </w:pPr>
          <w:hyperlink w:anchor="__RefHeading___Toc2019568_1067777946">
            <w:r>
              <w:rPr>
                <w:webHidden/>
                <w:rStyle w:val="IndexLink"/>
                <w:rtl w:val="true"/>
              </w:rPr>
              <w:t>[</w:t>
            </w:r>
            <w:r>
              <w:rPr>
                <w:rStyle w:val="IndexLink"/>
                <w:rtl w:val="true"/>
              </w:rPr>
              <w:t>في الاستثناء</w:t>
            </w:r>
            <w:r>
              <w:rPr>
                <w:rStyle w:val="IndexLink"/>
                <w:rtl w:val="true"/>
              </w:rPr>
              <w:t>]</w:t>
              <w:tab/>
            </w:r>
            <w:r>
              <w:rPr>
                <w:rStyle w:val="IndexLink"/>
              </w:rPr>
              <w:t>777</w:t>
            </w:r>
          </w:hyperlink>
        </w:p>
        <w:p>
          <w:pPr>
            <w:pStyle w:val="Contents4"/>
            <w:tabs>
              <w:tab w:val="clear" w:pos="8176"/>
              <w:tab w:val="right" w:pos="9026" w:leader="dot"/>
            </w:tabs>
            <w:rPr/>
          </w:pPr>
          <w:hyperlink w:anchor="__RefHeading___Toc2019570_1067777946">
            <w:r>
              <w:rPr>
                <w:webHidden/>
                <w:rStyle w:val="IndexLink"/>
                <w:rtl w:val="true"/>
              </w:rPr>
              <w:t>[</w:t>
            </w:r>
            <w:r>
              <w:rPr>
                <w:rStyle w:val="IndexLink"/>
                <w:rtl w:val="true"/>
              </w:rPr>
              <w:t>الإقرار بالنسب</w:t>
            </w:r>
            <w:r>
              <w:rPr>
                <w:rStyle w:val="IndexLink"/>
                <w:rtl w:val="true"/>
              </w:rPr>
              <w:t>]</w:t>
              <w:tab/>
            </w:r>
            <w:r>
              <w:rPr>
                <w:rStyle w:val="IndexLink"/>
              </w:rPr>
              <w:t>778</w:t>
            </w:r>
          </w:hyperlink>
        </w:p>
        <w:p>
          <w:pPr>
            <w:pStyle w:val="Contents3"/>
            <w:tabs>
              <w:tab w:val="clear" w:pos="8459"/>
              <w:tab w:val="right" w:pos="9026" w:leader="dot"/>
            </w:tabs>
            <w:rPr/>
          </w:pPr>
          <w:hyperlink w:anchor="__RefHeading___Toc2019572_1067777946">
            <w:r>
              <w:rPr>
                <w:webHidden/>
                <w:rStyle w:val="IndexLink"/>
                <w:rtl w:val="true"/>
              </w:rPr>
              <w:t>كتاب الأيمان</w:t>
            </w:r>
            <w:r>
              <w:rPr>
                <w:rStyle w:val="IndexLink"/>
                <w:rtl w:val="true"/>
              </w:rPr>
              <w:tab/>
            </w:r>
            <w:r>
              <w:rPr>
                <w:rStyle w:val="IndexLink"/>
              </w:rPr>
              <w:t>780</w:t>
            </w:r>
          </w:hyperlink>
        </w:p>
        <w:p>
          <w:pPr>
            <w:pStyle w:val="Contents4"/>
            <w:tabs>
              <w:tab w:val="clear" w:pos="8176"/>
              <w:tab w:val="right" w:pos="9026" w:leader="dot"/>
            </w:tabs>
            <w:rPr/>
          </w:pPr>
          <w:hyperlink w:anchor="__RefHeading___Toc2019574_1067777946">
            <w:r>
              <w:rPr>
                <w:webHidden/>
                <w:rStyle w:val="IndexLink"/>
                <w:rtl w:val="true"/>
              </w:rPr>
              <w:t>[</w:t>
            </w:r>
            <w:r>
              <w:rPr>
                <w:rStyle w:val="IndexLink"/>
                <w:rtl w:val="true"/>
              </w:rPr>
              <w:t>ما به تنعقد</w:t>
            </w:r>
            <w:r>
              <w:rPr>
                <w:rStyle w:val="IndexLink"/>
                <w:rtl w:val="true"/>
              </w:rPr>
              <w:t>]</w:t>
              <w:tab/>
            </w:r>
            <w:r>
              <w:rPr>
                <w:rStyle w:val="IndexLink"/>
              </w:rPr>
              <w:t>780</w:t>
            </w:r>
          </w:hyperlink>
        </w:p>
        <w:p>
          <w:pPr>
            <w:pStyle w:val="Contents4"/>
            <w:tabs>
              <w:tab w:val="clear" w:pos="8176"/>
              <w:tab w:val="right" w:pos="9026" w:leader="dot"/>
            </w:tabs>
            <w:rPr/>
          </w:pPr>
          <w:hyperlink w:anchor="__RefHeading___Toc2019576_1067777946">
            <w:r>
              <w:rPr>
                <w:webHidden/>
                <w:rStyle w:val="IndexLink"/>
                <w:rtl w:val="true"/>
              </w:rPr>
              <w:t>[</w:t>
            </w:r>
            <w:r>
              <w:rPr>
                <w:rStyle w:val="IndexLink"/>
                <w:rtl w:val="true"/>
              </w:rPr>
              <w:t>في متعلّق اليمين</w:t>
            </w:r>
            <w:r>
              <w:rPr>
                <w:rStyle w:val="IndexLink"/>
                <w:rtl w:val="true"/>
              </w:rPr>
              <w:t>]</w:t>
              <w:tab/>
            </w:r>
            <w:r>
              <w:rPr>
                <w:rStyle w:val="IndexLink"/>
              </w:rPr>
              <w:t>781</w:t>
            </w:r>
          </w:hyperlink>
        </w:p>
        <w:p>
          <w:pPr>
            <w:pStyle w:val="Contents3"/>
            <w:tabs>
              <w:tab w:val="clear" w:pos="8459"/>
              <w:tab w:val="right" w:pos="9026" w:leader="dot"/>
            </w:tabs>
            <w:rPr/>
          </w:pPr>
          <w:hyperlink w:anchor="__RefHeading___Toc2019578_1067777946">
            <w:r>
              <w:rPr>
                <w:webHidden/>
                <w:rStyle w:val="IndexLink"/>
                <w:rtl w:val="true"/>
              </w:rPr>
              <w:t>كتاب النذور والعهود</w:t>
            </w:r>
            <w:r>
              <w:rPr>
                <w:rStyle w:val="IndexLink"/>
                <w:rtl w:val="true"/>
              </w:rPr>
              <w:tab/>
            </w:r>
            <w:r>
              <w:rPr>
                <w:rStyle w:val="IndexLink"/>
              </w:rPr>
              <w:t>782</w:t>
            </w:r>
          </w:hyperlink>
        </w:p>
        <w:p>
          <w:pPr>
            <w:pStyle w:val="Contents4"/>
            <w:tabs>
              <w:tab w:val="clear" w:pos="8176"/>
              <w:tab w:val="right" w:pos="9026" w:leader="dot"/>
            </w:tabs>
            <w:rPr/>
          </w:pPr>
          <w:hyperlink w:anchor="__RefHeading___Toc2019580_1067777946">
            <w:r>
              <w:rPr>
                <w:webHidden/>
                <w:rStyle w:val="IndexLink"/>
                <w:rtl w:val="true"/>
              </w:rPr>
              <w:t>[</w:t>
            </w:r>
            <w:r>
              <w:rPr>
                <w:rStyle w:val="IndexLink"/>
                <w:rtl w:val="true"/>
              </w:rPr>
              <w:t>في الناذر</w:t>
            </w:r>
            <w:r>
              <w:rPr>
                <w:rStyle w:val="IndexLink"/>
                <w:rtl w:val="true"/>
              </w:rPr>
              <w:t>]</w:t>
              <w:tab/>
            </w:r>
            <w:r>
              <w:rPr>
                <w:rStyle w:val="IndexLink"/>
              </w:rPr>
              <w:t>782</w:t>
            </w:r>
          </w:hyperlink>
        </w:p>
        <w:p>
          <w:pPr>
            <w:pStyle w:val="Contents4"/>
            <w:tabs>
              <w:tab w:val="clear" w:pos="8176"/>
              <w:tab w:val="right" w:pos="9026" w:leader="dot"/>
            </w:tabs>
            <w:rPr/>
          </w:pPr>
          <w:hyperlink w:anchor="__RefHeading___Toc2019582_1067777946">
            <w:r>
              <w:rPr>
                <w:webHidden/>
                <w:rStyle w:val="IndexLink"/>
                <w:rtl w:val="true"/>
              </w:rPr>
              <w:t>[</w:t>
            </w:r>
            <w:r>
              <w:rPr>
                <w:rStyle w:val="IndexLink"/>
                <w:rtl w:val="true"/>
              </w:rPr>
              <w:t>في الصيغة</w:t>
            </w:r>
            <w:r>
              <w:rPr>
                <w:rStyle w:val="IndexLink"/>
                <w:rtl w:val="true"/>
              </w:rPr>
              <w:t>]</w:t>
              <w:tab/>
            </w:r>
            <w:r>
              <w:rPr>
                <w:rStyle w:val="IndexLink"/>
              </w:rPr>
              <w:t>782</w:t>
            </w:r>
          </w:hyperlink>
        </w:p>
        <w:p>
          <w:pPr>
            <w:pStyle w:val="Contents4"/>
            <w:tabs>
              <w:tab w:val="clear" w:pos="8176"/>
              <w:tab w:val="right" w:pos="9026" w:leader="dot"/>
            </w:tabs>
            <w:rPr/>
          </w:pPr>
          <w:hyperlink w:anchor="__RefHeading___Toc2019584_1067777946">
            <w:r>
              <w:rPr>
                <w:webHidden/>
                <w:rStyle w:val="IndexLink"/>
                <w:rtl w:val="true"/>
              </w:rPr>
              <w:t>[</w:t>
            </w:r>
            <w:r>
              <w:rPr>
                <w:rStyle w:val="IndexLink"/>
                <w:rtl w:val="true"/>
              </w:rPr>
              <w:t>في متعلّق النذر</w:t>
            </w:r>
            <w:r>
              <w:rPr>
                <w:rStyle w:val="IndexLink"/>
                <w:rtl w:val="true"/>
              </w:rPr>
              <w:t>]</w:t>
              <w:tab/>
            </w:r>
            <w:r>
              <w:rPr>
                <w:rStyle w:val="IndexLink"/>
              </w:rPr>
              <w:t>782</w:t>
            </w:r>
          </w:hyperlink>
        </w:p>
        <w:p>
          <w:pPr>
            <w:pStyle w:val="Contents4"/>
            <w:tabs>
              <w:tab w:val="clear" w:pos="8176"/>
              <w:tab w:val="right" w:pos="9026" w:leader="dot"/>
            </w:tabs>
            <w:rPr/>
          </w:pPr>
          <w:hyperlink w:anchor="__RefHeading___Toc2019586_1067777946">
            <w:r>
              <w:rPr>
                <w:webHidden/>
                <w:rStyle w:val="IndexLink"/>
                <w:rtl w:val="true"/>
              </w:rPr>
              <w:t>[</w:t>
            </w:r>
            <w:r>
              <w:rPr>
                <w:rStyle w:val="IndexLink"/>
                <w:rtl w:val="true"/>
              </w:rPr>
              <w:t>في اللواحق</w:t>
            </w:r>
            <w:r>
              <w:rPr>
                <w:rStyle w:val="IndexLink"/>
                <w:rtl w:val="true"/>
              </w:rPr>
              <w:t>]</w:t>
              <w:tab/>
            </w:r>
            <w:r>
              <w:rPr>
                <w:rStyle w:val="IndexLink"/>
              </w:rPr>
              <w:t>783</w:t>
            </w:r>
          </w:hyperlink>
        </w:p>
        <w:p>
          <w:pPr>
            <w:pStyle w:val="Contents3"/>
            <w:tabs>
              <w:tab w:val="clear" w:pos="8459"/>
              <w:tab w:val="right" w:pos="9026" w:leader="dot"/>
            </w:tabs>
            <w:rPr/>
          </w:pPr>
          <w:hyperlink w:anchor="__RefHeading___Toc2019588_1067777946">
            <w:r>
              <w:rPr>
                <w:webHidden/>
                <w:rStyle w:val="IndexLink"/>
                <w:rtl w:val="true"/>
              </w:rPr>
              <w:t>کتاب الصيد والذبائح</w:t>
            </w:r>
            <w:r>
              <w:rPr>
                <w:rStyle w:val="IndexLink"/>
                <w:rtl w:val="true"/>
              </w:rPr>
              <w:tab/>
            </w:r>
            <w:r>
              <w:rPr>
                <w:rStyle w:val="IndexLink"/>
              </w:rPr>
              <w:t>784</w:t>
            </w:r>
          </w:hyperlink>
        </w:p>
        <w:p>
          <w:pPr>
            <w:pStyle w:val="Contents4"/>
            <w:tabs>
              <w:tab w:val="clear" w:pos="8176"/>
              <w:tab w:val="right" w:pos="9026" w:leader="dot"/>
            </w:tabs>
            <w:rPr/>
          </w:pPr>
          <w:hyperlink w:anchor="__RefHeading___Toc2019590_1067777946">
            <w:r>
              <w:rPr>
                <w:webHidden/>
                <w:rStyle w:val="IndexLink"/>
                <w:rtl w:val="true"/>
              </w:rPr>
              <w:t>[</w:t>
            </w:r>
            <w:r>
              <w:rPr>
                <w:rStyle w:val="IndexLink"/>
                <w:rtl w:val="true"/>
              </w:rPr>
              <w:t>الصيد</w:t>
            </w:r>
            <w:r>
              <w:rPr>
                <w:rStyle w:val="IndexLink"/>
                <w:rtl w:val="true"/>
              </w:rPr>
              <w:t>]</w:t>
              <w:tab/>
            </w:r>
            <w:r>
              <w:rPr>
                <w:rStyle w:val="IndexLink"/>
              </w:rPr>
              <w:t>784</w:t>
            </w:r>
          </w:hyperlink>
        </w:p>
        <w:p>
          <w:pPr>
            <w:pStyle w:val="Contents4"/>
            <w:tabs>
              <w:tab w:val="clear" w:pos="8176"/>
              <w:tab w:val="right" w:pos="9026" w:leader="dot"/>
            </w:tabs>
            <w:rPr/>
          </w:pPr>
          <w:hyperlink w:anchor="__RefHeading___Toc2019592_1067777946">
            <w:r>
              <w:rPr>
                <w:webHidden/>
                <w:rStyle w:val="IndexLink"/>
                <w:rtl w:val="true"/>
              </w:rPr>
              <w:t>[</w:t>
            </w:r>
            <w:r>
              <w:rPr>
                <w:rStyle w:val="IndexLink"/>
                <w:rtl w:val="true"/>
              </w:rPr>
              <w:t>الذابح والآلة</w:t>
            </w:r>
            <w:r>
              <w:rPr>
                <w:rStyle w:val="IndexLink"/>
                <w:rtl w:val="true"/>
              </w:rPr>
              <w:t>]</w:t>
              <w:tab/>
            </w:r>
            <w:r>
              <w:rPr>
                <w:rStyle w:val="IndexLink"/>
              </w:rPr>
              <w:t>785</w:t>
            </w:r>
          </w:hyperlink>
        </w:p>
        <w:p>
          <w:pPr>
            <w:pStyle w:val="Contents4"/>
            <w:tabs>
              <w:tab w:val="clear" w:pos="8176"/>
              <w:tab w:val="right" w:pos="9026" w:leader="dot"/>
            </w:tabs>
            <w:rPr/>
          </w:pPr>
          <w:hyperlink w:anchor="__RefHeading___Toc2019594_1067777946">
            <w:r>
              <w:rPr>
                <w:webHidden/>
                <w:rStyle w:val="IndexLink"/>
                <w:rtl w:val="true"/>
              </w:rPr>
              <w:t>[</w:t>
            </w:r>
            <w:r>
              <w:rPr>
                <w:rStyle w:val="IndexLink"/>
                <w:rtl w:val="true"/>
              </w:rPr>
              <w:t>الكيفيّة</w:t>
            </w:r>
            <w:r>
              <w:rPr>
                <w:rStyle w:val="IndexLink"/>
                <w:rtl w:val="true"/>
              </w:rPr>
              <w:t>]</w:t>
              <w:tab/>
            </w:r>
            <w:r>
              <w:rPr>
                <w:rStyle w:val="IndexLink"/>
              </w:rPr>
              <w:t>785</w:t>
            </w:r>
          </w:hyperlink>
        </w:p>
        <w:p>
          <w:pPr>
            <w:pStyle w:val="Contents3"/>
            <w:tabs>
              <w:tab w:val="clear" w:pos="8459"/>
              <w:tab w:val="right" w:pos="9026" w:leader="dot"/>
            </w:tabs>
            <w:rPr/>
          </w:pPr>
          <w:hyperlink w:anchor="__RefHeading___Toc2019596_1067777946">
            <w:r>
              <w:rPr>
                <w:webHidden/>
                <w:rStyle w:val="IndexLink"/>
                <w:rtl w:val="true"/>
              </w:rPr>
              <w:t>كتاب الأطعمة والأشربة</w:t>
            </w:r>
            <w:r>
              <w:rPr>
                <w:rStyle w:val="IndexLink"/>
                <w:rtl w:val="true"/>
              </w:rPr>
              <w:tab/>
            </w:r>
            <w:r>
              <w:rPr>
                <w:rStyle w:val="IndexLink"/>
              </w:rPr>
              <w:t>787</w:t>
            </w:r>
          </w:hyperlink>
        </w:p>
        <w:p>
          <w:pPr>
            <w:pStyle w:val="Contents4"/>
            <w:tabs>
              <w:tab w:val="clear" w:pos="8176"/>
              <w:tab w:val="right" w:pos="9026" w:leader="dot"/>
            </w:tabs>
            <w:rPr/>
          </w:pPr>
          <w:hyperlink w:anchor="__RefHeading___Toc2019598_1067777946">
            <w:r>
              <w:rPr>
                <w:webHidden/>
                <w:rStyle w:val="IndexLink"/>
                <w:rtl w:val="true"/>
              </w:rPr>
              <w:t>[</w:t>
            </w:r>
            <w:r>
              <w:rPr>
                <w:rStyle w:val="IndexLink"/>
                <w:rtl w:val="true"/>
              </w:rPr>
              <w:t>في حيوان البحر</w:t>
            </w:r>
            <w:r>
              <w:rPr>
                <w:rStyle w:val="IndexLink"/>
                <w:rtl w:val="true"/>
              </w:rPr>
              <w:t>]</w:t>
              <w:tab/>
            </w:r>
            <w:r>
              <w:rPr>
                <w:rStyle w:val="IndexLink"/>
              </w:rPr>
              <w:t>787</w:t>
            </w:r>
          </w:hyperlink>
        </w:p>
        <w:p>
          <w:pPr>
            <w:pStyle w:val="Contents4"/>
            <w:tabs>
              <w:tab w:val="clear" w:pos="8176"/>
              <w:tab w:val="right" w:pos="9026" w:leader="dot"/>
            </w:tabs>
            <w:rPr/>
          </w:pPr>
          <w:hyperlink w:anchor="__RefHeading___Toc2019600_1067777946">
            <w:r>
              <w:rPr>
                <w:webHidden/>
                <w:rStyle w:val="IndexLink"/>
                <w:rtl w:val="true"/>
              </w:rPr>
              <w:t>[</w:t>
            </w:r>
            <w:r>
              <w:rPr>
                <w:rStyle w:val="IndexLink"/>
                <w:rtl w:val="true"/>
              </w:rPr>
              <w:t>في الطير</w:t>
            </w:r>
            <w:r>
              <w:rPr>
                <w:rStyle w:val="IndexLink"/>
                <w:rtl w:val="true"/>
              </w:rPr>
              <w:t>]</w:t>
              <w:tab/>
            </w:r>
            <w:r>
              <w:rPr>
                <w:rStyle w:val="IndexLink"/>
              </w:rPr>
              <w:t>788</w:t>
            </w:r>
          </w:hyperlink>
        </w:p>
        <w:p>
          <w:pPr>
            <w:pStyle w:val="Contents4"/>
            <w:tabs>
              <w:tab w:val="clear" w:pos="8176"/>
              <w:tab w:val="right" w:pos="9026" w:leader="dot"/>
            </w:tabs>
            <w:rPr/>
          </w:pPr>
          <w:hyperlink w:anchor="__RefHeading___Toc2019602_1067777946">
            <w:r>
              <w:rPr>
                <w:webHidden/>
                <w:rStyle w:val="IndexLink"/>
                <w:rtl w:val="true"/>
              </w:rPr>
              <w:t>[</w:t>
            </w:r>
            <w:r>
              <w:rPr>
                <w:rStyle w:val="IndexLink"/>
                <w:rtl w:val="true"/>
              </w:rPr>
              <w:t>في الجامد</w:t>
            </w:r>
            <w:r>
              <w:rPr>
                <w:rStyle w:val="IndexLink"/>
                <w:rtl w:val="true"/>
              </w:rPr>
              <w:t>]</w:t>
              <w:tab/>
            </w:r>
            <w:r>
              <w:rPr>
                <w:rStyle w:val="IndexLink"/>
              </w:rPr>
              <w:t>788</w:t>
            </w:r>
          </w:hyperlink>
        </w:p>
        <w:p>
          <w:pPr>
            <w:pStyle w:val="Contents4"/>
            <w:tabs>
              <w:tab w:val="clear" w:pos="8176"/>
              <w:tab w:val="right" w:pos="9026" w:leader="dot"/>
            </w:tabs>
            <w:rPr/>
          </w:pPr>
          <w:hyperlink w:anchor="__RefHeading___Toc2019604_1067777946">
            <w:r>
              <w:rPr>
                <w:webHidden/>
                <w:rStyle w:val="IndexLink"/>
                <w:rtl w:val="true"/>
              </w:rPr>
              <w:t>[</w:t>
            </w:r>
            <w:r>
              <w:rPr>
                <w:rStyle w:val="IndexLink"/>
                <w:rtl w:val="true"/>
              </w:rPr>
              <w:t>في المائعات</w:t>
            </w:r>
            <w:r>
              <w:rPr>
                <w:rStyle w:val="IndexLink"/>
                <w:rtl w:val="true"/>
              </w:rPr>
              <w:t>]</w:t>
              <w:tab/>
            </w:r>
            <w:r>
              <w:rPr>
                <w:rStyle w:val="IndexLink"/>
              </w:rPr>
              <w:t>789</w:t>
            </w:r>
          </w:hyperlink>
        </w:p>
        <w:p>
          <w:pPr>
            <w:pStyle w:val="Contents4"/>
            <w:tabs>
              <w:tab w:val="clear" w:pos="8176"/>
              <w:tab w:val="right" w:pos="9026" w:leader="dot"/>
            </w:tabs>
            <w:rPr/>
          </w:pPr>
          <w:hyperlink w:anchor="__RefHeading___Toc2019606_1067777946">
            <w:r>
              <w:rPr>
                <w:webHidden/>
                <w:rStyle w:val="IndexLink"/>
                <w:rtl w:val="true"/>
              </w:rPr>
              <w:t>[</w:t>
            </w:r>
            <w:r>
              <w:rPr>
                <w:rStyle w:val="IndexLink"/>
                <w:rtl w:val="true"/>
              </w:rPr>
              <w:t>في اللواحق</w:t>
            </w:r>
            <w:r>
              <w:rPr>
                <w:rStyle w:val="IndexLink"/>
                <w:rtl w:val="true"/>
              </w:rPr>
              <w:t>]</w:t>
              <w:tab/>
            </w:r>
            <w:r>
              <w:rPr>
                <w:rStyle w:val="IndexLink"/>
              </w:rPr>
              <w:t>789</w:t>
            </w:r>
          </w:hyperlink>
        </w:p>
        <w:p>
          <w:pPr>
            <w:pStyle w:val="Contents3"/>
            <w:tabs>
              <w:tab w:val="clear" w:pos="8459"/>
              <w:tab w:val="right" w:pos="9026" w:leader="dot"/>
            </w:tabs>
            <w:rPr/>
          </w:pPr>
          <w:hyperlink w:anchor="__RefHeading___Toc2019608_1067777946">
            <w:r>
              <w:rPr>
                <w:webHidden/>
                <w:rStyle w:val="IndexLink"/>
                <w:rtl w:val="true"/>
              </w:rPr>
              <w:t>كتاب الغصب</w:t>
            </w:r>
            <w:r>
              <w:rPr>
                <w:rStyle w:val="IndexLink"/>
                <w:rtl w:val="true"/>
              </w:rPr>
              <w:tab/>
            </w:r>
            <w:r>
              <w:rPr>
                <w:rStyle w:val="IndexLink"/>
              </w:rPr>
              <w:t>791</w:t>
            </w:r>
          </w:hyperlink>
        </w:p>
        <w:p>
          <w:pPr>
            <w:pStyle w:val="Contents4"/>
            <w:tabs>
              <w:tab w:val="clear" w:pos="8176"/>
              <w:tab w:val="right" w:pos="9026" w:leader="dot"/>
            </w:tabs>
            <w:rPr/>
          </w:pPr>
          <w:hyperlink w:anchor="__RefHeading___Toc2019610_1067777946">
            <w:r>
              <w:rPr>
                <w:webHidden/>
                <w:rStyle w:val="IndexLink"/>
                <w:rtl w:val="true"/>
              </w:rPr>
              <w:t>[</w:t>
            </w:r>
            <w:r>
              <w:rPr>
                <w:rStyle w:val="IndexLink"/>
                <w:rtl w:val="true"/>
              </w:rPr>
              <w:t>الغصب</w:t>
            </w:r>
            <w:r>
              <w:rPr>
                <w:rStyle w:val="IndexLink"/>
                <w:rtl w:val="true"/>
              </w:rPr>
              <w:t>]</w:t>
              <w:tab/>
            </w:r>
            <w:r>
              <w:rPr>
                <w:rStyle w:val="IndexLink"/>
              </w:rPr>
              <w:t>791</w:t>
            </w:r>
          </w:hyperlink>
        </w:p>
        <w:p>
          <w:pPr>
            <w:pStyle w:val="Contents4"/>
            <w:tabs>
              <w:tab w:val="clear" w:pos="8176"/>
              <w:tab w:val="right" w:pos="9026" w:leader="dot"/>
            </w:tabs>
            <w:rPr/>
          </w:pPr>
          <w:hyperlink w:anchor="__RefHeading___Toc2019612_1067777946">
            <w:r>
              <w:rPr>
                <w:webHidden/>
                <w:rStyle w:val="IndexLink"/>
                <w:rtl w:val="true"/>
              </w:rPr>
              <w:t>[</w:t>
            </w:r>
            <w:r>
              <w:rPr>
                <w:rStyle w:val="IndexLink"/>
                <w:rtl w:val="true"/>
              </w:rPr>
              <w:t>في الأحكام</w:t>
            </w:r>
            <w:r>
              <w:rPr>
                <w:rStyle w:val="IndexLink"/>
                <w:rtl w:val="true"/>
              </w:rPr>
              <w:t>]</w:t>
              <w:tab/>
            </w:r>
            <w:r>
              <w:rPr>
                <w:rStyle w:val="IndexLink"/>
              </w:rPr>
              <w:t>792</w:t>
            </w:r>
          </w:hyperlink>
        </w:p>
        <w:p>
          <w:pPr>
            <w:pStyle w:val="Contents4"/>
            <w:tabs>
              <w:tab w:val="clear" w:pos="8176"/>
              <w:tab w:val="right" w:pos="9026" w:leader="dot"/>
            </w:tabs>
            <w:rPr/>
          </w:pPr>
          <w:hyperlink w:anchor="__RefHeading___Toc2019614_1067777946">
            <w:r>
              <w:rPr>
                <w:webHidden/>
                <w:rStyle w:val="IndexLink"/>
                <w:rtl w:val="true"/>
              </w:rPr>
              <w:t>[</w:t>
            </w:r>
            <w:r>
              <w:rPr>
                <w:rStyle w:val="IndexLink"/>
                <w:rtl w:val="true"/>
              </w:rPr>
              <w:t>في اللواحق</w:t>
            </w:r>
            <w:r>
              <w:rPr>
                <w:rStyle w:val="IndexLink"/>
                <w:rtl w:val="true"/>
              </w:rPr>
              <w:t>]</w:t>
              <w:tab/>
            </w:r>
            <w:r>
              <w:rPr>
                <w:rStyle w:val="IndexLink"/>
              </w:rPr>
              <w:t>792</w:t>
            </w:r>
          </w:hyperlink>
        </w:p>
        <w:p>
          <w:pPr>
            <w:pStyle w:val="Contents3"/>
            <w:tabs>
              <w:tab w:val="clear" w:pos="8459"/>
              <w:tab w:val="right" w:pos="9026" w:leader="dot"/>
            </w:tabs>
            <w:rPr/>
          </w:pPr>
          <w:hyperlink w:anchor="__RefHeading___Toc2019616_1067777946">
            <w:r>
              <w:rPr>
                <w:webHidden/>
                <w:rStyle w:val="IndexLink"/>
                <w:rtl w:val="true"/>
              </w:rPr>
              <w:t>كتاب الشُفْعَة</w:t>
            </w:r>
            <w:r>
              <w:rPr>
                <w:rStyle w:val="IndexLink"/>
                <w:rtl w:val="true"/>
              </w:rPr>
              <w:tab/>
            </w:r>
            <w:r>
              <w:rPr>
                <w:rStyle w:val="IndexLink"/>
              </w:rPr>
              <w:t>793</w:t>
            </w:r>
          </w:hyperlink>
        </w:p>
        <w:p>
          <w:pPr>
            <w:pStyle w:val="Contents4"/>
            <w:tabs>
              <w:tab w:val="clear" w:pos="8176"/>
              <w:tab w:val="right" w:pos="9026" w:leader="dot"/>
            </w:tabs>
            <w:rPr/>
          </w:pPr>
          <w:hyperlink w:anchor="__RefHeading___Toc2019618_1067777946">
            <w:r>
              <w:rPr>
                <w:webHidden/>
                <w:rStyle w:val="IndexLink"/>
                <w:rtl w:val="true"/>
              </w:rPr>
              <w:t>اشارة</w:t>
            </w:r>
            <w:r>
              <w:rPr>
                <w:rStyle w:val="IndexLink"/>
                <w:rtl w:val="true"/>
              </w:rPr>
              <w:tab/>
            </w:r>
            <w:r>
              <w:rPr>
                <w:rStyle w:val="IndexLink"/>
              </w:rPr>
              <w:t>793</w:t>
            </w:r>
          </w:hyperlink>
        </w:p>
        <w:p>
          <w:pPr>
            <w:pStyle w:val="Contents4"/>
            <w:tabs>
              <w:tab w:val="clear" w:pos="8176"/>
              <w:tab w:val="right" w:pos="9026" w:leader="dot"/>
            </w:tabs>
            <w:rPr/>
          </w:pPr>
          <w:hyperlink w:anchor="__RefHeading___Toc2019620_1067777946">
            <w:r>
              <w:rPr>
                <w:webHidden/>
                <w:rStyle w:val="IndexLink"/>
                <w:rtl w:val="true"/>
              </w:rPr>
              <w:t>[</w:t>
            </w:r>
            <w:r>
              <w:rPr>
                <w:rStyle w:val="IndexLink"/>
                <w:rtl w:val="true"/>
              </w:rPr>
              <w:t>ما تثبت فيه</w:t>
            </w:r>
            <w:r>
              <w:rPr>
                <w:rStyle w:val="IndexLink"/>
                <w:rtl w:val="true"/>
              </w:rPr>
              <w:t>]</w:t>
              <w:tab/>
            </w:r>
            <w:r>
              <w:rPr>
                <w:rStyle w:val="IndexLink"/>
              </w:rPr>
              <w:t>793</w:t>
            </w:r>
          </w:hyperlink>
        </w:p>
        <w:p>
          <w:pPr>
            <w:pStyle w:val="Contents4"/>
            <w:tabs>
              <w:tab w:val="clear" w:pos="8176"/>
              <w:tab w:val="right" w:pos="9026" w:leader="dot"/>
            </w:tabs>
            <w:rPr/>
          </w:pPr>
          <w:hyperlink w:anchor="__RefHeading___Toc2019622_1067777946">
            <w:r>
              <w:rPr>
                <w:webHidden/>
                <w:rStyle w:val="IndexLink"/>
                <w:rtl w:val="true"/>
              </w:rPr>
              <w:t>[</w:t>
            </w:r>
            <w:r>
              <w:rPr>
                <w:rStyle w:val="IndexLink"/>
                <w:rtl w:val="true"/>
              </w:rPr>
              <w:t>في كيفيّة الأخذ</w:t>
            </w:r>
            <w:r>
              <w:rPr>
                <w:rStyle w:val="IndexLink"/>
                <w:rtl w:val="true"/>
              </w:rPr>
              <w:t>]</w:t>
              <w:tab/>
            </w:r>
            <w:r>
              <w:rPr>
                <w:rStyle w:val="IndexLink"/>
              </w:rPr>
              <w:t>794</w:t>
            </w:r>
          </w:hyperlink>
        </w:p>
        <w:p>
          <w:pPr>
            <w:pStyle w:val="Contents3"/>
            <w:tabs>
              <w:tab w:val="clear" w:pos="8459"/>
              <w:tab w:val="right" w:pos="9026" w:leader="dot"/>
            </w:tabs>
            <w:rPr/>
          </w:pPr>
          <w:hyperlink w:anchor="__RefHeading___Toc2019624_1067777946">
            <w:r>
              <w:rPr>
                <w:webHidden/>
                <w:rStyle w:val="IndexLink"/>
                <w:rtl w:val="true"/>
              </w:rPr>
              <w:t>كتاب إحياء الموات</w:t>
            </w:r>
            <w:r>
              <w:rPr>
                <w:rStyle w:val="IndexLink"/>
                <w:rtl w:val="true"/>
              </w:rPr>
              <w:tab/>
            </w:r>
            <w:r>
              <w:rPr>
                <w:rStyle w:val="IndexLink"/>
              </w:rPr>
              <w:t>796</w:t>
            </w:r>
          </w:hyperlink>
        </w:p>
        <w:p>
          <w:pPr>
            <w:pStyle w:val="Contents3"/>
            <w:tabs>
              <w:tab w:val="clear" w:pos="8459"/>
              <w:tab w:val="right" w:pos="9026" w:leader="dot"/>
            </w:tabs>
            <w:rPr/>
          </w:pPr>
          <w:hyperlink w:anchor="__RefHeading___Toc2019626_1067777946">
            <w:r>
              <w:rPr>
                <w:webHidden/>
                <w:rStyle w:val="IndexLink"/>
                <w:rtl w:val="true"/>
              </w:rPr>
              <w:t>كتاب اللُقطة</w:t>
            </w:r>
            <w:r>
              <w:rPr>
                <w:rStyle w:val="IndexLink"/>
                <w:rtl w:val="true"/>
              </w:rPr>
              <w:tab/>
            </w:r>
            <w:r>
              <w:rPr>
                <w:rStyle w:val="IndexLink"/>
              </w:rPr>
              <w:t>798</w:t>
            </w:r>
          </w:hyperlink>
        </w:p>
        <w:p>
          <w:pPr>
            <w:pStyle w:val="Contents4"/>
            <w:tabs>
              <w:tab w:val="clear" w:pos="8176"/>
              <w:tab w:val="right" w:pos="9026" w:leader="dot"/>
            </w:tabs>
            <w:rPr/>
          </w:pPr>
          <w:hyperlink w:anchor="__RefHeading___Toc2019628_1067777946">
            <w:r>
              <w:rPr>
                <w:webHidden/>
                <w:rStyle w:val="IndexLink"/>
                <w:rtl w:val="true"/>
              </w:rPr>
              <w:t>اشارة</w:t>
            </w:r>
            <w:r>
              <w:rPr>
                <w:rStyle w:val="IndexLink"/>
                <w:rtl w:val="true"/>
              </w:rPr>
              <w:tab/>
            </w:r>
            <w:r>
              <w:rPr>
                <w:rStyle w:val="IndexLink"/>
              </w:rPr>
              <w:t>798</w:t>
            </w:r>
          </w:hyperlink>
        </w:p>
        <w:p>
          <w:pPr>
            <w:pStyle w:val="Contents4"/>
            <w:tabs>
              <w:tab w:val="clear" w:pos="8176"/>
              <w:tab w:val="right" w:pos="9026" w:leader="dot"/>
            </w:tabs>
            <w:rPr/>
          </w:pPr>
          <w:hyperlink w:anchor="__RefHeading___Toc2019630_1067777946">
            <w:r>
              <w:rPr>
                <w:webHidden/>
                <w:rStyle w:val="IndexLink"/>
                <w:rtl w:val="true"/>
              </w:rPr>
              <w:t>[</w:t>
            </w:r>
            <w:r>
              <w:rPr>
                <w:rStyle w:val="IndexLink"/>
                <w:rtl w:val="true"/>
              </w:rPr>
              <w:t>في اللقيط</w:t>
            </w:r>
            <w:r>
              <w:rPr>
                <w:rStyle w:val="IndexLink"/>
                <w:rtl w:val="true"/>
              </w:rPr>
              <w:t>]</w:t>
              <w:tab/>
            </w:r>
            <w:r>
              <w:rPr>
                <w:rStyle w:val="IndexLink"/>
              </w:rPr>
              <w:t>798</w:t>
            </w:r>
          </w:hyperlink>
        </w:p>
        <w:p>
          <w:pPr>
            <w:pStyle w:val="Contents4"/>
            <w:tabs>
              <w:tab w:val="clear" w:pos="8176"/>
              <w:tab w:val="right" w:pos="9026" w:leader="dot"/>
            </w:tabs>
            <w:rPr/>
          </w:pPr>
          <w:hyperlink w:anchor="__RefHeading___Toc2019632_1067777946">
            <w:r>
              <w:rPr>
                <w:webHidden/>
                <w:rStyle w:val="IndexLink"/>
                <w:rtl w:val="true"/>
              </w:rPr>
              <w:t>[</w:t>
            </w:r>
            <w:r>
              <w:rPr>
                <w:rStyle w:val="IndexLink"/>
                <w:rtl w:val="true"/>
              </w:rPr>
              <w:t>في الضوال</w:t>
            </w:r>
            <w:r>
              <w:rPr>
                <w:rStyle w:val="IndexLink"/>
                <w:rtl w:val="true"/>
              </w:rPr>
              <w:t>]</w:t>
              <w:tab/>
            </w:r>
            <w:r>
              <w:rPr>
                <w:rStyle w:val="IndexLink"/>
              </w:rPr>
              <w:t>799</w:t>
            </w:r>
          </w:hyperlink>
        </w:p>
        <w:p>
          <w:pPr>
            <w:pStyle w:val="Contents4"/>
            <w:tabs>
              <w:tab w:val="clear" w:pos="8176"/>
              <w:tab w:val="right" w:pos="9026" w:leader="dot"/>
            </w:tabs>
            <w:rPr/>
          </w:pPr>
          <w:hyperlink w:anchor="__RefHeading___Toc2019634_1067777946">
            <w:r>
              <w:rPr>
                <w:webHidden/>
                <w:rStyle w:val="IndexLink"/>
                <w:rtl w:val="true"/>
              </w:rPr>
              <w:t>[</w:t>
            </w:r>
            <w:r>
              <w:rPr>
                <w:rStyle w:val="IndexLink"/>
                <w:rtl w:val="true"/>
              </w:rPr>
              <w:t>اللقطة</w:t>
            </w:r>
            <w:r>
              <w:rPr>
                <w:rStyle w:val="IndexLink"/>
                <w:rtl w:val="true"/>
              </w:rPr>
              <w:t>]</w:t>
              <w:tab/>
            </w:r>
            <w:r>
              <w:rPr>
                <w:rStyle w:val="IndexLink"/>
              </w:rPr>
              <w:t>799</w:t>
            </w:r>
          </w:hyperlink>
        </w:p>
        <w:p>
          <w:pPr>
            <w:pStyle w:val="Contents4"/>
            <w:tabs>
              <w:tab w:val="clear" w:pos="8176"/>
              <w:tab w:val="right" w:pos="9026" w:leader="dot"/>
            </w:tabs>
            <w:rPr/>
          </w:pPr>
          <w:hyperlink w:anchor="__RefHeading___Toc2019636_1067777946">
            <w:r>
              <w:rPr>
                <w:webHidden/>
                <w:rStyle w:val="IndexLink"/>
                <w:rtl w:val="true"/>
              </w:rPr>
              <w:t>[</w:t>
            </w:r>
            <w:r>
              <w:rPr>
                <w:rStyle w:val="IndexLink"/>
                <w:rtl w:val="true"/>
              </w:rPr>
              <w:t>في الأحكام</w:t>
            </w:r>
            <w:r>
              <w:rPr>
                <w:rStyle w:val="IndexLink"/>
                <w:rtl w:val="true"/>
              </w:rPr>
              <w:t>]</w:t>
              <w:tab/>
            </w:r>
            <w:r>
              <w:rPr>
                <w:rStyle w:val="IndexLink"/>
              </w:rPr>
              <w:t>800</w:t>
            </w:r>
          </w:hyperlink>
        </w:p>
        <w:p>
          <w:pPr>
            <w:pStyle w:val="Contents3"/>
            <w:tabs>
              <w:tab w:val="clear" w:pos="8459"/>
              <w:tab w:val="right" w:pos="9026" w:leader="dot"/>
            </w:tabs>
            <w:rPr/>
          </w:pPr>
          <w:hyperlink w:anchor="__RefHeading___Toc2019638_1067777946">
            <w:r>
              <w:rPr>
                <w:webHidden/>
                <w:rStyle w:val="IndexLink"/>
                <w:rtl w:val="true"/>
              </w:rPr>
              <w:t>كتاب المواريث</w:t>
            </w:r>
            <w:r>
              <w:rPr>
                <w:rStyle w:val="IndexLink"/>
                <w:rtl w:val="true"/>
              </w:rPr>
              <w:tab/>
            </w:r>
            <w:r>
              <w:rPr>
                <w:rStyle w:val="IndexLink"/>
              </w:rPr>
              <w:t>802</w:t>
            </w:r>
          </w:hyperlink>
        </w:p>
        <w:p>
          <w:pPr>
            <w:pStyle w:val="Contents4"/>
            <w:tabs>
              <w:tab w:val="clear" w:pos="8176"/>
              <w:tab w:val="right" w:pos="9026" w:leader="dot"/>
            </w:tabs>
            <w:rPr/>
          </w:pPr>
          <w:hyperlink w:anchor="__RefHeading___Toc2019640_1067777946">
            <w:r>
              <w:rPr>
                <w:webHidden/>
                <w:rStyle w:val="IndexLink"/>
                <w:rtl w:val="true"/>
              </w:rPr>
              <w:t>[</w:t>
            </w:r>
            <w:r>
              <w:rPr>
                <w:rStyle w:val="IndexLink"/>
                <w:rtl w:val="true"/>
              </w:rPr>
              <w:t>موجبات الإرث</w:t>
            </w:r>
            <w:r>
              <w:rPr>
                <w:rStyle w:val="IndexLink"/>
                <w:rtl w:val="true"/>
              </w:rPr>
              <w:t>]</w:t>
              <w:tab/>
            </w:r>
            <w:r>
              <w:rPr>
                <w:rStyle w:val="IndexLink"/>
              </w:rPr>
              <w:t>802</w:t>
            </w:r>
          </w:hyperlink>
        </w:p>
        <w:p>
          <w:pPr>
            <w:pStyle w:val="Contents4"/>
            <w:tabs>
              <w:tab w:val="clear" w:pos="8176"/>
              <w:tab w:val="right" w:pos="9026" w:leader="dot"/>
            </w:tabs>
            <w:rPr/>
          </w:pPr>
          <w:hyperlink w:anchor="__RefHeading___Toc2019642_1067777946">
            <w:r>
              <w:rPr>
                <w:webHidden/>
                <w:rStyle w:val="IndexLink"/>
                <w:rtl w:val="true"/>
              </w:rPr>
              <w:t>[</w:t>
            </w:r>
            <w:r>
              <w:rPr>
                <w:rStyle w:val="IndexLink"/>
                <w:rtl w:val="true"/>
              </w:rPr>
              <w:t>موانع الإرث</w:t>
            </w:r>
            <w:r>
              <w:rPr>
                <w:rStyle w:val="IndexLink"/>
                <w:rtl w:val="true"/>
              </w:rPr>
              <w:t>]</w:t>
              <w:tab/>
            </w:r>
            <w:r>
              <w:rPr>
                <w:rStyle w:val="IndexLink"/>
              </w:rPr>
              <w:t>802</w:t>
            </w:r>
          </w:hyperlink>
        </w:p>
        <w:p>
          <w:pPr>
            <w:pStyle w:val="Contents4"/>
            <w:tabs>
              <w:tab w:val="clear" w:pos="8176"/>
              <w:tab w:val="right" w:pos="9026" w:leader="dot"/>
            </w:tabs>
            <w:rPr/>
          </w:pPr>
          <w:hyperlink w:anchor="__RefHeading___Toc2019644_1067777946">
            <w:r>
              <w:rPr>
                <w:webHidden/>
                <w:rStyle w:val="IndexLink"/>
                <w:rtl w:val="true"/>
              </w:rPr>
              <w:t>[</w:t>
            </w:r>
            <w:r>
              <w:rPr>
                <w:rStyle w:val="IndexLink"/>
                <w:rtl w:val="true"/>
              </w:rPr>
              <w:t>السهام</w:t>
            </w:r>
            <w:r>
              <w:rPr>
                <w:rStyle w:val="IndexLink"/>
                <w:rtl w:val="true"/>
              </w:rPr>
              <w:t>]</w:t>
              <w:tab/>
            </w:r>
            <w:r>
              <w:rPr>
                <w:rStyle w:val="IndexLink"/>
              </w:rPr>
              <w:t>803</w:t>
            </w:r>
          </w:hyperlink>
        </w:p>
        <w:p>
          <w:pPr>
            <w:pStyle w:val="Contents4"/>
            <w:tabs>
              <w:tab w:val="clear" w:pos="8176"/>
              <w:tab w:val="right" w:pos="9026" w:leader="dot"/>
            </w:tabs>
            <w:rPr/>
          </w:pPr>
          <w:hyperlink w:anchor="__RefHeading___Toc2019646_1067777946">
            <w:r>
              <w:rPr>
                <w:webHidden/>
                <w:rStyle w:val="IndexLink"/>
                <w:rtl w:val="true"/>
              </w:rPr>
              <w:t>[</w:t>
            </w:r>
            <w:r>
              <w:rPr>
                <w:rStyle w:val="IndexLink"/>
                <w:rtl w:val="true"/>
              </w:rPr>
              <w:t>في الأنساب</w:t>
            </w:r>
            <w:r>
              <w:rPr>
                <w:rStyle w:val="IndexLink"/>
                <w:rtl w:val="true"/>
              </w:rPr>
              <w:t>]</w:t>
              <w:tab/>
            </w:r>
            <w:r>
              <w:rPr>
                <w:rStyle w:val="IndexLink"/>
              </w:rPr>
              <w:t>805</w:t>
            </w:r>
          </w:hyperlink>
        </w:p>
        <w:p>
          <w:pPr>
            <w:pStyle w:val="Contents4"/>
            <w:tabs>
              <w:tab w:val="clear" w:pos="8176"/>
              <w:tab w:val="right" w:pos="9026" w:leader="dot"/>
            </w:tabs>
            <w:rPr/>
          </w:pPr>
          <w:hyperlink w:anchor="__RefHeading___Toc2019648_1067777946">
            <w:r>
              <w:rPr>
                <w:webHidden/>
                <w:rStyle w:val="IndexLink"/>
                <w:rtl w:val="true"/>
              </w:rPr>
              <w:t>[</w:t>
            </w:r>
            <w:r>
              <w:rPr>
                <w:rStyle w:val="IndexLink"/>
                <w:rtl w:val="true"/>
              </w:rPr>
              <w:t>ميراث الأزواج</w:t>
            </w:r>
            <w:r>
              <w:rPr>
                <w:rStyle w:val="IndexLink"/>
                <w:rtl w:val="true"/>
              </w:rPr>
              <w:t>]</w:t>
              <w:tab/>
            </w:r>
            <w:r>
              <w:rPr>
                <w:rStyle w:val="IndexLink"/>
              </w:rPr>
              <w:t>808</w:t>
            </w:r>
          </w:hyperlink>
        </w:p>
        <w:p>
          <w:pPr>
            <w:pStyle w:val="Contents4"/>
            <w:tabs>
              <w:tab w:val="clear" w:pos="8176"/>
              <w:tab w:val="right" w:pos="9026" w:leader="dot"/>
            </w:tabs>
            <w:rPr/>
          </w:pPr>
          <w:hyperlink w:anchor="__RefHeading___Toc2019650_1067777946">
            <w:r>
              <w:rPr>
                <w:webHidden/>
                <w:rStyle w:val="IndexLink"/>
                <w:rtl w:val="true"/>
              </w:rPr>
              <w:t>[</w:t>
            </w:r>
            <w:r>
              <w:rPr>
                <w:rStyle w:val="IndexLink"/>
                <w:rtl w:val="true"/>
              </w:rPr>
              <w:t>في الوَلاء</w:t>
            </w:r>
            <w:r>
              <w:rPr>
                <w:rStyle w:val="IndexLink"/>
                <w:rtl w:val="true"/>
              </w:rPr>
              <w:t>]</w:t>
              <w:tab/>
            </w:r>
            <w:r>
              <w:rPr>
                <w:rStyle w:val="IndexLink"/>
              </w:rPr>
              <w:t>809</w:t>
            </w:r>
          </w:hyperlink>
        </w:p>
        <w:p>
          <w:pPr>
            <w:pStyle w:val="Contents4"/>
            <w:tabs>
              <w:tab w:val="clear" w:pos="8176"/>
              <w:tab w:val="right" w:pos="9026" w:leader="dot"/>
            </w:tabs>
            <w:rPr/>
          </w:pPr>
          <w:hyperlink w:anchor="__RefHeading___Toc2019652_1067777946">
            <w:r>
              <w:rPr>
                <w:webHidden/>
                <w:rStyle w:val="IndexLink"/>
                <w:rtl w:val="true"/>
              </w:rPr>
              <w:t>[</w:t>
            </w:r>
            <w:r>
              <w:rPr>
                <w:rStyle w:val="IndexLink"/>
                <w:rtl w:val="true"/>
              </w:rPr>
              <w:t>ميراث ابن الملاعنة</w:t>
            </w:r>
            <w:r>
              <w:rPr>
                <w:rStyle w:val="IndexLink"/>
                <w:rtl w:val="true"/>
              </w:rPr>
              <w:t>]</w:t>
              <w:tab/>
            </w:r>
            <w:r>
              <w:rPr>
                <w:rStyle w:val="IndexLink"/>
              </w:rPr>
              <w:t>809</w:t>
            </w:r>
          </w:hyperlink>
        </w:p>
        <w:p>
          <w:pPr>
            <w:pStyle w:val="Contents4"/>
            <w:tabs>
              <w:tab w:val="clear" w:pos="8176"/>
              <w:tab w:val="right" w:pos="9026" w:leader="dot"/>
            </w:tabs>
            <w:rPr/>
          </w:pPr>
          <w:hyperlink w:anchor="__RefHeading___Toc2019654_1067777946">
            <w:r>
              <w:rPr>
                <w:webHidden/>
                <w:rStyle w:val="IndexLink"/>
                <w:rtl w:val="true"/>
              </w:rPr>
              <w:t>[</w:t>
            </w:r>
            <w:r>
              <w:rPr>
                <w:rStyle w:val="IndexLink"/>
                <w:rtl w:val="true"/>
              </w:rPr>
              <w:t>ميراث الخنثى</w:t>
            </w:r>
            <w:r>
              <w:rPr>
                <w:rStyle w:val="IndexLink"/>
                <w:rtl w:val="true"/>
              </w:rPr>
              <w:t>]</w:t>
              <w:tab/>
            </w:r>
            <w:r>
              <w:rPr>
                <w:rStyle w:val="IndexLink"/>
              </w:rPr>
              <w:t>810</w:t>
            </w:r>
          </w:hyperlink>
        </w:p>
        <w:p>
          <w:pPr>
            <w:pStyle w:val="Contents4"/>
            <w:tabs>
              <w:tab w:val="clear" w:pos="8176"/>
              <w:tab w:val="right" w:pos="9026" w:leader="dot"/>
            </w:tabs>
            <w:rPr/>
          </w:pPr>
          <w:hyperlink w:anchor="__RefHeading___Toc2019656_1067777946">
            <w:r>
              <w:rPr>
                <w:webHidden/>
                <w:rStyle w:val="IndexLink"/>
                <w:rtl w:val="true"/>
              </w:rPr>
              <w:t>[</w:t>
            </w:r>
            <w:r>
              <w:rPr>
                <w:rStyle w:val="IndexLink"/>
                <w:rtl w:val="true"/>
              </w:rPr>
              <w:t>في ميراث الغرقى والمهدوم عليهم</w:t>
            </w:r>
            <w:r>
              <w:rPr>
                <w:rStyle w:val="IndexLink"/>
                <w:rtl w:val="true"/>
              </w:rPr>
              <w:t>]</w:t>
              <w:tab/>
            </w:r>
            <w:r>
              <w:rPr>
                <w:rStyle w:val="IndexLink"/>
              </w:rPr>
              <w:t>812</w:t>
            </w:r>
          </w:hyperlink>
        </w:p>
        <w:p>
          <w:pPr>
            <w:pStyle w:val="Contents4"/>
            <w:tabs>
              <w:tab w:val="clear" w:pos="8176"/>
              <w:tab w:val="right" w:pos="9026" w:leader="dot"/>
            </w:tabs>
            <w:rPr/>
          </w:pPr>
          <w:hyperlink w:anchor="__RefHeading___Toc2019658_1067777946">
            <w:r>
              <w:rPr>
                <w:webHidden/>
                <w:rStyle w:val="IndexLink"/>
                <w:rtl w:val="true"/>
              </w:rPr>
              <w:t>[</w:t>
            </w:r>
            <w:r>
              <w:rPr>
                <w:rStyle w:val="IndexLink"/>
                <w:rtl w:val="true"/>
              </w:rPr>
              <w:t>في ميراث المجوس</w:t>
            </w:r>
            <w:r>
              <w:rPr>
                <w:rStyle w:val="IndexLink"/>
                <w:rtl w:val="true"/>
              </w:rPr>
              <w:t>]</w:t>
              <w:tab/>
            </w:r>
            <w:r>
              <w:rPr>
                <w:rStyle w:val="IndexLink"/>
              </w:rPr>
              <w:t>812</w:t>
            </w:r>
          </w:hyperlink>
        </w:p>
        <w:p>
          <w:pPr>
            <w:pStyle w:val="Contents4"/>
            <w:tabs>
              <w:tab w:val="clear" w:pos="8176"/>
              <w:tab w:val="right" w:pos="9026" w:leader="dot"/>
            </w:tabs>
            <w:rPr/>
          </w:pPr>
          <w:hyperlink w:anchor="__RefHeading___Toc2019660_1067777946">
            <w:r>
              <w:rPr>
                <w:webHidden/>
                <w:rStyle w:val="IndexLink"/>
                <w:rtl w:val="true"/>
              </w:rPr>
              <w:t>[</w:t>
            </w:r>
            <w:r>
              <w:rPr>
                <w:rStyle w:val="IndexLink"/>
                <w:rtl w:val="true"/>
              </w:rPr>
              <w:t>في حساب الفرائض</w:t>
            </w:r>
            <w:r>
              <w:rPr>
                <w:rStyle w:val="IndexLink"/>
                <w:rtl w:val="true"/>
              </w:rPr>
              <w:t>]</w:t>
              <w:tab/>
            </w:r>
            <w:r>
              <w:rPr>
                <w:rStyle w:val="IndexLink"/>
              </w:rPr>
              <w:t>812</w:t>
            </w:r>
          </w:hyperlink>
        </w:p>
        <w:p>
          <w:pPr>
            <w:pStyle w:val="Contents4"/>
            <w:tabs>
              <w:tab w:val="clear" w:pos="8176"/>
              <w:tab w:val="right" w:pos="9026" w:leader="dot"/>
            </w:tabs>
            <w:rPr/>
          </w:pPr>
          <w:hyperlink w:anchor="__RefHeading___Toc2019662_1067777946">
            <w:r>
              <w:rPr>
                <w:webHidden/>
                <w:rStyle w:val="IndexLink"/>
                <w:rtl w:val="true"/>
              </w:rPr>
              <w:t>[</w:t>
            </w:r>
            <w:r>
              <w:rPr>
                <w:rStyle w:val="IndexLink"/>
                <w:rtl w:val="true"/>
              </w:rPr>
              <w:t>في المناسخات</w:t>
            </w:r>
            <w:r>
              <w:rPr>
                <w:rStyle w:val="IndexLink"/>
                <w:rtl w:val="true"/>
              </w:rPr>
              <w:t>]</w:t>
              <w:tab/>
            </w:r>
            <w:r>
              <w:rPr>
                <w:rStyle w:val="IndexLink"/>
              </w:rPr>
              <w:t>813</w:t>
            </w:r>
          </w:hyperlink>
        </w:p>
        <w:p>
          <w:pPr>
            <w:pStyle w:val="Contents3"/>
            <w:tabs>
              <w:tab w:val="clear" w:pos="8459"/>
              <w:tab w:val="right" w:pos="9026" w:leader="dot"/>
            </w:tabs>
            <w:rPr/>
          </w:pPr>
          <w:hyperlink w:anchor="__RefHeading___Toc2019664_1067777946">
            <w:r>
              <w:rPr>
                <w:webHidden/>
                <w:rStyle w:val="IndexLink"/>
                <w:rtl w:val="true"/>
              </w:rPr>
              <w:t>كتاب القضاء</w:t>
            </w:r>
            <w:r>
              <w:rPr>
                <w:rStyle w:val="IndexLink"/>
                <w:rtl w:val="true"/>
              </w:rPr>
              <w:tab/>
            </w:r>
            <w:r>
              <w:rPr>
                <w:rStyle w:val="IndexLink"/>
              </w:rPr>
              <w:t>814</w:t>
            </w:r>
          </w:hyperlink>
        </w:p>
        <w:p>
          <w:pPr>
            <w:pStyle w:val="Contents4"/>
            <w:tabs>
              <w:tab w:val="clear" w:pos="8176"/>
              <w:tab w:val="right" w:pos="9026" w:leader="dot"/>
            </w:tabs>
            <w:rPr/>
          </w:pPr>
          <w:hyperlink w:anchor="__RefHeading___Toc2019666_1067777946">
            <w:r>
              <w:rPr>
                <w:webHidden/>
                <w:rStyle w:val="IndexLink"/>
                <w:rtl w:val="true"/>
              </w:rPr>
              <w:t>[</w:t>
            </w:r>
            <w:r>
              <w:rPr>
                <w:rStyle w:val="IndexLink"/>
                <w:rtl w:val="true"/>
              </w:rPr>
              <w:t>صفات القاضي</w:t>
            </w:r>
            <w:r>
              <w:rPr>
                <w:rStyle w:val="IndexLink"/>
                <w:rtl w:val="true"/>
              </w:rPr>
              <w:t>]</w:t>
              <w:tab/>
            </w:r>
            <w:r>
              <w:rPr>
                <w:rStyle w:val="IndexLink"/>
              </w:rPr>
              <w:t>814</w:t>
            </w:r>
          </w:hyperlink>
        </w:p>
        <w:p>
          <w:pPr>
            <w:pStyle w:val="Contents4"/>
            <w:tabs>
              <w:tab w:val="clear" w:pos="8176"/>
              <w:tab w:val="right" w:pos="9026" w:leader="dot"/>
            </w:tabs>
            <w:rPr/>
          </w:pPr>
          <w:hyperlink w:anchor="__RefHeading___Toc2019668_1067777946">
            <w:r>
              <w:rPr>
                <w:webHidden/>
                <w:rStyle w:val="IndexLink"/>
                <w:rtl w:val="true"/>
              </w:rPr>
              <w:t>[</w:t>
            </w:r>
            <w:r>
              <w:rPr>
                <w:rStyle w:val="IndexLink"/>
                <w:rtl w:val="true"/>
              </w:rPr>
              <w:t>في آداب القضاء</w:t>
            </w:r>
            <w:r>
              <w:rPr>
                <w:rStyle w:val="IndexLink"/>
                <w:rtl w:val="true"/>
              </w:rPr>
              <w:t>]</w:t>
              <w:tab/>
            </w:r>
            <w:r>
              <w:rPr>
                <w:rStyle w:val="IndexLink"/>
              </w:rPr>
              <w:t>814</w:t>
            </w:r>
          </w:hyperlink>
        </w:p>
        <w:p>
          <w:pPr>
            <w:pStyle w:val="Contents4"/>
            <w:tabs>
              <w:tab w:val="clear" w:pos="8176"/>
              <w:tab w:val="right" w:pos="9026" w:leader="dot"/>
            </w:tabs>
            <w:rPr/>
          </w:pPr>
          <w:hyperlink w:anchor="__RefHeading___Toc2019670_1067777946">
            <w:r>
              <w:rPr>
                <w:webHidden/>
                <w:rStyle w:val="IndexLink"/>
                <w:rtl w:val="true"/>
              </w:rPr>
              <w:t>[</w:t>
            </w:r>
            <w:r>
              <w:rPr>
                <w:rStyle w:val="IndexLink"/>
                <w:rtl w:val="true"/>
              </w:rPr>
              <w:t>في وظائف الحاكم</w:t>
            </w:r>
            <w:r>
              <w:rPr>
                <w:rStyle w:val="IndexLink"/>
                <w:rtl w:val="true"/>
              </w:rPr>
              <w:t>]</w:t>
              <w:tab/>
            </w:r>
            <w:r>
              <w:rPr>
                <w:rStyle w:val="IndexLink"/>
              </w:rPr>
              <w:t>815</w:t>
            </w:r>
          </w:hyperlink>
        </w:p>
        <w:p>
          <w:pPr>
            <w:pStyle w:val="Contents4"/>
            <w:tabs>
              <w:tab w:val="clear" w:pos="8176"/>
              <w:tab w:val="right" w:pos="9026" w:leader="dot"/>
            </w:tabs>
            <w:rPr/>
          </w:pPr>
          <w:hyperlink w:anchor="__RefHeading___Toc2019672_1067777946">
            <w:r>
              <w:rPr>
                <w:webHidden/>
                <w:rStyle w:val="IndexLink"/>
                <w:rtl w:val="true"/>
              </w:rPr>
              <w:t>[</w:t>
            </w:r>
            <w:r>
              <w:rPr>
                <w:rStyle w:val="IndexLink"/>
                <w:rtl w:val="true"/>
              </w:rPr>
              <w:t>في جواب المدّعى عليه</w:t>
            </w:r>
            <w:r>
              <w:rPr>
                <w:rStyle w:val="IndexLink"/>
                <w:rtl w:val="true"/>
              </w:rPr>
              <w:t>]</w:t>
              <w:tab/>
            </w:r>
            <w:r>
              <w:rPr>
                <w:rStyle w:val="IndexLink"/>
              </w:rPr>
              <w:t>815</w:t>
            </w:r>
          </w:hyperlink>
        </w:p>
        <w:p>
          <w:pPr>
            <w:pStyle w:val="Contents4"/>
            <w:tabs>
              <w:tab w:val="clear" w:pos="8176"/>
              <w:tab w:val="right" w:pos="9026" w:leader="dot"/>
            </w:tabs>
            <w:rPr/>
          </w:pPr>
          <w:hyperlink w:anchor="__RefHeading___Toc2019674_1067777946">
            <w:r>
              <w:rPr>
                <w:webHidden/>
                <w:rStyle w:val="IndexLink"/>
                <w:rtl w:val="true"/>
              </w:rPr>
              <w:t>[</w:t>
            </w:r>
            <w:r>
              <w:rPr>
                <w:rStyle w:val="IndexLink"/>
                <w:rtl w:val="true"/>
              </w:rPr>
              <w:t>كيفيّة الاستحلاف</w:t>
            </w:r>
            <w:r>
              <w:rPr>
                <w:rStyle w:val="IndexLink"/>
                <w:rtl w:val="true"/>
              </w:rPr>
              <w:t>]</w:t>
              <w:tab/>
            </w:r>
            <w:r>
              <w:rPr>
                <w:rStyle w:val="IndexLink"/>
              </w:rPr>
              <w:t>816</w:t>
            </w:r>
          </w:hyperlink>
        </w:p>
        <w:p>
          <w:pPr>
            <w:pStyle w:val="Contents4"/>
            <w:tabs>
              <w:tab w:val="clear" w:pos="8176"/>
              <w:tab w:val="right" w:pos="9026" w:leader="dot"/>
            </w:tabs>
            <w:rPr/>
          </w:pPr>
          <w:hyperlink w:anchor="__RefHeading___Toc2019676_1067777946">
            <w:r>
              <w:rPr>
                <w:webHidden/>
                <w:rStyle w:val="IndexLink"/>
                <w:rtl w:val="true"/>
              </w:rPr>
              <w:t>[</w:t>
            </w:r>
            <w:r>
              <w:rPr>
                <w:rStyle w:val="IndexLink"/>
                <w:rtl w:val="true"/>
              </w:rPr>
              <w:t>المدّعي</w:t>
            </w:r>
            <w:r>
              <w:rPr>
                <w:rStyle w:val="IndexLink"/>
                <w:rtl w:val="true"/>
              </w:rPr>
              <w:t>]</w:t>
              <w:tab/>
            </w:r>
            <w:r>
              <w:rPr>
                <w:rStyle w:val="IndexLink"/>
              </w:rPr>
              <w:t>818</w:t>
            </w:r>
          </w:hyperlink>
        </w:p>
        <w:p>
          <w:pPr>
            <w:pStyle w:val="Contents4"/>
            <w:tabs>
              <w:tab w:val="clear" w:pos="8176"/>
              <w:tab w:val="right" w:pos="9026" w:leader="dot"/>
            </w:tabs>
            <w:rPr/>
          </w:pPr>
          <w:hyperlink w:anchor="__RefHeading___Toc2019678_1067777946">
            <w:r>
              <w:rPr>
                <w:webHidden/>
                <w:rStyle w:val="IndexLink"/>
                <w:rtl w:val="true"/>
              </w:rPr>
              <w:t>[</w:t>
            </w:r>
            <w:r>
              <w:rPr>
                <w:rStyle w:val="IndexLink"/>
                <w:rtl w:val="true"/>
              </w:rPr>
              <w:t>الاختلاف في الدعوى</w:t>
            </w:r>
            <w:r>
              <w:rPr>
                <w:rStyle w:val="IndexLink"/>
                <w:rtl w:val="true"/>
              </w:rPr>
              <w:t>]</w:t>
              <w:tab/>
            </w:r>
            <w:r>
              <w:rPr>
                <w:rStyle w:val="IndexLink"/>
              </w:rPr>
              <w:t>819</w:t>
            </w:r>
          </w:hyperlink>
        </w:p>
        <w:p>
          <w:pPr>
            <w:pStyle w:val="Contents4"/>
            <w:tabs>
              <w:tab w:val="clear" w:pos="8176"/>
              <w:tab w:val="right" w:pos="9026" w:leader="dot"/>
            </w:tabs>
            <w:rPr/>
          </w:pPr>
          <w:hyperlink w:anchor="__RefHeading___Toc2019680_1067777946">
            <w:r>
              <w:rPr>
                <w:webHidden/>
                <w:rStyle w:val="IndexLink"/>
                <w:rtl w:val="true"/>
              </w:rPr>
              <w:t>[</w:t>
            </w:r>
            <w:r>
              <w:rPr>
                <w:rStyle w:val="IndexLink"/>
                <w:rtl w:val="true"/>
              </w:rPr>
              <w:t>تعارض البيّنات</w:t>
            </w:r>
            <w:r>
              <w:rPr>
                <w:rStyle w:val="IndexLink"/>
                <w:rtl w:val="true"/>
              </w:rPr>
              <w:t>]</w:t>
              <w:tab/>
            </w:r>
            <w:r>
              <w:rPr>
                <w:rStyle w:val="IndexLink"/>
              </w:rPr>
              <w:t>820</w:t>
            </w:r>
          </w:hyperlink>
        </w:p>
        <w:p>
          <w:pPr>
            <w:pStyle w:val="Contents3"/>
            <w:tabs>
              <w:tab w:val="clear" w:pos="8459"/>
              <w:tab w:val="right" w:pos="9026" w:leader="dot"/>
            </w:tabs>
            <w:rPr/>
          </w:pPr>
          <w:hyperlink w:anchor="__RefHeading___Toc2019682_1067777946">
            <w:r>
              <w:rPr>
                <w:webHidden/>
                <w:rStyle w:val="IndexLink"/>
                <w:rtl w:val="true"/>
              </w:rPr>
              <w:t>كتاب الشهادات</w:t>
            </w:r>
            <w:r>
              <w:rPr>
                <w:rStyle w:val="IndexLink"/>
                <w:rtl w:val="true"/>
              </w:rPr>
              <w:tab/>
            </w:r>
            <w:r>
              <w:rPr>
                <w:rStyle w:val="IndexLink"/>
              </w:rPr>
              <w:t>821</w:t>
            </w:r>
          </w:hyperlink>
        </w:p>
        <w:p>
          <w:pPr>
            <w:pStyle w:val="Contents4"/>
            <w:tabs>
              <w:tab w:val="clear" w:pos="8176"/>
              <w:tab w:val="right" w:pos="9026" w:leader="dot"/>
            </w:tabs>
            <w:rPr/>
          </w:pPr>
          <w:hyperlink w:anchor="__RefHeading___Toc2019684_1067777946">
            <w:r>
              <w:rPr>
                <w:webHidden/>
                <w:rStyle w:val="IndexLink"/>
                <w:rtl w:val="true"/>
              </w:rPr>
              <w:t>[</w:t>
            </w:r>
            <w:r>
              <w:rPr>
                <w:rStyle w:val="IndexLink"/>
                <w:rtl w:val="true"/>
              </w:rPr>
              <w:t>صفات الشاهد</w:t>
            </w:r>
            <w:r>
              <w:rPr>
                <w:rStyle w:val="IndexLink"/>
                <w:rtl w:val="true"/>
              </w:rPr>
              <w:t>]</w:t>
              <w:tab/>
            </w:r>
            <w:r>
              <w:rPr>
                <w:rStyle w:val="IndexLink"/>
              </w:rPr>
              <w:t>821</w:t>
            </w:r>
          </w:hyperlink>
        </w:p>
        <w:p>
          <w:pPr>
            <w:pStyle w:val="Contents4"/>
            <w:tabs>
              <w:tab w:val="clear" w:pos="8176"/>
              <w:tab w:val="right" w:pos="9026" w:leader="dot"/>
            </w:tabs>
            <w:rPr/>
          </w:pPr>
          <w:hyperlink w:anchor="__RefHeading___Toc2019686_1067777946">
            <w:r>
              <w:rPr>
                <w:webHidden/>
                <w:rStyle w:val="IndexLink"/>
                <w:rtl w:val="true"/>
              </w:rPr>
              <w:t>[</w:t>
            </w:r>
            <w:r>
              <w:rPr>
                <w:rStyle w:val="IndexLink"/>
                <w:rtl w:val="true"/>
              </w:rPr>
              <w:t>فيما يصير به شاهداً</w:t>
            </w:r>
            <w:r>
              <w:rPr>
                <w:rStyle w:val="IndexLink"/>
                <w:rtl w:val="true"/>
              </w:rPr>
              <w:t>]</w:t>
              <w:tab/>
            </w:r>
            <w:r>
              <w:rPr>
                <w:rStyle w:val="IndexLink"/>
              </w:rPr>
              <w:t>823</w:t>
            </w:r>
          </w:hyperlink>
        </w:p>
        <w:p>
          <w:pPr>
            <w:pStyle w:val="Contents4"/>
            <w:tabs>
              <w:tab w:val="clear" w:pos="8176"/>
              <w:tab w:val="right" w:pos="9026" w:leader="dot"/>
            </w:tabs>
            <w:rPr/>
          </w:pPr>
          <w:hyperlink w:anchor="__RefHeading___Toc2019688_1067777946">
            <w:r>
              <w:rPr>
                <w:webHidden/>
                <w:rStyle w:val="IndexLink"/>
                <w:rtl w:val="true"/>
              </w:rPr>
              <w:t>[</w:t>
            </w:r>
            <w:r>
              <w:rPr>
                <w:rStyle w:val="IndexLink"/>
                <w:rtl w:val="true"/>
              </w:rPr>
              <w:t>في الشهادة على الشهادة</w:t>
            </w:r>
            <w:r>
              <w:rPr>
                <w:rStyle w:val="IndexLink"/>
                <w:rtl w:val="true"/>
              </w:rPr>
              <w:t>]</w:t>
              <w:tab/>
            </w:r>
            <w:r>
              <w:rPr>
                <w:rStyle w:val="IndexLink"/>
              </w:rPr>
              <w:t>824</w:t>
            </w:r>
          </w:hyperlink>
        </w:p>
        <w:p>
          <w:pPr>
            <w:pStyle w:val="Contents4"/>
            <w:tabs>
              <w:tab w:val="clear" w:pos="8176"/>
              <w:tab w:val="right" w:pos="9026" w:leader="dot"/>
            </w:tabs>
            <w:rPr/>
          </w:pPr>
          <w:hyperlink w:anchor="__RefHeading___Toc2019690_1067777946">
            <w:r>
              <w:rPr>
                <w:webHidden/>
                <w:rStyle w:val="IndexLink"/>
                <w:rtl w:val="true"/>
              </w:rPr>
              <w:t>[</w:t>
            </w:r>
            <w:r>
              <w:rPr>
                <w:rStyle w:val="IndexLink"/>
                <w:rtl w:val="true"/>
              </w:rPr>
              <w:t>في اللواحق</w:t>
            </w:r>
            <w:r>
              <w:rPr>
                <w:rStyle w:val="IndexLink"/>
                <w:rtl w:val="true"/>
              </w:rPr>
              <w:t>]</w:t>
              <w:tab/>
            </w:r>
            <w:r>
              <w:rPr>
                <w:rStyle w:val="IndexLink"/>
              </w:rPr>
              <w:t>824</w:t>
            </w:r>
          </w:hyperlink>
        </w:p>
        <w:p>
          <w:pPr>
            <w:pStyle w:val="Contents3"/>
            <w:tabs>
              <w:tab w:val="clear" w:pos="8459"/>
              <w:tab w:val="right" w:pos="9026" w:leader="dot"/>
            </w:tabs>
            <w:rPr/>
          </w:pPr>
          <w:hyperlink w:anchor="__RefHeading___Toc2019692_1067777946">
            <w:r>
              <w:rPr>
                <w:webHidden/>
                <w:rStyle w:val="IndexLink"/>
                <w:rtl w:val="true"/>
              </w:rPr>
              <w:t>كتاب الحدود</w:t>
            </w:r>
            <w:r>
              <w:rPr>
                <w:rStyle w:val="IndexLink"/>
                <w:rtl w:val="true"/>
              </w:rPr>
              <w:tab/>
            </w:r>
            <w:r>
              <w:rPr>
                <w:rStyle w:val="IndexLink"/>
              </w:rPr>
              <w:t>826</w:t>
            </w:r>
          </w:hyperlink>
        </w:p>
        <w:p>
          <w:pPr>
            <w:pStyle w:val="Contents4"/>
            <w:tabs>
              <w:tab w:val="clear" w:pos="8176"/>
              <w:tab w:val="right" w:pos="9026" w:leader="dot"/>
            </w:tabs>
            <w:rPr/>
          </w:pPr>
          <w:hyperlink w:anchor="__RefHeading___Toc2019694_1067777946">
            <w:r>
              <w:rPr>
                <w:webHidden/>
                <w:rStyle w:val="IndexLink"/>
                <w:rtl w:val="true"/>
              </w:rPr>
              <w:t>[</w:t>
            </w:r>
            <w:r>
              <w:rPr>
                <w:rStyle w:val="IndexLink"/>
                <w:rtl w:val="true"/>
              </w:rPr>
              <w:t>موجب الزنى</w:t>
            </w:r>
            <w:r>
              <w:rPr>
                <w:rStyle w:val="IndexLink"/>
                <w:rtl w:val="true"/>
              </w:rPr>
              <w:t>]</w:t>
              <w:tab/>
            </w:r>
            <w:r>
              <w:rPr>
                <w:rStyle w:val="IndexLink"/>
              </w:rPr>
              <w:t>826</w:t>
            </w:r>
          </w:hyperlink>
        </w:p>
        <w:p>
          <w:pPr>
            <w:pStyle w:val="Contents4"/>
            <w:tabs>
              <w:tab w:val="clear" w:pos="8176"/>
              <w:tab w:val="right" w:pos="9026" w:leader="dot"/>
            </w:tabs>
            <w:rPr/>
          </w:pPr>
          <w:hyperlink w:anchor="__RefHeading___Toc2019696_1067777946">
            <w:r>
              <w:rPr>
                <w:webHidden/>
                <w:rStyle w:val="IndexLink"/>
                <w:rtl w:val="true"/>
              </w:rPr>
              <w:t>[</w:t>
            </w:r>
            <w:r>
              <w:rPr>
                <w:rStyle w:val="IndexLink"/>
                <w:rtl w:val="true"/>
              </w:rPr>
              <w:t>في حدّ الزنى</w:t>
            </w:r>
            <w:r>
              <w:rPr>
                <w:rStyle w:val="IndexLink"/>
                <w:rtl w:val="true"/>
              </w:rPr>
              <w:t>]</w:t>
              <w:tab/>
            </w:r>
            <w:r>
              <w:rPr>
                <w:rStyle w:val="IndexLink"/>
              </w:rPr>
              <w:t>827</w:t>
            </w:r>
          </w:hyperlink>
        </w:p>
        <w:p>
          <w:pPr>
            <w:pStyle w:val="Contents4"/>
            <w:tabs>
              <w:tab w:val="clear" w:pos="8176"/>
              <w:tab w:val="right" w:pos="9026" w:leader="dot"/>
            </w:tabs>
            <w:rPr/>
          </w:pPr>
          <w:hyperlink w:anchor="__RefHeading___Toc2019698_1067777946">
            <w:r>
              <w:rPr>
                <w:webHidden/>
                <w:rStyle w:val="IndexLink"/>
                <w:rtl w:val="true"/>
              </w:rPr>
              <w:t>[</w:t>
            </w:r>
            <w:r>
              <w:rPr>
                <w:rStyle w:val="IndexLink"/>
                <w:rtl w:val="true"/>
              </w:rPr>
              <w:t>في اللواحق</w:t>
            </w:r>
            <w:r>
              <w:rPr>
                <w:rStyle w:val="IndexLink"/>
                <w:rtl w:val="true"/>
              </w:rPr>
              <w:t>]</w:t>
              <w:tab/>
            </w:r>
            <w:r>
              <w:rPr>
                <w:rStyle w:val="IndexLink"/>
              </w:rPr>
              <w:t>829</w:t>
            </w:r>
          </w:hyperlink>
        </w:p>
        <w:p>
          <w:pPr>
            <w:pStyle w:val="Contents4"/>
            <w:tabs>
              <w:tab w:val="clear" w:pos="8176"/>
              <w:tab w:val="right" w:pos="9026" w:leader="dot"/>
            </w:tabs>
            <w:rPr/>
          </w:pPr>
          <w:hyperlink w:anchor="__RefHeading___Toc2019700_1067777946">
            <w:r>
              <w:rPr>
                <w:webHidden/>
                <w:rStyle w:val="IndexLink"/>
                <w:rtl w:val="true"/>
              </w:rPr>
              <w:t>[</w:t>
            </w:r>
            <w:r>
              <w:rPr>
                <w:rStyle w:val="IndexLink"/>
                <w:rtl w:val="true"/>
              </w:rPr>
              <w:t>في اللواط والسحق والقيادة</w:t>
            </w:r>
            <w:r>
              <w:rPr>
                <w:rStyle w:val="IndexLink"/>
                <w:rtl w:val="true"/>
              </w:rPr>
              <w:t>]</w:t>
              <w:tab/>
            </w:r>
            <w:r>
              <w:rPr>
                <w:rStyle w:val="IndexLink"/>
              </w:rPr>
              <w:t>829</w:t>
            </w:r>
          </w:hyperlink>
        </w:p>
        <w:p>
          <w:pPr>
            <w:pStyle w:val="Contents4"/>
            <w:tabs>
              <w:tab w:val="clear" w:pos="8176"/>
              <w:tab w:val="right" w:pos="9026" w:leader="dot"/>
            </w:tabs>
            <w:rPr/>
          </w:pPr>
          <w:hyperlink w:anchor="__RefHeading___Toc2019702_1067777946">
            <w:r>
              <w:rPr>
                <w:webHidden/>
                <w:rStyle w:val="IndexLink"/>
                <w:rtl w:val="true"/>
              </w:rPr>
              <w:t>[</w:t>
            </w:r>
            <w:r>
              <w:rPr>
                <w:rStyle w:val="IndexLink"/>
                <w:rtl w:val="true"/>
              </w:rPr>
              <w:t>في حدِّ القذف</w:t>
            </w:r>
            <w:r>
              <w:rPr>
                <w:rStyle w:val="IndexLink"/>
                <w:rtl w:val="true"/>
              </w:rPr>
              <w:t>]</w:t>
              <w:tab/>
            </w:r>
            <w:r>
              <w:rPr>
                <w:rStyle w:val="IndexLink"/>
              </w:rPr>
              <w:t>829</w:t>
            </w:r>
          </w:hyperlink>
        </w:p>
        <w:p>
          <w:pPr>
            <w:pStyle w:val="Contents4"/>
            <w:tabs>
              <w:tab w:val="clear" w:pos="8176"/>
              <w:tab w:val="right" w:pos="9026" w:leader="dot"/>
            </w:tabs>
            <w:rPr/>
          </w:pPr>
          <w:hyperlink w:anchor="__RefHeading___Toc2019704_1067777946">
            <w:r>
              <w:rPr>
                <w:webHidden/>
                <w:rStyle w:val="IndexLink"/>
                <w:rtl w:val="true"/>
              </w:rPr>
              <w:t>[</w:t>
            </w:r>
            <w:r>
              <w:rPr>
                <w:rStyle w:val="IndexLink"/>
                <w:rtl w:val="true"/>
              </w:rPr>
              <w:t>في أحكام القذف</w:t>
            </w:r>
            <w:r>
              <w:rPr>
                <w:rStyle w:val="IndexLink"/>
                <w:rtl w:val="true"/>
              </w:rPr>
              <w:t>]</w:t>
              <w:tab/>
            </w:r>
            <w:r>
              <w:rPr>
                <w:rStyle w:val="IndexLink"/>
              </w:rPr>
              <w:t>830</w:t>
            </w:r>
          </w:hyperlink>
        </w:p>
        <w:p>
          <w:pPr>
            <w:pStyle w:val="Contents4"/>
            <w:tabs>
              <w:tab w:val="clear" w:pos="8176"/>
              <w:tab w:val="right" w:pos="9026" w:leader="dot"/>
            </w:tabs>
            <w:rPr/>
          </w:pPr>
          <w:hyperlink w:anchor="__RefHeading___Toc2019706_1067777946">
            <w:r>
              <w:rPr>
                <w:webHidden/>
                <w:rStyle w:val="IndexLink"/>
                <w:rtl w:val="true"/>
              </w:rPr>
              <w:t>[</w:t>
            </w:r>
            <w:r>
              <w:rPr>
                <w:rStyle w:val="IndexLink"/>
                <w:rtl w:val="true"/>
              </w:rPr>
              <w:t>في حدّ المسكر</w:t>
            </w:r>
            <w:r>
              <w:rPr>
                <w:rStyle w:val="IndexLink"/>
                <w:rtl w:val="true"/>
              </w:rPr>
              <w:t>]</w:t>
              <w:tab/>
            </w:r>
            <w:r>
              <w:rPr>
                <w:rStyle w:val="IndexLink"/>
              </w:rPr>
              <w:t>830</w:t>
            </w:r>
          </w:hyperlink>
        </w:p>
        <w:p>
          <w:pPr>
            <w:pStyle w:val="Contents4"/>
            <w:tabs>
              <w:tab w:val="clear" w:pos="8176"/>
              <w:tab w:val="right" w:pos="9026" w:leader="dot"/>
            </w:tabs>
            <w:rPr/>
          </w:pPr>
          <w:hyperlink w:anchor="__RefHeading___Toc2019708_1067777946">
            <w:r>
              <w:rPr>
                <w:webHidden/>
                <w:rStyle w:val="IndexLink"/>
                <w:rtl w:val="true"/>
              </w:rPr>
              <w:t>[</w:t>
            </w:r>
            <w:r>
              <w:rPr>
                <w:rStyle w:val="IndexLink"/>
                <w:rtl w:val="true"/>
              </w:rPr>
              <w:t>في حدِّ السرقة</w:t>
            </w:r>
            <w:r>
              <w:rPr>
                <w:rStyle w:val="IndexLink"/>
                <w:rtl w:val="true"/>
              </w:rPr>
              <w:t>]</w:t>
              <w:tab/>
            </w:r>
            <w:r>
              <w:rPr>
                <w:rStyle w:val="IndexLink"/>
              </w:rPr>
              <w:t>831</w:t>
            </w:r>
          </w:hyperlink>
        </w:p>
        <w:p>
          <w:pPr>
            <w:pStyle w:val="Contents4"/>
            <w:tabs>
              <w:tab w:val="clear" w:pos="8176"/>
              <w:tab w:val="right" w:pos="9026" w:leader="dot"/>
            </w:tabs>
            <w:rPr/>
          </w:pPr>
          <w:hyperlink w:anchor="__RefHeading___Toc2019710_1067777946">
            <w:r>
              <w:rPr>
                <w:webHidden/>
                <w:rStyle w:val="IndexLink"/>
                <w:rtl w:val="true"/>
              </w:rPr>
              <w:t>[</w:t>
            </w:r>
            <w:r>
              <w:rPr>
                <w:rStyle w:val="IndexLink"/>
                <w:rtl w:val="true"/>
              </w:rPr>
              <w:t>في حدّ المحارب</w:t>
            </w:r>
            <w:r>
              <w:rPr>
                <w:rStyle w:val="IndexLink"/>
                <w:rtl w:val="true"/>
              </w:rPr>
              <w:t>]</w:t>
              <w:tab/>
            </w:r>
            <w:r>
              <w:rPr>
                <w:rStyle w:val="IndexLink"/>
              </w:rPr>
              <w:t>832</w:t>
            </w:r>
          </w:hyperlink>
        </w:p>
        <w:p>
          <w:pPr>
            <w:pStyle w:val="Contents4"/>
            <w:tabs>
              <w:tab w:val="clear" w:pos="8176"/>
              <w:tab w:val="right" w:pos="9026" w:leader="dot"/>
            </w:tabs>
            <w:rPr/>
          </w:pPr>
          <w:hyperlink w:anchor="__RefHeading___Toc2019712_1067777946">
            <w:r>
              <w:rPr>
                <w:webHidden/>
                <w:rStyle w:val="IndexLink"/>
                <w:rtl w:val="true"/>
              </w:rPr>
              <w:t>[</w:t>
            </w:r>
            <w:r>
              <w:rPr>
                <w:rStyle w:val="IndexLink"/>
                <w:rtl w:val="true"/>
              </w:rPr>
              <w:t>في إتيان البهائم ووطء الأموات وما يتبعه</w:t>
            </w:r>
            <w:r>
              <w:rPr>
                <w:rStyle w:val="IndexLink"/>
                <w:rtl w:val="true"/>
              </w:rPr>
              <w:t>]</w:t>
              <w:tab/>
            </w:r>
            <w:r>
              <w:rPr>
                <w:rStyle w:val="IndexLink"/>
              </w:rPr>
              <w:t>833</w:t>
            </w:r>
          </w:hyperlink>
        </w:p>
        <w:p>
          <w:pPr>
            <w:pStyle w:val="Contents3"/>
            <w:tabs>
              <w:tab w:val="clear" w:pos="8459"/>
              <w:tab w:val="right" w:pos="9026" w:leader="dot"/>
            </w:tabs>
            <w:rPr/>
          </w:pPr>
          <w:hyperlink w:anchor="__RefHeading___Toc2019714_1067777946">
            <w:r>
              <w:rPr>
                <w:webHidden/>
                <w:rStyle w:val="IndexLink"/>
                <w:rtl w:val="true"/>
              </w:rPr>
              <w:t>كتاب القِصاص</w:t>
            </w:r>
            <w:r>
              <w:rPr>
                <w:rStyle w:val="IndexLink"/>
                <w:rtl w:val="true"/>
              </w:rPr>
              <w:tab/>
            </w:r>
            <w:r>
              <w:rPr>
                <w:rStyle w:val="IndexLink"/>
              </w:rPr>
              <w:t>834</w:t>
            </w:r>
          </w:hyperlink>
        </w:p>
        <w:p>
          <w:pPr>
            <w:pStyle w:val="Contents4"/>
            <w:tabs>
              <w:tab w:val="clear" w:pos="8176"/>
              <w:tab w:val="right" w:pos="9026" w:leader="dot"/>
            </w:tabs>
            <w:rPr/>
          </w:pPr>
          <w:hyperlink w:anchor="__RefHeading___Toc2019716_1067777946">
            <w:r>
              <w:rPr>
                <w:webHidden/>
                <w:rStyle w:val="IndexLink"/>
                <w:rtl w:val="true"/>
              </w:rPr>
              <w:t>[</w:t>
            </w:r>
            <w:r>
              <w:rPr>
                <w:rStyle w:val="IndexLink"/>
                <w:rtl w:val="true"/>
              </w:rPr>
              <w:t>في قصاص النفس</w:t>
            </w:r>
            <w:r>
              <w:rPr>
                <w:rStyle w:val="IndexLink"/>
                <w:rtl w:val="true"/>
              </w:rPr>
              <w:t>]</w:t>
              <w:tab/>
            </w:r>
            <w:r>
              <w:rPr>
                <w:rStyle w:val="IndexLink"/>
              </w:rPr>
              <w:t>834</w:t>
            </w:r>
          </w:hyperlink>
        </w:p>
        <w:p>
          <w:pPr>
            <w:pStyle w:val="Contents4"/>
            <w:tabs>
              <w:tab w:val="clear" w:pos="8176"/>
              <w:tab w:val="right" w:pos="9026" w:leader="dot"/>
            </w:tabs>
            <w:rPr/>
          </w:pPr>
          <w:hyperlink w:anchor="__RefHeading___Toc2019718_1067777946">
            <w:r>
              <w:rPr>
                <w:webHidden/>
                <w:rStyle w:val="IndexLink"/>
                <w:rtl w:val="true"/>
              </w:rPr>
              <w:t>[</w:t>
            </w:r>
            <w:r>
              <w:rPr>
                <w:rStyle w:val="IndexLink"/>
                <w:rtl w:val="true"/>
              </w:rPr>
              <w:t>في الشرائط المعتبرة في القصاص</w:t>
            </w:r>
            <w:r>
              <w:rPr>
                <w:rStyle w:val="IndexLink"/>
                <w:rtl w:val="true"/>
              </w:rPr>
              <w:t>]</w:t>
              <w:tab/>
            </w:r>
            <w:r>
              <w:rPr>
                <w:rStyle w:val="IndexLink"/>
              </w:rPr>
              <w:t>835</w:t>
            </w:r>
          </w:hyperlink>
        </w:p>
        <w:p>
          <w:pPr>
            <w:pStyle w:val="Contents4"/>
            <w:tabs>
              <w:tab w:val="clear" w:pos="8176"/>
              <w:tab w:val="right" w:pos="9026" w:leader="dot"/>
            </w:tabs>
            <w:rPr/>
          </w:pPr>
          <w:hyperlink w:anchor="__RefHeading___Toc2019720_1067777946">
            <w:r>
              <w:rPr>
                <w:webHidden/>
                <w:rStyle w:val="IndexLink"/>
                <w:rtl w:val="true"/>
              </w:rPr>
              <w:t>[</w:t>
            </w:r>
            <w:r>
              <w:rPr>
                <w:rStyle w:val="IndexLink"/>
                <w:rtl w:val="true"/>
              </w:rPr>
              <w:t>في كيفيّة الاستيفاء</w:t>
            </w:r>
            <w:r>
              <w:rPr>
                <w:rStyle w:val="IndexLink"/>
                <w:rtl w:val="true"/>
              </w:rPr>
              <w:t>]</w:t>
              <w:tab/>
            </w:r>
            <w:r>
              <w:rPr>
                <w:rStyle w:val="IndexLink"/>
              </w:rPr>
              <w:t>837</w:t>
            </w:r>
          </w:hyperlink>
        </w:p>
        <w:p>
          <w:pPr>
            <w:pStyle w:val="Contents4"/>
            <w:tabs>
              <w:tab w:val="clear" w:pos="8176"/>
              <w:tab w:val="right" w:pos="9026" w:leader="dot"/>
            </w:tabs>
            <w:rPr/>
          </w:pPr>
          <w:hyperlink w:anchor="__RefHeading___Toc2019722_1067777946">
            <w:r>
              <w:rPr>
                <w:webHidden/>
                <w:rStyle w:val="IndexLink"/>
                <w:rtl w:val="true"/>
              </w:rPr>
              <w:t>[</w:t>
            </w:r>
            <w:r>
              <w:rPr>
                <w:rStyle w:val="IndexLink"/>
                <w:rtl w:val="true"/>
              </w:rPr>
              <w:t>في قِصاص الطرف</w:t>
            </w:r>
            <w:r>
              <w:rPr>
                <w:rStyle w:val="IndexLink"/>
                <w:rtl w:val="true"/>
              </w:rPr>
              <w:t>]</w:t>
              <w:tab/>
            </w:r>
            <w:r>
              <w:rPr>
                <w:rStyle w:val="IndexLink"/>
              </w:rPr>
              <w:t>838</w:t>
            </w:r>
          </w:hyperlink>
        </w:p>
        <w:p>
          <w:pPr>
            <w:pStyle w:val="Contents3"/>
            <w:tabs>
              <w:tab w:val="clear" w:pos="8459"/>
              <w:tab w:val="right" w:pos="9026" w:leader="dot"/>
            </w:tabs>
            <w:rPr/>
          </w:pPr>
          <w:hyperlink w:anchor="__RefHeading___Toc2019724_1067777946">
            <w:r>
              <w:rPr>
                <w:webHidden/>
                <w:rStyle w:val="IndexLink"/>
                <w:rtl w:val="true"/>
              </w:rPr>
              <w:t>كتاب الديات</w:t>
            </w:r>
            <w:r>
              <w:rPr>
                <w:rStyle w:val="IndexLink"/>
                <w:rtl w:val="true"/>
              </w:rPr>
              <w:tab/>
            </w:r>
            <w:r>
              <w:rPr>
                <w:rStyle w:val="IndexLink"/>
              </w:rPr>
              <w:t>839</w:t>
            </w:r>
          </w:hyperlink>
        </w:p>
        <w:p>
          <w:pPr>
            <w:pStyle w:val="Contents4"/>
            <w:tabs>
              <w:tab w:val="clear" w:pos="8176"/>
              <w:tab w:val="right" w:pos="9026" w:leader="dot"/>
            </w:tabs>
            <w:rPr/>
          </w:pPr>
          <w:hyperlink w:anchor="__RefHeading___Toc2019726_1067777946">
            <w:r>
              <w:rPr>
                <w:webHidden/>
                <w:rStyle w:val="IndexLink"/>
                <w:rtl w:val="true"/>
              </w:rPr>
              <w:t>[</w:t>
            </w:r>
            <w:r>
              <w:rPr>
                <w:rStyle w:val="IndexLink"/>
                <w:rtl w:val="true"/>
              </w:rPr>
              <w:t>في مقادير الديات</w:t>
            </w:r>
            <w:r>
              <w:rPr>
                <w:rStyle w:val="IndexLink"/>
                <w:rtl w:val="true"/>
              </w:rPr>
              <w:t>]</w:t>
              <w:tab/>
            </w:r>
            <w:r>
              <w:rPr>
                <w:rStyle w:val="IndexLink"/>
              </w:rPr>
              <w:t>839</w:t>
            </w:r>
          </w:hyperlink>
        </w:p>
        <w:p>
          <w:pPr>
            <w:pStyle w:val="Contents4"/>
            <w:tabs>
              <w:tab w:val="clear" w:pos="8176"/>
              <w:tab w:val="right" w:pos="9026" w:leader="dot"/>
            </w:tabs>
            <w:rPr/>
          </w:pPr>
          <w:hyperlink w:anchor="__RefHeading___Toc2019728_1067777946">
            <w:r>
              <w:rPr>
                <w:webHidden/>
                <w:rStyle w:val="IndexLink"/>
                <w:rtl w:val="true"/>
              </w:rPr>
              <w:t>[</w:t>
            </w:r>
            <w:r>
              <w:rPr>
                <w:rStyle w:val="IndexLink"/>
                <w:rtl w:val="true"/>
              </w:rPr>
              <w:t>في موجبات الضمان</w:t>
            </w:r>
            <w:r>
              <w:rPr>
                <w:rStyle w:val="IndexLink"/>
                <w:rtl w:val="true"/>
              </w:rPr>
              <w:t>]</w:t>
              <w:tab/>
            </w:r>
            <w:r>
              <w:rPr>
                <w:rStyle w:val="IndexLink"/>
              </w:rPr>
              <w:t>841</w:t>
            </w:r>
          </w:hyperlink>
        </w:p>
        <w:p>
          <w:pPr>
            <w:pStyle w:val="Contents4"/>
            <w:tabs>
              <w:tab w:val="clear" w:pos="8176"/>
              <w:tab w:val="right" w:pos="9026" w:leader="dot"/>
            </w:tabs>
            <w:rPr/>
          </w:pPr>
          <w:hyperlink w:anchor="__RefHeading___Toc2019730_1067777946">
            <w:r>
              <w:rPr>
                <w:webHidden/>
                <w:rStyle w:val="IndexLink"/>
                <w:rtl w:val="true"/>
              </w:rPr>
              <w:t>[</w:t>
            </w:r>
            <w:r>
              <w:rPr>
                <w:rStyle w:val="IndexLink"/>
                <w:rtl w:val="true"/>
              </w:rPr>
              <w:t>في الجناية على الأطراف</w:t>
            </w:r>
            <w:r>
              <w:rPr>
                <w:rStyle w:val="IndexLink"/>
                <w:rtl w:val="true"/>
              </w:rPr>
              <w:t>]</w:t>
              <w:tab/>
            </w:r>
            <w:r>
              <w:rPr>
                <w:rStyle w:val="IndexLink"/>
              </w:rPr>
              <w:t>843</w:t>
            </w:r>
          </w:hyperlink>
        </w:p>
        <w:p>
          <w:pPr>
            <w:pStyle w:val="Contents4"/>
            <w:tabs>
              <w:tab w:val="clear" w:pos="8176"/>
              <w:tab w:val="right" w:pos="9026" w:leader="dot"/>
            </w:tabs>
            <w:rPr/>
          </w:pPr>
          <w:hyperlink w:anchor="__RefHeading___Toc2019732_1067777946">
            <w:r>
              <w:rPr>
                <w:webHidden/>
                <w:rStyle w:val="IndexLink"/>
                <w:rtl w:val="true"/>
              </w:rPr>
              <w:t>[</w:t>
            </w:r>
            <w:r>
              <w:rPr>
                <w:rStyle w:val="IndexLink"/>
                <w:rtl w:val="true"/>
              </w:rPr>
              <w:t>في الجناية على المنافع</w:t>
            </w:r>
            <w:r>
              <w:rPr>
                <w:rStyle w:val="IndexLink"/>
                <w:rtl w:val="true"/>
              </w:rPr>
              <w:t>]</w:t>
              <w:tab/>
            </w:r>
            <w:r>
              <w:rPr>
                <w:rStyle w:val="IndexLink"/>
              </w:rPr>
              <w:t>844</w:t>
            </w:r>
          </w:hyperlink>
        </w:p>
        <w:p>
          <w:pPr>
            <w:pStyle w:val="Contents4"/>
            <w:tabs>
              <w:tab w:val="clear" w:pos="8176"/>
              <w:tab w:val="right" w:pos="9026" w:leader="dot"/>
            </w:tabs>
            <w:rPr/>
          </w:pPr>
          <w:hyperlink w:anchor="__RefHeading___Toc2019734_1067777946">
            <w:r>
              <w:rPr>
                <w:webHidden/>
                <w:rStyle w:val="IndexLink"/>
                <w:rtl w:val="true"/>
              </w:rPr>
              <w:t>[</w:t>
            </w:r>
            <w:r>
              <w:rPr>
                <w:rStyle w:val="IndexLink"/>
                <w:rtl w:val="true"/>
              </w:rPr>
              <w:t>في الشِجاج والجراح</w:t>
            </w:r>
            <w:r>
              <w:rPr>
                <w:rStyle w:val="IndexLink"/>
                <w:rtl w:val="true"/>
              </w:rPr>
              <w:t>]</w:t>
              <w:tab/>
            </w:r>
            <w:r>
              <w:rPr>
                <w:rStyle w:val="IndexLink"/>
              </w:rPr>
              <w:t>844</w:t>
            </w:r>
          </w:hyperlink>
        </w:p>
        <w:p>
          <w:pPr>
            <w:pStyle w:val="Contents4"/>
            <w:tabs>
              <w:tab w:val="clear" w:pos="8176"/>
              <w:tab w:val="right" w:pos="9026" w:leader="dot"/>
            </w:tabs>
            <w:rPr/>
          </w:pPr>
          <w:hyperlink w:anchor="__RefHeading___Toc2019736_1067777946">
            <w:r>
              <w:rPr>
                <w:webHidden/>
                <w:rStyle w:val="IndexLink"/>
                <w:rtl w:val="true"/>
              </w:rPr>
              <w:t>[</w:t>
            </w:r>
            <w:r>
              <w:rPr>
                <w:rStyle w:val="IndexLink"/>
                <w:rtl w:val="true"/>
              </w:rPr>
              <w:t>في دية الجنين</w:t>
            </w:r>
            <w:r>
              <w:rPr>
                <w:rStyle w:val="IndexLink"/>
                <w:rtl w:val="true"/>
              </w:rPr>
              <w:t>]</w:t>
              <w:tab/>
            </w:r>
            <w:r>
              <w:rPr>
                <w:rStyle w:val="IndexLink"/>
              </w:rPr>
              <w:t>845</w:t>
            </w:r>
          </w:hyperlink>
        </w:p>
        <w:p>
          <w:pPr>
            <w:pStyle w:val="Contents4"/>
            <w:tabs>
              <w:tab w:val="clear" w:pos="8176"/>
              <w:tab w:val="right" w:pos="9026" w:leader="dot"/>
            </w:tabs>
            <w:rPr/>
          </w:pPr>
          <w:hyperlink w:anchor="__RefHeading___Toc2019738_1067777946">
            <w:r>
              <w:rPr>
                <w:webHidden/>
                <w:rStyle w:val="IndexLink"/>
                <w:rtl w:val="true"/>
              </w:rPr>
              <w:t>[</w:t>
            </w:r>
            <w:r>
              <w:rPr>
                <w:rStyle w:val="IndexLink"/>
                <w:rtl w:val="true"/>
              </w:rPr>
              <w:t>في الجناية على الحيوان</w:t>
            </w:r>
            <w:r>
              <w:rPr>
                <w:rStyle w:val="IndexLink"/>
                <w:rtl w:val="true"/>
              </w:rPr>
              <w:t>]</w:t>
              <w:tab/>
            </w:r>
            <w:r>
              <w:rPr>
                <w:rStyle w:val="IndexLink"/>
              </w:rPr>
              <w:t>845</w:t>
            </w:r>
          </w:hyperlink>
        </w:p>
        <w:p>
          <w:pPr>
            <w:pStyle w:val="Contents4"/>
            <w:tabs>
              <w:tab w:val="clear" w:pos="8176"/>
              <w:tab w:val="right" w:pos="9026" w:leader="dot"/>
            </w:tabs>
            <w:rPr/>
          </w:pPr>
          <w:hyperlink w:anchor="__RefHeading___Toc2019740_1067777946">
            <w:r>
              <w:rPr>
                <w:webHidden/>
                <w:rStyle w:val="IndexLink"/>
                <w:rtl w:val="true"/>
              </w:rPr>
              <w:t>[</w:t>
            </w:r>
            <w:r>
              <w:rPr>
                <w:rStyle w:val="IndexLink"/>
                <w:rtl w:val="true"/>
              </w:rPr>
              <w:t>في كفّارة القتل</w:t>
            </w:r>
            <w:r>
              <w:rPr>
                <w:rStyle w:val="IndexLink"/>
                <w:rtl w:val="true"/>
              </w:rPr>
              <w:t>]</w:t>
              <w:tab/>
            </w:r>
            <w:r>
              <w:rPr>
                <w:rStyle w:val="IndexLink"/>
              </w:rPr>
              <w:t>845</w:t>
            </w:r>
          </w:hyperlink>
        </w:p>
        <w:p>
          <w:pPr>
            <w:pStyle w:val="Contents4"/>
            <w:tabs>
              <w:tab w:val="clear" w:pos="8176"/>
              <w:tab w:val="right" w:pos="9026" w:leader="dot"/>
            </w:tabs>
            <w:rPr/>
          </w:pPr>
          <w:hyperlink w:anchor="__RefHeading___Toc2019742_1067777946">
            <w:r>
              <w:rPr>
                <w:webHidden/>
                <w:rStyle w:val="IndexLink"/>
                <w:rtl w:val="true"/>
              </w:rPr>
              <w:t>[</w:t>
            </w:r>
            <w:r>
              <w:rPr>
                <w:rStyle w:val="IndexLink"/>
                <w:rtl w:val="true"/>
              </w:rPr>
              <w:t>في العاقلة</w:t>
            </w:r>
            <w:r>
              <w:rPr>
                <w:rStyle w:val="IndexLink"/>
                <w:rtl w:val="true"/>
              </w:rPr>
              <w:t>]</w:t>
              <w:tab/>
            </w:r>
            <w:r>
              <w:rPr>
                <w:rStyle w:val="IndexLink"/>
              </w:rPr>
              <w:t>846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75_83419"/>
      <w:bookmarkStart w:id="1" w:name="pg10175_83419"/>
      <w:bookmarkEnd w:id="1"/>
    </w:p>
    <w:p>
      <w:pPr>
        <w:pStyle w:val="Heading2"/>
        <w:numPr>
          <w:ilvl w:val="1"/>
          <w:numId w:val="1"/>
        </w:numPr>
        <w:rPr/>
      </w:pPr>
      <w:bookmarkStart w:id="2" w:name="pg10175_83419"/>
      <w:bookmarkStart w:id="3" w:name="__RefHeading___Toc2018326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Amiri" w:hAnsi="Amiri" w:eastAsia="Amiri" w:cs="Amiri"/>
          <w:color w:val="111111"/>
          <w:sz w:val="28"/>
          <w:sz w:val="28"/>
          <w:szCs w:val="28"/>
          <w:rtl w:val="true"/>
          <w:lang w:bidi="ar-SA"/>
        </w:rPr>
        <w:t>الْجُزءُ الرّابِع عَشَر</w:t>
      </w:r>
    </w:p>
    <w:p>
      <w:pPr>
        <w:pStyle w:val="BookText"/>
        <w:rPr/>
      </w:pPr>
      <w:r>
        <w:rPr>
          <w:rFonts w:ascii="Amiri" w:hAnsi="Amiri" w:eastAsia="Amiri" w:cs="Amiri"/>
          <w:color w:val="111111"/>
          <w:sz w:val="28"/>
          <w:sz w:val="28"/>
          <w:szCs w:val="28"/>
          <w:rtl w:val="true"/>
          <w:lang w:bidi="ar-SA"/>
        </w:rPr>
        <w:t>حٰاشيَةُ شَرائع الإسْلام</w:t>
      </w:r>
    </w:p>
    <w:p>
      <w:pPr>
        <w:pStyle w:val="BookText"/>
        <w:rPr/>
      </w:pPr>
      <w:r>
        <w:rPr>
          <w:rFonts w:ascii="Amiri" w:hAnsi="Amiri" w:eastAsia="Amiri" w:cs="Amiri"/>
          <w:color w:val="111111"/>
          <w:sz w:val="28"/>
          <w:sz w:val="28"/>
          <w:szCs w:val="28"/>
          <w:rtl w:val="true"/>
          <w:lang w:bidi="ar-SA"/>
        </w:rPr>
        <w:t>وَ حٰاشيَةُ المُخْتَصَرِ النّافِع</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شرائع الإسلام وحاشية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8328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حاشية شرائع الإسلام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حاشية المختصر النافع</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شرائع الإسلام وحاشية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175_83425"/>
    </w:p>
    <w:p>
      <w:pPr>
        <w:pStyle w:val="Heading2"/>
        <w:numPr>
          <w:ilvl w:val="1"/>
          <w:numId w:val="1"/>
        </w:numPr>
        <w:rPr/>
      </w:pPr>
      <w:bookmarkStart w:id="8" w:name="__RefHeading___Toc2018330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مقدّمة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الركن الأوّل في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ماء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فروع ثلاثة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الماء المضاف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الأسآر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الركن الثاني في الطهارة المائيّة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الفصل الأوّل في الأحداث الموجبة للوضوء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أحكام الخلوة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سنن الخلوة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في كيفيّة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مسح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سنن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أحكام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الفصل الأوّل في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واجبات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الفصل الثاني في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الفصل الثالث في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أحكام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الفصل الرابع في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الفصل الخامس في أحكام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التغسيل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التكفين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مواراة الميّت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لواحق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الأغسال المسنونة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الركن الثالث في الطهارة الترابيّة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الطرف الأوّل فيما يصحّ معه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 الثاني فيما يجوز التيمّم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الطرف الثالث في كيفيّة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الطرف الرابع في أحكام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الركن الرابع في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القول في أحكام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القول في الآنية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الركن الأوّل في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المقدّمة الأُولى في أعداد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المقدّمة الثانية في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وقت النوافل اليوميّة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أحكام مواقيت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المقدّمة الثالثة في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المستقبِل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أحكام الخلل في الاستقبال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المقدّمة الرابعة في لباس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المقدّمة الخامسة في مكان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المقدّمة السادسة فيما يُسْجَد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المقدّمة السابعة في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ما يُؤذَّن له ويُقام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كيفيّة الأذان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أحكام الأذان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الثاني في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خاتمة في قواطع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يبطلها عمداً وسهواً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مالا يبطلها إلّا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الركن الثالث في بقيّة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الأوّل في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وقتها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شروط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تجب عليه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هاهنا 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آداب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الفصل الثاني في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شروطها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سننها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الفصل الثالث في صلاة الكسوف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في الصلاة على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 يصلّى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في كيفيّة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الفصل الخامس في الصلوات المرغّبات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نافلة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الركن الرابع في التوابع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الفصل الأوّل في الخلل الواقع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الخلل عن عمد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الخلل عن سهو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الخلل عن 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سجدتي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الفصل الثاني في قضاء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سبب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حكم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الفصل الثالث في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إمام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أحكام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فيما يتعلّق بالمساجد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في صلاة الخوف والمطاردة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شروطها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صلاة المطاردة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الفصل الخامس في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القسم الأوّل في زكاة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 تجب فيه، وما تستحبّ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القول في زكاة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القول في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اللواحق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القول في زكاة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شروط وجوبها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أحكام زكاة 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القول في زكاة الغلّات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شروطها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اللواحق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زكاة مال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شروطها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النظر الثالث فيمن تصرف إليه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الفقراء والمساكين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العاملون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الرقاب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الغارمون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أوصاف المستحقّين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المتولّي لإخراج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اللواحق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القول في وقت تسليم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القول في نيّة دفع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القسم الثاني في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جنسها وقدرها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وقتها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مصرفها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الفصل الأوّل فيما يجب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في قسمة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كيفية التصرّف 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النظر الأوّل في أركانه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الركن الأوّل في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 عنه الصائم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القضاء والكفّارات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المقصد الثالث فيما يكره للصائم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الذي يصحّ فيه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يصحّ منه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النظر الثاني في أقسام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القول في صوم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شروط وجوب الصوم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أحكام قضاء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القول في صوم 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الصوم المندوب والصوم المكروه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الصوم المكروه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الصوم المحظور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النظر الثالث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كتاب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أقسام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أحكام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الركن الأوّل في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القول في 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شرائط وجوبها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القول في ما يجب بالنذر، واليمين، والعهد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القول في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أقسام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الإفراد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المقدّمة الرابعة في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أقسامها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الركن الثاني في أفعال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نيّة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التلبيات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لبس ثوبي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أحكام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مندوبات الإحرام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تروك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القول في الوقوف بعرفات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واجباته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مندوباته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القول في الوقوف بالمشعر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كيفيّة الوقوف بالمشعر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القول في نزول مِنی ومابها من المناسك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رمي جمرة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هدي القِران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الأُضحيّة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الحلق والتقصير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القول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واجبات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مندوبات 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أحكام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القول في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مقدّماته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أحكام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الأحكام المتعلّقة بمنى بعد العَود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الركن الثالث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المقصد الأوّل في الإحصار والصدّ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المقصد الثاني في أحكام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مالا يتعلّق به 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ما لكفّارته بدل على 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ما لا بدل له على الخصوص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الفصل الثاني في موجبات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مباشرة الإتلاف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الفصل الثالث في صيد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الفصل الرابع في التوابع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المقصد الثالث في باقي المحظورات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الاستمتاع بالنساء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قلم الأظفار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حلق 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قلع شجرة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كتاب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صورتها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أقسامها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 يجب عليه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المرابطة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 يجب جهاده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كيفيّة قتال أهل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الذمام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الأسارى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أحكام الغنيمة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أحكام الأرضين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قسمة الغنيمة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أحكام أهل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من تؤخذ منه الجزية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كميّة الجزية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شرائط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حكم الأبنية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المهادنة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قتال أهل البغي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كتاب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شروط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مراتب الإنكار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المقيم للحدّ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الفصل الأوّل فيما يكتسب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الفصل الثاني في عقد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ما يتعلّق بالمتعاقدين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ما يتعلّق بالمبيع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آداب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الفصل الثالث في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أحكام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الفصل الرابع في أحكام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النقد والنسيئة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يدخل في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بيع مالا يُقبض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اختلاف المتبايعين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الشروط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لواحق من أحكام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الفصل الخامس في أحكام العيوب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أقسام العيوب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تصرية الشاة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القول في لواحق هذا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الفصل السادس في المرابحة، والمواضعة، والتولية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المرابحة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التولية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المواضعة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الفصل السابع في الربا والقرض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تتمّة فيها مسائل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بيع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مسائل عشر</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الفصل الثامن في بيع الثمار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النخل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الأشجار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الفصل التاسع في بيع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من يصحّ تملّكه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أحكام الابتياع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لواحق بيع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الفصل العاشر في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المقصد الرابع في الإقالة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المقصد الخامس في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حقيقته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ما يصحّ إقراضه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أحكام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المقصد السادس في دين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الفصل الأوّل في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الفصل الثاني في شرائط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الفصل الثالث في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الفصل الخامس في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الفصل السادس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متعلّقة بالرهن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مسائل النزاع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كتاب المفلَس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القول في منع 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القول في اختصاص الغريم بعين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القول في قسمة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النظر في حبسه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كتاب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الفصل الأوّل في موجباته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الفصل الثاني في أحكام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القسم الأوّل في ضمان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الحقّ المضمون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القسم الثاني في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شروطها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القسم الثالث في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النزاع في الأملاك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الفصل الأوّل في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الفصل الثاني في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الفصل الثالث في لواحق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مال القراض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 الربح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كتاب المزارعة والمساقاة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شروط المزارعة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النماء مشاعاً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الأرض ممّا يمكن الانتفاع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ما يساقی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النظر الأوّل 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النظر الثاني في موجبات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النظر الثالث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المعير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المستعير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العين المُعارة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 الأحكام المتعلّقة بالعارية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الفصل الأوّل 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الفصل الثاني في شرائطها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الفصل الثالث في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الفصل الرابع في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فيما لا تصحّ فيه النيابة وما تصحّ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الفصل الثالث في 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الفصل الرابع في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الفصل الخامس فيما به تثبت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الفصل السادس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الفصل السابع في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كتاب الوقوف والصدقات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في 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شرائط الموقوف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شرائط الواقف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شرائط الموقوف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شرائط الوقف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النظر الثالث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کتاب السكنى والحبس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كتاب الهبات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حقيقة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الهبات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السبق والرماية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الفصل الأوّل في الألفاظ المستعملة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الفصل الثاني في ما يسابق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الفصل الثالث في عقد المسابقة والرماية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الفصل الرابع في أحكام النضال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حاشية المختصر النافع</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في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منزوحات البئر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الماء المضاف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الأسئار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الطهارة المائيّة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مكروهات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كيفيّة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غسل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الاستحاضة والنفاس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الاحتضار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الدفن </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الطهارة الترابيَّة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 xml:space="preserve">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 xml:space="preserve">عدد النوافل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أوقات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لباس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مكان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ما يُسْجَدُ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مندوبات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 xml:space="preserve">المبطلات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صلاة الكسوف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صلاة الجنازة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نافلة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الخلل الواقع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قضاء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أحكام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زكاة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زكاة الفطر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يمسك عنه الصائم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يوجب الكَفّارةَ والقَضاءَ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مَنْ لا يَصِحّ منه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علامة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شرائط وجوب الصوم وقضائه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صوم المندوب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الصوم المحظور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كتاب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شرائط 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القول في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في أنواع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في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في أفعال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تروك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في الوقوف بعرفات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في الوقوف بالمشعر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في مناسك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أحكام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 xml:space="preserve">في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في أحكام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الإحصار والصدّ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في 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باقي المحظورات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من يجب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 xml:space="preserve">مَن يجب جهادهم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في التوابع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في أحكام الأرضين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فيما يُكتسب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البيع وآدابه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في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في لواحق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في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في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في بيع الثمار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في بيع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في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في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ضَمان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كتاب المزارعة والمساقاة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كتاب الوديعة والعاريَّة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كتاب الوقوف والصدقات والهبات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 السبق والرمايَة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في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في الموصى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في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في الموصى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في أحكام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في النكاح الدائم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في أولياء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في أسباب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في النكاح المنقطع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في نكاح 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في العيوب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في المهور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في القَسم والشِقاق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في أحكام 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في الرضاع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في النفقات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في أقسام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عدَّة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 xml:space="preserve">المفقود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 xml:space="preserve">عدَّة الإماء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كتاب الخلع والمباراة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 xml:space="preserve">كتاب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Amiri" w:hAnsi="Amiri" w:eastAsia="Amiri" w:cs="Amiri"/>
          <w:color w:val="111111"/>
          <w:sz w:val="28"/>
          <w:sz w:val="28"/>
          <w:szCs w:val="28"/>
          <w:rtl w:val="true"/>
          <w:lang w:bidi="ar-SA"/>
        </w:rPr>
        <w:t xml:space="preserve">كتاب الإيلاء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الكفّارات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في خصال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كتاب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كتاب العتق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في الرقّ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في العتق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 xml:space="preserve">كتاب التدبير والمكاتب والاستيلاد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المكاتبة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في المُقرّ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في المُقرّ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في الاستثناء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IRNazanin" w:hAnsi="IRNazanin" w:eastAsia="IRNazanin"/>
          <w:color w:val="111111"/>
          <w:sz w:val="28"/>
          <w:sz w:val="28"/>
          <w:szCs w:val="28"/>
          <w:rtl w:val="true"/>
          <w:lang w:bidi="fa-IR"/>
        </w:rPr>
        <w:t xml:space="preserve">الإقرار بالنسب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 xml:space="preserve">كتاب الأيمان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IRNazanin" w:hAnsi="IRNazanin" w:eastAsia="IRNazanin"/>
          <w:color w:val="111111"/>
          <w:sz w:val="28"/>
          <w:sz w:val="28"/>
          <w:szCs w:val="28"/>
          <w:rtl w:val="true"/>
          <w:lang w:bidi="fa-IR"/>
        </w:rPr>
        <w:t xml:space="preserve">ما به تنعقد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Amiri" w:hAnsi="Amiri" w:eastAsia="Amiri" w:cs="Amiri"/>
          <w:color w:val="111111"/>
          <w:sz w:val="28"/>
          <w:sz w:val="28"/>
          <w:szCs w:val="28"/>
          <w:rtl w:val="true"/>
          <w:lang w:bidi="ar-SA"/>
        </w:rPr>
        <w:t xml:space="preserve">في متعلّق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كتاب النذور والعهود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في الناذر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في متعلّق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كتاب الصيد والذبائح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الذابح والآلة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الكيفيّة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الأطعمة والأشربة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حيوان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في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في الجامد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في المائعات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كتاب الشُفْعَة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ما تثبت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في كيفيّة الأخذ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كتاب إحياء الموات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في اللقيط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في الضوال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كتاب المواريث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موجبات الإرث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موانع الإرث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السهام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Amiri" w:hAnsi="Amiri" w:eastAsia="Amiri" w:cs="Amiri"/>
          <w:color w:val="111111"/>
          <w:sz w:val="28"/>
          <w:sz w:val="28"/>
          <w:szCs w:val="28"/>
          <w:rtl w:val="true"/>
          <w:lang w:bidi="ar-SA"/>
        </w:rPr>
        <w:t xml:space="preserve">في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ميراث الأزواج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في الوَلاء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ميراث ابن الملاعنة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ميراث 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 xml:space="preserve">في ميراث الغرقى والمهدوم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في ميراث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 xml:space="preserve">في حساب الفرائض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 xml:space="preserve">في المناسخات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صفات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في آداب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في وظائف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في جواب المدّعى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كيفيّة الاستحلاف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pStyle w:val="BookText"/>
        <w:rPr/>
      </w:pPr>
      <w:r>
        <w:rPr>
          <w:rFonts w:ascii="Amiri" w:hAnsi="Amiri" w:eastAsia="Amiri" w:cs="Amiri"/>
          <w:color w:val="111111"/>
          <w:sz w:val="28"/>
          <w:sz w:val="28"/>
          <w:szCs w:val="28"/>
          <w:rtl w:val="true"/>
          <w:lang w:bidi="ar-SA"/>
        </w:rPr>
        <w:t xml:space="preserve">الاختلاف في الدعوى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تعارض 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p>
    <w:p>
      <w:pPr>
        <w:pStyle w:val="BookText"/>
        <w:rPr/>
      </w:pP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الشاهد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فيما يصير به شاهداً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p>
    <w:p>
      <w:pPr>
        <w:pStyle w:val="BookText"/>
        <w:rPr/>
      </w:pPr>
      <w:r>
        <w:rPr>
          <w:rFonts w:ascii="Amiri" w:hAnsi="Amiri" w:eastAsia="Amiri" w:cs="Amiri"/>
          <w:color w:val="111111"/>
          <w:sz w:val="28"/>
          <w:sz w:val="28"/>
          <w:szCs w:val="28"/>
          <w:rtl w:val="true"/>
          <w:lang w:bidi="ar-SA"/>
        </w:rPr>
        <w:t xml:space="preserve">في الشهادة على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p>
    <w:p>
      <w:pPr>
        <w:pStyle w:val="BookText"/>
        <w:rPr/>
      </w:pPr>
      <w:r>
        <w:rPr>
          <w:rFonts w:ascii="IRNazanin" w:hAnsi="IRNazanin" w:eastAsia="IRNazanin"/>
          <w:color w:val="111111"/>
          <w:sz w:val="28"/>
          <w:sz w:val="28"/>
          <w:szCs w:val="28"/>
          <w:rtl w:val="true"/>
          <w:lang w:bidi="fa-IR"/>
        </w:rPr>
        <w:t xml:space="preserve">موجب الزنى </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Amiri" w:hAnsi="Amiri" w:eastAsia="Amiri" w:cs="Amiri"/>
          <w:color w:val="111111"/>
          <w:sz w:val="28"/>
          <w:sz w:val="28"/>
          <w:szCs w:val="28"/>
          <w:rtl w:val="true"/>
          <w:lang w:bidi="ar-SA"/>
        </w:rPr>
        <w:t xml:space="preserve">في حدّ الزنى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ascii="Amiri" w:hAnsi="Amiri" w:eastAsia="Amiri" w:cs="Amiri"/>
          <w:color w:val="111111"/>
          <w:sz w:val="28"/>
          <w:sz w:val="28"/>
          <w:szCs w:val="28"/>
          <w:rtl w:val="true"/>
          <w:lang w:bidi="ar-SA"/>
        </w:rPr>
        <w:t xml:space="preserve">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في اللواط والسحق والقيادة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في حدِّ القذف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في أحكام القذف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في حدّ المسكر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في حدِّ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في حدّ المحارب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في إتيان البهائم ووطء الأموات وما يتبعه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كتاب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في قصاص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 xml:space="preserve">في الشرائط المعتبرة في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 xml:space="preserve">في كيفيّة الاستيفاء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p>
    <w:p>
      <w:pPr>
        <w:pStyle w:val="BookText"/>
        <w:rPr/>
      </w:pPr>
      <w:r>
        <w:rPr>
          <w:rFonts w:ascii="Amiri" w:hAnsi="Amiri" w:eastAsia="Amiri" w:cs="Amiri"/>
          <w:color w:val="111111"/>
          <w:sz w:val="28"/>
          <w:sz w:val="28"/>
          <w:szCs w:val="28"/>
          <w:rtl w:val="true"/>
          <w:lang w:bidi="ar-SA"/>
        </w:rPr>
        <w:t xml:space="preserve">في قِصاص الطرف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مقادير الديات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موجبات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p>
    <w:p>
      <w:pPr>
        <w:pStyle w:val="BookText"/>
        <w:rPr/>
      </w:pPr>
      <w:r>
        <w:rPr>
          <w:rFonts w:ascii="Amiri" w:hAnsi="Amiri" w:eastAsia="Amiri" w:cs="Amiri"/>
          <w:color w:val="111111"/>
          <w:sz w:val="28"/>
          <w:sz w:val="28"/>
          <w:szCs w:val="28"/>
          <w:rtl w:val="true"/>
          <w:lang w:bidi="ar-SA"/>
        </w:rPr>
        <w:t xml:space="preserve">في الجناية على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 xml:space="preserve">في الجناية على المنافع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 xml:space="preserve">في الشِجاج والجراح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p>
    <w:p>
      <w:pPr>
        <w:pStyle w:val="BookText"/>
        <w:rPr/>
      </w:pPr>
      <w:r>
        <w:rPr>
          <w:rFonts w:ascii="Amiri" w:hAnsi="Amiri" w:eastAsia="Amiri" w:cs="Amiri"/>
          <w:color w:val="111111"/>
          <w:sz w:val="28"/>
          <w:sz w:val="28"/>
          <w:szCs w:val="28"/>
          <w:rtl w:val="true"/>
          <w:lang w:bidi="ar-SA"/>
        </w:rPr>
        <w:t xml:space="preserve">في دية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في الجناية على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في كفّارة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bookmarkStart w:id="10" w:name="pg10175_83457"/>
    </w:p>
    <w:p>
      <w:pPr>
        <w:pStyle w:val="Heading2"/>
        <w:numPr>
          <w:ilvl w:val="1"/>
          <w:numId w:val="1"/>
        </w:numPr>
        <w:rPr/>
      </w:pPr>
      <w:bookmarkStart w:id="11" w:name="__RefHeading___Toc2018332_1067777946"/>
      <w:bookmarkStart w:id="12" w:name="_Toc4"/>
      <w:bookmarkEnd w:id="10"/>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النبيّ الأُمّيّ وعلى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كتاب شرائع الإسلام من أهمّ المتون الفقهيّة وأحسنها ترتيباً وأجمعها للفروع عند الإماميّة، حيث إن المحقّق الحلّي جمع فيه لبّ ما في نهاية الشيخ التي كانت طبق مضامين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مبسوطه وخلافه اللَذَين كانا على حذو كتب العامّة في جمع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جعل الكتب الفقهيّة بترتيب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يمتاز به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السلس، والعبارة المشرقة، والدقّة في تأدية المعنى، والإيجاز في الألفاظ، والمنهجيّة الفذّة في البحث، والموضوعيّة الأمينة في عرض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المتتبّع الكبير الشيخ الطهراني في شأن الكتاب وأهمّيّته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ولع به الأصحاب من لدن عصر مؤلّفه إلى الآن، ولا يزال من الكتب الدراسيّة في عواصم العلم الشيعيّة، وقد اعتمد عليه الفقهاء خلال هذه القرون العديدة فجعلوا أبحاثهم وتدريساتهم فيه، وشروحهم وحواشيهم عليه، وللعلماء عليه حواشٍ كثيرة، وله شروح متعدّدة، بل إنّ معظم الموسوعات الفقهيّة الضخمة التي </w:t>
      </w:r>
    </w:p>
    <w:p>
      <w:pPr>
        <w:pStyle w:val="BookText"/>
        <w:rPr/>
      </w:pPr>
      <w:r>
        <w:rPr>
          <w:rFonts w:ascii="Amiri" w:hAnsi="Amiri" w:eastAsia="Amiri" w:cs="Amiri"/>
          <w:color w:val="111111"/>
          <w:sz w:val="28"/>
          <w:sz w:val="28"/>
          <w:szCs w:val="28"/>
          <w:rtl w:val="true"/>
          <w:lang w:bidi="ar-SA"/>
        </w:rPr>
        <w:t>ألّفت من بعد عصر المحقّق شروح له كما توضحه أسماؤها،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الأحكام وتقرير المرام وجامع الجوامع وجواهر الكلام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وللشهيد الثاني شرح كبير عليه معروف، وهو المسمّى بمسالك الأفهام في تنقيح شرائع الإسلام وهو أهمّ وأكبر مصنّفات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له حاشية عليه، ومن أجل معرفة خصوصيّاتها لا بدّ من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الحاشية مؤلّفها الشهيد في إجازته لتاج‌الدين ابن الشيخ هلال الجزائري، الصادرة له في الرابع عشر من شهر ذي الحجّة سنة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فاستخرت الله تعالى وأجزته جميع ماجرى به قلمي من المصنّفات المختصرة والمطوّلة، والحواشي والفوائد المفردة والفتاوى، وهي كثيرة شهيرة لايقتضي الحال ذكرها، ومن أهمّها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في تنقيح شرائع الإسلام وفّق الله تعالى لإكماله في سبع مجلّدات، كبيرة، ومنها حواشي الكتاب المذكور مجلّدان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وذكرها أيضاً تلميذ المصنّف وملازمه في حَلِّهِ وترحاله محمّد بن عليّ بن حسن العودي الجزّيني في رسالة بغية المريد في الكشف عن أحوال الشهيد التي حكى قسماً منها حفيد ابن المصنّف الشيخ عليّ بن محمّد بن الحسن بن زين الدين في كتابه الدرّ المنثور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وتبعهم في ذلك الشيخ الطهراني عند ذكر الحواشي على كتاب شرائع الإسلام </w:t>
      </w:r>
      <w:r>
        <w:rPr>
          <w:rStyle w:val="FootnoteAnchor"/>
          <w:rtl w:val="true"/>
        </w:rPr>
        <w:footnoteReference w:id="5"/>
      </w:r>
      <w:r>
        <w:rPr>
          <w:rFonts w:ascii="Amiri" w:hAnsi="Amiri" w:eastAsia="Amiri" w:cs="Amiri"/>
          <w:color w:val="111111"/>
          <w:sz w:val="28"/>
          <w:sz w:val="28"/>
          <w:szCs w:val="28"/>
          <w:rtl w:val="true"/>
          <w:lang w:bidi="ar-SA"/>
        </w:rPr>
        <w:t xml:space="preserve">علماً بأنّ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تعليقة مختصرة وقيود محبّرة على كتاب شرائع الإسلام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الشهيد الثاني تأريخ تأليفه لهذه الحاشية، ولعلّه ألّفها قبل تأليفه لمسالك الأفهام، حيث بدأ بكتابة بعض التعليقات المختصرة على الشرائع، ثمّ بدا له تطويرها وكتابة شرح كامل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الثابت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انتهى من تأليف </w:t>
      </w:r>
    </w:p>
    <w:p>
      <w:pPr>
        <w:pStyle w:val="BookText"/>
        <w:rPr/>
      </w:pPr>
      <w:r>
        <w:rPr>
          <w:rFonts w:ascii="Amiri" w:hAnsi="Amiri" w:eastAsia="Amiri" w:cs="Amiri"/>
          <w:color w:val="111111"/>
          <w:sz w:val="28"/>
          <w:sz w:val="28"/>
          <w:szCs w:val="28"/>
          <w:rtl w:val="true"/>
          <w:lang w:bidi="ar-SA"/>
        </w:rPr>
        <w:t>الجزء الأوّل من المسالك في يوم الأربعاء الثالث من شهر رمضان سنة إحدى و 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تأليفه لهذه الحاشية قبل هذا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ماهيّة الحاشية يتمّ في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الحاشية بشكل موجز ومختصر، فهو يذكر أوّلاً قول المحقّق الحلّي ثمّ يعلّق عليه بما تقتضيه الضرورة، وقد يشير إلى أقوال بعض العلماء دون التصريح بأسمائهم، كالشهيد الأوّل والعلّامة الحلّي والمحقّق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مقدّمتها إلى طبيعة هذه الحاشية وكونها مختصرة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تعليقة مختصرة وقيود مُحبّرة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تقيّد ما أطلقه وتُبيّن ما أجمله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المحقّق الحلّي في شرائع الإسلام إلى بعض الأقوال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ويُعلّق الشهيد الثاني على هذه الأقوال بكلمة واحدة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آراء الماتن المحقّق الحلّي في كتابه المعتبر، سواء كانت هذه الآراء موافقة لما في الشرائع أو 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معاني بعض المصطلحات أو الكلمات اللغوية دون الإشارة إلى المصدر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حجم هذه الحاشية مجهول لدينا؛ وذلك ناشئٌ من اختلاف محتوى النسخ الخطيّة لهذه الحاشية، فالمخطوطة المحفوظة في مكتبة الإمام الرضا علیه السلام، في مدينة مشهد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تنتهي بكتاب السكنى والحبس، بينما المخطوطة المحفوظة في مكتبة مجلس الشورى الإسلامي في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تنتهي بكتاب السبق والرماية، الفصل الرابع في أحكام النضال، عند قول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فله درهمان، ومن صلّى فله درهم، فلو سبق واحد أو أربعة فلهم الدرهمان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الشيخ الطهراني نسخةً من هذه الحاشية تحتوي على كتاب الفرائض فقط، حيث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نسخةً من حاشية الشهيد على كتاب الفرائض خاصّة من الشرائع في </w:t>
      </w:r>
    </w:p>
    <w:p>
      <w:pPr>
        <w:pStyle w:val="BookText"/>
        <w:rPr/>
      </w:pPr>
      <w:r>
        <w:rPr>
          <w:rFonts w:ascii="Amiri" w:hAnsi="Amiri" w:eastAsia="Amiri" w:cs="Amiri"/>
          <w:color w:val="111111"/>
          <w:sz w:val="28"/>
          <w:sz w:val="28"/>
          <w:szCs w:val="28"/>
          <w:rtl w:val="true"/>
          <w:lang w:bidi="ar-SA"/>
        </w:rPr>
        <w:t>مكتبة سيّدنا الشيرازي بسامراء، أوّله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هي جمع الفريضة بمعنى مفروضة من الفرض وهو التقدير، وينتهي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يرث بشرط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قبل قليل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أوّلاً هذه الحاشية على الشرائع بشكل مختصر، ثمّ بدا له كتابة شرح كامل له، فألّف كتابه الفقهي المعروف مسالك الأفهام، لذلك فإنّنا نجد تشابهاً كبيراً بين عبارات هذه الحاشية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هنا بإيراد خمسة موارد توضّح هذه النسبة بين الكتابين،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الحاشية عند شرح قول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غير النابع وإن جرى على وجه وجه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المسالك عين هذه العبارة مضيفاً 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المحقون عليه تغليب كتغليب الجاري على النابع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الحاشية عند شرح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تغيّر النجاسة أحد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 المشهورة، وهي اللون والطعم والرائحة، لا مطلق الأوصاف، والمعتبر في التغيّر الحسّي لا التقديري على الأقوى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الثلاثة المشهورة، أعني اللون والطعم والرائحة، لا مطلق الأوصاف كالحرارة والبرودة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بتغيير النجاسة له ما لو كان التغيّر بالمتنجّس كالدبس مثلاً، فإنّ انفعال طعم الماء لا ينجّسه، مالم يستند التغيّر إلى النجاسة والمعتبر في التغيّر الحسي لا التقديري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الحاشية عند شرح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ماكان كلُّ واحدٍ من طوله وعرضه</w:t>
      </w:r>
    </w:p>
    <w:p>
      <w:pPr>
        <w:pStyle w:val="BookText"/>
        <w:rPr/>
      </w:pPr>
      <w:r>
        <w:rPr>
          <w:rFonts w:ascii="Amiri" w:hAnsi="Amiri" w:eastAsia="Amiri" w:cs="Amiri"/>
          <w:color w:val="111111"/>
          <w:sz w:val="28"/>
          <w:sz w:val="28"/>
          <w:szCs w:val="28"/>
          <w:rtl w:val="true"/>
          <w:lang w:bidi="ar-SA"/>
        </w:rPr>
        <w:t>وعمقه ثلاثة أشبار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تساوي أبعاده، ومع اختلافها يعتبر بلوغ الحاصل من ضرب بعضها في بعض الحاصل من ضرب المتساوية كذلك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المسالك عين هذه العبارة مضيفاً 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وأربعون شبراً وسبعة أثمان الشبر من أشبار مستوي الخلقة، وهو الغالب في الناس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الحاشية عند شرح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كرّ إن مات فيها دابّة أو حمار أو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اختصاص الحكم بالبغل والحمار، وإلحاق الدابّة والبقرة بما لا نصّ فيه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المسالك عين هذه العبارة مضيفاً لها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المصنّف في المعتبر؛ لأن ما عداهما خالٍ عن النصّ، ومطلق المماثلة غير كافٍ في الحكم، فإنّ البقرة مثل الثور وليست بحكمه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الحاشية عند شرح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لموت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الحمامة والنعامة وما بينهما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في المسالك عین هذه العبارة دون أيّ زيادة فيها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طبعت هذه الحاشية لأوّل مرّة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مركزنا اعتماداً على نسختين خطّيّتين، 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المخطوطة المحفوظة في مكتبة مجلس الشورى الإسلامي في طهران برقم </w:t>
      </w:r>
      <w:r>
        <w:rPr>
          <w:rFonts w:eastAsia="Amiri" w:cs="Amiri" w:ascii="Amiri" w:hAnsi="Amiri"/>
          <w:color w:val="111111"/>
          <w:sz w:val="28"/>
          <w:szCs w:val="28"/>
          <w:lang w:bidi="ar-SA"/>
        </w:rPr>
        <w:t>4360</w:t>
      </w:r>
      <w:r>
        <w:rPr>
          <w:rFonts w:ascii="Amiri" w:hAnsi="Amiri" w:eastAsia="Amiri" w:cs="Amiri"/>
          <w:color w:val="111111"/>
          <w:sz w:val="28"/>
          <w:sz w:val="28"/>
          <w:szCs w:val="28"/>
          <w:rtl w:val="true"/>
          <w:lang w:bidi="ar-SA"/>
        </w:rPr>
        <w:t xml:space="preserve">، وهي مذكورة في فهرسها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كتبها بخطّ النسخ سعد بن محمّد الجزائري في يوم الأربعاء الرابع عشر من شهر جمادى الأُولى 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ويوجد في آخرها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 هذه النسخة من خطّ الشيخ الشهيد زين الدين قدّس الله روحه ونوّر ضريحه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المرموز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المخطوطة المحفوظة في مكتبة الإمام الرضا علیه السلام في مدينة مشهد المقدّسة برقم </w:t>
      </w:r>
      <w:r>
        <w:rPr>
          <w:rFonts w:eastAsia="IRNazanin" w:cs="IRNazanin"/>
          <w:color w:val="111111"/>
          <w:sz w:val="28"/>
          <w:szCs w:val="28"/>
          <w:lang w:bidi="fa-IR"/>
        </w:rPr>
        <w:t>14046</w:t>
      </w:r>
      <w:r>
        <w:rPr>
          <w:rFonts w:ascii="IRNazanin" w:hAnsi="IRNazanin" w:eastAsia="IRNazanin"/>
          <w:color w:val="111111"/>
          <w:sz w:val="28"/>
          <w:sz w:val="28"/>
          <w:szCs w:val="28"/>
          <w:rtl w:val="true"/>
          <w:lang w:bidi="fa-IR"/>
        </w:rPr>
        <w:t>، مذكورة في الفهرس الألفبائي لهذه المكتبة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وهي مجهولة الكاتب وتأريخ الاستنساخ؛ لأنّ الورقة الأخيرة منها غير موجودة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لمّا تقرّر طبع آثار الشهيد الثاني في قالب موسوعي، ارتأى مركزنا بإعادة النظر في الكتاب، وتصحيح أو تبديل ما يلزم بما يتواءم والقالب الفنّي الجديد، فندب جمعاً من الإخوة الأفاضل إلى تقديم ما يفيد العمل التحقيقي بجميع جوانبه العلميّة والفنّيّة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 نثمّن جهود الجميع، الشكر والثناء لكلّ من ساهم في تحقيق وإخراج هذه الحاشية، نخصّ بالذكر الإخوة حجج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ومحمّد الباقري ومنصور الإبراهيمي الذين ساهموا معنا في ضبط النصّ وتوزيعه، والأُستاذ الأديب أسعد الطيّب والشيخ علي أوسط الناطقي اللذين ساهما في المراجعة النهائيّة، ومحمّد مهدي عادل نيا وفرج الله جهاندوست ومحسن النوروزي والسيّد حسين بني هاشمي و غلامحسین الدهقان الذين ساهموا في مقابلة النسخ ومراجعة المصادر وتصحيح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أن يجعله ذخراً لنا ولهم في يوم لا ينفع مالٌ ولا بنون، وأن يوفّقنا لخدمة مدرسة أهل البيت علیهم السلام وأتباعهم ومحبّيهم في كلّ 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 w:name="pg10175_83463"/>
    </w:p>
    <w:p>
      <w:pPr>
        <w:pStyle w:val="Heading2"/>
        <w:numPr>
          <w:ilvl w:val="1"/>
          <w:numId w:val="1"/>
        </w:numPr>
        <w:rPr/>
      </w:pPr>
      <w:bookmarkStart w:id="14" w:name="__RefHeading___Toc2018334_1067777946"/>
      <w:bookmarkStart w:id="15" w:name="_Toc5"/>
      <w:bookmarkEnd w:id="13"/>
      <w:bookmarkEnd w:id="14"/>
      <w:r>
        <w:rPr>
          <w:rtl w:val="true"/>
        </w:rPr>
        <w:t>نماذج من مصوّرات النسخ الخطّیّة المعتمدة في التحقیق</w:t>
      </w:r>
      <w:bookmarkEnd w:id="15"/>
    </w:p>
    <w:p>
      <w:pPr>
        <w:pStyle w:val="BookText"/>
        <w:rPr/>
      </w:pPr>
      <w:r>
        <w:rPr>
          <w:rFonts w:ascii="Amiri" w:hAnsi="Amiri" w:eastAsia="Amiri" w:cs="Amiri"/>
          <w:color w:val="111111"/>
          <w:sz w:val="28"/>
          <w:sz w:val="28"/>
          <w:szCs w:val="28"/>
          <w:rtl w:val="true"/>
          <w:lang w:bidi="ar-SA"/>
        </w:rPr>
        <w:t>الصورة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شرائع الإسلام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178_83469"/>
      <w:bookmarkStart w:id="17" w:name="pg10178_83469"/>
      <w:bookmarkEnd w:id="17"/>
    </w:p>
    <w:p>
      <w:pPr>
        <w:pStyle w:val="Heading2"/>
        <w:numPr>
          <w:ilvl w:val="1"/>
          <w:numId w:val="1"/>
        </w:numPr>
        <w:rPr/>
      </w:pPr>
      <w:bookmarkStart w:id="18" w:name="pg10178_83469"/>
      <w:bookmarkStart w:id="19" w:name="__RefHeading___Toc2018336_1067777946"/>
      <w:bookmarkStart w:id="20" w:name="_Toc6"/>
      <w:bookmarkEnd w:id="18"/>
      <w:bookmarkEnd w:id="19"/>
      <w:r>
        <w:rPr>
          <w:rtl w:val="true"/>
        </w:rPr>
        <w:t>مقدّمة المصنّف</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حمداً يليق بجلاله وإفضاله، والصلاة على سيّدنا محمّدٍ نبيّه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تعليقةٌ مختصرةٌ وقيودٌ مُحبَّرةٌ </w:t>
      </w:r>
      <w:r>
        <w:rPr>
          <w:rStyle w:val="FootnoteAnchor"/>
          <w:rtl w:val="true"/>
        </w:rPr>
        <w:footnoteReference w:id="15"/>
      </w:r>
      <w:r>
        <w:rPr>
          <w:rFonts w:ascii="Amiri" w:hAnsi="Amiri" w:eastAsia="Amiri" w:cs="Amiri"/>
          <w:color w:val="111111"/>
          <w:sz w:val="28"/>
          <w:sz w:val="28"/>
          <w:szCs w:val="28"/>
          <w:rtl w:val="true"/>
          <w:lang w:bidi="ar-SA"/>
        </w:rPr>
        <w:t>على كتاب شرائع الإسلام، تُنَظِّمُ ما اعتمد عليه من فتواه، وتُقَيِّد ما أطلقه، وتُبيِّن ما أجمله، وعلى الله سبحانه أعتمد،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رعاية الإيمان تُوجب قضاء حقّ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إيمانُ المؤمن حتّى يُحبّ لأخيه ما يُحبّ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أكمل محبوب النفس قضاء حاجتها، وغير ذلك من الأخبار الدالّة على الحثّ </w:t>
      </w:r>
      <w:r>
        <w:rPr>
          <w:rStyle w:val="FootnoteAnchor"/>
          <w:rtl w:val="true"/>
        </w:rPr>
        <w:footnoteReference w:id="16"/>
      </w:r>
      <w:r>
        <w:rPr>
          <w:rFonts w:ascii="Amiri" w:hAnsi="Amiri" w:eastAsia="Amiri" w:cs="Amiri"/>
          <w:color w:val="111111"/>
          <w:sz w:val="28"/>
          <w:sz w:val="28"/>
          <w:szCs w:val="28"/>
          <w:rtl w:val="true"/>
          <w:lang w:bidi="ar-SA"/>
        </w:rPr>
        <w:t xml:space="preserve">على قضاء حاجة المؤمن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الأصحاب مَن عرفتُ الإيمانَ من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والأمر والحال </w:t>
      </w:r>
      <w:r>
        <w:rPr>
          <w:rStyle w:val="FootnoteAnchor"/>
          <w:rtl w:val="true"/>
        </w:rPr>
        <w:footnoteReference w:id="18"/>
      </w:r>
      <w:r>
        <w:rPr>
          <w:rFonts w:ascii="Amiri" w:hAnsi="Amiri" w:eastAsia="Amiri" w:cs="Amiri"/>
          <w:color w:val="111111"/>
          <w:sz w:val="28"/>
          <w:sz w:val="28"/>
          <w:szCs w:val="28"/>
          <w:rtl w:val="true"/>
          <w:lang w:bidi="ar-SA"/>
        </w:rPr>
        <w:t>، والمراد هنا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الصاحب هو محمّد بنُ محمود الزاهد، على ما وجدتُه بخطّ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واستبنتُ الصلاحَ على صفحات وجهه ونفحات لسانه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أشار بذلك إلى ما روي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أحدكم شيئاً إلّا أظهره الله على صفحات وجهه ونفحات لسانه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مبنيّ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عباداتٌ، وعقودٌ، وإيقاعاتٌ،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حصره في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فيه إمّا أن يكون غايته الآخرة أو الدنيا، والأوّل العبادات، والثاني إمّا أن لا يتوقّف حكمه على صيغة، أو يتوقّف، والأوّل الأحكام، والثاني إمّا أن يكتفى فيها بواحدٍ أو يعتبر اثنان ولو حُكماً و الأوّل الإيقاعات، والثاني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كثيراً من أبواب هذه الأقسام يدخل في غيره كالقضاء والشهادات والنذور وشبهها والعتق فإنّها من أقسام العبادات، والمكاتبة من أقسام العقود، وباقي العقود قد يقصد بها القربة فيكون منها، والخلع والمباراة من أقسام الإيقاع، وهما بالعقود أليق، وما يكتفى فيه بالقبول الفعلي من العقود هي بباب الإيقاع أليق؛ ومن ثَمّ اختلفت أنظارُهم 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ونبدأ منها بالأهمّ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الأهمّ منها قد يكون باعتبار فضيلته في ذاته كالصلاة، فإنّها أشرف من باقي العبادات؛ فلذا قدّمها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باعتبار غيره كالطهارة، فإنّها باعتبار كونها شرطاً للصلاة قدّمها عليها؛ لأنّ الشرط متقدّم على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باعتبار عموم الحاجة إليه كالصوم، فإنّه لوجوبه كلّ عام قدّمه على الحجّ الذي لا يتكرّر على المكلّف إلّا بسببٍ عَرَضي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لكثرة شرائطه وعسر </w:t>
      </w:r>
      <w:r>
        <w:rPr>
          <w:rStyle w:val="FootnoteAnchor"/>
          <w:rtl w:val="true"/>
        </w:rPr>
        <w:footnoteReference w:id="20"/>
      </w:r>
      <w:r>
        <w:rPr>
          <w:rFonts w:ascii="Amiri" w:hAnsi="Amiri" w:eastAsia="Amiri" w:cs="Amiri"/>
          <w:color w:val="111111"/>
          <w:sz w:val="28"/>
          <w:sz w:val="28"/>
          <w:szCs w:val="28"/>
          <w:rtl w:val="true"/>
          <w:lang w:bidi="ar-SA"/>
        </w:rPr>
        <w:t>وجود اجتماعها كالجهاد المشروط غالباً بإذن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الزكاة على الصوم مع مشاركتها له في علّة التقديم، لاقترانها بالصلاة في الآيات الشريفة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1" w:name="pg10178_83471"/>
    </w:p>
    <w:p>
      <w:pPr>
        <w:pStyle w:val="Heading2"/>
        <w:numPr>
          <w:ilvl w:val="1"/>
          <w:numId w:val="1"/>
        </w:numPr>
        <w:rPr/>
      </w:pPr>
      <w:bookmarkStart w:id="22" w:name="__RefHeading___Toc2018338_1067777946"/>
      <w:bookmarkStart w:id="23" w:name="_Toc7"/>
      <w:bookmarkEnd w:id="21"/>
      <w:bookmarkEnd w:id="22"/>
      <w:r>
        <w:rPr>
          <w:rtl w:val="true"/>
        </w:rPr>
        <w:t>كتاب الطهارة</w:t>
      </w:r>
      <w:bookmarkEnd w:id="23"/>
    </w:p>
    <w:p>
      <w:pPr>
        <w:pStyle w:val="Heading3"/>
        <w:numPr>
          <w:ilvl w:val="2"/>
          <w:numId w:val="1"/>
        </w:numPr>
        <w:rPr/>
      </w:pPr>
      <w:bookmarkStart w:id="24" w:name="__RefHeading___Toc2018340_1067777946"/>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للوضوء أو الغسل أو التيمّم على وجهٍ له تأثير في 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فيه كلّ من الغسل المكمّل بالوضوء، ووضوؤه تامّ، فإنّه لا يستباح بأحدهما، وإنّما له مدخلٌ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التعريف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الترديد المنافي للتحديد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 في أقسام المحدود لا في الحدّ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في طرده بالأبعاض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بخروجها بالمسمّيات الثلاثة، فإنّ دلالة المطابقة هي المعتبرة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يُستباح بها غير الصلاة كالطواف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ذكرها لا ينفي ما عداها، خصوصاً مع اشتماله على المزيّة من حيث اشتراطها مطلقاً بها، 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الجنس بالنوع، وهو دور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بجواز كون معرفة النوع ناقصة بحيث لا يتوقّف على معرفة الجنس، ومعرفة الجنس مستفادة من معرفة النوع الناقصة، فلا 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اندفاع الجميع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التعريف الاسمي لا تعتبر فيه السلامة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لصلاة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لِمَسِّ كتابة القرآن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وشبهه، أو لإصلاحِ غلطٍ لا يتمّ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لدخول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اللبث في غير المسجدين، ويستثنى من ذلك غسل المسّ فلا يتوقّف دخول المساجد مطلقاً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يجب إذا بقي لطلوع الفجر من يوم يجب صومه بقدر ما يغتسل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إلى أنّ غسل الجنابة واجب لغيره لا لنفسه، وهو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تضيّق الليل للصوم ووجوبِ عبادةٍ مشروطةٍ به لايجب، فينوي به حينئذٍ الندبَ بناءً على اعتبار نيّة الوجه، ويرتفع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ولصومِ المستحاضة إذا غَمَسَ دمُها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سال أم لم يسل، وإنّما يجب للصوم مع وجود الغمس قبل صلاة الفجر، فلو وجد بعده لم يجب إلّا مع السيلان قبل صلاة الظهرين، فيتوقّف عليه صحّة صوم اليوم الحاضر، أمّا لو تجدّد بعدها لم يتوقّف عليه الصوم وإن وجب الغسل لما بعده من الصلوات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من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وللمجنب في أحد المسجدين ليخرج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تعذّر الغسلُ داخلهما على وجهٍ يصحّ، وإلّا وجب الغسل، وكذا لو أجنب خارجهما ودخل قبل الغسل، وكذا القول في الحائض والنفساء مع انقطاع دمهما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والمندوب ما عداه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يجب التيمّم لِما تجب له الطهارتان مع تعذّرهما؛ ليدخل فيه الطوافُ الواجبُ، ومسّ كتابة القرآن إن وجبَ، ودخولُ المساجد على التفصيل</w:t>
      </w:r>
      <w:r>
        <w:rPr>
          <w:rFonts w:eastAsia="Amiri" w:cs="Amiri" w:ascii="Amiri" w:hAnsi="Amiri"/>
          <w:color w:val="111111"/>
          <w:sz w:val="28"/>
          <w:szCs w:val="28"/>
          <w:rtl w:val="true"/>
          <w:lang w:bidi="ar-SA"/>
        </w:rPr>
        <w:t xml:space="preserve">. </w:t>
      </w:r>
      <w:bookmarkStart w:id="26" w:name="pg10178_83473"/>
    </w:p>
    <w:p>
      <w:pPr>
        <w:pStyle w:val="Heading3"/>
        <w:numPr>
          <w:ilvl w:val="2"/>
          <w:numId w:val="1"/>
        </w:numPr>
        <w:rPr/>
      </w:pPr>
      <w:bookmarkStart w:id="27" w:name="__RefHeading___Toc2018342_1067777946"/>
      <w:bookmarkStart w:id="28" w:name="_Toc9"/>
      <w:bookmarkEnd w:id="26"/>
      <w:bookmarkEnd w:id="27"/>
      <w:r>
        <w:rPr>
          <w:rtl w:val="true"/>
        </w:rPr>
        <w:t>الركن الأوّل في المياه</w:t>
      </w:r>
      <w:bookmarkEnd w:id="28"/>
    </w:p>
    <w:p>
      <w:pPr>
        <w:pStyle w:val="Heading4"/>
        <w:numPr>
          <w:ilvl w:val="3"/>
          <w:numId w:val="1"/>
        </w:numPr>
        <w:rPr/>
      </w:pPr>
      <w:bookmarkStart w:id="29" w:name="__RefHeading___Toc2018344_1067777946"/>
      <w:bookmarkStart w:id="30" w:name="_Toc10"/>
      <w:bookmarkEnd w:id="29"/>
      <w:r>
        <w:rPr>
          <w:rtl w:val="true"/>
        </w:rPr>
        <w:t>اشارة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الأوّل في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النابع غير البئر وإن لم يجرِ على الأرض، وعدم انفعاله بدون التغيّر هو الأقوى، سواء دام نبعه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 بحكمه ماء الحمّام إذا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اشتراط بلوغ المادّة وما اتّصل بها من ماء الحمّام كرّاً، وحينئذٍ فلا فرق بين الحمّام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المحقون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غير النابع وإن جرى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يطهر بإتمامه كرّاً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تُغيّر النجاسةُ أحدَ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الثلاثة المشهورة، وهي اللون والطعم والرائحة، لا مطلق الأوصاف، والمعتبر في التغيّر الحسّي لا التقديري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منه كرّاً فصاعداً 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 بإلقاء كرٍّ عليه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الاكتفاء في طهارته بملاقاته الكرّ بحيث يتّحدان عرفاً، وكذا يطهر بوقوع المطر عليه متقاطراً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ومائتا رطلٍ بالعراقي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كان كلُّ واحدٍ من طوله وعَرضه وعُمقه ثلاثةَ أشبارٍ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تساوي أبعاده، ومع اختلافها يعتبر بلوغ الحاصل من ضرب بعضِها في </w:t>
      </w:r>
      <w:bookmarkStart w:id="31" w:name="pg10178_83474"/>
    </w:p>
    <w:p>
      <w:pPr>
        <w:pStyle w:val="BookText"/>
        <w:rPr/>
      </w:pPr>
      <w:bookmarkEnd w:id="31"/>
      <w:r>
        <w:rPr>
          <w:rFonts w:ascii="Amiri" w:hAnsi="Amiri" w:eastAsia="Amiri" w:cs="Amiri"/>
          <w:color w:val="111111"/>
          <w:sz w:val="28"/>
          <w:sz w:val="28"/>
          <w:szCs w:val="28"/>
          <w:rtl w:val="true"/>
          <w:lang w:bidi="ar-SA"/>
        </w:rPr>
        <w:t>بعضِ الحاصل من ضربِ المتساوية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في هذا الحكم مياه الغدران والحياض والأواني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018346_1067777946"/>
      <w:bookmarkStart w:id="33" w:name="_Toc11"/>
      <w:bookmarkEnd w:id="32"/>
      <w:r>
        <w:rPr>
          <w:rtl w:val="true"/>
        </w:rPr>
        <w:t>ماء البئر</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ماء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ماءٍ نابعٍ من الأرض، لا يتعدّاها غالباً، ولا يخرج عن مسمّاها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يُنجَّس بالملاقاة؟ فيه تردّد، والأظهرُ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وفي عدم انفعاله بدون التغيّر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بنزح جميعه إن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الدماء الثلاثةِ 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مات فيها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الإبل بمنزلة الإنسان يشمل الذكرَ والأُنثى والصغيرَ والكبير، وكذا يُنزح الجميعُ لموت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تراوح عليها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أربعةُ رجالٍ، فلا يكفي غيرُهم وإن قام بعملهم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يوم الصوم، ولا فرق بين الطويل والقصير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كرٍّ إن مات فيها دابّةٌ أو حمارٌ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اختصاصُ الحكم بالبغلِ والحمارِ، وإلحاق الدابّة والبقرة بما لانصّ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سبعين إن مات فيها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فيه بين الصغير والكبير، والذكر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وقع ميّتاً، ولا بين المسلم والكافر، إلّا أن يقع الكافرُ حيّاً فيلحق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خمسين إن وقعت فيها عَذِرة فذابت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فضلة الإنسان مطلقاً، والمشهور اعتبار الخمسين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كثير الدم كذَبْح الشاة، والمروي من ثلاثين إلى أربعين</w:t>
      </w:r>
      <w:r>
        <w:rPr>
          <w:rFonts w:eastAsia="Amiri" w:cs="Amiri" w:ascii="Amiri" w:hAnsi="Amiri"/>
          <w:color w:val="111111"/>
          <w:sz w:val="28"/>
          <w:szCs w:val="28"/>
          <w:rtl w:val="true"/>
          <w:lang w:bidi="ar-SA"/>
        </w:rPr>
        <w:t xml:space="preserve">». </w:t>
      </w:r>
      <w:bookmarkStart w:id="34" w:name="pg10178_83475"/>
    </w:p>
    <w:p>
      <w:pPr>
        <w:pStyle w:val="BookText"/>
        <w:rPr/>
      </w:pPr>
      <w:bookmarkEnd w:id="34"/>
      <w:r>
        <w:rPr>
          <w:rFonts w:ascii="Amiri" w:hAnsi="Amiri" w:eastAsia="Amiri" w:cs="Amiri"/>
          <w:color w:val="111111"/>
          <w:sz w:val="28"/>
          <w:sz w:val="28"/>
          <w:szCs w:val="28"/>
          <w:rtl w:val="true"/>
          <w:lang w:bidi="ar-SA"/>
        </w:rPr>
        <w:t>المشهور اعتبار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المرأة، بل هو ممّا لانصّ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الخنثى فيجب لبوله أكثر الأمرين من الأربعين وموجَبِ مالانصّ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سبع لموت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الحمامة والنعامة وما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ولاغتسال الجنب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الخالي بدنه من نجاسة خبثيّة، والحكم بالنجاسةِ تعبّدٌ، وإنّما يجب المقدّر مع صحّة الغُسل، ويشكل الحكم بالصحّة مع التعمُّدِ؛ للنهي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وبنزح دلولموت العصفور، 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مادون الحمامة من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ولبول الصبيّ الذي لم يغتذ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الحولين اغتذاءً غالباً على اللبن أو مساوياً، فلا يضرّ القليل، ولا تُلحق به الرضيعة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ماء المطر وفيه البول والعذرة وخُرْء الكلاب ثلاثون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بقاء عين هذه النجاسات في الماء وزوالها، وحكم بعضها حكم الجميع إن كان يوجب ذلك منفرداً، وإلّا كفى الاقتصار على مُقدَّرِه منفرداً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018348_1067777946"/>
      <w:bookmarkStart w:id="36" w:name="_Toc12"/>
      <w:bookmarkEnd w:id="35"/>
      <w:r>
        <w:rPr>
          <w:rtl w:val="true"/>
        </w:rPr>
        <w:t>فروع ثلاثة</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أجناس النجاسة موجب لتضاعف النزح، وفي تضاعفه مع التماثل تردّد، أحوطه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التضعيف مطلقاً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بعضاً من جملةٍ لها مقدَّرٌ، فلا يزيد حكمُ أبعاضها عن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يحصل من اجتماعها ما يوجب انتقال الحكم، كما لو وقع قليل دَمٍ ثمّ مثله </w:t>
      </w:r>
      <w:bookmarkStart w:id="37" w:name="pg10178_83476"/>
    </w:p>
    <w:p>
      <w:pPr>
        <w:pStyle w:val="BookText"/>
        <w:rPr/>
      </w:pPr>
      <w:bookmarkEnd w:id="37"/>
      <w:r>
        <w:rPr>
          <w:rFonts w:ascii="Amiri" w:hAnsi="Amiri" w:eastAsia="Amiri" w:cs="Amiri"/>
          <w:color w:val="111111"/>
          <w:sz w:val="28"/>
          <w:sz w:val="28"/>
          <w:szCs w:val="28"/>
          <w:rtl w:val="true"/>
          <w:lang w:bidi="ar-SA"/>
        </w:rPr>
        <w:t>بحيث صار كثيراً، فإنّ الواجبَ حينئذٍ منزوح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للنجاسة منزوح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تغيّر أحدُ أوصافِ مائها بالنجاسة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حتّى يزولَ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النجاسة المغيِّرة إن كانت منصوصةً وجبَ نزح أكثر الأمرين من المقدّر وما به يزول التغيّر، وإن كانت غير منصوصةٍ وجَبَ نزحُ الجميع، ومع التعذّر التراوح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 بنجاسة الماء لم يجز استعماله في الطهارة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اختياراً واضطراراً بقرينة التقييد في قَسيمَيه، وهو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بعدم الجواز التحريمُ مع اعتقاد المشروعيّةِ، أو بمعنى عدم الاعتداد به في رفع الحدث والخبث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اشتبه الإناء النجس بالطاهر وجب الامتناع منهما، ولو لم يجد غير مائهما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اشتبه المطلقُ بالمضاف، فإنّه تجب الطهارة بهما معاً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018350_1067777946"/>
      <w:bookmarkStart w:id="39" w:name="_Toc13"/>
      <w:bookmarkEnd w:id="38"/>
      <w:r>
        <w:rPr>
          <w:rtl w:val="true"/>
        </w:rPr>
        <w:t>الماء المضاف</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طاهر لكن لا يزيل حَدَثاً إجماعاً، ولا خَبَثاً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الطهارة بماءٍ أُسْخِنَ بالشمسِ في الآنيةِ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غيرُ الطهارة من الاستعمال كالأكل والشرب وإزالةِ النجاسة، ولا فرق بين الآنية المنطبعة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وغير المنطبعة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الأواني الأُخرى المصنوعة من الخزف أو الخشب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للتفصيل نهاية الإحكام،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الحدائق الناضرة،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ولا بين البلاد الحارّة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وماءٍ أُسخن بالنار في غَسل الأموات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الاختيار، فلو اضطرّ إليه لِبَرْدٍ وغيره فلا كراهيةَ</w:t>
      </w:r>
      <w:r>
        <w:rPr>
          <w:rFonts w:eastAsia="Amiri" w:cs="Amiri" w:ascii="Amiri" w:hAnsi="Amiri"/>
          <w:color w:val="111111"/>
          <w:sz w:val="28"/>
          <w:szCs w:val="28"/>
          <w:rtl w:val="true"/>
          <w:lang w:bidi="ar-SA"/>
        </w:rPr>
        <w:t xml:space="preserve">. </w:t>
      </w:r>
      <w:bookmarkStart w:id="40" w:name="pg10178_83477"/>
    </w:p>
    <w:p>
      <w:pPr>
        <w:pStyle w:val="BookText"/>
        <w:rPr/>
      </w:pPr>
      <w:bookmarkEnd w:id="4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والماء المستعمل في غسل الأخباث نَجِسٌ، سواء تغيّر بالنجاسة أو لم يتغيّر، عدا ماء الاستنجاء، فإنّه طاهرٌ ما لم يتغيّر بالنجاسة، أو تلاقيه نجاسةٌ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الخارج عن محلّه وإن كان من جنسه، أم عن حقيقتِه كالدم وإن كان مستصحباً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أيضاً أن لا تنفصل مع الماء أجزاء من النجاسة مُتميِّزة، ولا فرق بين المخرجين، ولا بين المتعدّي وغيرِه في صدق اسم الاستنجاء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الأكبر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يُرفَع به الحدثُ ثانياً؟ فيه تردّدٌ، والأحوط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يُرفَعُ</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018352_1067777946"/>
      <w:bookmarkStart w:id="42" w:name="_Toc14"/>
      <w:bookmarkEnd w:id="41"/>
      <w:r>
        <w:rPr>
          <w:rtl w:val="true"/>
        </w:rPr>
        <w:t>الأسآر</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سؤر، وهو ماءٌ قليلٌ باشره جسمُ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سؤر المُسوخ تردّدٌ، والطهارة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عدا الخوارجِ والغُلاةِ من أصناف المسلمين طاهرُ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النهروان ومَن دانَ بمقالتهم، ومِن مقالتهم بغض عليّ علیه السلام، وفي حكمهم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المُبْغِضون لأحدٍ من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المجسّمة بالحقيقة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إلهيّة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ويكره سؤر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التي لا تُؤْمَن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التي لا تتحفّظ من النجاسة، وكذا كلّ مَن لا يتحفّظ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لايُدرَك بالطرف من الدم لا يُنَجِّسُ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يُنَجِّسُه وهو الأحوط</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 الطرف لا يُدركه بعد وصوله إلى الماء؛ لقلّته، فيستحيل فيه بسرعةٍ، والأقوى أنّه ينجِّسه كالكثير</w:t>
      </w:r>
      <w:r>
        <w:rPr>
          <w:rFonts w:eastAsia="Amiri" w:cs="Amiri" w:ascii="Amiri" w:hAnsi="Amiri"/>
          <w:color w:val="111111"/>
          <w:sz w:val="28"/>
          <w:szCs w:val="28"/>
          <w:rtl w:val="true"/>
          <w:lang w:bidi="ar-SA"/>
        </w:rPr>
        <w:t xml:space="preserve">. </w:t>
      </w:r>
      <w:bookmarkStart w:id="43" w:name="pg10178_83478"/>
    </w:p>
    <w:p>
      <w:pPr>
        <w:pStyle w:val="Heading3"/>
        <w:numPr>
          <w:ilvl w:val="2"/>
          <w:numId w:val="1"/>
        </w:numPr>
        <w:rPr/>
      </w:pPr>
      <w:bookmarkStart w:id="44" w:name="__RefHeading___Toc2018354_1067777946"/>
      <w:bookmarkStart w:id="45" w:name="_Toc15"/>
      <w:bookmarkEnd w:id="43"/>
      <w:bookmarkEnd w:id="44"/>
      <w:r>
        <w:rPr>
          <w:rtl w:val="true"/>
        </w:rPr>
        <w:t>الركن الثاني في الطهارة المائيّة</w:t>
      </w:r>
      <w:bookmarkEnd w:id="45"/>
    </w:p>
    <w:p>
      <w:pPr>
        <w:pStyle w:val="Heading4"/>
        <w:numPr>
          <w:ilvl w:val="3"/>
          <w:numId w:val="1"/>
        </w:numPr>
        <w:rPr/>
      </w:pPr>
      <w:bookmarkStart w:id="46" w:name="__RefHeading___Toc2018356_1067777946"/>
      <w:bookmarkStart w:id="47" w:name="_Toc16"/>
      <w:bookmarkEnd w:id="46"/>
      <w:r>
        <w:rPr>
          <w:rtl w:val="true"/>
        </w:rPr>
        <w:t>اشارة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الثاني في الطهارة المائيّة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018358_1067777946"/>
      <w:bookmarkStart w:id="49" w:name="_Toc17"/>
      <w:bookmarkEnd w:id="48"/>
      <w:r>
        <w:rPr>
          <w:rtl w:val="true"/>
        </w:rPr>
        <w:t>الفصل الأوّل في الأحداث الموجبة للوضوء</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 في الأحداث الموجبة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والغائط والريح من الموضع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الموضع الطبيعي لخروج الأحداث، ولا يشترط فيه الاعتياد،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الغائط ممّا دون المعدة، نقض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مع عدم انسداد المعتاد، أمّا معه فينقض مطلقاً، والأصحّ أنّه ينقض مع الاعتياد، ويتحقّق بالخروج منه مرّتين فينقض في الثالثة، والمراد بما دون المعدة ما تحت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 الغالب على الحاسّتين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مستهلكة لا مطلق الغلبة، والمعتبر زوال الإحساس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والاستحاضة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بالقلّة لإخراج ما فوقَها، فإنّه وإن أوجب الوضوءَ في بعض الأحوال إلّا أنّه يوجب الغسل في الجملة، والكلام في مُوجِبِ الوضوء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الطهارةَ مذي ولا 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رقيقٌ لِزجٌ يخرج عقيب الشهوةِ، والودي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أبيضُ غليظٌ يخرج عقيب البول، وبالمعجمة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يخرج عقيبَ الإنزال، والثلاثةُ طاهرةٌ غيرُ ناقضةٍ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018360_1067777946"/>
      <w:bookmarkStart w:id="51" w:name="_Toc18"/>
      <w:bookmarkEnd w:id="50"/>
      <w:r>
        <w:rPr>
          <w:rtl w:val="true"/>
        </w:rPr>
        <w:t>أحكام الخلوة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الخلوة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فيه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 محترمٍ</w:t>
      </w:r>
      <w:r>
        <w:rPr>
          <w:rFonts w:eastAsia="Amiri" w:cs="Amiri" w:ascii="Amiri" w:hAnsi="Amiri"/>
          <w:color w:val="111111"/>
          <w:sz w:val="28"/>
          <w:szCs w:val="28"/>
          <w:rtl w:val="true"/>
          <w:lang w:bidi="ar-SA"/>
        </w:rPr>
        <w:t xml:space="preserve">. </w:t>
      </w:r>
      <w:bookmarkStart w:id="52" w:name="pg10178_83479"/>
    </w:p>
    <w:p>
      <w:pPr>
        <w:pStyle w:val="BookText"/>
        <w:rPr/>
      </w:pPr>
      <w:bookmarkEnd w:id="5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استقبال القبلةِ واستدبارُها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بمقاديم البدن على حدِّ ما يعتبر في الصلاةِ، والعورة في ذلك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غسل موضع البول بالماء، ولا يُجزئ غيره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العجز فيجزئ، بمعنى وجوب تجفيف النجاسة بما أمكن لأجل الصلاةِ ونحوِها وإن لم يحكم بطُهر المحلِّ، كما يُجزئ التيمّم عن الطهارة المائيّة عند تعذّرها ثمّ ينتقض بوجود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يُجزئ مِثلا ما على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غَسله مرّتين منفصلتين، وكذا من البول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يتعدّ كان مخيّراً بين الماء والأحجار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الأحجار ما يزيلُ النجاسة من الأجسامِ الطاهرةِ الصلبة الجافّةِ غيرِ المحترمة، كالخِرَقِ والخَزفِ والخَشَبِ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العين دون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بالأثر الأجزاء اللطيفة العالقة بالمحلِّ التي لا تزول إلّا بالماء، وليس هو الرطوبةُ ولا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يُستعمل الحجرُ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نجاستِه، فلو طهر أو كان طاهراً كالمكمّل للثلاثة بعد نقاء المحلّ جاز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استعمل ذلك لم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العظمَ والرَوْثَ الصُلب والمطعومِ يُطَهِّرُ وإن أثِمَ الفاعل</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018362_1067777946"/>
      <w:bookmarkStart w:id="54" w:name="_Toc19"/>
      <w:bookmarkEnd w:id="53"/>
      <w:r>
        <w:rPr>
          <w:rtl w:val="true"/>
        </w:rPr>
        <w:t>سنن الخلوة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مكشوفاً، ويستحبّ التقنّع فوق العمّامة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الشوارع والمشارع</w:t>
      </w:r>
      <w:r>
        <w:rPr>
          <w:rFonts w:eastAsia="Amiri" w:cs="Amiri" w:ascii="Amiri" w:hAnsi="Amiri"/>
          <w:color w:val="111111"/>
          <w:sz w:val="28"/>
          <w:szCs w:val="28"/>
          <w:rtl w:val="true"/>
          <w:lang w:bidi="ar-SA"/>
        </w:rPr>
        <w:t xml:space="preserve">». </w:t>
      </w:r>
      <w:bookmarkStart w:id="55" w:name="pg10178_83480"/>
    </w:p>
    <w:p>
      <w:pPr>
        <w:pStyle w:val="BookText"/>
        <w:rPr/>
      </w:pPr>
      <w:bookmarkEnd w:id="55"/>
      <w:r>
        <w:rPr>
          <w:rFonts w:ascii="Amiri" w:hAnsi="Amiri" w:eastAsia="Amiri" w:cs="Amiri"/>
          <w:color w:val="111111"/>
          <w:sz w:val="28"/>
          <w:sz w:val="28"/>
          <w:szCs w:val="28"/>
          <w:rtl w:val="true"/>
          <w:lang w:bidi="ar-SA"/>
        </w:rPr>
        <w:t>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الطُرق، والمشارع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المياه كشطوط الأنهار ورؤوس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تحت الأشجار المُثمرةِ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التي من شأنها أن تُثمر وإن لم تكن مثمرةً بالفعل، والكراهةُ مشروطةٌ بعدم استلزامه التصرّف في مال الغير بأن يكون المحلّ له، ولم يستلزم أذى الثمرة ولا الشجرة لو كانت لغيره، وإلّا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ومواضع 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كلُّ موضعٍ يُلعن فاعل الحدث فيه، وروي أنّها أبوابُ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واستقبال الشمس والقمر بفَرجِه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جعل بينهما حائلاً ولو ثوباً زالت الكراهيّة وإن استقبل الجهة، بخلاف استقبال القبلة واستدبارها فإنّ المعتبر فيهما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وباليسار وفيها خاتم عليه اسم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اسم نبيّ، أو إمامٍ مقصودٍ بالكتابة، هذا إذا لم تُصبه نجاسةٌ،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إلّا بذكر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حاجة يضرُّ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لا يمكن تحصيلها بدون الكلام، فلو اندفعت الحاجةُ بالإشارةِ ونحوِها لم تزل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أيضاً ردّ السلام وإن كره السلام على المتخلّي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وحمدُ الله عند العطاس، وحكايةُ الأذان غير الحيعلات من جملة الذكر</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018364_1067777946"/>
      <w:bookmarkStart w:id="57" w:name="_Toc20"/>
      <w:bookmarkEnd w:id="56"/>
      <w:r>
        <w:rPr>
          <w:rtl w:val="true"/>
        </w:rPr>
        <w:t>في كيفيّة الوضوء</w:t>
      </w:r>
      <w:bookmarkEnd w:id="57"/>
    </w:p>
    <w:p>
      <w:pPr>
        <w:pStyle w:val="Heading5"/>
        <w:numPr>
          <w:ilvl w:val="4"/>
          <w:numId w:val="1"/>
        </w:numPr>
        <w:rPr/>
      </w:pPr>
      <w:bookmarkStart w:id="58" w:name="__RefHeading___Toc2018366_1067777946"/>
      <w:bookmarkStart w:id="59" w:name="_Toc21"/>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تجب نيّة رفع الحدث، أو استباحة شيء ممّا تشترط فيه الطهارة؟ الأظهر أنّه 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نيّة أحد الأمرين مع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تُعتبر النيّة في طهارة الثياب، ولاغير ذلك ممّا يقصد به رفع الخبث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زَوال النجاسةِ بدونها ، لكن يتوقّف عليها حصولُ الثواب، كما يتوقّف </w:t>
      </w:r>
      <w:bookmarkStart w:id="60" w:name="pg10178_83481"/>
    </w:p>
    <w:p>
      <w:pPr>
        <w:pStyle w:val="BookText"/>
        <w:rPr/>
      </w:pPr>
      <w:bookmarkEnd w:id="60"/>
      <w:r>
        <w:rPr>
          <w:rFonts w:ascii="Amiri" w:hAnsi="Amiri" w:eastAsia="Amiri" w:cs="Amiri"/>
          <w:color w:val="111111"/>
          <w:sz w:val="28"/>
          <w:sz w:val="28"/>
          <w:szCs w:val="28"/>
          <w:rtl w:val="true"/>
          <w:lang w:bidi="ar-SA"/>
        </w:rPr>
        <w:t>عليها ثوابُ 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 إلى نيّة التقرّب إرادة التبرّد، أو غير ذلك كانت طهارتُه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البطلان، ومثلُه إرادة التنظيف والتسخّن بالماء الحارّ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النيّةِ عند غَسل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المستحبّ لأجل الوضوء، فلو كان غيره لم يُجزئ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استدامة حكمِها إلى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الاستدامة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ينوي نيّةً تنافي النيّة الأُولى، أو تنافي بعض مميّزاتها قبل الفراغ من الوضوء، ومتى أخلّ بها بطلت النيّةُ بالنسبة إلى باقي الأفعال لا الوضوء فيستأنفها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غسل الجنابة أجزأ عن غيره، ولو نوى غيره لم يُجز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تداخلُ أسباب الغسل مطلقاً، وإجزاء غسلٍ واحد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أحدُ الأسباب الجنابةَ لم يجب مع الغسل وضوءٌ، وإلّا وجب الوضوء، ولو جامعها سبب يُستحبّ له الغسل دخل أيضاً</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018368_1067777946"/>
      <w:bookmarkStart w:id="62" w:name="_Toc22"/>
      <w:bookmarkEnd w:id="61"/>
      <w:r>
        <w:rPr>
          <w:rtl w:val="true"/>
        </w:rPr>
        <w:t>غسل الوجه</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وهو ما بين منابت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خرج عن ذلك فليس من حدِّ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بالأصالةِ، لكن يجب غَسلُ جزءٍ من كلِّ حدودِ الوجه؛ 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بالأنزع ولا بالأغمّ، ولا بِمن تجاوزتْ أصابعُه العِذارَ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حاذى الأُذن يتّصل أعلاه بالصُدغِ، وأسفله بالعارض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الشعر المنحطّ عن القدر المحاذي للأُذن نابتاً على اللحية </w:t>
      </w:r>
      <w:r>
        <w:rPr>
          <w:rStyle w:val="FootnoteAnchor"/>
          <w:rtl w:val="true"/>
        </w:rPr>
        <w:footnoteReference w:id="25"/>
      </w:r>
      <w:r>
        <w:rPr>
          <w:rFonts w:ascii="IRNazanin" w:hAnsi="IRNazanin" w:eastAsia="IRNazanin"/>
          <w:color w:val="111111"/>
          <w:sz w:val="28"/>
          <w:sz w:val="28"/>
          <w:szCs w:val="28"/>
          <w:rtl w:val="true"/>
          <w:lang w:bidi="fa-IR"/>
        </w:rPr>
        <w:t xml:space="preserve">، وتحته </w:t>
      </w:r>
      <w:bookmarkStart w:id="63" w:name="pg10178_83482"/>
    </w:p>
    <w:p>
      <w:pPr>
        <w:pStyle w:val="BookText"/>
        <w:rPr/>
      </w:pPr>
      <w:bookmarkEnd w:id="63"/>
      <w:r>
        <w:rPr>
          <w:rFonts w:ascii="Amiri" w:hAnsi="Amiri" w:eastAsia="Amiri" w:cs="Amiri"/>
          <w:color w:val="111111"/>
          <w:sz w:val="28"/>
          <w:sz w:val="28"/>
          <w:szCs w:val="28"/>
          <w:rtl w:val="true"/>
          <w:lang w:bidi="ar-SA"/>
        </w:rPr>
        <w:t xml:space="preserve">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مجمع اللحيين </w:t>
      </w:r>
      <w:r>
        <w:rPr>
          <w:rStyle w:val="FootnoteAnchor"/>
          <w:rtl w:val="true"/>
        </w:rPr>
        <w:footnoteReference w:id="26"/>
      </w:r>
      <w:r>
        <w:rPr>
          <w:rFonts w:ascii="Amiri" w:hAnsi="Amiri" w:eastAsia="Amiri" w:cs="Amiri"/>
          <w:color w:val="111111"/>
          <w:sz w:val="28"/>
          <w:sz w:val="28"/>
          <w:szCs w:val="28"/>
          <w:rtl w:val="true"/>
          <w:lang w:bidi="ar-SA"/>
        </w:rPr>
        <w:t>، بالفتح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وجوب غَسل العارِض، والأقوى وجوبُ غَسل العِذار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يرجع كلّ منهم إلى مستوي الخلقة فَيَغْسِلُ ما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كلّاً من الأنزع والأغمّ، ومَن كَبُر وَجْهُه وصَغُر، وطالت أصابعُه وقصرت، يغسل من وجهه مالو قدِّر أنّه مستوي الخلقة لَغَسله، فلا يتجاوز طويلُ الأصابع العِذارَ، ولا يغسل الأنزعُ ما ينبت عليه شَعرُ مستوي الخلقة من رأسه، ويغسل الأغمّ مِن منابت شَعره ما لا ينبت عليه شعرُ مستوي الخلقة، ويغسل كبير الوجه وقصير الأصابع من عَرض وجهه إلى منتهى العذارين والعارضين وإن لم تبلغهما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يغسل من أعلى الوجه إلى الذقن، ولو غسل منكوساً لم يُجزِ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غَسلُ ما استرسل من اللحيةِ ولا تخليلُها، بل يغسل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يجب غَسلُ الشَعر المسترسل منها، ولا إدخال الماء خِلال الشَعر ليصل إلى البَشَرةِ، سواءٌ في ذلك اللحية الخفيفة والكثيفة، بل يغسل صاحبُ الخفيفة ما يظهر من بَشَرَتِه التي يجب غَسلُها قبلَ ظهور الشَعر دون المستورِ منها بالشعر، لكن يجب إدخال جزءٍ من المستور من باب المقدِّمةِ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018370_1067777946"/>
      <w:bookmarkStart w:id="65" w:name="_Toc23"/>
      <w:bookmarkEnd w:id="64"/>
      <w:r>
        <w:rPr>
          <w:rtl w:val="true"/>
        </w:rPr>
        <w:t>غسل اليدين</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قُطِعتْ مِن المرفق سقط فرضُ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قُطِعَ مجموعُ المِرفَق بأن قُطِعت اليدُ من رأس العَضُد لا من المِفصل، فلو قُطعتْ من المِفْصَل وجب غَسل رأس العَضُد؛ لأنّه بعض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به كلُّ واحدٍ من رأس العَظْمين المتداخلين، أعني رأسَ الذراع 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غَسل المرفق أصالةً، ولو أوجبناه مقدِّمة فقطعت من المِفْصَل سقط غَسل الباقي</w:t>
      </w:r>
      <w:r>
        <w:rPr>
          <w:rFonts w:eastAsia="Amiri" w:cs="Amiri" w:ascii="Amiri" w:hAnsi="Amiri"/>
          <w:color w:val="111111"/>
          <w:sz w:val="28"/>
          <w:szCs w:val="28"/>
          <w:rtl w:val="true"/>
          <w:lang w:bidi="ar-SA"/>
        </w:rPr>
        <w:t xml:space="preserve">. </w:t>
      </w:r>
      <w:bookmarkStart w:id="66" w:name="pg10178_83483"/>
    </w:p>
    <w:p>
      <w:pPr>
        <w:pStyle w:val="BookText"/>
        <w:rPr/>
      </w:pPr>
      <w:bookmarkEnd w:id="6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ذراعان دون المرفق، أو أصابع زائدة، أو لحم نابت، وجب غسل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أنّ كلّ ما تحت المِرفق أو فيه يجب غَسلُه، سواء تميّزَ الزائدُ من الأصلي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فوقَه لا يجب إلّا اليد، فإنّها تُغسل مطلقاً مع عدم تميّزها عن الأصليّة، ومعه تُغسل الأصليّةُ لا غير على الأقوى</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018372_1067777946"/>
      <w:bookmarkStart w:id="68" w:name="_Toc24"/>
      <w:bookmarkEnd w:id="67"/>
      <w:r>
        <w:rPr>
          <w:rtl w:val="true"/>
        </w:rPr>
        <w:t>مسح الرأس</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جَفَّ ما على يده أخذ من لحيته وأشفار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الأخذ من بَلَلِ هذه ولا غيرِها من محالّ الوضوء الواجبةِ والمستحبّةِ جَفافُ ما على اليد الماسحة، بل يجوز الأخذُ من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مسح الرأس مقبلاً، ويُكره مُدبِراً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غَسَلَ موضعَ المسح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غَسله بجريان الماء على مَوضِع المسحِ وإن كان من بَلَل الوضوء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المسحُ على الشَعر المختصِّ بالمقدَّم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لا يخرج بمدّه عن حدِّ المقدَّم، وإلّا لم يجز على الجزء الخارج بالمدّ عنه، ويجوز على أصله الذي لا يخرج</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018374_1067777946"/>
      <w:bookmarkStart w:id="70" w:name="_Toc25"/>
      <w:bookmarkEnd w:id="69"/>
      <w:r>
        <w:rPr>
          <w:rtl w:val="true"/>
        </w:rPr>
        <w:t>[</w:t>
      </w:r>
      <w:r>
        <w:rPr>
          <w:rtl w:val="true"/>
        </w:rPr>
        <w:t>مسح الرجلين</w:t>
      </w:r>
      <w:r>
        <w:rPr>
          <w:rtl w:val="true"/>
        </w:rPr>
        <w:t>]</w:t>
      </w:r>
      <w:bookmarkEnd w:id="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 الرِجْلَين 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وجوبُ تقديم اليمنى، فلا يجزئ العكسُ ولا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قطع من الكعبِ سقط المسحُ على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قطع مجموع الكعب، وإلّا وجب مسح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المسحُ على بشرة القَدَم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الشَعرِ وإن اختصّ به، بخلاف الرأس</w:t>
      </w:r>
      <w:r>
        <w:rPr>
          <w:rFonts w:eastAsia="IRNazanin" w:cs="IRNazanin"/>
          <w:color w:val="111111"/>
          <w:sz w:val="28"/>
          <w:szCs w:val="28"/>
          <w:rtl w:val="true"/>
          <w:lang w:bidi="fa-IR"/>
        </w:rPr>
        <w:t xml:space="preserve">. </w:t>
      </w:r>
      <w:bookmarkStart w:id="71" w:name="pg10178_83484"/>
    </w:p>
    <w:p>
      <w:pPr>
        <w:pStyle w:val="BookText"/>
        <w:rPr/>
      </w:pPr>
      <w:bookmarkEnd w:id="7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على حائلٍ من خُفٍّ أو غيره إلّا للتقيّة أو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المسحُ على الخُفِّ للتقيّة لا على غيره، ويُشترط في جواز المسح عليه أن لا تتأدّى بغسل الرِجلين مع إمرارِ اليد على ظاهرهما في محلِّ المسح، وإلّا قُدِّم على مسح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زال السببُ أعاد الطهارةَ على قولٍ،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الوجوب</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018376_1067777946"/>
      <w:bookmarkStart w:id="73" w:name="_Toc26"/>
      <w:bookmarkEnd w:id="72"/>
      <w:r>
        <w:rPr>
          <w:rtl w:val="true"/>
        </w:rPr>
        <w:t>[</w:t>
      </w:r>
      <w:r>
        <w:rPr>
          <w:rtl w:val="true"/>
        </w:rPr>
        <w:t>مسائل</w:t>
      </w:r>
      <w:r>
        <w:rPr>
          <w:rtl w:val="true"/>
        </w:rPr>
        <w:t>:]</w:t>
      </w:r>
      <w:bookmarkEnd w:id="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واجبة،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المتابعةُ بين الأعضاء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أنّها مراعاةُ الجَفاف لجميعِ ما تقدّم مطلقاً، والمعتبرُ منه الحسّي لا التقديري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المسح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فيه تكرارٌ مشروعٌ بحيث يكون جزءاً من العبادة، فلو فعله غيرَ معتقدٍ مشروعيّتَه كان عابثاً، ومع الاعتقاد يحرم ولا يُبْطِل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في الغسل ما يسمّى به غاسلاً وإن كان 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يحصل به مسمّاه أن ينتقل كلُّ جزءٍ من الماء عن محلِّه إلى غيره من العضو، أو إلى خارجٍ ولو بمعاون، وتشبيهه بالدهن مبالغةٌ في الاجتزاء بقليلِ الجريان على وجهِ المَجاز، لا أنّه يجزئ نفس الدهن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بَعضِ أعضاءِ طهارته جبائرُ، فإن أمكنه نزعُها أو تكرار الماء عليها حتّى يصل إلى البشرة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يتخيّر بين الأمرين لو كانت في محلّ الغَسل، وإلّا لم يكفِ إيصال الماء إلى ما تحتها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أنّها إن كانت في محلّ الغَسل، وأمكن إيصال الماء إلى ما تحتها على </w:t>
      </w:r>
      <w:bookmarkStart w:id="74" w:name="pg10178_83485"/>
    </w:p>
    <w:p>
      <w:pPr>
        <w:pStyle w:val="BookText"/>
        <w:rPr/>
      </w:pPr>
      <w:bookmarkEnd w:id="74"/>
      <w:r>
        <w:rPr>
          <w:rFonts w:ascii="Amiri" w:hAnsi="Amiri" w:eastAsia="Amiri" w:cs="Amiri"/>
          <w:color w:val="111111"/>
          <w:sz w:val="28"/>
          <w:sz w:val="28"/>
          <w:szCs w:val="28"/>
          <w:rtl w:val="true"/>
          <w:lang w:bidi="ar-SA"/>
        </w:rPr>
        <w:t>وجه الغَسل، وكان ما تحتها طاهراً وجب غَسل ما تحتها، وإن كان نجساً اشترط قبل ذلك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غسل ما تحتها مسحَ على ظاهرها إن كان طاهراً، وإلّا وضعَ عليها شيئاً طاهراً ومسحَ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في محلّ المسح وجبَ نزعُها مع الإمكان مطلقاً، ومع تعذّره يمسح عليها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المَسْحَين ما كان يجب قبل الجبيرة، من استيعاب المحلّ، والاكتفاء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مع المسح إجراء الماء عليها وإن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على الكسر أو الجرح لَصوقٌ، فإن أمكن غَسْلُه أو مَسْحُه في موضعِ المسح وجبَ، وإلّا غسل ما حوله، والأولى مسحه إن أمكن، أو وضعُ شيء عليه والمسح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زال العذرُ استأنف الطهارةَ على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الاستئناف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يتولّى وضوءَه غيرُه مع الاختيار، ويجوز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ولو بأُجرةٍ، ويتولّى المكلَّفُ النيّةَ، والأفضل أن ينويا معاً، وينوي كلُّ ما يطابق فعلَه، ولو أمكن تقديمُ ما يغمس فيه المعذورُ العضوَ قُدِّم على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السَلَسُ،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البَطنُ إذا تجدّد حدثُه في أثناء الصلاة يتطهَّر ويبني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 ولو كانت لهما </w:t>
      </w:r>
      <w:r>
        <w:rPr>
          <w:rStyle w:val="FootnoteAnchor"/>
          <w:rtl w:val="true"/>
        </w:rPr>
        <w:footnoteReference w:id="27"/>
      </w:r>
      <w:r>
        <w:rPr>
          <w:rFonts w:ascii="Amiri" w:hAnsi="Amiri" w:eastAsia="Amiri" w:cs="Amiri"/>
          <w:color w:val="111111"/>
          <w:sz w:val="28"/>
          <w:sz w:val="28"/>
          <w:szCs w:val="28"/>
          <w:rtl w:val="true"/>
          <w:lang w:bidi="ar-SA"/>
        </w:rPr>
        <w:t>فترةٌ تسع الطهارةَ والصلاةَ وجب تحرّيها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018378_1067777946"/>
      <w:bookmarkStart w:id="76" w:name="_Toc27"/>
      <w:bookmarkEnd w:id="75"/>
      <w:r>
        <w:rPr>
          <w:rtl w:val="true"/>
        </w:rPr>
        <w:t>[</w:t>
      </w:r>
      <w:r>
        <w:rPr>
          <w:rtl w:val="true"/>
        </w:rPr>
        <w:t>سنن الوضوء</w:t>
      </w:r>
      <w:r>
        <w:rPr>
          <w:rtl w:val="true"/>
        </w:rPr>
        <w:t>]</w:t>
      </w:r>
      <w:bookmarkEnd w:id="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وضع الإناء على اليمين والاغتراف 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الإناء يُغترف منه، وإلّا وُضع على اليسار للصبّ منه في اليمين للغَسل بها، </w:t>
      </w:r>
      <w:bookmarkStart w:id="77" w:name="pg10178_83486"/>
    </w:p>
    <w:p>
      <w:pPr>
        <w:pStyle w:val="BookText"/>
        <w:rPr/>
      </w:pPr>
      <w:bookmarkEnd w:id="77"/>
      <w:r>
        <w:rPr>
          <w:rFonts w:ascii="Amiri" w:hAnsi="Amiri" w:eastAsia="Amiri" w:cs="Amiri"/>
          <w:color w:val="111111"/>
          <w:sz w:val="28"/>
          <w:sz w:val="28"/>
          <w:szCs w:val="28"/>
          <w:rtl w:val="true"/>
          <w:lang w:bidi="ar-SA"/>
        </w:rPr>
        <w:t>أو للإدارة إلى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الوضوءُ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الاستنجاء من المخرجين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يستعينَ في طهارته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تتحقّق الاستعانةُ بصبّ المعين الماءَ في اليد ليغسل به المتوضّئ، لابصبّه علی العضو؛ لأنّه 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الكراهية بين طلبها، وقبولِها لو عُرضتْ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يمسحَ بللَ الوضوءِ عن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مسحه بمنديلٍ أم غيرهِ وإن كان الأوّلُ أشدَّ كراهةً، ويُلحق به تجفيفه بغير المسح</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018380_1067777946"/>
      <w:bookmarkStart w:id="79" w:name="_Toc28"/>
      <w:bookmarkEnd w:id="78"/>
      <w:r>
        <w:rPr>
          <w:rtl w:val="true"/>
        </w:rPr>
        <w:t>[</w:t>
      </w:r>
      <w:r>
        <w:rPr>
          <w:rtl w:val="true"/>
        </w:rPr>
        <w:t>أحكام الوضوء</w:t>
      </w:r>
      <w:r>
        <w:rPr>
          <w:rtl w:val="true"/>
        </w:rPr>
        <w:t>]</w:t>
      </w:r>
      <w:bookmarkEnd w:id="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تيقّن الحدث وشكّ في الطهارة، أو تَيقَّنَهما وشكّ في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جَهله بحاله قبلهما، أو علمه على وجهٍ لا يستفيد من الاتّحاد والتعاقِب كونه متطهراً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شكّ في شيء من أفعال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بما شكّ فيه، ثمّ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حال الوضوء بحيث لم يفرغ منه وإن كان قد تجاوز العضوَ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تيقّن الطهارة وشكّ في الحدث أو في شيءٍ من أفعال الوضوء بعدَ انصرافه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انصرافه عن فعل الوضوء وإن لم ينصرف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غسل موضع النجو أو البول وصلّى، أعاد الصلاة، عامداً كان، أو جاهلاً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جاهلاً بالحكم، أما جاهلُ الأصل فيعيدُ في الوقت خاصّةً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جدَّد وضوءَه بنيّة الندب، ثمّ صلّى وذكر أنّه أخلّ بعضو من إحدى الطهارتين فإن اقتصرنا على نيّة القربة فالطهارة والصلاة صحيحتان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جدَّده بنذرٍ وشبهِه، فإنّه يرفع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المجدَّد يرفع مطلقاً، فتصحّ الصلاةُ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أوجبنا نيّةَ الاستباحة أعادهما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كون الإخلال من الطهارة الأُولى، فلا يرفع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اشترطنا نيّةَ الوجوب لاغير، كما اختاره المصنِّف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أحدثَ عقيبَ طهارةٍ منهما، ولم يعلمها بعينها، أعاد الصلاتين إن اختلفتا عدداً، وإلّا فصلاةً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تفريعٌ على الاكتفاء بنيّة القربة، وعلى القولين الأخيرين يعيد الصلاتين، كما في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الإخلال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الإخلال إنّما يُبطل الطهارةَ التي وقع الإخلالُ فيها فتسلم الأُخرى، بخلاف الحدث فإنّه يُبطِلُ ما قبلَه من الطهارات مطلقاً، فلو وقع بعدَ الثانية أبطلهما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لوصلّى بطهارة ثمّ أحدث وجدّد طهارةً ثمّ صلّى أُخرى وذكر أنّه أخلّ بواجب من إحدي 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بالتجديد هنا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الطهارة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الشرعي؛ إذ الفَرْضُ تخلُّل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بإعادة الصلاتين هنا مع الاختلاف والاكتفاء بواحدةٍ مع الاتّفاق جارٍ على جميع الأقوال؛ لأنّ الطهارتين مُبيحتان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صلّى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 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وتيقّن أنّه أحدث عقيب إحدى الطهارات، أعاد ثلاث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رباعيّةً مطلقةً إطلاقاً ثلاثيّاً، وصبحاً ومغرباً معيّنَين، ويتخيَّر في تقديم أيِّهما شاء، وفي الرباعيّةِ بين الجهر والإخفات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خمساً؛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80" w:name="pg10178_83488"/>
    </w:p>
    <w:p>
      <w:pPr>
        <w:pStyle w:val="Heading3"/>
        <w:numPr>
          <w:ilvl w:val="2"/>
          <w:numId w:val="1"/>
        </w:numPr>
        <w:rPr/>
      </w:pPr>
      <w:bookmarkStart w:id="81" w:name="__RefHeading___Toc2018382_1067777946"/>
      <w:bookmarkStart w:id="82" w:name="_Toc29"/>
      <w:bookmarkEnd w:id="80"/>
      <w:bookmarkEnd w:id="81"/>
      <w:r>
        <w:rPr>
          <w:rtl w:val="true"/>
        </w:rPr>
        <w:t>[</w:t>
      </w:r>
      <w:r>
        <w:rPr>
          <w:rtl w:val="true"/>
        </w:rPr>
        <w:t>الغسل</w:t>
      </w:r>
      <w:r>
        <w:rPr>
          <w:rtl w:val="true"/>
        </w:rPr>
        <w:t>]</w:t>
      </w:r>
      <w:bookmarkEnd w:id="82"/>
    </w:p>
    <w:p>
      <w:pPr>
        <w:pStyle w:val="Heading4"/>
        <w:numPr>
          <w:ilvl w:val="3"/>
          <w:numId w:val="1"/>
        </w:numPr>
        <w:rPr/>
      </w:pPr>
      <w:bookmarkStart w:id="83" w:name="__RefHeading___Toc2018384_1067777946"/>
      <w:bookmarkStart w:id="84" w:name="_Toc30"/>
      <w:bookmarkEnd w:id="83"/>
      <w:r>
        <w:rPr>
          <w:rtl w:val="true"/>
        </w:rPr>
        <w:t>[</w:t>
      </w:r>
      <w:r>
        <w:rPr>
          <w:rtl w:val="true"/>
        </w:rPr>
        <w:t>الفصل الأوّل في الجنابة</w:t>
      </w:r>
      <w:r>
        <w:rPr>
          <w:rtl w:val="true"/>
        </w:rPr>
        <w:t>]</w:t>
      </w:r>
      <w:bookmarkEnd w:id="84"/>
    </w:p>
    <w:p>
      <w:pPr>
        <w:pStyle w:val="Heading5"/>
        <w:numPr>
          <w:ilvl w:val="4"/>
          <w:numId w:val="1"/>
        </w:numPr>
        <w:rPr/>
      </w:pPr>
      <w:bookmarkStart w:id="85" w:name="__RefHeading___Toc2018386_1067777946"/>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علم أنّ الخارج منيٌّ فإن حصل ما يشتبه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دافقاً تقارنه الشهوة وفتور الجسد،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بدفعٍ وانصبابِ، وبفتور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انكسار الشهوةِ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الحكم بكونه منيّاً اجتماع الأوصاف، بل يكفي أحدُها، لكنّها متلازمةٌ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 على جسده أو ثوبه منيّاً وجب الغُسل إذا لم يَشْرَكه في الثوب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الاشتراك فيه بأن يلبساه دفعةً، أو يناما عليه لا بالتناوب، بل يحكم به لذي النوبة، إلّا أن يُعلم انتفاؤه عنه فينتفي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حُكم بكون المني منه لحقه حكمُ الجنابةِ من آخر نومةٍ أو جنابةٍ ظاهرةٍ يمكن كونه منها، والأحوطُ قضاءُ كلِّ صلاةِ لا يعلم 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جامع في الدُبر ولم يُنْزِل وجب الغسلُ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وطئ غلاماً فأوقبه ولم يُنزل، 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معوّلاً على الإجماع المركّب، ولم يثبت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الإيقابُ هنا بإدخال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تَركَّب من قولين بحيث يلزم من مخالفتِهما مخالفةُ الإجماع، بأن ينحصر القولُ فيهما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هنا أنّ كلَّ مَن قال بوجوب الغُسل بالوطء في دبر المرأة قال به في دُبر </w:t>
      </w:r>
    </w:p>
    <w:p>
      <w:pPr>
        <w:pStyle w:val="BookText"/>
        <w:rPr/>
      </w:pPr>
      <w:r>
        <w:rPr>
          <w:rFonts w:ascii="Amiri" w:hAnsi="Amiri" w:eastAsia="Amiri" w:cs="Amiri"/>
          <w:color w:val="111111"/>
          <w:sz w:val="28"/>
          <w:sz w:val="28"/>
          <w:szCs w:val="28"/>
          <w:rtl w:val="true"/>
          <w:lang w:bidi="ar-SA"/>
        </w:rPr>
        <w:t>الغلام، ومن نفاه نفاه فيه، فالقولُ بوجوبه في دبر المرأة دون الغلام إحداثُ قولٍ ثالثٍ مخالفٍ للإجماع المركّب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المصنّف بأنّه لم يثبت انحصار الأقوال فيما ذكر، مستمسكاً بالأصل، والأقوى ما اختاره المرتضى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الغُسل بوطءِ بَهيمةٍ إذا لم يُنزل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الأقوى الوجوبُ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يجب على الكافر عند حصول سببه، ولكن لا يصحّ منه في حال كفره، فإذا أسلم وجب وصحّ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لسبقِ ذكره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 الفائدةَ دفع توهّمِ سقوطه بالإسلام، كما يسقط قضاء الصلاة ونحوها،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يسقط؛ لأنّ الحدثَ من باب خطاب الوضع، فلا يسقط أثرُه وإن تخلّف؛ لوجود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أسلم ودخل وقتُ عبادةٍ مشروطةٍ بالغُسل، وجب الغسلُ بالسبب السابِق وإن حكم بسقوط وجوبه عند الإسلام لغير هذه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عليه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اسمُ نبيّ، أوإمامٍ مقصودٍ بالكتابةِ،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والجلوس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اللبث فيها وإن لم يجلس، دون الجواز فإنّه مكروهٌ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شيءٍ فيها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خارجِ المسجد، أو لم يستلزم اللبثَ</w:t>
      </w:r>
      <w:r>
        <w:rPr>
          <w:rFonts w:eastAsia="Amiri" w:cs="Amiri" w:ascii="Amiri" w:hAnsi="Amiri"/>
          <w:color w:val="111111"/>
          <w:sz w:val="28"/>
          <w:szCs w:val="28"/>
          <w:rtl w:val="true"/>
          <w:lang w:bidi="ar-SA"/>
        </w:rPr>
        <w:t xml:space="preserve">. </w:t>
      </w:r>
      <w:bookmarkStart w:id="87" w:name="pg10178_83490"/>
    </w:p>
    <w:p>
      <w:pPr>
        <w:pStyle w:val="Heading5"/>
        <w:numPr>
          <w:ilvl w:val="4"/>
          <w:numId w:val="1"/>
        </w:numPr>
        <w:rPr/>
      </w:pPr>
      <w:bookmarkStart w:id="88" w:name="__RefHeading___Toc2018388_1067777946"/>
      <w:bookmarkStart w:id="89" w:name="_Toc32"/>
      <w:bookmarkEnd w:id="87"/>
      <w:bookmarkEnd w:id="88"/>
      <w:r>
        <w:rPr>
          <w:rtl w:val="true"/>
        </w:rPr>
        <w:t>[</w:t>
      </w:r>
      <w:r>
        <w:rPr>
          <w:rtl w:val="true"/>
        </w:rPr>
        <w:t>واجبات غسل الجنابة</w:t>
      </w:r>
      <w:r>
        <w:rPr>
          <w:rtl w:val="true"/>
        </w:rPr>
        <w:t>]</w:t>
      </w:r>
      <w:bookmarkEnd w:id="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الغسل فواجباته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وتخليلُ مالا يصلُ إليه الماءُ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ما لا يصلُ الماء إلى البدن الذي تحت ما يجب تخليلُه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في الغسل الترتيب بين الأعضاء لا فيها، فيجوز غسل الأسفل منها قبل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والرأس والرقبةُ عضو واحدٌ، ويجب إدخالُ جزءٍ من غير المغسولِ فيه من باب المقدِّمة مع عدم المَفْصِل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الترتيبُ بارتماسةٍ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بالارتماس دخولُه تحت الماء دفعةً واحدة عرفيّةً بحيث يشمل الماءُ البشرةَ في زمانٍ قليلٍ، وفي حكمه الوقوفُ تحت المَجرى والمطر الغزِيرين، والنيّةُ فيه مقارنة لجزءٍ من البدن مع إتباعه الباقي بغير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المُغتسل بللاً بعدَ الغُسل مشتبهاً، فإن كان قد بال أو استبرأ لم يُعِد، وإلّا كان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فلو عَلِمَه نوعاً 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 يعيدُ مع الاستبراء خاصّةً إذا لم يمكنه البولُ، وإلّا فلا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عدم الإعادةِ مع البول عدم إعادة الغُسل، وهو موضع البحث، لكن يجب عليه الوضوء إن لم يكن استَبرأ بعدَه، وحينئذٍ فالصور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واستبرأ بعده، فلا 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فيعيد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استبرأ ولم يبل مع إمكانه، فيعيد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مع إمكانه، فلا إعادة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ولم يستبرئ، فيعيد الوضوء</w:t>
      </w:r>
      <w:r>
        <w:rPr>
          <w:rFonts w:eastAsia="Amiri" w:cs="Amiri" w:ascii="Amiri" w:hAnsi="Amiri"/>
          <w:color w:val="111111"/>
          <w:sz w:val="28"/>
          <w:szCs w:val="28"/>
          <w:rtl w:val="true"/>
          <w:lang w:bidi="ar-SA"/>
        </w:rPr>
        <w:t xml:space="preserve">. </w:t>
      </w:r>
      <w:bookmarkStart w:id="90" w:name="pg10178_83491"/>
    </w:p>
    <w:p>
      <w:pPr>
        <w:pStyle w:val="BookText"/>
        <w:rPr/>
      </w:pPr>
      <w:bookmarkEnd w:id="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بعض أعضائه ثمّ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يتمّه ويتوضّأ للصلاة،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018390_1067777946"/>
      <w:bookmarkStart w:id="92" w:name="_Toc33"/>
      <w:bookmarkEnd w:id="91"/>
      <w:r>
        <w:rPr>
          <w:rtl w:val="true"/>
        </w:rPr>
        <w:t>[</w:t>
      </w:r>
      <w:r>
        <w:rPr>
          <w:rtl w:val="true"/>
        </w:rPr>
        <w:t>الفصل الثاني في الحيض</w:t>
      </w:r>
      <w:r>
        <w:rPr>
          <w:rtl w:val="true"/>
        </w:rPr>
        <w:t>]</w:t>
      </w:r>
      <w:bookmarkEnd w:id="92"/>
    </w:p>
    <w:p>
      <w:pPr>
        <w:pStyle w:val="Heading5"/>
        <w:numPr>
          <w:ilvl w:val="4"/>
          <w:numId w:val="1"/>
        </w:numPr>
        <w:rPr/>
      </w:pPr>
      <w:bookmarkStart w:id="93" w:name="__RefHeading___Toc2018392_1067777946"/>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الذي له تعلّقٌ بانقضاء العدَّة، ولقليله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الجنس يشمل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 بانقضاء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الاستحاضةَ كما يُخرج غيرَها من الدماء غير النفاس، فإنّه قد يتعلّق بانقضاء العدَّةِ على بعض الوجوه، كالحامل من زنى في العدّة فإنّها تحتسبُ النفاس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النفاس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ولقليله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حدّ لأقلّه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بضمّ الحاء، والمراد بها اللَذعُ الحاصل للمحلِّ بسبب دَفعه وحرارَته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يُشتبه بدم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وسكون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البَكارة 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بالتطوّق وعدمه بأن تضع قُطنةً بعد أن تستلقي على قفاها وترفع رجليها، ثمّ تصبر هنيئةً ثمّ تُخرجها إخراجاً رفيقاً وتعتبرها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تراه الصبيّةُ قبلَ بلوغِها تسعاً فليس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إكمالها التسع، هذا إذا عُلِم سنُّها، فإن اشتبه حُكِمَ لها بالحيض مع اجتماع أوصافه في وقت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قيل فيما يَخرج 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الجانبَ لا عبرة به في تحقّق الحيض وعدمه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الحيض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التوالي في الثلاثةِ، أو يكفي كونُها في جملةِ عشرةٍ؟ الأظهر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وتيأس المرأةُ ببلوغ 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القرشيّةِ والنَبطيّة ببلوغِ 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ببلوغ خمسين في غير القرشيّة، وفيها ببلوغ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انتسبت بأبيها إلى النضر بن كِنانَة، ومنها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 فإن عُلم انتسابُهم إليه أو عدمه لحقه حكمه، وإلّا تعارض أصلا عدم الانتساب وعدم اليأس، وبقي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العبادة عند دخول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مستصحباً إلى أن يُعلم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النَبط،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أهل اللغة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يسكنون البطائح بين الفراتين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يمكن أن يكون حيضاً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الإمكان إمّا بالنسبة إلى المرأة كالبلوغ ونقص السنّ عن اليأس، أو المدّة بأن لا ينقص عن ثلاثةٍ ولا يزيد عن عشرةٍ، أو الاستمرار بأن يتوالى ثلاثة، أو الحال كاللون القويّ مع الضعيف حيث ترجع إلى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فالمرجِعُ إلى اجتماع شرائطه وارتفاع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وتصير المرأةُ ذات عادةٍ بأن ترى الدمَ دفعةً ثمّ ينقطع أقلّ الطُهر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تحصيل العادة العدديّة خاصّةً إن لم يتّفق العددُ الثاني في وقت الأوّل، وإلّا كانت وقتيّةً وعدديّةً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تكرّر الوقتُ من دون العدد، كما لو رأت في أوّل الشهرِ سَبعةً ثُمّ في أوّل الثاني ثمانيةً، تحققّت العادةُ الوقتيّةُ خاصّةً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الأوّلَين ترجع فيهما مع تجاوز العشرة إلى ما تكرّر من العدد دون الأخيرة، وفي الأخيرة تتحيّض برؤية الدم في وقته بخلاف الأُولى، فإنّها بالنسبة إلى وقته بمنزلة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الوسطى فإنّها تحصل فائدتي العادة،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التحيّض برؤية الدم، والرجوع مع تجاوز العشرة إلى العدد</w:t>
      </w:r>
      <w:r>
        <w:rPr>
          <w:rFonts w:eastAsia="Amiri" w:cs="Amiri" w:ascii="Amiri" w:hAnsi="Amiri"/>
          <w:color w:val="111111"/>
          <w:sz w:val="28"/>
          <w:szCs w:val="28"/>
          <w:rtl w:val="true"/>
          <w:lang w:bidi="ar-SA"/>
        </w:rPr>
        <w:t xml:space="preserve">. </w:t>
      </w:r>
      <w:bookmarkStart w:id="95" w:name="pg10178_83493"/>
    </w:p>
    <w:p>
      <w:pPr>
        <w:pStyle w:val="Heading5"/>
        <w:numPr>
          <w:ilvl w:val="4"/>
          <w:numId w:val="1"/>
        </w:numPr>
        <w:rPr/>
      </w:pPr>
      <w:bookmarkStart w:id="96" w:name="__RefHeading___Toc2018394_1067777946"/>
      <w:bookmarkStart w:id="97" w:name="_Toc35"/>
      <w:bookmarkEnd w:id="95"/>
      <w:bookmarkEnd w:id="96"/>
      <w:r>
        <w:rPr>
          <w:rtl w:val="true"/>
        </w:rPr>
        <w:t>[</w:t>
      </w:r>
      <w:r>
        <w:rPr>
          <w:rtl w:val="true"/>
        </w:rPr>
        <w:t>مسائل خمس</w:t>
      </w:r>
      <w:r>
        <w:rPr>
          <w:rtl w:val="true"/>
        </w:rPr>
        <w:t>:]</w:t>
      </w:r>
      <w:bookmarkEnd w:id="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تترك الصلاة والصوم برؤية الدم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المعتادة بالوقت والعدد، أو بالوقت خاصّةً، أمّا العدديّة خاصّةً فكالمبتدئة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المبتدئة تردّد، الأظهر أنّها تحتاط للعبادة حتّى تمضي لها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ذلك على وجه الاستحباب، ولها التحيّض برؤيته إذا ظنّته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حيضاً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بكونه حَيضاً؛ لِما تقدَّم من أنّ كلَّ دمٍ يمكن أن يكون حَيضاً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 العادةِ تغتسل بعدَ يومٍ أو يومين من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الصبر إلى تمامِ العشرةِ مع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الصلاة فحاضت وقد مضى مقدارُ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الأغلب من وجود الشرائط غير الطهارة، فلو فرض فقدها أو بعضها اعتبر مضيّ زمانٍ يسع تحصيله كالطهارة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لها الجلوس في المسجد ويكره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المسجدين، أمّا هما فيحرم كاللبثِ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وتسجد لو تلت السجدة، وكذا إن استمعتْ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وكذا لو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وطئ عامداً عالماً وجب عليه الكفّارة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والأوّل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والكفّارة في أوّله دينار، وفي وسطه نصف، وفي آخره ربع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بأوّله ووسطه وآخره أثلاثه الثلاثة، فاليومان الأوّلان أوّلٌ لذات الستّة، </w:t>
      </w:r>
      <w:bookmarkStart w:id="98" w:name="pg10178_83494"/>
    </w:p>
    <w:p>
      <w:pPr>
        <w:pStyle w:val="BookText"/>
        <w:rPr/>
      </w:pPr>
      <w:bookmarkEnd w:id="98"/>
      <w:r>
        <w:rPr>
          <w:rFonts w:ascii="Amiri" w:hAnsi="Amiri" w:eastAsia="Amiri" w:cs="Amiri"/>
          <w:color w:val="111111"/>
          <w:sz w:val="28"/>
          <w:sz w:val="28"/>
          <w:szCs w:val="28"/>
          <w:rtl w:val="true"/>
          <w:lang w:bidi="ar-SA"/>
        </w:rPr>
        <w:t>والثالثُ والرابعُ وسطٌ، والأخيران آخِرٌ،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تكرّر منه الوطء في وقت لا تختلف فيه الكفّارة لم تتكرّر،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تكرّرها بتكرّر الوطء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طلاقها إذا كانت مدخولاً بها وزوجها حاضرٌ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حكم الحاضر، وهو الغائبُ دون المدَّة المعتبرة في صحّة الطلاق، كما أنّ الحاضر الذي لا يمكنه العلمُ بحالها لحبسٍ ونحوه في حكم الغائب</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018396_1067777946"/>
      <w:bookmarkStart w:id="100" w:name="_Toc36"/>
      <w:bookmarkEnd w:id="99"/>
      <w:r>
        <w:rPr>
          <w:rtl w:val="true"/>
        </w:rPr>
        <w:t>[</w:t>
      </w:r>
      <w:r>
        <w:rPr>
          <w:rtl w:val="true"/>
        </w:rPr>
        <w:t>الفصل الثالث في الاستحاضة</w:t>
      </w:r>
      <w:r>
        <w:rPr>
          <w:rtl w:val="true"/>
        </w:rPr>
        <w:t>]</w:t>
      </w:r>
      <w:bookmarkEnd w:id="100"/>
    </w:p>
    <w:p>
      <w:pPr>
        <w:pStyle w:val="Heading5"/>
        <w:numPr>
          <w:ilvl w:val="4"/>
          <w:numId w:val="1"/>
        </w:numPr>
        <w:rPr/>
      </w:pPr>
      <w:bookmarkStart w:id="101" w:name="__RefHeading___Toc2018398_1067777946"/>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دم تراه المرأة أقلّ من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دم قرح ولا جرح، فهو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مع الحمل،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مجامعة الحيض للحمل مطلقاً لكن يشترط في ما تراه في آخره أن يكون بينه وبين النفاس أقلّ الطهر كالحيض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لونه لوناً واحداً، أو لم يحصل فيه شريطتا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نقصان المشابه عن ثلاثةٍ، وعدم زيادته على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أيضاً كون الضعيف لا ينقص عن أقلّ الطهر، ويضاف إليه أيّام النقاء إن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يجعل اختلافَ الدم ومجاوزةَ الدم العشرةَ من شرائط التمييز مع أنّهما معتبران فيه؛ لأنّ ماهيّة التمييز لا تتمّ بدون الأوّل، فكأنّه لذلك بمنزلة ماهيّته فلم يجعله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الفرض؛ لأنّ وجه الرجوع إلى التمييز مجاوزة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إلى عادة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بهنّ أقاربها من الطرفين أو أحدِهما، وتتخيّر في وضع عادتهنّ حيث شاءت من أيّام الدم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عادة ذوات أسنانها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مع فقد الأقارب، أو اختلافهنّ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المساويات لها في السنّ عرفاً، ويعتبر كونهنّ من بلدها، والأقوى أنّه مع اختلافهنّ ترجع إلى الأكثر، وكذا الحكم في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تحيّضت في كلّ شهر سبعة أيّام، أو عشرةً من شهر وثلاثة من آخر، مخيّرةً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وتتخيّر في وضعها حيث شاءت من أيّام الدم، ومتى أخذَتْ روايةً استمرّتْ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العادة تجعل عادتها حيضاً وما سواه استحاضةً، فإن اجتمع لها في العادة تمییز،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على 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اجتماعهما على وجهٍ لا يمكن الجمعُ بينهما ، فلو أمكن بأن تخلّل بينهما أقلّ الطهر حكم بهما حَيضاً، والأقوى ترجيحُ العادة مع التعارض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والمضطربة العادة ترجع إلى التمييز فتعمل عليه، ولا تترُك هذه الصلاة إلّا بعد مضيّ ثلاثة أيّام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ذلك على وجه الاستحباب، وأنّها لو ظنّته حيضاً تحيّضت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منها ذاكرةُ أوّل الوقت خاصّةً، فإنّها تتحيّض برؤيته إجماعاً كالمعتادة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ذكرت العدد ونسيت الوقت،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في الزمان كلِّه ما تعمله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اقتصارها على العدد، وتخصيصه بما شاءت من أيّام الدم، وجعل الباقي استحاضةً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وتغتسل للحيض في كلّ وقتٍ يُحتمل انقطاع الدم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لكلِّ صلاةٍ وعبادةٍ مشروطةٍ بالغُسل، هذا إذا لم تعلم زمانَ الدور كما لو علمت أنّه سبعةٌ، ولا تعلم في كَم أضلّتها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علمتْه، كما لو علمتْ أنّها في كلّ شهرٍ مرّةً، فالسبعةُ الأُولى منه لا يحتمل الانقطاع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وتقضي صومَ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العدد الذي حفظتْه إن علمتْ عدمَ الكسر ، وإلّا لزمها زيادة يوم عن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ذَكرتْ أوّل حيضها أكملتْه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ذاكرة الوقت دون العدد لا يخلو إمّا أن تذكر أوّله خاصّةً، أو آخره خاصّةً، أو وسطه بمعنى المحفوف بمتساويين، أو وسطه بمعنى أثنائه مطلقاً، أو تذكر وقتاً في الجملة فهنا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أوّله خاصّةً، فتجعل بعدَه يومين آخرَين حيضاً تمام الثلاثة، وتبقى السبعةُ بعده محتملةً للحيض والاستحاضة والانقطاع، فعلى الاحتياط تجمع فيها بين تروك الحائض وأعمال المستحاضة والمنقطعة، فتغتسل على الثالث لكلِّ عبادةٍ مشروطةٍ بالغسل إلى تمام العشرة، وباقي الشهر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آخرَه، فتجعل قبلَه يومين حيضاً ليكون نهاية الثلاثة المتيقّنة، والسبعةُ قبلَها تحتمل الحيض والطهر دون الانقطاع، فتجمع فيها بين تكليفي الحائض والمستحاضة، ولا غسل للحيض إلّا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وسطَه، بمعنى المحفوف بمتساويين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علمتْه يوماً حفّته بيومين قبله وبعده وجعلتْها حيضاً متيقّناً، وقبلها ثلاثة تجمع فيها بين تكليفي الحائض والمستحاضة، وبعدها ثلاثة كذلك مع زيادة أعمال المنقطعة، وانتفاء العاشر هنا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علمتْه يومين، حفّتهما بيومين، وجعلت الأربعةَ حيضاً وحفّتها بثلاثة قبلها وثلاثة بعدها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علمتْه ثلاثة، تيقّنت خمسة وحفّتْها بأربعة، يومين قبلها ويومين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علمتْه أربعة، تيقّنت ستّةً وحفّتها بأربعة أيضاً، وهكذا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الوسط، بمعنى الأثناء، فتجعل ما علمتْه وقبله يوماً وبعده يوماً حيضاً متيقّناً، والاحتمال في تمام العشرة قبله وتمامها بعده، فلو كان ما علمتْه يوماً فالمتيقّن ثلاثة، وقبلها سبعة تحتمل الحيض والطهر، وبعدها سبعةٌ تحتمل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bookmarkStart w:id="103" w:name="pg10178_83497"/>
    </w:p>
    <w:p>
      <w:pPr>
        <w:pStyle w:val="BookText"/>
        <w:rPr/>
      </w:pPr>
      <w:bookmarkEnd w:id="103"/>
      <w:r>
        <w:rPr>
          <w:rFonts w:ascii="Amiri" w:hAnsi="Amiri" w:eastAsia="Amiri" w:cs="Amiri"/>
          <w:color w:val="111111"/>
          <w:sz w:val="28"/>
          <w:sz w:val="28"/>
          <w:szCs w:val="28"/>
          <w:rtl w:val="true"/>
          <w:lang w:bidi="ar-SA"/>
        </w:rPr>
        <w:t>كان المتيقّن يومين فالحيض أربعةٌ، وقبلها ستّةٌ تحتمل الأمرين، وبعدها ستّة تحتمل الثلاثة،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وقتاً في الجملة، فهو المتيقّن حيضاً خاصّةً، وقبله تمام العشرة تحتمل الأمرين، وبعده كذلك تحتمل الأُمور،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أنّها تكملة ما علمتْه إحدى الروايات إن قصر عنها قبله أو بعده أو بالتفريق على حسب ما يمكن، وإن ساوى إحداها أو زاد اقتصرتْ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وتغتسل للحيض في كلّ زمان يفرض فيه الانقطاع، وتقضي صوم عشرة أيّام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علمتْ عدمَ الكسر، وإلّا قضت أحد عشر</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018400_1067777946"/>
      <w:bookmarkStart w:id="105" w:name="_Toc38"/>
      <w:bookmarkEnd w:id="104"/>
      <w:r>
        <w:rPr>
          <w:rtl w:val="true"/>
        </w:rPr>
        <w:t>[</w:t>
      </w:r>
      <w:r>
        <w:rPr>
          <w:rtl w:val="true"/>
        </w:rPr>
        <w:t>أحكام الاستحاضة</w:t>
      </w:r>
      <w:r>
        <w:rPr>
          <w:rtl w:val="true"/>
        </w:rPr>
        <w:t>]</w:t>
      </w:r>
      <w:bookmarkEnd w:id="1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يثقُب الكُرسُف، أو يثقُبه ولم يَسِلْ، أو يسيل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غمسه له ظاهراً وباطناً، وبعدمه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منه شيءٌ وإن قلّ، وبالسيلان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القُطنة إلى غيرها بنفسه عند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مع ذلك تغيير الخرقة، والغُسل لصلاةِ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 إن لم تكن صائمةً، وإلّا قدّمتْه بمقدار فعله ولو ظنّاً إن كان الغَمس سابقاً على ذلك، ولو تجدّد بعد الفجر كفاها غُسل الصلاة، وكذا تقدّمه مريدةً التهجّد ليلاً بالصلاة، وتجتزئ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فعلتْ ذلك كانت بحكم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بحكمها دون أن تكون طاهراً؛ لأنّ حدثها مستمرّ، فلا تكون طاهراً حقيقةً، بل بحكمها في استباحة ما تستبيحه مع قيامها بما ذكر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أخلّتْ بالأغسال لم يصحّ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غُسل العشاءين بالنسبة إلى اليوم الماضي، فإنّه ليس بشرطٍ في </w:t>
      </w:r>
      <w:bookmarkStart w:id="106" w:name="pg10178_83498"/>
    </w:p>
    <w:p>
      <w:pPr>
        <w:pStyle w:val="BookText"/>
        <w:rPr/>
      </w:pPr>
      <w:bookmarkEnd w:id="106"/>
      <w:r>
        <w:rPr>
          <w:rFonts w:ascii="Amiri" w:hAnsi="Amiri" w:eastAsia="Amiri" w:cs="Amiri"/>
          <w:color w:val="111111"/>
          <w:sz w:val="28"/>
          <w:sz w:val="28"/>
          <w:szCs w:val="28"/>
          <w:rtl w:val="true"/>
          <w:lang w:bidi="ar-SA"/>
        </w:rPr>
        <w:t>صحّته، نعم هو شرطٌ في المستقبل</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018402_1067777946"/>
      <w:bookmarkStart w:id="108" w:name="_Toc39"/>
      <w:bookmarkEnd w:id="107"/>
      <w:r>
        <w:rPr>
          <w:rtl w:val="true"/>
        </w:rPr>
        <w:t>[</w:t>
      </w:r>
      <w:r>
        <w:rPr>
          <w:rtl w:val="true"/>
        </w:rPr>
        <w:t>الفصل الرابع في النفاس</w:t>
      </w:r>
      <w:r>
        <w:rPr>
          <w:rtl w:val="true"/>
        </w:rPr>
        <w:t>]</w:t>
      </w:r>
      <w:bookmarkEnd w:id="1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النفاس دمُ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الخارج مع خروج جزءٍ ممّا يعدّ آدميّاً، أو مبدأ نشوء آدمي إلى تمام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رأتْ قبل الولادة كان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يمكن كونه حيضاً، كما لو كان بينه وبين آخره وبين الظاهر أقلّ الطهر، وإلّا كان حيضاً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النفاس عشرةُ أيّامٍ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والمراد أنّه لا يزيد عليها مطلقاً، لا بمعنى الحكم أنّه عشرةٌ مع وجوده فيها مطلقاً، بل الكلام فيه كالحيض في أنّه مع الانقطاع عليها فما دون يكون الجميع نفاساً، ومع تجاوز العشرة ترجع ذات العادة في الحيض إليها وتجعل الباقي استحاضةً، وحكمها في الاستظهار كالحائض، أمّا المبتدئة والمضطربة فتجعل العشرةَ هنا نفاساً مع التجاوز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حاملاً باثنين وتراخَت ولادةُ أحدهما، كان ابتداء نفاسها من وضع الأوّل، وعدد أيّامها من وضع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أنّهما يكونان نفاسين تامّين، فإن وضعت الثاني لدونَ عشرةٍ أمكن اتّصال نفاسين، ولو تراخت ولادة الثاني بحيث يمكن فرض استحاضةٍ بينهما حكم بها، بل يمكن فرضُ حيضٍ أيضاً، بأن يتخلّل بينه وبينهما أقلُّ الطهر متقدّماً ومتأخّراً وإن كان الفرض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دماً ثمّ رأت في العاشر، كان ذلكَ نفاساً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انقطاعه على العاشر، أو كون عادتها في الحيض عشرة أو مبتدئة أو </w:t>
      </w:r>
    </w:p>
    <w:p>
      <w:pPr>
        <w:pStyle w:val="BookText"/>
        <w:rPr/>
      </w:pPr>
      <w:r>
        <w:rPr>
          <w:rFonts w:ascii="Amiri" w:hAnsi="Amiri" w:eastAsia="Amiri" w:cs="Amiri"/>
          <w:color w:val="111111"/>
          <w:sz w:val="28"/>
          <w:sz w:val="28"/>
          <w:szCs w:val="28"/>
          <w:rtl w:val="true"/>
          <w:lang w:bidi="ar-SA"/>
        </w:rPr>
        <w:t>مضطربة، وإلّا فلا نفاس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رأت عقيب الولادة، ثمّ طهرت، ثمّ رأت العاشر أو قبله كان الدمان و ما بينهما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مع انقطاعه على العاشر أو كون عادتها عشرة أو مبتدئة أو مضطربة، وإلّا فنفاسها الأوّل لاغير، إلا أن يصادف الدم الثاني جزءاً من العادة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على النفساء ما يحرم على الحائض، وكذا ما يكره، ولا يصحّ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المتقدّم في الحيض، فلو كان الزوج غائباً، أو في حكمه، أوغير داخلٍ بها صحّ</w:t>
      </w:r>
      <w:r>
        <w:rPr>
          <w:rFonts w:eastAsia="Amiri" w:cs="Amiri" w:ascii="Amiri" w:hAnsi="Amiri"/>
          <w:color w:val="111111"/>
          <w:sz w:val="28"/>
          <w:szCs w:val="28"/>
          <w:rtl w:val="true"/>
          <w:lang w:bidi="ar-SA"/>
        </w:rPr>
        <w:t xml:space="preserve">. </w:t>
      </w:r>
      <w:bookmarkStart w:id="109" w:name="pg10178_83500"/>
    </w:p>
    <w:p>
      <w:pPr>
        <w:pStyle w:val="Heading4"/>
        <w:numPr>
          <w:ilvl w:val="3"/>
          <w:numId w:val="1"/>
        </w:numPr>
        <w:rPr/>
      </w:pPr>
      <w:bookmarkStart w:id="110" w:name="__RefHeading___Toc2018404_1067777946"/>
      <w:bookmarkStart w:id="111" w:name="_Toc40"/>
      <w:bookmarkEnd w:id="109"/>
      <w:bookmarkEnd w:id="110"/>
      <w:r>
        <w:rPr>
          <w:rtl w:val="true"/>
        </w:rPr>
        <w:t>[</w:t>
      </w:r>
      <w:r>
        <w:rPr>
          <w:rtl w:val="true"/>
        </w:rPr>
        <w:t>الفصل الخامس في أحكام الميّت</w:t>
      </w:r>
      <w:r>
        <w:rPr>
          <w:rtl w:val="true"/>
        </w:rPr>
        <w:t>]</w:t>
      </w:r>
      <w:bookmarkEnd w:id="111"/>
    </w:p>
    <w:p>
      <w:pPr>
        <w:pStyle w:val="Heading5"/>
        <w:numPr>
          <w:ilvl w:val="4"/>
          <w:numId w:val="1"/>
        </w:numPr>
        <w:rPr/>
      </w:pPr>
      <w:bookmarkStart w:id="112" w:name="__RefHeading___Toc2018406_1067777946"/>
      <w:bookmarkStart w:id="113" w:name="_Toc41"/>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الاحتضار ويجب فيه توجيه الميّت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كفايةٍ،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تلقينه الشهادتين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إلى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كان يصلّي فيه، أو عليه مع تعسّر خروج روحه واشتداد نَزعه،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ويعجّل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استحباب إيذان إخوانه من المسلمين بموته </w:t>
      </w:r>
      <w:r>
        <w:rPr>
          <w:rStyle w:val="FootnoteAnchor"/>
          <w:rtl w:val="true"/>
        </w:rPr>
        <w:footnoteReference w:id="31"/>
      </w:r>
      <w:r>
        <w:rPr>
          <w:rFonts w:ascii="Amiri" w:hAnsi="Amiri" w:eastAsia="Amiri" w:cs="Amiri"/>
          <w:color w:val="111111"/>
          <w:sz w:val="28"/>
          <w:sz w:val="28"/>
          <w:szCs w:val="28"/>
          <w:rtl w:val="true"/>
          <w:lang w:bidi="ar-SA"/>
        </w:rPr>
        <w:t>وإن كانوا في قُرى حوله، وينبغي مراعاة الجمع بين السُنّتين، فيؤذن مَن لا ينافي حضوره التعجيل عرفاً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2018408_1067777946"/>
      <w:bookmarkStart w:id="115" w:name="_Toc42"/>
      <w:bookmarkEnd w:id="114"/>
      <w:r>
        <w:rPr>
          <w:rtl w:val="true"/>
        </w:rPr>
        <w:t>[</w:t>
      </w:r>
      <w:r>
        <w:rPr>
          <w:rtl w:val="true"/>
        </w:rPr>
        <w:t>في التغسيل</w:t>
      </w:r>
      <w:r>
        <w:rPr>
          <w:rtl w:val="true"/>
        </w:rPr>
        <w:t>]</w:t>
      </w:r>
      <w:bookmarkEnd w:id="11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الأولياءُ رجالاً ونساء فالرجال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فيباشرون الميّت، أو يأذنون لمن يباشره إن أمكنهم المباشرةُ كما لو كان الميّت ذكراً، وإلّا توقّف الفعلُ على إذنهم مع الإمكان، فلو امتنع الوليّ أو كان غائباً سقط اعتبار إذنه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أولى بالمرأة من كلّ أحدٍ في أحكامها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الحرّةِ والأمةِ، المدخول بها وغيرها، الدائم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والمطلّقةُ رجعيّة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تغسيل كلّ من الزوجين صاحبه من وراء الثياب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الرجلُ محارمَه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يحرم نكاحه مؤبّداً بنسبٍ أو رضاعٍ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مظهر للشهادتين وإن لم يكن معتقداً للحقّ يجوز تغسيله عدا الخوارج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النواصب والمجسّمة، ومن أنكر ما عُلم ثبوتُه من الدين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الذي قُتل بين يدي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قُتل في جهادٍ واقعٍ بأمره وإن لم يحضره، ويشترط إسلامُ الشهيد 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في المعركةِ من غير قتلٍ فليس بشهيدٍ، وكذا من أُصيب ثمّ قُتل بغيرها وإن شارك في الأجر، وكذا المقتولُ في جهادٍ سائغٍ مع عدم حضور الإمام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مَن وجب عليه القتلُ يُؤمر بالاغتسال قبل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المأمور به هو غُسل الميّت، فيجب فيه الخليطان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سقوطِ الغسل قتلُه بالسبب الذي اغتسل له، فلو قتل بغيره أو مات قبله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 بعضُ الميّت، فإن كان فيه الصدرُ أو الصدر وحدَه غُسّل وكُفّن وصُلّي عليه ودُفن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بالخليطين، ويكفّن بثلاث لفائف، ويجب تحنيطُ ما فیه من مواضعه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وحكم القلب حكمه، وكذا عظام الميّت بأجمعها دون الرأس وأبعاضِها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السقطُ إذا كان له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حكمُه حكمُ الصدر في الغسل والكفن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السقط إذا لم تلجه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مَن قصر سنّه عن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يحضر الميّت مسلم ولا كافر ولا محرم من النساء دفن بغير غسل، ولا تقربه الكافرة، 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يغسلون وجهها ويديها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إزالةُ النجاسة عن بدنه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بها النجاسة العرضيّة، أمّا المستندة إلى الموت فلاتزول بدون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بماء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المطروح فيه شيءٌ من السدر وإن قلّ بحيث يصدق مسمّاه، ولا يخرج الماء بمزجه عن الإطلاق، وكذا القول في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وبماء القَراح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يشوبه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الخالي من السدر والكافور، والظاهر أنّ المراد به عدم اشتراط ممازجته لشيءٍ، لا خلوصه منهما ومن كلّ شيء ما دام اسم الماء عليه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يُغتسل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يراعى الترتيب بين الأعضاء الثلاثة، لا فيها إن لم يغمسه في الماء دفعةً واحدةً عرفيّة، وإلّا سقط الترتيب 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وتتميّز الغسلات حينئذٍ بالنيّةِ، ووضعِ الخليط حالتها وإن اجتمعتْ في الماء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وضوء الميّت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الاستحبابُ، ومحلّه بعد مقدّمات الغسل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الاقتصار على أقلّ من الغَسَلات المذكورة 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ما أمكن منها مقدّماً للأوّل فالأوّل، فيقدّم غسل السدر ثمّ الكافور مع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عدم الكافور والسدر غسّل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الغسلة بفوات ما يُطرح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فيُغسّل بالقَراح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خيف من تغسيله تناثر جلده، كالمحترق والمجدور، يُيمّم كما يُيمّم الحيّ العاجز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 العاجز بكلّ وجهٍ حتّى وضع كفَّيه على جَبهته أو إحداهما على الأُخرى باستعانةٍ، فإنّه ييمّم حينئذٍ بيدِ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ويفترقان مع ذلك بأنّ العاجز يتولّى النيّة، إذ </w:t>
      </w:r>
      <w:bookmarkStart w:id="116" w:name="pg10178_83503"/>
    </w:p>
    <w:p>
      <w:pPr>
        <w:pStyle w:val="BookText"/>
        <w:rPr/>
      </w:pPr>
      <w:bookmarkEnd w:id="116"/>
      <w:r>
        <w:rPr>
          <w:rFonts w:ascii="Amiri" w:hAnsi="Amiri" w:eastAsia="Amiri" w:cs="Amiri"/>
          <w:color w:val="111111"/>
          <w:sz w:val="28"/>
          <w:sz w:val="28"/>
          <w:szCs w:val="28"/>
          <w:rtl w:val="true"/>
          <w:lang w:bidi="ar-SA"/>
        </w:rPr>
        <w:t>لا عجز عنها مع بقاء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وسنن الغسل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يُفتق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الوارث إذا كان أهلاً للإذن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وتُستر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يستحبّ السترُ مع وثوق الغاسل من نفسه بعدم النظر، أو كونه غيرَ مبصرٍ، أوكونه زوجاً، أو زوجةً، أو كون الميّت طفلاً له ثلاث سنين، وإلّا وجب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وتُغسّل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يدا الميّت ثلاثاً إلى نصف الذراع قبل كلِّ 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عضوٍ منه ثلاث مرّاتٍ في كلّ 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متعلِّق بمجموعِ الثلاث من حيث هو مجموع، وذلك لاينافي وجوبَ بعض أفراده، وهو هنا كذلك؛ فإنّ الغسلةَ الواحدةَ من كلِّ ثلاثٍ واجبةٌ والأخيرتان مستحبّتان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يغسِّل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تغسيل غيره له، وإلّا تعيّن عليه من غير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ويغسله كغُسل أهل الخلاف، فلا يُجزئ غيره مع إمكانه</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018410_1067777946"/>
      <w:bookmarkStart w:id="118" w:name="_Toc43"/>
      <w:bookmarkEnd w:id="117"/>
      <w:r>
        <w:rPr>
          <w:rtl w:val="true"/>
        </w:rPr>
        <w:t>[</w:t>
      </w:r>
      <w:r>
        <w:rPr>
          <w:rtl w:val="true"/>
        </w:rPr>
        <w:t>في التكفين</w:t>
      </w:r>
      <w:r>
        <w:rPr>
          <w:rtl w:val="true"/>
        </w:rPr>
        <w:t>]</w:t>
      </w:r>
      <w:bookmarkEnd w:id="1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يكفّن في ثلاثة أقطاع، منزرٍ وقميص وإزارٍ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واحدٍ من الثلاثة أن لا يحكي البدن، وفي جنسها التوسّط عادة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حال الميّت إن لم يتبرّع الوارثُ بالزائد، ولم تنفذ وصيّة الميّت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المئزر أن يستر ما بين السُرّة والركبة، ويجوز زيادته عنها يسيراً مطلقاً، وإلى القدم من أسفل وإلى الصدر من أعلى بإذن الوارث أو وصيّة الميّت النافذة به؛ فإنّ ذلك أكمله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القميص وصوله إلى نصف الساق تقريباً، أو إلى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الإزار شموله لجميع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التكفين بالحرير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المحض، فلا يضرّ الممتزج به بحيث لا يستهلكه الحريرُ، ولا فرق بين الصغير والكبير والذكر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التكفين فيما لا يؤكل لحمه، ولا في الجلد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أن يمسح مساجده بما تيسّر من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الفضل في مقدار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كافور الحنوط، أمّا كافور الغسل فلا تقدير للفضل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تطييبه بغير الكافور والذريرة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الطيبُ المسحوقُ </w:t>
      </w:r>
      <w:r>
        <w:rPr>
          <w:rStyle w:val="FootnoteAnchor"/>
          <w:rtl w:val="true"/>
        </w:rPr>
        <w:footnoteReference w:id="32"/>
      </w:r>
      <w:r>
        <w:rPr>
          <w:rFonts w:ascii="Amiri" w:hAnsi="Amiri" w:eastAsia="Amiri" w:cs="Amiri"/>
          <w:color w:val="111111"/>
          <w:sz w:val="28"/>
          <w:sz w:val="28"/>
          <w:szCs w:val="28"/>
          <w:rtl w:val="true"/>
          <w:lang w:bidi="ar-SA"/>
        </w:rPr>
        <w:t>، والمعروف منها الآن أنّها أخلاط خاصّةٌ من الطيب، والحمل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وسنن هذا القسم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يزاد الرجل حِبَرَة 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منسوبة إلى موضعٍ مخصوصٍ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بعضُ الأوصاف كفت الحِبَرَةُ المجرّدةُ، فإنْ لم تُوجد فلفافةٌ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وخرقةٌ لفخذيه، يكون طولها ثلاثة أذرعٍ ونصفاً، وفي عرض شبرٍ تقريباً، فيشدّ طرفاها على حقويه، ويلفّ بما استرسل منها فخذاه لفّاً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بشدّ طرفيها في جانب العرض من أحد الطرفين ليمكن شدّ فخذيه بالباقي، وينبغي بعد ذلك أن يثفر ثمّ يُلفّ بالباقي وَرِكاه وما أمكن من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طولها ما يؤدّي هذه الهيئة، وتجوز الزيادة عن ذلك بالمتعارف مطلقاً حيث تجوز العِمامَة، وفي عَرضها ما يطلق عليه اسمها، والظاهر اغتفار المخرّقة ما دام إطلاق اسمها باقياً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وتزاد المرأةُ على كفن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كفنُه الواجبُ والندب، غير أنّها تبدّل عن العِمامة قِناعاً كما سنذكره، فهو في قوّة الاستثناء، أو أنّ العِمامة خارجةٌ عن الكفن، كما ذكره بعضُ الأصحاب </w:t>
      </w:r>
      <w:r>
        <w:rPr>
          <w:rStyle w:val="FootnoteAnchor"/>
          <w:rtl w:val="true"/>
        </w:rPr>
        <w:footnoteReference w:id="33"/>
      </w:r>
      <w:r>
        <w:rPr>
          <w:rFonts w:ascii="Amiri" w:hAnsi="Amiri" w:eastAsia="Amiri" w:cs="Amiri"/>
          <w:color w:val="111111"/>
          <w:sz w:val="28"/>
          <w:sz w:val="28"/>
          <w:szCs w:val="28"/>
          <w:rtl w:val="true"/>
          <w:lang w:bidi="ar-SA"/>
        </w:rPr>
        <w:t xml:space="preserve">، وورد في الأخبار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لِفافَةٌ لثدييها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فيها عرضاً أن تستر مجموع الثديين، وطولاً أن تلفّ يديها؛ ليتحقّق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لغةً ضربٌ من البُسطِ له خملٌ رقيق </w:t>
      </w:r>
      <w:r>
        <w:rPr>
          <w:rStyle w:val="FootnoteAnchor"/>
          <w:rtl w:val="true"/>
        </w:rPr>
        <w:footnoteReference w:id="35"/>
      </w:r>
      <w:r>
        <w:rPr>
          <w:rFonts w:ascii="Amiri" w:hAnsi="Amiri" w:eastAsia="Amiri" w:cs="Amiri"/>
          <w:color w:val="111111"/>
          <w:sz w:val="28"/>
          <w:sz w:val="28"/>
          <w:szCs w:val="28"/>
          <w:rtl w:val="true"/>
          <w:lang w:bidi="ar-SA"/>
        </w:rPr>
        <w:t>، ومحلّه فوق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ويكتب على الحِبَرَة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في استحباب الكتابة ما روي أنّ الصادق علیه السلام كتبَ على حاشية كفن ولده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إسماعيل يشهد أن لا إله إلّا الله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ثمّ تجاوز الأصحاب إلى كتابة الشهادتين وأسماء الأئمّة علیهم السلام للتبرّك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عباراتُهم فيما يُكتب عليه من قطع الكفن اختلافاً كثيراً حتّى تجاوز بعضهم إلى الجميع، وقد عرفتَ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ذلك بتربة الحسين علیه السلام فإن لم تُوجد فبالإصبع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يقدّم عليها الكتابةُ بالماء والطين خصوصاً الأبيض؛ عملاً بإطلاق النصّ</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يبلّ بالريق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الأصحاب يجتنبونه، ولا بأس بمتابعتهم لإزالة الاحتمال، ولا بأس ببلّه بغير الريق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19" w:name="pg10178_83506"/>
    </w:p>
    <w:p>
      <w:pPr>
        <w:pStyle w:val="BookText"/>
        <w:rPr/>
      </w:pPr>
      <w:bookmarkEnd w:id="11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معه جريدتان من سعف النخل، فإن لم يوجد فمن السدر، فإنْ لم يُوجد فمن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وتخفيف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الصفصاف، ويقدّم بعده الرمّان على غيره من الشجر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لهما طولاً، والمشهور أنّه قدر عَظْم ذِراع الميّت، ويتخيّر بين شقّها و عدمه، ويعتبر فيهما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الميّت نجاسة بعد تكفينه فإن لاقت جسده غسلت بالماء، وإن لاقت كفنه فكذلك، إلّا أن يكون بعد طرحه في القبر فإنّها تُقرض، ومنهم مَن أوجب قرضها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الأوّل، وإنّما تُقرض مع عدم تفاحش النجاسة بحيث تؤدّي إلى فَساد الكفن وهتك الميّت، وإلّا فغسلها أولى مع الإمكان، ومع التعذّر يسقط؛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الدائم والمستمتع بها، ولا بين المُمكِّنة والناشز، ولا بين الحرّة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والمطلّقة رجعيّة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أيضاً مؤونة التجهيز من الحنوط وغيره مع يساره وعدم وصيّتها النافذة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بها المملوك وإن كان مدبّراً أو مكاتباً لم يتحرّر منه شيءٌ، وإلّا فبالنسبة، دون واجبِ النفقة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وكفن الرجل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الكفن الواجب خاصّةً، وكذا مؤونة التجهيز من سدرٍ وكافورٍ وغيرِهما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018412_1067777946"/>
      <w:bookmarkStart w:id="121" w:name="_Toc44"/>
      <w:bookmarkEnd w:id="120"/>
      <w:r>
        <w:rPr>
          <w:rtl w:val="true"/>
        </w:rPr>
        <w:t>[</w:t>
      </w:r>
      <w:r>
        <w:rPr>
          <w:rtl w:val="true"/>
        </w:rPr>
        <w:t>في مواراة الميّت في الأرض</w:t>
      </w:r>
      <w:r>
        <w:rPr>
          <w:rtl w:val="true"/>
        </w:rPr>
        <w:t>]</w:t>
      </w:r>
      <w:bookmarkEnd w:id="1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مقدّمات مسنونة كلّها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تُربَّع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حملها من جوانبها الأربعة بأربعة رجالٍ، والأفضل التناوبُ، وأفضله أن يبدأ</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بمقدّم السرير الأيمن الذي يلي يسار الميّت فيحمله بالكتف الأيمن، ثمّ يدور من خلفه </w:t>
      </w:r>
    </w:p>
    <w:p>
      <w:pPr>
        <w:pStyle w:val="BookText"/>
        <w:rPr/>
      </w:pPr>
      <w:r>
        <w:rPr>
          <w:rFonts w:ascii="Amiri" w:hAnsi="Amiri" w:eastAsia="Amiri" w:cs="Amiri"/>
          <w:color w:val="111111"/>
          <w:sz w:val="28"/>
          <w:sz w:val="28"/>
          <w:szCs w:val="28"/>
          <w:rtl w:val="true"/>
          <w:lang w:bidi="ar-SA"/>
        </w:rPr>
        <w:t>إلى الآخر فيحمله كذلك، ثمّ ينتقل إلى الأيسر فيحمله بالأيسر، ثمّ يختم بمقدّمه الأيسر كذلك دور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يقول المشاهِدُ للجنازة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ومن الناس عامّتهم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مطلقاً، أو على غير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على الثاني ظاهرٌ، وعلى الأوّل إشارةٌ إلى طلب الزيادة في العمر ليزداد في الطاعة؛ لأنّ بقيّة عمر المؤمن لا ثمن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حمداً على الواقع رضىً بقضاء الله تعالى كيف كان، والتفويض إليه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ينقله في ثلاث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والمراد به وضعه قريباً من القبر ثمّ نقله إليه في دفعتين، ويُنزل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خاليةٌ عن ذلك كلِّه، بل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 دونَ القبر بذراعين أو ثلاثة ليأخذ أهبته، ثمّ ضعه في لحده</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وعليه المصنّف في المعتبر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يتولّى ذلك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الولد وغيره وإن كان نزول الولد أخفّ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يكره نزولُ الرحم معها بل يستحبّ؛ لأنّها عورة، وللنصّ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أولى، ثمّ الرحم، ثمّ امرأة، ثمّ أجنبي صالح وإن كان شيخاً فهو أولى، كلّ ذلك على وجه الاستحباب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والفرض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وراكب البحر يُلقى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بالبحر ما يشمل الأنهار العظيمةَ التي يشقّ الخروج منها إلى البرّ عادةً قبل </w:t>
      </w:r>
    </w:p>
    <w:p>
      <w:pPr>
        <w:pStyle w:val="BookText"/>
        <w:rPr/>
      </w:pPr>
      <w:r>
        <w:rPr>
          <w:rFonts w:ascii="Amiri" w:hAnsi="Amiri" w:eastAsia="Amiri" w:cs="Amiri"/>
          <w:color w:val="111111"/>
          <w:sz w:val="28"/>
          <w:sz w:val="28"/>
          <w:szCs w:val="28"/>
          <w:rtl w:val="true"/>
          <w:lang w:bidi="ar-SA"/>
        </w:rPr>
        <w:t>فساد الميّت، ويُشترط فيما يوضع فيه الميّتُ أن ينزل في عمق الماء ولو بتثقيله بأمرٍ خارجٍ عنه مع الإمكان، وأن يستقبل بالميّت حال إلقائه كالدفن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له اللحد ممّا يلي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يحفر جانب القبر ممّا يلي القبلة مقدار ما يُوضع فيه الميّت مدفوناً، هذا في</w:t>
      </w:r>
    </w:p>
    <w:p>
      <w:pPr>
        <w:pStyle w:val="BookText"/>
        <w:rPr/>
      </w:pPr>
      <w:r>
        <w:rPr>
          <w:rFonts w:ascii="Amiri" w:hAnsi="Amiri" w:eastAsia="Amiri" w:cs="Amiri"/>
          <w:color w:val="111111"/>
          <w:sz w:val="28"/>
          <w:sz w:val="28"/>
          <w:szCs w:val="28"/>
          <w:rtl w:val="true"/>
          <w:lang w:bidi="ar-SA"/>
        </w:rPr>
        <w:t>الأرض الصُّلْبة التي يؤمن انهدامها به على طول مكثه غالباً، وإلّا فالشَقُّ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ويُجعل معه شيءٌ من تربة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لها موضعٌ خاصّ شرعاً، فيجزئ وضعها معه كيف اتّفق تحت خدّه، وفي كفنه، وتِلقاء وجهه،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ويلقّنه، ويدعو له، ثمّ يَشْرج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يسوّى بحيث لا يدخل منه التراب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ويهيل الحاضرون عليه التراب بظهور الأكُفّ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وأقلّه ثلاث حثيّات باليدين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ويرفع القَبْرُ مقدار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مفرجاتٍ إلى شبرٍ، ويكره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والتعزيةُ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تفعلة من العزاء وهو الصبر، والمراد بها التسلية عن المصاب، والتصبّر على الحزن، والاكتئاب بتذكير المعزّى ما يتسلّى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فرش القبر بالساج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بغيره من أنواع الفرش التي لا تعدّ مالاً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وتجصيص القبور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خصّه بعض الأصحاب بغير قبور أهل الشرف والفضل الذين تتوفّر الدواعي على زيارتهم وتعهّدهم </w:t>
      </w:r>
      <w:r>
        <w:rPr>
          <w:rStyle w:val="FootnoteAnchor"/>
          <w:rtl w:val="true"/>
        </w:rPr>
        <w:footnoteReference w:id="42"/>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bookmarkStart w:id="122" w:name="pg10178_83509"/>
    </w:p>
    <w:p>
      <w:pPr>
        <w:pStyle w:val="BookText"/>
        <w:rPr/>
      </w:pPr>
      <w:bookmarkEnd w:id="12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والحاء، والخاء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اندراسها عن وجه الأرض رأساً، وبقاء عظام الميّت باطنها، أمّا رمّها قبل الاندارس مخافته فلا كراهة فيه، كما أنّ تجديدها بعد اندراسها رأساً في الأرض المُسَبَّلَةِ حرامٌ؛ لسقوط حقّ الميّت من القبر، فلا يجوز منع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تسنيمها، كما يفعله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بعد الدفن لدفنٍ آخر، وهو مكروه فيما أُعدّ لدفن أكثر من واحدٍ، ومحرّمٌ في غيره، إلّا أن يجمع بينهما ابتداءً فيُكره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ينقل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أحد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بين البلاد المتقاربة والمتباعدة، ولا في المشاهد بين قبور الأنبياء والأئمّة، وأُلحق بها مقبرةٌ فيها قومٌ صالحون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إذا لم يؤدّ إلى تغيير صورة الميّت وقُبحِ منظره، ولم يُدفن، ولم يكن شهيداً، وإلّا حرم مطلقاً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018414_1067777946"/>
      <w:bookmarkStart w:id="124" w:name="_Toc45"/>
      <w:bookmarkEnd w:id="123"/>
      <w:r>
        <w:rPr>
          <w:rtl w:val="true"/>
        </w:rPr>
        <w:t>[</w:t>
      </w:r>
      <w:r>
        <w:rPr>
          <w:rtl w:val="true"/>
        </w:rPr>
        <w:t>في لواحق الدفن</w:t>
      </w:r>
      <w:r>
        <w:rPr>
          <w:rtl w:val="true"/>
        </w:rPr>
        <w:t>]</w:t>
      </w:r>
      <w:bookmarkEnd w:id="1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نبش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استثني من ذلك ما إذا صار الميّت رميماً، أو دُفن في أرضٍ مغصوبةٍ، أو في كفنٍ مغصوب، أو وقع في القبر ما له قيمةٌ، أو للشهادة على عَينه حيث يحتاج إليها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يدفن بثيابه، وينزع عنه الخُفّان والفرو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غيرهما من الجلود، ومن الثياب العمامةُ والقلنسوةُ والسراويلُ، فلا ينزع حیث لا تنزع الثياب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أصابَهما الدمُ أو لم يُصبْهما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ماتت هي دونه، شُقّ جوفها من الجانب الأيسر</w:t>
      </w:r>
      <w:r>
        <w:rPr>
          <w:rFonts w:eastAsia="Amiri" w:cs="Amiri" w:ascii="Amiri" w:hAnsi="Amiri"/>
          <w:color w:val="111111"/>
          <w:sz w:val="28"/>
          <w:szCs w:val="28"/>
          <w:rtl w:val="true"/>
          <w:lang w:bidi="ar-SA"/>
        </w:rPr>
        <w:t xml:space="preserve">». </w:t>
      </w:r>
      <w:bookmarkStart w:id="125" w:name="pg10178_83510"/>
    </w:p>
    <w:p>
      <w:pPr>
        <w:pStyle w:val="BookText"/>
        <w:rPr/>
      </w:pPr>
      <w:bookmarkEnd w:id="125"/>
      <w:r>
        <w:rPr>
          <w:rFonts w:ascii="Amiri" w:hAnsi="Amiri" w:eastAsia="Amiri" w:cs="Amiri"/>
          <w:color w:val="111111"/>
          <w:sz w:val="28"/>
          <w:sz w:val="28"/>
          <w:szCs w:val="28"/>
          <w:rtl w:val="true"/>
          <w:lang w:bidi="ar-SA"/>
        </w:rPr>
        <w:t>ويتولّاه النساء أو الزوج، ولا يشترط كون الولد ممّن يعيش عادةً، بل يكفي كونه حيّاً</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018416_1067777946"/>
      <w:bookmarkStart w:id="127" w:name="_Toc46"/>
      <w:bookmarkEnd w:id="126"/>
      <w:r>
        <w:rPr>
          <w:rtl w:val="true"/>
        </w:rPr>
        <w:t>[</w:t>
      </w:r>
      <w:r>
        <w:rPr>
          <w:rtl w:val="true"/>
        </w:rPr>
        <w:t>الأغسال المسنونة</w:t>
      </w:r>
      <w:r>
        <w:rPr>
          <w:rtl w:val="true"/>
        </w:rPr>
        <w:t>]</w:t>
      </w:r>
      <w:bookmarkEnd w:id="1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الأغسال المسنونة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تعجيله يوم الخميس لمن خاف عوز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يُقدِّمه مَن خاف فواته، سواء كان بعوز الماء أم بغيره، ولينوِ فيه التقديمَ؛ ليتميّز عن قَسيميه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وقضاؤه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يقضيه بعد فوات الأداء إلى آخر السبت، ولا فرق بين فواته لعذرٍ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المفرّط في صلاة الكسوف مع احتراق القرص إذا أراد قضاءها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واجبٌ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يستحبّ للفعل والمكان يقدّم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ذلك غُسل التوبة، والسعي إلى رؤية المصلوب؛ فإنّ غسلهما مؤخّرٌ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إليها غُسلٌ واجب كفاه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وكذ لو لم يضمّ إليها واجبٌ كفى عنها واحدٌ بنيّة القربة على الأقوى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فقهائنا بوجوب غُسل مَن سعى إلى مصلوبٍ ليراه عامداً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الاستحباب مع رؤيته، وحدّ الثلاثة من حين صَلْبه، ولا فرق بين مصلوبِ الشرع وغيره</w:t>
      </w:r>
      <w:r>
        <w:rPr>
          <w:rFonts w:eastAsia="Amiri" w:cs="Amiri" w:ascii="Amiri" w:hAnsi="Amiri"/>
          <w:color w:val="111111"/>
          <w:sz w:val="28"/>
          <w:szCs w:val="28"/>
          <w:rtl w:val="true"/>
          <w:lang w:bidi="ar-SA"/>
        </w:rPr>
        <w:t xml:space="preserve">. </w:t>
      </w:r>
      <w:bookmarkStart w:id="128" w:name="pg10178_83511"/>
    </w:p>
    <w:p>
      <w:pPr>
        <w:pStyle w:val="Heading3"/>
        <w:numPr>
          <w:ilvl w:val="2"/>
          <w:numId w:val="1"/>
        </w:numPr>
        <w:rPr/>
      </w:pPr>
      <w:bookmarkStart w:id="129" w:name="__RefHeading___Toc2018418_1067777946"/>
      <w:bookmarkStart w:id="130" w:name="_Toc47"/>
      <w:bookmarkEnd w:id="128"/>
      <w:bookmarkEnd w:id="129"/>
      <w:r>
        <w:rPr>
          <w:rtl w:val="true"/>
        </w:rPr>
        <w:t>[</w:t>
      </w:r>
      <w:r>
        <w:rPr>
          <w:rtl w:val="true"/>
        </w:rPr>
        <w:t>الركن الثالث في الطهارة الترابيّة</w:t>
      </w:r>
      <w:r>
        <w:rPr>
          <w:rtl w:val="true"/>
        </w:rPr>
        <w:t>]</w:t>
      </w:r>
      <w:bookmarkEnd w:id="130"/>
    </w:p>
    <w:p>
      <w:pPr>
        <w:pStyle w:val="Heading4"/>
        <w:numPr>
          <w:ilvl w:val="3"/>
          <w:numId w:val="1"/>
        </w:numPr>
        <w:rPr/>
      </w:pPr>
      <w:bookmarkStart w:id="131" w:name="__RefHeading___Toc2018420_1067777946"/>
      <w:bookmarkStart w:id="132" w:name="_Toc48"/>
      <w:bookmarkEnd w:id="131"/>
      <w:r>
        <w:rPr>
          <w:rtl w:val="true"/>
        </w:rPr>
        <w:t>[</w:t>
      </w:r>
      <w:r>
        <w:rPr>
          <w:rtl w:val="true"/>
        </w:rPr>
        <w:t>الطرف الأوّل فيما يصحّ معه التيمّم</w:t>
      </w:r>
      <w:r>
        <w:rPr>
          <w:rtl w:val="true"/>
        </w:rPr>
        <w:t>]</w:t>
      </w:r>
      <w:bookmarkEnd w:id="1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عدم الماء، ويجب عنده الطلب، فيضرب غَلوة سهمين في كلّ جهة من جهاته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غَلوة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رميته من الرامي والآلة المُعتدِلَين، والسَهلة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يمنع مافيها من رؤية ما عنده، والحَزْنة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ويُراعى المقدارُ من كلّ جانبٍ، ولو اختلفت سهولةً وحزونةً وزّع المقدارُ عليها بحسبها، ولو تيقَّن عدم الماء في بعضها أو جميعها سقط طلبه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الاستنابة فيه، ويحتسب لهما مع عدالة النائب، وإلّا فللنائب خاصّةً إلّا مع تعذّر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أخلّ بالضرب حتّى ضاق الوقتُ أخطأ، وصحّ تيمّمه وصلاته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استمرار الاشتباه وتبيّن عدم الماء، فلو تبيّن وجودُه في موضع الطلب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بثمنٍ يضرُّ بِهِ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يُراد به حال المكلّف ليعمّ الحالَ الزماني والاستقبالي حيث لا يتجدّد ما يدفع الضرورة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مضرّاً به في الحال لزمه شراؤه ولو كان بأضعاف ثمنه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فيه بين المُجْحِف وغيره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جواز التيمّم بين أن يخاف لصّاً أو سَبُعاً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خاف الفاحشةَ ولو على العِرض، ولا فرق بين قليلِ المال وكثيره هنا، </w:t>
      </w:r>
      <w:bookmarkStart w:id="133" w:name="pg10178_83512"/>
    </w:p>
    <w:p>
      <w:pPr>
        <w:pStyle w:val="BookText"/>
        <w:rPr/>
      </w:pPr>
      <w:bookmarkEnd w:id="133"/>
      <w:r>
        <w:rPr>
          <w:rFonts w:ascii="Amiri" w:hAnsi="Amiri" w:eastAsia="Amiri" w:cs="Amiri"/>
          <w:color w:val="111111"/>
          <w:sz w:val="28"/>
          <w:sz w:val="28"/>
          <w:szCs w:val="28"/>
          <w:rtl w:val="true"/>
          <w:lang w:bidi="ar-SA"/>
        </w:rPr>
        <w:t>بخلاف المبذول عوضاً، والفارق النصّ، لاثبوت العوض في الضائع والثواب في العوض؛ لاشتراكهما في الثواب لو تحقّق إذن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خشي المرض الشديد، أو الشَين باستعماله الماء، جاز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 بحيث لا يتحمّل عادةً لا مطلق الشَين، ويرجع فيه وفي المرض إلى ما يجده من نفسه، أو يُخبره به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معه ماء للشرب وخاف العطشَ إن استعمله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عطشه أو عطش نفسٍ محترمةٍ ولو حيواناً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018422_1067777946"/>
      <w:bookmarkStart w:id="135" w:name="_Toc49"/>
      <w:bookmarkEnd w:id="134"/>
      <w:r>
        <w:rPr>
          <w:rtl w:val="true"/>
        </w:rPr>
        <w:t>[</w:t>
      </w:r>
      <w:r>
        <w:rPr>
          <w:rtl w:val="true"/>
        </w:rPr>
        <w:t>الطرف الثاني فيما يجوز التيمّم به</w:t>
      </w:r>
      <w:r>
        <w:rPr>
          <w:rtl w:val="true"/>
        </w:rPr>
        <w:t>]</w:t>
      </w:r>
      <w:bookmarkEnd w:id="1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التيمّم بالمعادن ولا بالرماد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أصلُه تراباً؛ لخروجه بالاستحالة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التيمّم بأرض النورة والجَصّ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إحراقهما وصيرورتهما أحدهما، وإلّا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الملاصق للميّت، ولو بعد اندراسه وصيرورته رميماً إذا كان أصله طاهراً، وإلّا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وبالترابِ المستعمل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الممسوح به على تقدير بقائه، أو المتساقط عن الكفّين بعد الضرب، لا المضروب عليه وإن اشتركا في الجواز؛ لأنّه ليس محلّ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يصحّ التيمّم بالتراب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لم يأذن مالكه في استعماله وإن لم ينه عنه، إلّا أن تدلّ القرائن على عدم کراهته كالجدار الخارج إلى المباح والصحراء، فيجوز التيمّم عليه بشاهد الحال كالصلاة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بالسبخة</w:t>
      </w:r>
      <w:r>
        <w:rPr>
          <w:rFonts w:eastAsia="Amiri" w:cs="Amiri" w:ascii="Amiri" w:hAnsi="Amiri"/>
          <w:color w:val="111111"/>
          <w:sz w:val="28"/>
          <w:szCs w:val="28"/>
          <w:rtl w:val="true"/>
          <w:lang w:bidi="ar-SA"/>
        </w:rPr>
        <w:t xml:space="preserve">». </w:t>
      </w:r>
      <w:bookmarkStart w:id="136" w:name="pg10178_83513"/>
    </w:p>
    <w:p>
      <w:pPr>
        <w:pStyle w:val="BookText"/>
        <w:rPr/>
      </w:pPr>
      <w:bookmarkEnd w:id="136"/>
      <w:r>
        <w:rPr>
          <w:rFonts w:ascii="Amiri" w:hAnsi="Amiri" w:eastAsia="Amiri" w:cs="Amiri"/>
          <w:color w:val="111111"/>
          <w:sz w:val="28"/>
          <w:sz w:val="28"/>
          <w:szCs w:val="28"/>
          <w:rtl w:val="true"/>
          <w:lang w:bidi="ar-SA"/>
        </w:rPr>
        <w:t>هي الأرض المالحة النشاشة، لا التي لا 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لا يعلو وجهها شيءٌ من الملح، وإلّا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من رُبى الأرض وعَواليها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بمعنى واحد، والجمع بينهما تأكيدٌ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فقد التراب يتيمّم بغُبارِ ثوبه، أو لِبْدِ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تحرّي أكثرها غُباراً واستخراجه بحيث يعلو وجهها مع الإمكان، ويشترط كونه ممّا يصحّ التيمّم على جنسه، ووجودُه في الجملة، فلو لم يكن عليها غبارٌ لم يصحّ، وفي حكم الثلاثة ما شاركها في الغُبار</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018424_1067777946"/>
      <w:bookmarkStart w:id="138" w:name="_Toc50"/>
      <w:bookmarkEnd w:id="137"/>
      <w:r>
        <w:rPr>
          <w:rtl w:val="true"/>
        </w:rPr>
        <w:t>[</w:t>
      </w:r>
      <w:r>
        <w:rPr>
          <w:rtl w:val="true"/>
        </w:rPr>
        <w:t>الطرف الثالث في كيفيّة التيمّم</w:t>
      </w:r>
      <w:r>
        <w:rPr>
          <w:rtl w:val="true"/>
        </w:rPr>
        <w:t>]</w:t>
      </w:r>
      <w:bookmarkEnd w:id="1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التيمّم قبل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مع سعته؟ فيه تردّد، والأحوط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المنعُ مطلقاً، هذا في التيمّم المبتدأ، أمّا المستدام فتصحّ الصلاة به حال السعة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الضيق الظنّ، فلو انكشف السعة بعده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يديه على الأرض، ثمّ يمسح الجبهة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الجبينين، والأحوط مسح الحاجبين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مسح جزء آخر من غير محلِّ الفرض من باب المقدِّمة، وكذا في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يمسح ظاهر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باستيعاب الوجه والذراعين،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فيما هو بدل من الغسل من ضربتين،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 ضربتان،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واحدة والتفصيل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ويجب استیعاب مواضع المسح في التيمّم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الماسح فلا يجب استيعابه مطلقاً، نعم يعتبر استيعابُه حالةَ الضرب على الأرض </w:t>
      </w:r>
      <w:bookmarkStart w:id="139" w:name="pg10178_83514"/>
    </w:p>
    <w:p>
      <w:pPr>
        <w:pStyle w:val="BookText"/>
        <w:rPr/>
      </w:pPr>
      <w:bookmarkEnd w:id="139"/>
      <w:r>
        <w:rPr>
          <w:rFonts w:ascii="Amiri" w:hAnsi="Amiri" w:eastAsia="Amiri" w:cs="Amiri"/>
          <w:color w:val="111111"/>
          <w:sz w:val="28"/>
          <w:sz w:val="28"/>
          <w:szCs w:val="28"/>
          <w:rtl w:val="true"/>
          <w:lang w:bidi="ar-SA"/>
        </w:rPr>
        <w:t>وإن لم يكن المجموع مقارناً للنيّة، بل لو قارن ببعضه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نفضُ اليدين بعد ضربهما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يمسحَهما بثوبه، أو يمسحَ إحداهما بالأُخرى، أو بغير ذلك ممّا يُزيل عنهما أثرَ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تيمّم وعلى جسده نجاسةٌ، صحّ تيمّمه، كما لو تطهَّر بالماء وعليه نجاسة، لكن في التيمّم يراعى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جوّزنا التيمّم مع سعة الوقت أم اعتبرنا الضيق؛ لأنّ المراد بالضيق عدم زيادة الوقت عن الصلاة وشروطها المفقودة من غير اعتبار ترتّبها،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يراعى في التيمّم ضيقُ الوقت</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018426_1067777946"/>
      <w:bookmarkStart w:id="141" w:name="_Toc51"/>
      <w:bookmarkEnd w:id="140"/>
      <w:r>
        <w:rPr>
          <w:rtl w:val="true"/>
        </w:rPr>
        <w:t>[</w:t>
      </w:r>
      <w:r>
        <w:rPr>
          <w:rtl w:val="true"/>
        </w:rPr>
        <w:t>الطرف الرابع في أحكام التيمّم</w:t>
      </w:r>
      <w:r>
        <w:rPr>
          <w:rtl w:val="true"/>
        </w:rPr>
        <w:t>]</w:t>
      </w:r>
      <w:bookmarkEnd w:id="1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تعمّد الجنابة وخشي على نفسه من استعمال الماء يتيمّم ويصلّي وثمّ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كان على جسده نجاسة ولم يكن معه ماء لإزالتها، والأظهر عدم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طلب الماء فإن أخلّ بالطلب وصلّى، ثمّ وجد الماء في رحله أو 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موضعٍ يجب عليه طلبه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الماء وما يُتَيمَّمُ به لقيد، أو حبس في موضع نجس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ويعيد،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الصلاةَ حتّى يرتفع العذر، فإن خرج الوقتُ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وجد الماء قبل دخوله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وجده وهو في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مالم يركع،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ولو تلبّس بتكبيرة الإحرام حسب،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ولا فرق بين الفرض والنفلِ، ولو اتّفق عدم الماء قبل إمكان استعماله لم ينتقض تيمّمه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ميّت وجنب ومحدث ومعهم من الماء يكفي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تخصيص الجنب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تتحقّق الأفضليّةُ مع كونه لمالكٍ يبذله للأحوج، أو مباحاً لا يترجّح أحدُهم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متعيّناً للأحوج بنذرٍ وشبهه تعيّن صرفه للجُنب على الأقوى، هذا إذا لم يمكن الجمع بأن يتوضّأ به المحدث ثمّ يجمعه للجُنب ثمّ يجمعه للميّت، وإلّا وجب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تمكّن من استعمال الماء انتقض تيمّمه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كونه في وقت عبادةٍ مشروطةٍ به وعدمه، وإنّما يحكم بالنقض بمجرّد التمكّن في ظاهر الحال، ويُراعى في استقراره مضيّ زمانٍ يتمكّن من الطهارة المائيّة، فلو تعذّر استعماله في أثنائه تبيّن عدم الانتقاض</w:t>
      </w:r>
      <w:r>
        <w:rPr>
          <w:rFonts w:eastAsia="Amiri" w:cs="Amiri" w:ascii="Amiri" w:hAnsi="Amiri"/>
          <w:color w:val="111111"/>
          <w:sz w:val="28"/>
          <w:szCs w:val="28"/>
          <w:rtl w:val="true"/>
          <w:lang w:bidi="ar-SA"/>
        </w:rPr>
        <w:t xml:space="preserve">. </w:t>
      </w:r>
      <w:bookmarkStart w:id="142" w:name="pg10178_83516"/>
    </w:p>
    <w:p>
      <w:pPr>
        <w:pStyle w:val="Heading3"/>
        <w:numPr>
          <w:ilvl w:val="2"/>
          <w:numId w:val="1"/>
        </w:numPr>
        <w:rPr/>
      </w:pPr>
      <w:bookmarkStart w:id="143" w:name="__RefHeading___Toc2018428_1067777946"/>
      <w:bookmarkStart w:id="144" w:name="_Toc52"/>
      <w:bookmarkEnd w:id="142"/>
      <w:bookmarkEnd w:id="143"/>
      <w:r>
        <w:rPr>
          <w:rtl w:val="true"/>
        </w:rPr>
        <w:t>[</w:t>
      </w:r>
      <w:r>
        <w:rPr>
          <w:rtl w:val="true"/>
        </w:rPr>
        <w:t>الركن الرابع في النجاسات</w:t>
      </w:r>
      <w:r>
        <w:rPr>
          <w:rtl w:val="true"/>
        </w:rPr>
        <w:t>]</w:t>
      </w:r>
      <w:bookmarkEnd w:id="144"/>
    </w:p>
    <w:p>
      <w:pPr>
        <w:pStyle w:val="Heading4"/>
        <w:numPr>
          <w:ilvl w:val="3"/>
          <w:numId w:val="1"/>
        </w:numPr>
        <w:rPr/>
      </w:pPr>
      <w:bookmarkStart w:id="145" w:name="__RefHeading___Toc2018430_1067777946"/>
      <w:bookmarkStart w:id="146" w:name="_Toc53"/>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ممّا لا يؤكل لحمه إذا كان للحيوان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بالنفس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يخرج من العِرْقِ إذا قطع بقوّةٍ، لا مترشّحاً كدم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رَجيع ما لانفس له وبوله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ذرق الدجاج الجلّال، والأظهر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منيّ مالانفس له تردّد، والطهارة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ينجس من الميتات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لا تحلّه الحياة كالعظم والشعر، فهو طاهر، إلّا أن تكون عينه نجسة، كالكلب والخنزير والكافر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الغُسل على من مسّ ميّتاً من الناس قبل تطهيره وبعد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لا يحتاج إلى تطهيره من الأموات كالشهيد والمعصوم لا يجب بمسّه غسلٌ، وكذا من قدّم غسلَه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يتحقّق التطهير فيما يفتقر إليه تمام الغسل جامعاً لما يعتبر فيه من الخليط وغيره، فلو اختلّ بعضها لم يطهر ووجب الغسل بمسّه وإن اجتزأ به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ببعديّة البرد عمّا لومسّه بعد الموت وقبل البرد، فإنّه لاغسل، لكن يجب غَسل العضو اللامس كما يجب بعده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لومسّ قطعةً منه فيها عظم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أُبينت من حيّ أو ميّتٍ، والأقوى عدم إلحاق العظم المجرّد بها، كما لا يلحق اللحم كذلك، وموضعُ الخلاف ما لو لم يُغسّل ولو ظاهراً كالموجود في مقبرةالمسلمين، وإلّا فلا غسل قطعاً</w:t>
      </w:r>
      <w:r>
        <w:rPr>
          <w:rFonts w:eastAsia="Amiri" w:cs="Amiri" w:ascii="Amiri" w:hAnsi="Amiri"/>
          <w:color w:val="111111"/>
          <w:sz w:val="28"/>
          <w:szCs w:val="28"/>
          <w:rtl w:val="true"/>
          <w:lang w:bidi="ar-SA"/>
        </w:rPr>
        <w:t xml:space="preserve">. </w:t>
      </w:r>
      <w:bookmarkStart w:id="147" w:name="pg10178_83517"/>
    </w:p>
    <w:p>
      <w:pPr>
        <w:pStyle w:val="BookText"/>
        <w:rPr/>
      </w:pPr>
      <w:bookmarkEnd w:id="14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أومسّ ميّتاً له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اختصاصه بحالةِ الرطوبة، وإلّا لم يجب غَسل اللامس وإن أوجبناه في ميّت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نزا كلبٌ على حيوان فأولده، روعي في إلحاقه بأحكامه إطلاقُ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الحيوانُ مخالفاً للكلب حكماً، وإلّا تبعهما في الحكم وإن باينهما وكان على صفة محلّل، ومع الاختلاف يراعى إطلاقُ اسمه عليهما وعلى غيرهما، فإن لم يصدق عليه اسم شيءٍ معلومِ الحكم فالأقوى طهارتُه وتحريم لحمه؛ عملاً بالأصل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الثعلب والأرنب والفأرة والوزغة تردّد، والأظهر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المائعة بالأصالة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تنجيسها خلاف، والأظهر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حكمها العصير إذا غلى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بغليانه صيرورة أسفله أعلاه وبالعكس، وباشتداده أخذه في الثَخانة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بنجاسته هو المشهور بين المتأخّرين، والنصوص خاليةٌ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ما يسمّى فقّاعاً عرفاً مالم يعلم انتفاء خاصيّته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 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خرج عن الإسلام، أو من انتحله، وجحد ما يعلم من الدين ضرورة، كالخوارج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النواصب والمجسّمة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عرق الجنب من الحرام وعرق الإبل الجلّالة والمسوخ خلاف، والأظهر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018432_1067777946"/>
      <w:bookmarkStart w:id="149" w:name="_Toc54"/>
      <w:bookmarkEnd w:id="148"/>
      <w:r>
        <w:rPr>
          <w:rtl w:val="true"/>
        </w:rPr>
        <w:t>[</w:t>
      </w:r>
      <w:r>
        <w:rPr>
          <w:rtl w:val="true"/>
        </w:rPr>
        <w:t>القول في أحكام النجاسات</w:t>
      </w:r>
      <w:r>
        <w:rPr>
          <w:rtl w:val="true"/>
        </w:rPr>
        <w:t>]</w:t>
      </w:r>
      <w:bookmarkEnd w:id="1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إزالة النجاسة عن الثياب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وعفي عن الثوب والبدن عمّا يشقّ </w:t>
      </w:r>
    </w:p>
    <w:p>
      <w:pPr>
        <w:pStyle w:val="BookText"/>
        <w:rPr/>
      </w:pPr>
      <w:r>
        <w:rPr>
          <w:rFonts w:ascii="Amiri" w:hAnsi="Amiri" w:eastAsia="Amiri" w:cs="Amiri"/>
          <w:color w:val="111111"/>
          <w:sz w:val="28"/>
          <w:sz w:val="28"/>
          <w:szCs w:val="28"/>
          <w:rtl w:val="true"/>
          <w:lang w:bidi="ar-SA"/>
        </w:rPr>
        <w:t>التحرّز منه من دم القروح والجروح التي لا ترقأ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بقاء الرخصة وإن رقت إلى أن تبرأ؛ لدلالة النصوص عليه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 دون الدرهم البغلي سعةً من الدم المسفوح، الذي ليس من أحد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سعتُه بعقد الإبهام العليا، وبعقد السبابة، وكلاهما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مع الدماء الثلاثة دمُ الميتة ونجس العين، فلا يعفى عنهما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ومازاد عن ذلك تجب إزالته إن كان مجتمعاً، وإن كان متفرّقاً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عفوٌ،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أن يتفاحش،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يُقدَّر مجتمعاً، ويلحقه حكم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المفرَّق ماكان منه على الثوب الواحد والثياب المتعدّدة، وعليها وعلى البدن، فيضمّ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الصلاةُ فيما لا تتمّ الصلاةُ فيه منفرداً، وإن كان فيه نجاسة لم يعف عنها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تتمّ صلاةُ الرجل فيه وإن كانت المصلّيةُ امرأةً، 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نفسه نجاسةً كجلد الميتة، فإنّه لا يعفى عنه مطلقاً، ولا فرق بين الملابس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وتعصر الثياب من النجاسة كلّها إلّا في بول الرضيع، فإنّه يكفي صبُّ الماء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بالصبّ إصابةُ الماء لمجموعِ المحلِّ النجسِ من غير اعتبار الانفصال، وبه يتميّز عن الغَسل وعن الرشّ باشتراط إصابة المجموع، ولا تلحق به الصبيّةُ بل بولُها كغيره من الأبوال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البدن يغسل رطباً،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أخلّ المصلّي بإزالة النجاسة عن ثوبه أو بدنه أعاد في الوقت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يعلم ثمّ علم بعد الصلاة لم تجب عليه الإعادة،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النجاسةَ وهو في الصلاة، فإن أمكنه إلقاءُ الثوب وستر العورة بغيره، وجب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اختاره من عدم إعادة الجاهل في الوقت، أو مع احتمال وقوعها حالة الرؤية، وإلّا وجب الاستئناف مطلقاً مع إمكان إدراك ركعةٍ في الوقت وإلّا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والمربّية للصبيّ إذا لم يكن لها ثوبٌ إلّا واحدٌ غسلته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المربّيةُ للصبيّةِ، ولو تعدّد الولدُ فأولى بالعفو، وفي حكمها المربّي له، ولو كان لها ثوبان فصاعداً ولو بإعارةٍ أو استئجارٍ لم يُعف عن النجاسةِ مطلقاً مع إمكان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مع المصلّي ثوبان وأحدهما نجس لا يعلمه بعينه صلّى الصلاة الواحدة في كلّ واحدٍ منهما منفرداً،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ولو تعدّدت الثيابُ النجسةُ واشتبهتْ وجبَ تكرارُ الصلاة فيما يزيد عن عدد النجس بواحدٍ إذا لم يجد ثوباً طاهراً، وإلّا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الثياب الكثيرة كذلك، إلّا أن يضيق الوقتُ فيصلّي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تتعيّنُ الصلاةُ في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يُلقي الثوبَ النجس ويصلّي عرياناً إذا لم يكن هناك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يتخيّر بين الصلاة فيه وعارياً، والصلاة فيه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يمكنه صلّى فيه وأعاد،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إذا جفّفت البول وغيره من النجاسات عن الأرض والبواري والحصر، طهر موضعه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رطوبة النجاسة وتجفيف الشمس لها، ويعتبر كونها بإشراقها ولو بمشاركة الهواء دون حرارتها وإن استقلّت</w:t>
      </w:r>
      <w:r>
        <w:rPr>
          <w:rFonts w:eastAsia="Amiri" w:cs="Amiri" w:ascii="Amiri" w:hAnsi="Amiri"/>
          <w:color w:val="111111"/>
          <w:sz w:val="28"/>
          <w:szCs w:val="28"/>
          <w:rtl w:val="true"/>
          <w:lang w:bidi="ar-SA"/>
        </w:rPr>
        <w:t xml:space="preserve">. </w:t>
      </w:r>
      <w:bookmarkStart w:id="150" w:name="pg10178_83520"/>
    </w:p>
    <w:p>
      <w:pPr>
        <w:pStyle w:val="BookText"/>
        <w:rPr/>
      </w:pPr>
      <w:bookmarkEnd w:id="15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كلّ ما لا يمكن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ينقل عادةً وإن أمكن نقله، ومنه النبات المقطوع الملقى على الأرض بغير استقلال اليد عليه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وتُطهّر النارُ ما أحالتْه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رَماداً أو دُخاناً، لا خَزَفاً وآجراً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باطنَ الخُفِّ وأسفلَ القَدَم والنعلِ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بالباطنِ والأسفل ما تستره الأرضُ حالةَ المشي، وفي حكم التراب باقي أجزاء الأرض من الحجر والرَمْل وغيرهما من 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زوال عين النجاسة بها ولو بالمسح، والأقوى اشتراط طهارتها وجَفافها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النجاسة الجافّةِ وغيرها، ولا بين ذات الجِرم وغيره مع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وماء الغيث لا ينجس في حال وقوعه ولا حالَ جريانه من ميزابٍ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اتّصاله بالمطر، وإلّا فكالواقف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القول في الإناء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في الذَنوب، إذا أُلقي على الأرض تطهر الأرض مع بقائه على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كرّيته، وإلّا فلا</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018434_1067777946"/>
      <w:bookmarkStart w:id="152" w:name="_Toc55"/>
      <w:bookmarkEnd w:id="151"/>
      <w:r>
        <w:rPr>
          <w:rtl w:val="true"/>
        </w:rPr>
        <w:t>[</w:t>
      </w:r>
      <w:r>
        <w:rPr>
          <w:rtl w:val="true"/>
        </w:rPr>
        <w:t>القول في الآنية</w:t>
      </w:r>
      <w:r>
        <w:rPr>
          <w:rtl w:val="true"/>
        </w:rPr>
        <w:t>]</w:t>
      </w:r>
      <w:bookmarkEnd w:id="1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المفضّض،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اجتنابُ موضع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اتّخاذها لغير الاستعمال تردّد، والأظهر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وأواني المشركين طاهرةٌ حتّى تُعلم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سائرُ ما بأيديهم ممّا لا تُشترط فيه ولا في أصله التذكيةُ، والمراد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الثابتُ ولو بالخبر المحفوف بالقرائن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استعمال شيء من الجلود إلّا ما كان طاهراً في حال الحياة ذكيّاً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قَبِل الذكاةَ وكان له نفس، فلو لم تكن له نفسٌ كالسمك فهو طاهرٌ وإن لم يكن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الإناء من ولوغ الكلب ثلاثاً، أُولاهُنّ بالتراب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والمراد بوُلُوغه شربُه ممّا في الإناء بطرف لِسانه، ويلحق به لَطْعُه دون مباشرته له بسائر أعضائه، بل هي كسائر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طهارةُ التراب، وصدق اسمه، فلو مزج بالماء حتّى خرج عنه لم يطهِّر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يعتبر العددُ بالماء فيه وفي غيره في غير الكثيرِ، وإلّا كفت 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الخمر والجُرذ ثلاثاً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أحوط، وأولى منه غَسله سبعاً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والسبع أفضل ومن غير ذلك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لِوُلُوغ الخنزير فسبعٌ بالماء على الأقوى</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0178_83523"/>
      <w:bookmarkStart w:id="154" w:name="pg10178_83523"/>
      <w:bookmarkEnd w:id="154"/>
    </w:p>
    <w:p>
      <w:pPr>
        <w:pStyle w:val="Heading2"/>
        <w:numPr>
          <w:ilvl w:val="1"/>
          <w:numId w:val="1"/>
        </w:numPr>
        <w:rPr/>
      </w:pPr>
      <w:bookmarkStart w:id="155" w:name="pg10178_83523"/>
      <w:bookmarkStart w:id="156" w:name="__RefHeading___Toc2018436_1067777946"/>
      <w:bookmarkStart w:id="157" w:name="_Toc56"/>
      <w:bookmarkEnd w:id="155"/>
      <w:bookmarkEnd w:id="156"/>
      <w:r>
        <w:rPr>
          <w:rtl w:val="true"/>
        </w:rPr>
        <w:t>كتاب الصلاة</w:t>
      </w:r>
      <w:bookmarkEnd w:id="157"/>
    </w:p>
    <w:p>
      <w:pPr>
        <w:pStyle w:val="Heading3"/>
        <w:numPr>
          <w:ilvl w:val="2"/>
          <w:numId w:val="1"/>
        </w:numPr>
        <w:rPr/>
      </w:pPr>
      <w:bookmarkStart w:id="158" w:name="__RefHeading___Toc2018438_1067777946"/>
      <w:bookmarkStart w:id="159" w:name="_Toc57"/>
      <w:bookmarkEnd w:id="158"/>
      <w:r>
        <w:rPr>
          <w:rtl w:val="true"/>
        </w:rPr>
        <w:t>[</w:t>
      </w:r>
      <w:r>
        <w:rPr>
          <w:rtl w:val="true"/>
        </w:rPr>
        <w:t>الركن الأوّل في المقدّمات</w:t>
      </w:r>
      <w:r>
        <w:rPr>
          <w:rtl w:val="true"/>
        </w:rPr>
        <w:t>]</w:t>
      </w:r>
      <w:bookmarkEnd w:id="159"/>
    </w:p>
    <w:p>
      <w:pPr>
        <w:pStyle w:val="Heading4"/>
        <w:numPr>
          <w:ilvl w:val="3"/>
          <w:numId w:val="1"/>
        </w:numPr>
        <w:rPr/>
      </w:pPr>
      <w:bookmarkStart w:id="160" w:name="__RefHeading___Toc2018440_1067777946"/>
      <w:bookmarkStart w:id="161" w:name="_Toc58"/>
      <w:bookmarkEnd w:id="160"/>
      <w:r>
        <w:rPr>
          <w:rtl w:val="true"/>
        </w:rPr>
        <w:t>[</w:t>
      </w:r>
      <w:r>
        <w:rPr>
          <w:rtl w:val="true"/>
        </w:rPr>
        <w:t>المقدّمة الأُولى في أعداد الصلاة</w:t>
      </w:r>
      <w:r>
        <w:rPr>
          <w:rtl w:val="true"/>
        </w:rPr>
        <w:t>]</w:t>
      </w:r>
      <w:bookmarkEnd w:id="1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من كلّ رباعيّة في السفر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وثلاثون ركعةً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وعقيب العشاء ركعتان من جلوس تُعدّان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فعلهما من قيام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في السفر نوافل الظهر والعصر والوتيرة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والنوافل كلّها ركعتان بتشهّد وتسليم بعدهما إلّا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018442_1067777946"/>
      <w:bookmarkStart w:id="163" w:name="_Toc59"/>
      <w:bookmarkEnd w:id="162"/>
      <w:r>
        <w:rPr>
          <w:rtl w:val="true"/>
        </w:rPr>
        <w:t>[</w:t>
      </w:r>
      <w:r>
        <w:rPr>
          <w:rtl w:val="true"/>
        </w:rPr>
        <w:t>المقدّمة الثانية في المواقيت</w:t>
      </w:r>
      <w:r>
        <w:rPr>
          <w:rtl w:val="true"/>
        </w:rPr>
        <w:t>]</w:t>
      </w:r>
      <w:bookmarkEnd w:id="163"/>
    </w:p>
    <w:p>
      <w:pPr>
        <w:pStyle w:val="Heading5"/>
        <w:numPr>
          <w:ilvl w:val="4"/>
          <w:numId w:val="1"/>
        </w:numPr>
        <w:rPr/>
      </w:pPr>
      <w:bookmarkStart w:id="164" w:name="__RefHeading___Toc2018444_1067777946"/>
      <w:bookmarkStart w:id="165" w:name="_Toc60"/>
      <w:bookmarkEnd w:id="164"/>
      <w:r>
        <w:rPr>
          <w:rtl w:val="true"/>
        </w:rPr>
        <w:t>اشارة</w:t>
      </w:r>
      <w:bookmarkEnd w:id="1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كالصبح والظهر </w:t>
      </w:r>
      <w:r>
        <w:rPr>
          <w:rStyle w:val="FootnoteAnchor"/>
          <w:rtl w:val="true"/>
        </w:rPr>
        <w:footnoteReference w:id="48"/>
      </w:r>
      <w:r>
        <w:rPr>
          <w:rFonts w:ascii="Amiri" w:hAnsi="Amiri" w:eastAsia="Amiri" w:cs="Amiri"/>
          <w:color w:val="111111"/>
          <w:sz w:val="28"/>
          <w:sz w:val="28"/>
          <w:szCs w:val="28"/>
          <w:rtl w:val="true"/>
          <w:lang w:bidi="ar-SA"/>
        </w:rPr>
        <w:t>كيفيّة وترتيباً، ووقتها يوم الجمعة عند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بين زوال الشمس إلى غروبها وقت الظهر والعصر وتختصّ الظهر من أوّله بمقدار أدائها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المعتبر في أدائها بحال المصلّي في ذلك الوقت قوّة وضعفاً، حضراً وسفراً، خوفاً وأمناً، وغيرها من الأحوال، ويعتبر مع ذلك مقدار فعل شرائطها المفقودة عنه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العصر من آخره وما بينهما من الوقت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صحّة وقوع كلّ واحدة فيه بوجه لا مطلقاً؛ لأنّ الظهر قبل العصر مع الذكر، وإنّما يُغتفر الترتيب 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وتختصّ العشاء الآخرة من آخر الوقت بمقدار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كونه متمّاً، وإلّا فمقدار اثنتين والضابط أنّ المعتبر مقدار أدائها على الحالة التي يكلّف بها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بين طلوع الفجر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المستطير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الشمس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المنتشر فوق الأُفق مُعترِضاً، واحترز به عن الأوّل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بزيادة الظلّ بعد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الغالب من أنّه لا يعدم الظلّ أصلاً حينئذٍ، ولو أضاف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حدوثه بعد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سائر الفصول والبلاد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الزوال بزيادة الظلّ بعد نقصانه، أو بميل الشمس إلى الحاجب الأيمن لمن يستقبل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قبلة أهل العراق، سواء في ذلك الركن العراقي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الضابط منها ما كان على خطّ الجنوب كقبلة طرفه الغربي بالموصل وما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فإنّه وإن كان كذلك، إلّا أنّ الزوال لا يعلم به إلّا بعد مضيّ زمان كثير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الضابطة في ذلك استقبال نقطة الجنوب، فإذا مالت الشمس إلى الحاجب الأيمن تبيّن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قبلة الشامي فقد يتبيّن بها الزوال أيضاً إذا صارت الشمس على طرف الحاجب ممّا يلي الأُذن، غير منضبطة كقبلة العراقي بغير اعتبار نقطة الجنوب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باستتار القرص،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الحمرة من المشرق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ذهابها من جهة المشرق، وهو ممّا يُعدّ مشرقاً عرفاً </w:t>
      </w:r>
      <w:r>
        <w:rPr>
          <w:rStyle w:val="FootnoteAnchor"/>
          <w:rtl w:val="true"/>
        </w:rPr>
        <w:footnoteReference w:id="49"/>
      </w:r>
      <w:r>
        <w:rPr>
          <w:rFonts w:ascii="Amiri" w:hAnsi="Amiri" w:eastAsia="Amiri" w:cs="Amiri"/>
          <w:color w:val="111111"/>
          <w:sz w:val="28"/>
          <w:sz w:val="28"/>
          <w:szCs w:val="28"/>
          <w:rtl w:val="true"/>
          <w:lang w:bidi="ar-SA"/>
        </w:rPr>
        <w:t>، وحدّه في العلوّ وسط السماء المعروف بمحاذاة قمّة الرأس، لا الحقيقي منه، ولا نصف السماء الشرقي المتميّز عن الغربي بدائرة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والغروب باستتار القرص،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الحمرة من المشرق، وهو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وللعصر من حين يمكن الفراغ من الظهر حتّى يصير الظلّ 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والمماثلة بين الفيء الزائد والظلّ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المحكيّ </w:t>
      </w:r>
      <w:r>
        <w:rPr>
          <w:rStyle w:val="FootnoteAnchor"/>
          <w:rtl w:val="true"/>
        </w:rPr>
        <w:footnoteReference w:id="50"/>
      </w:r>
      <w:r>
        <w:rPr>
          <w:rFonts w:ascii="Amiri" w:hAnsi="Amiri" w:eastAsia="Amiri" w:cs="Amiri"/>
          <w:color w:val="111111"/>
          <w:sz w:val="28"/>
          <w:sz w:val="28"/>
          <w:szCs w:val="28"/>
          <w:rtl w:val="true"/>
          <w:lang w:bidi="ar-SA"/>
        </w:rPr>
        <w:t>هو الصحيح، وما اختاره المصنِّف في غاية الضعف، بل يكاد يكون باطلاً صرفاً، لأنّ الظلّ الأوّل غير منضبط، بل تارةً يكون عند الزوال معدوماً وأُخرى يكون موجوداً بمقدار تكبيرة الإحرام، وأُخرى زائداً على ذلك بمقدار بعض الصلاة إلى أن يصير بمقدارها خاصّة، ثمّ يزيد عنها يسيراً إلى أن ينتهي، وذلك في كثير من البلاد في بعض الفصول، وعلى تقدير وجوده فهو في فصل الشتاء، ووقت قصر النهار أطول منه في وقت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فلونيط وقت الظهر به لزم التكليف بعبادة في غير وقتٍ، أو في وقتٍ يقصر عنها وعن مقدار ركعة منها، وأن يكون وقتها في النهار القصير أزيد منه في الطويل، وأن تكون نافلتها ساقطة في كثير من الأوقات، بل التكليف بها على بعض الوجوه، وهذا كلّه على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أقدام للظهر وثمانٍ للعصر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أسباع الشخص ذي الظلّ، طويلاً كان أم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انعدام الظلّ، أو حدوث الظلّ على تقدير </w:t>
      </w:r>
      <w:bookmarkStart w:id="166" w:name="pg10178_83526"/>
    </w:p>
    <w:p>
      <w:pPr>
        <w:pStyle w:val="BookText"/>
        <w:rPr/>
      </w:pPr>
      <w:bookmarkEnd w:id="166"/>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صارت بقدر أربعة أسباع الشخص خرج وقت الاختيار للظهر، ومتى صارت بقدر ثمانية أسباعه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وسبعه خرج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أنّ ذلك كلّه للفضيلة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الأقوى</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2018446_1067777946"/>
      <w:bookmarkStart w:id="168" w:name="_Toc61"/>
      <w:bookmarkEnd w:id="167"/>
      <w:r>
        <w:rPr>
          <w:rtl w:val="true"/>
        </w:rPr>
        <w:t>[</w:t>
      </w:r>
      <w:r>
        <w:rPr>
          <w:rtl w:val="true"/>
        </w:rPr>
        <w:t>وقت النوافل اليوميّة</w:t>
      </w:r>
      <w:r>
        <w:rPr>
          <w:rtl w:val="true"/>
        </w:rPr>
        <w:t>]</w:t>
      </w:r>
      <w:bookmarkEnd w:id="1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وللعصر أربعة أقدام،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وقت الاختيار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من المثل للظهر والمثلين للعصر،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تلبّس من النافلة ولو بركعةٍ زاحمَ بها الفريضة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الركعة بإكمال سجودها وإن لم يرفع رأسه منه، والمراد بتخفيفها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أقلّ ما يعتبر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صلّى شيئاً بدأ بالفريضة ولا يجوز تقديمها على الزوال إلّا يوم الجمعة، ويزاد في نافلتها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العشرون نافلة يوم الجمعة، فينوي بها كذلك، وله إبقاء الستّ عشرة على حالها بتقدير أن يصلّي الظهر، وإبقاء ثمان العصر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اختيار جعلها أجمع للجمعة يتخيّر في تقديمها على الزوال وتأخيرها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جعلها يوم الجمعة، والأفضل تفريقها سُداس كما سيأتي في باب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ونافلة المغرب بعدها إلى ذهاب الحمرة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 ذلك، ولم يكن صلّى النافلة أجمع 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قد شرع في ركعتين، فيكملهما مخفّفتين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وصلاة الليل بعد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قربت من الفجر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تقديمها على الانتصاف، إلّا لمسافر يصدّه جدّه، أو</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يقدّمها خائف البرد الشديد، والجنابة، ومريدها اختياراً حيث يشقّ الغسل، </w:t>
      </w:r>
      <w:bookmarkStart w:id="169" w:name="pg10178_83527"/>
    </w:p>
    <w:p>
      <w:pPr>
        <w:pStyle w:val="BookText"/>
        <w:rPr/>
      </w:pPr>
      <w:bookmarkEnd w:id="169"/>
      <w:r>
        <w:rPr>
          <w:rFonts w:ascii="Amiri" w:hAnsi="Amiri" w:eastAsia="Amiri" w:cs="Amiri"/>
          <w:color w:val="111111"/>
          <w:sz w:val="28"/>
          <w:sz w:val="28"/>
          <w:szCs w:val="28"/>
          <w:rtl w:val="true"/>
          <w:lang w:bidi="ar-SA"/>
        </w:rPr>
        <w:t>وغيرها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بنافلة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الشفع والوتر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قد تلبّس بأربع تمّمها مخفّفةً ولو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تأخير مازاد على الأربع اختياراً أو اضطراراً، والمراد بتخفيفها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أقلّ ما يجزئ فيها من القراءة والأذكار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ويصلّي النوافل ما لم يدخل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النوافل المطلقة، أمّا الراتبة فقد عرفتَ أنّها تصلّى في وقت الفرائض، وهذا مبنيّ على المنع من النافلة لمن عليه فريضة، والأقوى الجواز ما لم يضرّ بها</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2018448_1067777946"/>
      <w:bookmarkStart w:id="171" w:name="_Toc62"/>
      <w:bookmarkEnd w:id="170"/>
      <w:r>
        <w:rPr>
          <w:rtl w:val="true"/>
        </w:rPr>
        <w:t>[</w:t>
      </w:r>
      <w:r>
        <w:rPr>
          <w:rtl w:val="true"/>
        </w:rPr>
        <w:t>أحكام مواقيت الصلاة</w:t>
      </w:r>
      <w:r>
        <w:rPr>
          <w:rtl w:val="true"/>
        </w:rPr>
        <w:t>]</w:t>
      </w:r>
      <w:bookmarkEnd w:id="1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حصل أحد الأعذار المانعة من الصلاة، كالجنون والحيض وقد مضى من الوقت مقدار الطهارة وأداء الفريضة، وجبَ عليه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مقدار الفريضة مع شرائطها المفقودة، فلو كان متطهّراً مستتراً عارفاً بالقبلة جامعاً لباقي الشرائط، اعتبر مضيّ مقدار الصلاة خاصّة، كما أنّه لوكان فاقداً لها أجمع اُعتبر مضيّ مقدار فعلها مع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منها أخفّ ما يمكن من فعلها على حالته ذلك الوقت، وكذا القول في وسط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القضاء إذا كان دون ذلك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زال المانع فإن أدرك الطهارة وركعة من الفريضة لزمه أداؤها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الشرائط المفقودة مع الركعة، وإنّما يكتفي بالركعة في آخره على تقدير سلامته بعد الوقت من موانع الوجوب، فلو عرض الجنون أو الحيض ونحوهما بعده قبل إمكان فعلها فكالأوّل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مؤدّياً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أهمل قضى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بشرط الخلوّ عن المانع كما مرّ، وإلّا فلا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أدرك الطهارة وخمس ركعات قبل الغروب لزمته الفريضتان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أدرك الخمس قبل الانتصاف، ولا يكفي هنا الأربع وإن بقي منها للعشاء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المتطوّع بوظيفة الوقت إذا بلغ بما لا يبطل الطهارة والوقت باقٍ يستأنف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يستأنف الطهارة فيعتبر مقدار وقتها، وفي حكمه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له طريق إلى العلم بالوقت لم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التعويل على الظنّ فإن فقد العلم 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تحصيل الوقت ولو ظنّاً بالأوراد وغيرها، سواء في ذلك الأعمى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حينئذٍ الرجوع إلى المخبر عن علم إن أفاده الظنّ، وإلى المؤذّن مع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الوقت قد دخل وهو متلبّس ولو قبل التسليم لم يُعد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دخل في فريضة فذكر أنّ عليه سابقة عدَلَ بنيّته ما دام العدول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الإمكان بعدم الركوع لركعة زائدة على عدد المعدول إليها، والمعتبر في العدول أن ينوي بقلبه أنّ هذه الصلاة هي السابقة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استأنف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السابقة بعد إكمال ما هو فيها، وإلّا اجتزأ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النافلة المبتدأة عند طلوع الشمس، وعند غروبها، وعند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ذات السبب مطلقاً، وتمتدّ الكراهة بعد الطلوع إلى أن تذهب الحمرة ويستوي شعاع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ميلها إلى الغروب وهو اصفرارها، ويمتدّ إلى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وبقيامها انتهاء ارتفاعها، ووصولها إلى قرب دائرة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صلاة الصبح وبعد صلاة العصر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وتمتدّ الكراهة في الأوّل إلى الطلوع، وفي الثاني إلى الغروب</w:t>
      </w:r>
      <w:r>
        <w:rPr>
          <w:rFonts w:eastAsia="Amiri" w:cs="Amiri" w:ascii="Amiri" w:hAnsi="Amiri"/>
          <w:color w:val="111111"/>
          <w:sz w:val="28"/>
          <w:szCs w:val="28"/>
          <w:rtl w:val="true"/>
          <w:lang w:bidi="ar-SA"/>
        </w:rPr>
        <w:t xml:space="preserve">. </w:t>
      </w:r>
      <w:bookmarkStart w:id="172" w:name="pg10178_83529"/>
    </w:p>
    <w:p>
      <w:pPr>
        <w:pStyle w:val="BookText"/>
        <w:rPr/>
      </w:pPr>
      <w:bookmarkEnd w:id="17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الأفضل في كلّ صلاة أن يؤتى بها في أوّل وقتها إلّا المغرب والعشاء لمن أفاض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الاستثناء غير حاصر؛ لخروج صور كثيرة مع ما ذكر من الكلّيّة، كتأخير العصر حتّى يصير ظلّ كلّ شيء مثله، وتأخير الصبح حتّى يصلّي نافلتها إن لم يكن قدّمها على الفجر، والمتيمّم إلى آخر الوقت عند المصنّف </w:t>
      </w:r>
      <w:r>
        <w:rPr>
          <w:rStyle w:val="FootnoteAnchor"/>
          <w:rtl w:val="true"/>
        </w:rPr>
        <w:footnoteReference w:id="51"/>
      </w:r>
      <w:r>
        <w:rPr>
          <w:rFonts w:ascii="Amiri" w:hAnsi="Amiri" w:eastAsia="Amiri" w:cs="Amiri"/>
          <w:color w:val="111111"/>
          <w:sz w:val="28"/>
          <w:sz w:val="28"/>
          <w:szCs w:val="28"/>
          <w:rtl w:val="true"/>
          <w:lang w:bidi="ar-SA"/>
        </w:rPr>
        <w:t xml:space="preserve">وجماعة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من ذوي الأعذار كمزيل النجاسة عن ثوبه وبدنه إذا لم يقدر عليه في أوّل الوقت، ومنتظر الجماعة ما لم يخرج وقت الفضيلة، ومنتظر إمام المسجد وإن أمكن الجمع مع غيره وتأخير الظهر في الحرّ للإبراد،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ظنّ أنّه صلّى الظهر فاشتغل بالعصر، فإن ذكر وهو فيها عدل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وقعت المعدول عنها في المختصّ بالمعدول إليها أم في المشترك، ومن ثمّ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يذكر حتّى فرغ، فإن كان قد صلّى في أوّل وقت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قيّد بالظهر لأنّ العشاء لا يأتي فيها ذلك؛ لدخول وقتها وهو فيها، إلّا أن يفرض سهوه عن مقدار ركعة ممّا لا تبطل الصلاة، فتساوي الظهر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في العصر ذلك، بأن يطوّلها بالمندوبات إلى أن يدخل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بعد أن يصلّي الظهر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018450_1067777946"/>
      <w:bookmarkStart w:id="174" w:name="_Toc63"/>
      <w:bookmarkEnd w:id="173"/>
      <w:r>
        <w:rPr>
          <w:rtl w:val="true"/>
        </w:rPr>
        <w:t>[</w:t>
      </w:r>
      <w:r>
        <w:rPr>
          <w:rtl w:val="true"/>
        </w:rPr>
        <w:t>المقدّمة الثالثة في القبلة</w:t>
      </w:r>
      <w:r>
        <w:rPr>
          <w:rtl w:val="true"/>
        </w:rPr>
        <w:t>]</w:t>
      </w:r>
      <w:bookmarkEnd w:id="174"/>
    </w:p>
    <w:p>
      <w:pPr>
        <w:pStyle w:val="Heading5"/>
        <w:numPr>
          <w:ilvl w:val="4"/>
          <w:numId w:val="1"/>
        </w:numPr>
        <w:rPr/>
      </w:pPr>
      <w:bookmarkStart w:id="175" w:name="__RefHeading___Toc2018452_1067777946"/>
      <w:bookmarkStart w:id="176" w:name="_Toc64"/>
      <w:bookmarkEnd w:id="175"/>
      <w:r>
        <w:rPr>
          <w:rtl w:val="true"/>
        </w:rPr>
        <w:t>اشارة</w:t>
      </w:r>
      <w:bookmarkEnd w:id="1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الكعبة لمن كان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القبلة هي الكعبة لمن أمكنه مشاهدتها وإن لم يكن في المسجد، ومع التعذّر أو المشقّة البالغة فجهتها، وهو القدر الذي يجوز على كلّ جزء منه كون الكعبة </w:t>
      </w:r>
    </w:p>
    <w:p>
      <w:pPr>
        <w:pStyle w:val="BookText"/>
        <w:rPr/>
      </w:pPr>
      <w:r>
        <w:rPr>
          <w:rFonts w:ascii="Amiri" w:hAnsi="Amiri" w:eastAsia="Amiri" w:cs="Amiri"/>
          <w:color w:val="111111"/>
          <w:sz w:val="28"/>
          <w:sz w:val="28"/>
          <w:szCs w:val="28"/>
          <w:rtl w:val="true"/>
          <w:lang w:bidi="ar-SA"/>
        </w:rPr>
        <w:t>فيه، ويقطع بعدم خروجها عنه لأمارة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على سطحها، أبرز بين يديه منها ما يصلّي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يستلقي على ظهره ويصلّي مومئاً إلى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استطال صفّ المأمومين في المسجد حتّى خرج بعضهم عن سمت الكعبة بطلت صلاة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استطال خارج المسجد حتّى خرج عن سمته، أو خارج الحرم كذلك على مذهب المصنّف والأكثر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كلّ إقليم يتوجّهون إلى سمت الركن الذي على جهتهم فأهل العراق إلى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أهل العراق إلى الركن العراقي على وجه المجاز؛ إطلاقاً لما قرب منه عليه؛ لأنّ قبلتهم الباب وما قاربه لا الركن، ومع ذلك لا يطابق مذهبه؛ لأنّ قبلة البعيد عنده الحرم لا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العراق ومن والاهم يجعلون الفجر على المنكب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العلامة منتشرة جدّاً، والتعويل عليها مطلقاً مشكل، والأمر الضابط لها جعل مشرق الاعتدال على اليسار لأهل الطرف العراقي الغربي كالموصل، وغيره يحتاج إلى تغريب عن ذلك، وتختلف باختلاف البعد عنه، فيحتاج إلى ضرب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والجدي على محاذي المنكب الأيمن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العلامة مختصّة بأوساط العراق كبغداد والحلّة والمشهدين؛ لاستلزامها الانحراف نحو المغرب عن نقطة الجنوب، وذلك لا يطابق العراق مطلقاً، كما أنّ جعل الشمس عند زوالها على الحاجب الأيمن تقتضي استقبال نقطة الجنوب، وهو لا يناسب </w:t>
      </w:r>
      <w:bookmarkStart w:id="177" w:name="pg10178_83531"/>
    </w:p>
    <w:p>
      <w:pPr>
        <w:pStyle w:val="BookText"/>
        <w:rPr/>
      </w:pPr>
      <w:bookmarkEnd w:id="177"/>
      <w:r>
        <w:rPr>
          <w:rFonts w:ascii="Amiri" w:hAnsi="Amiri" w:eastAsia="Amiri" w:cs="Amiri"/>
          <w:color w:val="111111"/>
          <w:sz w:val="28"/>
          <w:sz w:val="28"/>
          <w:szCs w:val="28"/>
          <w:rtl w:val="true"/>
          <w:lang w:bidi="ar-SA"/>
        </w:rPr>
        <w:t>علامة الجدي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تكون الشمس كذلك في قبلة أطرافه الغربيّة كما مرّ، وأمّا طرفه الشرقي كالبصرة فتحتاج إلى زيادة انحراف نحو المغرب عن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العلامات الثلاث ليس منها منصوص غير الجدي، وكان السائل كوفياً، وهو مطابق لما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لهم التياسر إلى يسار المصلّي منهم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توجّههم إلى الحرم، وهو مختلف عن يمين الكعبة وشمالها بالنسبة إلى العراق، فالتياسر القليل يوجب التوسّط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المبنيّ عليه ضعيفاً فالمبنيّ أولى بالضعف، بل الأقوى عدم جواز الانحراف فضلاً عن استحبابه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2018454_1067777946"/>
      <w:bookmarkStart w:id="179" w:name="_Toc65"/>
      <w:bookmarkEnd w:id="178"/>
      <w:r>
        <w:rPr>
          <w:rtl w:val="true"/>
        </w:rPr>
        <w:t>[</w:t>
      </w:r>
      <w:r>
        <w:rPr>
          <w:rtl w:val="true"/>
        </w:rPr>
        <w:t>المستقبِل</w:t>
      </w:r>
      <w:r>
        <w:rPr>
          <w:rtl w:val="true"/>
        </w:rPr>
        <w:t>]</w:t>
      </w:r>
      <w:bookmarkEnd w:id="1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الاستقبال في الصلاة مع العلم بجهة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العلم بالجهة بمراعاة العلامات المستقرّة كالنجوم، وأمّا العلامات المفيدة للظنّ فالمراد بها نحو الأهوية ومنازل القمر؛ لاختلافهما كثيراً وعدم انضباطها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اجتهد فأخبره غيره بخلاف اجتهاده،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مطلقاً، والمراد بالمجتهد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بأمارات القبلة المذكورة هنا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له طريق إلى اجتهاده فأخبره كافر،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مطلقاً، وكذا الفاسق والمجهول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ويعوّل على قبلة البلد إذا لم يعلم أنّها بنيت على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المنصوبة في المساجد، والمستفادة من قبور المسلمين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التعويل عليها يجوز الاجتهاد فيها ومخالفتها في التيامن والتياسر إذا أدّى اجتهاده إليه، لا في الجهة الكاملة، ولو علم صلاة معصوم إلى تلك القبلة ولو بالاستفاضة تعيّن وإن دلّ اجتهاده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ليس متمكّناً من الاجتهاد كالأعمى يعوّل على غيره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غير المتمكّن بين مَن يرجو زوال عذره سريعاً كوقت الغيم وعدمه </w:t>
      </w:r>
      <w:bookmarkStart w:id="180" w:name="pg10178_83532"/>
    </w:p>
    <w:p>
      <w:pPr>
        <w:pStyle w:val="BookText"/>
        <w:rPr/>
      </w:pPr>
      <w:bookmarkEnd w:id="180"/>
      <w:r>
        <w:rPr>
          <w:rFonts w:ascii="Amiri" w:hAnsi="Amiri" w:eastAsia="Amiri" w:cs="Amiri"/>
          <w:color w:val="111111"/>
          <w:sz w:val="28"/>
          <w:sz w:val="28"/>
          <w:szCs w:val="28"/>
          <w:rtl w:val="true"/>
          <w:lang w:bidi="ar-SA"/>
        </w:rPr>
        <w:t>كالأعمى، ولا بين العالم بالأمارات والجاهل بها حيث يتعذّر عليه التعلّم أو يضيق الوقت،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يجوز التعويل على الغير تعتبر فيه العدالة، والمعرفة بأدلّتها عن يقين أو 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العدلان قدّما على الواحد، كما أنّه لو أمكن تحصيلها بمحراب ونحوه قدّم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فقد العلم والظنّ، فإن كان الوقت واسعاً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كون الجهات على خطّين مستقيمين متقاطعين على زوايا قوائم؛ ليتحقّق بالصلاة إليها كون الصلاة إمّا إلى القبلة أو إلى ما لا يبلغ اليمين واليسار، وهو مخيّر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يتمكّن من ذلك أجزأته الصلاة وإن لم يكن مستقبلاً، وكذا المضطرّ إلى الصلاة ماشياً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الاقتصار منه على ما تتأدّى به الحاجة، وكذا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عنه بطلَ، ولو تعارضا قدّم أكثرهما استيفاءً لما يعتبر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له الفريضة على الراحلة اختياراً؟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الجواز، ولا فرق بين المطلقة والمعقولة، وفي حكمها السفينة المتحرّكة والأرجوحة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النوافل فالأفضل استقبال القبلة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اشتراطه فيها لغير الماشي والراكب</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2018456_1067777946"/>
      <w:bookmarkStart w:id="182" w:name="_Toc66"/>
      <w:bookmarkEnd w:id="181"/>
      <w:r>
        <w:rPr>
          <w:rtl w:val="true"/>
        </w:rPr>
        <w:t>[</w:t>
      </w:r>
      <w:r>
        <w:rPr>
          <w:rtl w:val="true"/>
        </w:rPr>
        <w:t>في أحكام الخلل في الاستقبال</w:t>
      </w:r>
      <w:r>
        <w:rPr>
          <w:rtl w:val="true"/>
        </w:rPr>
        <w:t>]</w:t>
      </w:r>
      <w:bookmarkEnd w:id="1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الأعمى يرجع إلى غيره؛ لقصوره عن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المرجوع إليه العدالة والمعرفة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عوّل على رأيه مع وجود المبصر لأمارة 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فعليه الإعادة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محراب المسجد، وما نصبه له المبصر الذي يجوز التعويل </w:t>
      </w:r>
      <w:bookmarkStart w:id="183" w:name="pg10178_83533"/>
    </w:p>
    <w:p>
      <w:pPr>
        <w:pStyle w:val="BookText"/>
        <w:rPr/>
      </w:pPr>
      <w:bookmarkEnd w:id="183"/>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ومحراب المسجد مقدّم، ولا فرق في إعادته بدون ذلك بين مصادفته القبلة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منحرفاً يسيراً فالصلاة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يبلغ حدّ اليمين واليسار، والأقوى إعادة مازاد عليه في الوقت خاصّة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تبيّن الخلل وهو في الصلاة فإنّه يستأنف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حصل بالاستئناف إدراك ركعة في الوقت، وإلّا استمرّ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اجتهد لصلاة ثمّ دخل وقت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وقت الأُخرى داخلاً قبل الاجتهاد، وبالجملة فلا يتعدّد الاجتهاد بتعدّد الصلاة، إلّا أن يتجدّد له شكّ في السابق</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018458_1067777946"/>
      <w:bookmarkStart w:id="185" w:name="_Toc67"/>
      <w:bookmarkEnd w:id="184"/>
      <w:r>
        <w:rPr>
          <w:rtl w:val="true"/>
        </w:rPr>
        <w:t>[</w:t>
      </w:r>
      <w:r>
        <w:rPr>
          <w:rtl w:val="true"/>
        </w:rPr>
        <w:t>المقدّمة الرابعة في لباس المصلّي</w:t>
      </w:r>
      <w:r>
        <w:rPr>
          <w:rtl w:val="true"/>
        </w:rPr>
        <w:t>]</w:t>
      </w:r>
      <w:bookmarkEnd w:id="1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ذُكّي كان طاهراً، ولا يستعمل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يفتقر استعماله في غيرها إلى الدباغ؟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سواء استعمله في مائع أم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نجساً في حال حياته فجميع ذلك منه نجس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الصلاة في شيء من ذلك إذا كان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استثني من ذلك ما يسقط على الثوب من شعر الإنسان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أُخذ من مذكّى إلّا الخزّ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ممازجة ما لا تصحّ الصلاة فيه، لا مطلق الخلوص، ولا فرق في جواز الصلاة بوبره بين المذكّى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المغشوش منه بوبر الأرانب والثعالب روايتان، أصحّهما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تجوز الصلاة في فرو السنجاب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اللحم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لفظ الحديث </w:t>
      </w:r>
      <w:r>
        <w:rPr>
          <w:rStyle w:val="FootnoteAnchor"/>
          <w:rtl w:val="true"/>
        </w:rPr>
        <w:footnoteReference w:id="54"/>
      </w:r>
      <w:r>
        <w:rPr>
          <w:rFonts w:ascii="Amiri" w:hAnsi="Amiri" w:eastAsia="Amiri" w:cs="Amiri"/>
          <w:color w:val="111111"/>
          <w:sz w:val="28"/>
          <w:sz w:val="28"/>
          <w:szCs w:val="28"/>
          <w:rtl w:val="true"/>
          <w:lang w:bidi="ar-SA"/>
        </w:rPr>
        <w:t>، والمراد به ليس بسبع؛ لأنّ السباع تأكل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جواز الصلاة في جلده تذكيته، لأنّه ذونفس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الثعالب والأرانب روايتان، أصحّهما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لبس الحرير المحض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عن الامتزاج بغيره ممّا تصحّ الصلاة فيه على وجه يسلبه الاسم، فلو امتزج بغيره بحيث لا يصدق عليه اسم الحرير لكثرة الخليط جازت فيه وإن كان الخليط عشراً والقزّ نوعاً منه، ويجوز إلباسه الصبيّ والصلاة فيه تمريناً كالمرأة، والخنثى كالرجل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لا يتمّ الصلاة فيه منفرداً، كالتكّة والقلنسوةِ تردّد، والأظهر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الركوب عليه وافتراشه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وفي حكمه التدثّر به والتوسّد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الصلاة في ثوب مكفوف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يجعل في رؤوس الأكمام والذيل ونحوه، وقدّر عرضه بأربعة أصابع مضمومة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المغصوب لا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القيام فوقه والسجود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مطلقاً جاز لغير الغاصب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أذن بلفظ يشمل الغاصب، سواء كان بلفظ عامّ أم مطلق، فإنّ الغاصب لا يدخل فيه؛ لأنّ ظاهر حال المالك أن لا يقصده بالإذن، فيكون لفظ المطلق أو العامّ مقيداً أو مخصّصاً لغيره بالقرينة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فيما يستر ظهر القدم كالشُمِشْك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الجواز على كراهة، والشُمِشْك بضمّ الشين الأُولى وكسر الميم ثمّ سكون الثانية، والمراد بالساق ما ستر شيء منه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ماعدا ما ذكرناه تصحّ الصلاة فيه بشرط أن يكون مملوكاً أو مأذوناً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ما يشمل ملك العين والمنفعة كالمستأجر، ولا فرق في الإذن بين الصريحة في الصلاة وبين الإذن في اللبس مطلقاً، ولا يكفي شاهد الحال هنا بخلاف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للمرأة إلّا في ثوبين درع وخمار، ساترة جميع جسدها عدا الوجه والكفّين وظاهر القدمين، على تردّد في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استثناؤهما، وحدّهما مفصل الساق، ويجب ستر شيء من الحدود مطلقاً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يصلّي الرجل عرياناً إذا ستر قبله ودبره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بالقبل القضيب والأنثيان، وبالدبر نفس المخرج دون الأليين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يجد ثوباً سترهما بما وجده ولو بورق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الحشيش، ومع تعذّرهما يستر بالطين ثمّ بالماء المكدّر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مایستر به يصلّي عرياناً قائماً، إن كان يأمن أن يراه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يأمن صلّى جالساً وفي الحالين يومئ عن الركوع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بالرأس قائماً في الأوّل، وجالساً في الثاني، وينحني للركوع والسجود ما أمكن بحيث لا تبدو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وضع اليدين والركبتين وإبهامي الرجلين في السجود على المعهود مع الإمكان، ورفع شيء يسجد عليه بجبهته كالمريض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المحضة، فلو انعتق بعضها فكالحرّة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أعتقت الأمة في أثناء الصلاة وجب عليها ستر رأسها، فإن افتقرت إلى فعل كثير استأنفت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اتّساع الوقت بحيث تدرك منه ركعةٌ، وإلّا استمرّت، أمّا الصبيّة فتستأنف مطلقاً </w:t>
      </w:r>
    </w:p>
    <w:p>
      <w:pPr>
        <w:pStyle w:val="BookText"/>
        <w:rPr/>
      </w:pPr>
      <w:r>
        <w:rPr>
          <w:rFonts w:ascii="Amiri" w:hAnsi="Amiri" w:eastAsia="Amiri" w:cs="Amiri"/>
          <w:color w:val="111111"/>
          <w:sz w:val="28"/>
          <w:sz w:val="28"/>
          <w:szCs w:val="28"/>
          <w:rtl w:val="true"/>
          <w:lang w:bidi="ar-SA"/>
        </w:rPr>
        <w:t>إلّا أن يقصر الوقت عن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الصلاة في الثياب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السواد من الألوان فالصلاة فيه خلاف الأولى؛ لأنّ الفضل في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العمامة والخفّ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ثوب من صوف منه العباءة، وهذه الثلاثة لا تكره سوداً؛ لأنّ في سوادها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يأتزر فوق القميص وأن يشتمل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الالتحاف بالإزار وإدخال طرفيه تحت إحدى اليدين، وجمعهما على منكب واحد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أن يصلّي في عمامة لا حنك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الحنك بإدارة جزء من العمامة تحته، لا بغير العمامة وإن أفاد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الصلاة في قباء مشدود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شدّ الوسط حالة الصلاة، ولعلّ شدّ القباء بمعناه؛ إذ لا نصّ عليه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يؤمّ بغير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ثوب أو ما في معناه، يُجعل على المنكبين ثمّ يرفع ما على الأيسر على الأيمن، ويكره سدله، وهو مستحبّ للإمام وغيره، ولا يكره تركه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ثوب يُتّهم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بالتساهل في النجاسة، أو الحرام في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الصلاة في ثوب فيه تماثيل أو خاتم فيه صورة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صور الحيوان والأشجار، وبالصورة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مثالاً 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واحد وهو الصورة، والأجود كراهتها فيهما</w:t>
      </w:r>
      <w:r>
        <w:rPr>
          <w:rFonts w:eastAsia="Amiri" w:cs="Amiri" w:ascii="Amiri" w:hAnsi="Amiri"/>
          <w:color w:val="111111"/>
          <w:sz w:val="28"/>
          <w:szCs w:val="28"/>
          <w:rtl w:val="true"/>
          <w:lang w:bidi="ar-SA"/>
        </w:rPr>
        <w:t xml:space="preserve">. </w:t>
      </w:r>
      <w:bookmarkStart w:id="186" w:name="pg10178_83537"/>
    </w:p>
    <w:p>
      <w:pPr>
        <w:pStyle w:val="Heading4"/>
        <w:numPr>
          <w:ilvl w:val="3"/>
          <w:numId w:val="1"/>
        </w:numPr>
        <w:rPr/>
      </w:pPr>
      <w:bookmarkStart w:id="187" w:name="__RefHeading___Toc2018460_1067777946"/>
      <w:bookmarkStart w:id="188" w:name="_Toc68"/>
      <w:bookmarkEnd w:id="186"/>
      <w:bookmarkEnd w:id="187"/>
      <w:r>
        <w:rPr>
          <w:rtl w:val="true"/>
        </w:rPr>
        <w:t>[</w:t>
      </w:r>
      <w:r>
        <w:rPr>
          <w:rtl w:val="true"/>
        </w:rPr>
        <w:t>المقدّمة الخامسة في مكان المصلّي</w:t>
      </w:r>
      <w:r>
        <w:rPr>
          <w:rtl w:val="true"/>
        </w:rPr>
        <w:t>]</w:t>
      </w:r>
      <w:bookmarkEnd w:id="1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بالفحوى، كإذنه في الكون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الكون في معنى الصريح؛ لدلالته على الصلاة فيه ضمناً؛ لأنّها من جملة</w:t>
      </w:r>
    </w:p>
    <w:p>
      <w:pPr>
        <w:pStyle w:val="BookText"/>
        <w:rPr/>
      </w:pPr>
      <w:r>
        <w:rPr>
          <w:rFonts w:ascii="Amiri" w:hAnsi="Amiri" w:eastAsia="Amiri" w:cs="Amiri"/>
          <w:color w:val="111111"/>
          <w:sz w:val="28"/>
          <w:sz w:val="28"/>
          <w:szCs w:val="28"/>
          <w:rtl w:val="true"/>
          <w:lang w:bidi="ar-SA"/>
        </w:rPr>
        <w:t>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التمثيل للفحوى بإدخال الضيف منزله للضيافة، كما صنع غيره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كان هناك أمارة تشهد أنّ المالك 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الصحاري، والأماكن المأذون في غشيانها كالحمّام والخان وإن لم يعلم مالكها، أو كانت 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 المغصوب لا تصحّ فيه الصلاة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ضاق الوقت وهو آخذ في الخروج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في ملك غيره بإذنه ثمّ أمره بالخروج وجب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مع الإذن له في الصلاة، ثمّ رجوعه بعد التلبّس، لا التفات إليه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الرجوع قبل التلبّس، أو كان الدخول بغير الإذن الصريح، وجب الخروج على الفور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الوقت واسعاً أخّر الصلاة إلى أن يخرج أو قطعها، وإن كان ضيّقاً تشاغل بالخروج مصلّياً، مومئاً للركوع والسجود، مستقبلاً ما أمكن، قاصداً أقرب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يصلّى وإلى جانبه امرأة تصلّى أو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مكروه،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الكراهة أقوى، ولا فرق بين الرجل والمرأة، وإنّما يكره أو يحرم مع صحّة صلاتهما لولا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ويزول التحريم أو الكراهية إذا كان بينهما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كونه جسماً حائلاً في جميع الأحوال، فلا تكفي الظلمة والعمى وغضّ البصر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وراءه بقدر ما يحصل موضع سجودها محاذياً لقدمه، سقط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يعتبر تأخيرها عنه في جميع الأحوال، بحيث لا تحاذي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الاختيار، أمّا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التحريم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أن يصلّي في الموضع النجس إذا كانت نجاسته لا تتعدّى إلى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موضع الجبهة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النجاسة غير معفوّ عنها ابتداءً، وإلّا اغتفرت استدامته بطريق أولى على الأقوى، والمعتبر من موضع الجبهة القدر الواجب في السجود منها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بيت الاغتسال دون مسلخه وسطحه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ومبارك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كانت معاطنها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مباركها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الماء لتشرب،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المقابر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وإليها، لا قدّامها ومع أحد جانبيهما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وبيوت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ما أُعدّت لإضرامها فيها وإن لم يكن موضع عبادتها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كالأتّون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معناه وإن كانت النار غير موجودة فيها حالة الصلاة، ولا كراهة في سطحها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وبيوت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المسكرات وما في معناها كالفقّاع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وجوادّ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كانت مشغولة بالمارّة أم لا، إلّا أن يضرّ المارّة أو يعطّلهم بصلاته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يكون بين يديه نار مضرمة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مطلق النار وإن لم تكن مضرمة</w:t>
      </w:r>
      <w:r>
        <w:rPr>
          <w:rFonts w:eastAsia="Amiri" w:cs="Amiri" w:ascii="Amiri" w:hAnsi="Amiri"/>
          <w:color w:val="111111"/>
          <w:sz w:val="28"/>
          <w:szCs w:val="28"/>
          <w:rtl w:val="true"/>
          <w:lang w:bidi="ar-SA"/>
        </w:rPr>
        <w:t xml:space="preserve">. </w:t>
      </w:r>
      <w:bookmarkStart w:id="189" w:name="pg10178_83539"/>
    </w:p>
    <w:p>
      <w:pPr>
        <w:pStyle w:val="BookText"/>
        <w:rPr/>
      </w:pPr>
      <w:bookmarkEnd w:id="18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بيت فيه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بين يديه مصحف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أشبهه ممّا يشغل المصلّي عن الإقبال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القارئ وغيره، نعم يعتبر كونه مبصراً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إلى إنسان 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ومستنده غير معلوم</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018462_1067777946"/>
      <w:bookmarkStart w:id="191" w:name="_Toc69"/>
      <w:bookmarkEnd w:id="190"/>
      <w:r>
        <w:rPr>
          <w:rtl w:val="true"/>
        </w:rPr>
        <w:t>[</w:t>
      </w:r>
      <w:r>
        <w:rPr>
          <w:rtl w:val="true"/>
        </w:rPr>
        <w:t>المقدّمة السادسة فيما يُسْجَد عليه</w:t>
      </w:r>
      <w:r>
        <w:rPr>
          <w:rtl w:val="true"/>
        </w:rPr>
        <w:t>]</w:t>
      </w:r>
      <w:bookmarkEnd w:id="1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السجود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ما هو من الأرض إذا كان معدناً، كالملح والعقيق والذهب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تصفيتها، أمّا قبله فإن صدق على ترابه اسم الأرض جاز السجود، وإلّا فلا، وكذا غيرهما من المعادن المتوقّفة على 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ما ينبت من الأرض إذا كان مأكولاً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يعتبر عموم الاعتياد، فلو اعتيدَ في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ولا كونه مأكولاً أو ملبوساً بالفعل، بل تكفي القوّة القريبة منه، فلا يقدح توقّفه على طبخ أو غزل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القطن والكتّان روايتان، أشهرهما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ولا فرق فيهما بين المغزول وغيره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السجود على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خرج من الأرض بممازجة الماء عن اسمها، فلو لم يخرج جاز وإن كانت الأرض رطبة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السجود على القرطاس</w:t>
      </w:r>
      <w:r>
        <w:rPr>
          <w:rFonts w:eastAsia="Amiri" w:cs="Amiri" w:ascii="Amiri" w:hAnsi="Amiri"/>
          <w:color w:val="111111"/>
          <w:sz w:val="28"/>
          <w:szCs w:val="28"/>
          <w:rtl w:val="true"/>
          <w:lang w:bidi="ar-SA"/>
        </w:rPr>
        <w:t xml:space="preserve">». </w:t>
      </w:r>
      <w:bookmarkStart w:id="192" w:name="pg10178_83540"/>
    </w:p>
    <w:p>
      <w:pPr>
        <w:pStyle w:val="BookText"/>
        <w:rPr/>
      </w:pPr>
      <w:bookmarkEnd w:id="192"/>
      <w:r>
        <w:rPr>
          <w:rFonts w:ascii="Amiri" w:hAnsi="Amiri" w:eastAsia="Amiri" w:cs="Amiri"/>
          <w:color w:val="111111"/>
          <w:sz w:val="28"/>
          <w:sz w:val="28"/>
          <w:szCs w:val="28"/>
          <w:rtl w:val="true"/>
          <w:lang w:bidi="ar-SA"/>
        </w:rPr>
        <w:t>الظاهر عدم الفرق بين المتّخذ منه ممّا يصحّ السجود عليه وغيره؛ لخروجه بممازجة النورة له وانبثاثها فيه عن مسمّاه وإن كان ترك السجود على المتّخذ من الملبوس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إذا كان فيه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للمصلّي، وإلّا لم يكره مع وقوع ما يعتبر من الجبهة على غير المكتوب، وإلّا لم يجز، ومثله ما صبغ من الأجسام حيث لا يكون الصبغ مجرّد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منعه الحرّ عن السجود على الأرض سجد على ثوبه، وإن لم يتمكّن فعلى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السجود على ظهره؛ ليحصل الجمع بين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مملوكاً أو مأذوناً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حدّ ما يعتبر في المكان من الصريح والفحوى وشاهد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النجاسة في موضع محصور كالبيت و شبهه وجهل موضع النجاسة لم يسجد على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المحصور وغيره إلى العرف وإن أمكن حصر ما عدّ عرفاً غير محصور دفعاً للحرج</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018464_1067777946"/>
      <w:bookmarkStart w:id="194" w:name="_Toc70"/>
      <w:bookmarkEnd w:id="193"/>
      <w:r>
        <w:rPr>
          <w:rtl w:val="true"/>
        </w:rPr>
        <w:t>[</w:t>
      </w:r>
      <w:r>
        <w:rPr>
          <w:rtl w:val="true"/>
        </w:rPr>
        <w:t>المقدّمة السابعة في الأذان والإقامة</w:t>
      </w:r>
      <w:r>
        <w:rPr>
          <w:rtl w:val="true"/>
        </w:rPr>
        <w:t>]</w:t>
      </w:r>
      <w:bookmarkEnd w:id="194"/>
    </w:p>
    <w:p>
      <w:pPr>
        <w:pStyle w:val="Heading5"/>
        <w:numPr>
          <w:ilvl w:val="4"/>
          <w:numId w:val="1"/>
        </w:numPr>
        <w:rPr/>
      </w:pPr>
      <w:bookmarkStart w:id="195" w:name="__RefHeading___Toc2018466_1067777946"/>
      <w:bookmarkStart w:id="196" w:name="_Toc71"/>
      <w:bookmarkEnd w:id="195"/>
      <w:r>
        <w:rPr>
          <w:rtl w:val="true"/>
        </w:rPr>
        <w:t>[</w:t>
      </w:r>
      <w:r>
        <w:rPr>
          <w:rtl w:val="true"/>
        </w:rPr>
        <w:t>في ما يُؤذّن له ويُقام</w:t>
      </w:r>
      <w:r>
        <w:rPr>
          <w:rtl w:val="true"/>
        </w:rPr>
        <w:t>]</w:t>
      </w:r>
      <w:bookmarkEnd w:id="1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مستحبّان في الصلوات الخمس المفروضة، أداء وقضاء، للمنفرد والجامع، للرجل والمرأة، لكن يشترط أن تسرّ 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سمعها مَن يحرم إسماعه صوتها، وإلّا تخيّرت فى السرّ والجهر وإن كان السرّ أفضل، وحيث وقع مشروعاً اعتدَّ به الرجال القائلون به، والخنثى كالمرأة هنا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شرطان في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في تحقّق فضيلتها لا في انعقاد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يؤذّن لشيء من النوافل، ولا لشيء من الفرائض عدا الخمس، بل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الأوّلين ورفعهما والتفريق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ويصلّي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بأذان وإقامة، والعصر بإقامة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صلّى الجمعة سقط أذان العصر، والضابط أنّه متى استحبّ الجمع فالأذان لغير صاحبة الوقت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الجمع في وقت الثانية قدّم الأذان على الأُولى بنيّة الثانية، ثمّ أقام لكلّ واحدة، وكذا سقط الأذان للثانية حيث تبلغ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الإمام جماعة وجاء آخرون، لم يؤذّنوا ولم يقيموا ما دامت الأُولى لم تتفرّق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الآخرين بين أن يصلّوا جماعة وفرادى، ولا بين كون الصلاة في مسجد وغيره مع اتّحاد المكان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كون الأُولى جماعة، واتّحاد الصلاة إن تغاير الوقت، وعدم العلم بكون الأُولى لم تؤذّن ولم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عدم التفرّق ببقاء واحد معقّب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 المنفرد ثمّ أراد الجماعة أعاد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ومستنده خبر ضعيف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ردّه المصنّف في المعتبر واجتزأ بالأذان الأوّل، كما يجتزئ مريد الجماعة بأذان غيره مطلقاً فبأذانه أولى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 الغير المجتزئ بأذانه أذّن للجماعة أو لم يؤذّن ليصلّي وحده، بخلاف صورة الفرض </w:t>
      </w:r>
      <w:r>
        <w:rPr>
          <w:rStyle w:val="FootnoteAnchor"/>
          <w:rtl w:val="true"/>
        </w:rPr>
        <w:footnoteReference w:id="62"/>
      </w:r>
      <w:r>
        <w:rPr>
          <w:rFonts w:ascii="Amiri" w:hAnsi="Amiri" w:eastAsia="Amiri" w:cs="Amiri"/>
          <w:color w:val="111111"/>
          <w:sz w:val="28"/>
          <w:sz w:val="28"/>
          <w:szCs w:val="28"/>
          <w:rtl w:val="true"/>
          <w:lang w:bidi="ar-SA"/>
        </w:rPr>
        <w:t>، ولاريب أنّ المشهور أولى وإن كان مختار المعتبر قوّياً أيضاً</w:t>
      </w:r>
      <w:r>
        <w:rPr>
          <w:rFonts w:eastAsia="Amiri" w:cs="Amiri" w:ascii="Amiri" w:hAnsi="Amiri"/>
          <w:color w:val="111111"/>
          <w:sz w:val="28"/>
          <w:szCs w:val="28"/>
          <w:rtl w:val="true"/>
          <w:lang w:bidi="ar-SA"/>
        </w:rPr>
        <w:t xml:space="preserve">. </w:t>
      </w:r>
      <w:bookmarkStart w:id="197" w:name="pg10178_83542"/>
    </w:p>
    <w:p>
      <w:pPr>
        <w:pStyle w:val="BookText"/>
        <w:rPr/>
      </w:pPr>
      <w:bookmarkEnd w:id="19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مُنفرداً ولم يؤذّن ساهياً رجع إلى الأذان، مستقبلاً صلاته مالم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صلّى جماعة بطريق أولى، وكذا يرجع ناسيهما معاً دون ناسي الإقامة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رواية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رواية زرارة عن الصادق علیه السلام المتضمّنة عدم إعادة الناسي </w:t>
      </w:r>
      <w:r>
        <w:rPr>
          <w:rStyle w:val="FootnoteAnchor"/>
          <w:rtl w:val="true"/>
        </w:rPr>
        <w:footnoteReference w:id="63"/>
      </w:r>
      <w:r>
        <w:rPr>
          <w:rFonts w:ascii="Amiri" w:hAnsi="Amiri" w:eastAsia="Amiri" w:cs="Amiri"/>
          <w:color w:val="111111"/>
          <w:sz w:val="28"/>
          <w:sz w:val="28"/>
          <w:szCs w:val="28"/>
          <w:rtl w:val="true"/>
          <w:lang w:bidi="ar-SA"/>
        </w:rPr>
        <w:t xml:space="preserve">، وفي معناها غيرها </w:t>
      </w:r>
      <w:r>
        <w:rPr>
          <w:rStyle w:val="FootnoteAnchor"/>
          <w:rtl w:val="true"/>
        </w:rPr>
        <w:footnoteReference w:id="64"/>
      </w:r>
      <w:r>
        <w:rPr>
          <w:rFonts w:ascii="IRNazanin" w:hAnsi="IRNazanin" w:eastAsia="IRNazanin"/>
          <w:color w:val="111111"/>
          <w:sz w:val="28"/>
          <w:sz w:val="28"/>
          <w:szCs w:val="28"/>
          <w:rtl w:val="true"/>
          <w:lang w:bidi="fa-IR"/>
        </w:rPr>
        <w:t>، والأشهر العود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ويعطى الأُجرة من بيت المال إذا لم يوجد مَن يتطوّع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تحريم أخذ الأُجرة عليه مطلقاً، نعم يجوز الارتزاق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تقديره مفوّض إلى رأي الإمام </w:t>
      </w:r>
      <w:r>
        <w:rPr>
          <w:rStyle w:val="FootnoteAnchor"/>
          <w:rtl w:val="true"/>
        </w:rPr>
        <w:footnoteReference w:id="65"/>
      </w:r>
      <w:r>
        <w:rPr>
          <w:rFonts w:ascii="Amiri" w:hAnsi="Amiri" w:eastAsia="Amiri" w:cs="Amiri"/>
          <w:color w:val="111111"/>
          <w:sz w:val="28"/>
          <w:sz w:val="28"/>
          <w:szCs w:val="28"/>
          <w:rtl w:val="true"/>
          <w:lang w:bidi="ar-SA"/>
        </w:rPr>
        <w:t>دونها، فإنّه يعتبر ضبطها قدراً ووصفاً كغيرها من 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المرتضى إلى كراهة الأُجرة </w:t>
      </w:r>
      <w:r>
        <w:rPr>
          <w:rStyle w:val="FootnoteAnchor"/>
          <w:rtl w:val="true"/>
        </w:rPr>
        <w:footnoteReference w:id="66"/>
      </w:r>
      <w:r>
        <w:rPr>
          <w:rFonts w:ascii="Amiri" w:hAnsi="Amiri" w:eastAsia="Amiri" w:cs="Amiri"/>
          <w:color w:val="111111"/>
          <w:sz w:val="28"/>
          <w:sz w:val="28"/>
          <w:szCs w:val="28"/>
          <w:rtl w:val="true"/>
          <w:lang w:bidi="ar-SA"/>
        </w:rPr>
        <w:t>، فما ذكره هنا إمّا كمذهب المرتضى، أو أراد بها الرزق مجازاً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2018468_1067777946"/>
      <w:bookmarkStart w:id="199" w:name="_Toc72"/>
      <w:bookmarkEnd w:id="198"/>
      <w:r>
        <w:rPr>
          <w:rtl w:val="true"/>
        </w:rPr>
        <w:t>[</w:t>
      </w:r>
      <w:r>
        <w:rPr>
          <w:rtl w:val="true"/>
        </w:rPr>
        <w:t>في كيفيّة الأذان</w:t>
      </w:r>
      <w:r>
        <w:rPr>
          <w:rtl w:val="true"/>
        </w:rPr>
        <w:t>]</w:t>
      </w:r>
      <w:bookmarkEnd w:id="1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 إلّا بعد دخول الوقت، وقد رخّص تقديمه على الصبح، لكن يستحبّ إعادته بعد طلوعه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المغايرة بين مؤذّن الصبح وقبله؛ ليتميّز للناس حالهما، وتحصل الفائدة المطلوبة من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للتقديم، بل ما قارب الفجر، ولكن ينبغي أن يجعل له ضابط ليرجع إليه السامع، ولا فرق بين شهر رمضان وغيره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والأذان على الأشهر ثمانية عشر فصلاً</w:t>
      </w:r>
      <w:r>
        <w:rPr>
          <w:rFonts w:eastAsia="Amiri" w:cs="Amiri" w:ascii="Amiri" w:hAnsi="Amiri"/>
          <w:color w:val="111111"/>
          <w:sz w:val="28"/>
          <w:szCs w:val="28"/>
          <w:rtl w:val="true"/>
          <w:lang w:bidi="ar-SA"/>
        </w:rPr>
        <w:t xml:space="preserve">...». </w:t>
      </w:r>
      <w:bookmarkStart w:id="200" w:name="pg10178_83543"/>
    </w:p>
    <w:p>
      <w:pPr>
        <w:pStyle w:val="BookText"/>
        <w:rPr/>
      </w:pPr>
      <w:bookmarkEnd w:id="200"/>
      <w:r>
        <w:rPr>
          <w:rFonts w:ascii="IRNazanin" w:hAnsi="IRNazanin" w:eastAsia="IRNazanin"/>
          <w:color w:val="111111"/>
          <w:sz w:val="28"/>
          <w:sz w:val="28"/>
          <w:szCs w:val="28"/>
          <w:rtl w:val="true"/>
          <w:lang w:bidi="fa-IR"/>
        </w:rPr>
        <w:t>هذا هو المذهب، وما سواه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والترتيب شرط في صحّة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فصولهما وبينهما، وفائدة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كونهما مستحبّين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بهما بدونه، ويأثم معتقدهما أذاناً وإقامة؛ لأنّه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فيهما سبعة 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يقف على أواخر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الإعراب وما في معناه، ولو أعربَ فعلَ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ويحدر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اللفظ مع تحقيق الوقف مراعياً لترك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يتكلّم في خلالهما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الكلام يعيد الإقامة دون الأذان، إلّا أن يخرج بالكلام في خلاله عن 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ذلك يتأكّد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رفع الصوت بها، فإنّ السنّة التقصير بها عنه وإن اشتركا في أصل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الترجيع في الأذان إلّا أن يُريد الإشعار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تكرار الشهادتين، وإنّما يكره مع عدم اعتقاد شرعيّته، وإلّا كان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يكره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التحريم، إلّا للتقيّة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2018470_1067777946"/>
      <w:bookmarkStart w:id="202" w:name="_Toc73"/>
      <w:bookmarkEnd w:id="201"/>
      <w:r>
        <w:rPr>
          <w:rtl w:val="true"/>
        </w:rPr>
        <w:t>[</w:t>
      </w:r>
      <w:r>
        <w:rPr>
          <w:rtl w:val="true"/>
        </w:rPr>
        <w:t>في أحكام الأذان</w:t>
      </w:r>
      <w:r>
        <w:rPr>
          <w:rtl w:val="true"/>
        </w:rPr>
        <w:t>]</w:t>
      </w:r>
      <w:bookmarkEnd w:id="2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نام في خلال الأذان أو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له استئنافه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يخلّ بالموالاة، وإلّا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سكت أو تكلّم خلاله بكلام أجنبى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ارتدّ في أثناء الأذان ثمّ رجع استأنف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إخلاله بالموالاة،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لمن سمع الأذان أن يحكيه مع نفسه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عدم استحباب الجهر بالحكاية، لكن لو جهر لم يخلّ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p>
    <w:p>
      <w:pPr>
        <w:pStyle w:val="BookText"/>
        <w:rPr/>
      </w:pPr>
      <w:r>
        <w:rPr>
          <w:rFonts w:ascii="Amiri" w:hAnsi="Amiri" w:eastAsia="Amiri" w:cs="Amiri"/>
          <w:color w:val="111111"/>
          <w:sz w:val="28"/>
          <w:sz w:val="28"/>
          <w:szCs w:val="28"/>
          <w:rtl w:val="true"/>
          <w:lang w:bidi="ar-SA"/>
        </w:rPr>
        <w:t>بالحكاية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السامع كما يقول المؤذّن معه أو بعده، ورُوي إبدال الحيّعلات بالحوقلة </w:t>
      </w:r>
      <w:r>
        <w:rPr>
          <w:rStyle w:val="FootnoteAnchor"/>
          <w:rtl w:val="true"/>
        </w:rPr>
        <w:footnoteReference w:id="67"/>
      </w:r>
      <w:r>
        <w:rPr>
          <w:rFonts w:ascii="Amiri" w:hAnsi="Amiri" w:eastAsia="Amiri" w:cs="Amiri"/>
          <w:color w:val="111111"/>
          <w:sz w:val="28"/>
          <w:sz w:val="28"/>
          <w:szCs w:val="28"/>
          <w:rtl w:val="true"/>
          <w:lang w:bidi="ar-SA"/>
        </w:rPr>
        <w:t>، ويتعيّن لو كان في الصلاة إن أراد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تشاحّ الناس في الأذان قُدّم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يقدّم بعضهم على بعض حيث يقع التعارض، كطلب الارتزاق من بيت المال، فلو تبرّعوا أجمع أذّنوا جميعاً مجتمعين ومتفرّقين </w:t>
      </w:r>
      <w:r>
        <w:rPr>
          <w:rStyle w:val="FootnoteAnchor"/>
          <w:rtl w:val="true"/>
        </w:rPr>
        <w:footnoteReference w:id="68"/>
      </w:r>
      <w:r>
        <w:rPr>
          <w:rFonts w:ascii="Amiri" w:hAnsi="Amiri" w:eastAsia="Amiri" w:cs="Amiri"/>
          <w:color w:val="111111"/>
          <w:sz w:val="28"/>
          <w:sz w:val="28"/>
          <w:szCs w:val="28"/>
          <w:rtl w:val="true"/>
          <w:lang w:bidi="ar-SA"/>
        </w:rPr>
        <w:t>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بالأعلم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الأعرف بأحكام الأذان وأوقاته، وإنّما يقدّم مع تساويه لغيره عدالة أو فسقاً، فلو كان غيره هو العدل قدّم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جماعة جاز أن يؤذّنوا جميعاً، والأفضل إذا كان الوقت متّسعاً أن يؤذّن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باتّساع الوقت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اجتماع ما يُطلب من الجماعة في ذلك المسجد من الإمام والمأموم، وبقاء وقت فضيلة </w:t>
      </w:r>
      <w:r>
        <w:rPr>
          <w:rStyle w:val="FootnoteAnchor"/>
          <w:rtl w:val="true"/>
        </w:rPr>
        <w:footnoteReference w:id="69"/>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ويضيّقه اجتماعهم، أو ضيق وقته لا وقت 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الإمام أذان مؤذّن جاز أن يجتزئ به في الجماعة وإن كان ذلك المؤذّن منفرداً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بالمنفرد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 بصلاته لا بأذانه؛ ليجامع ما سبق من إعادة المؤذّن منفرداً إذا أراد الجماعة، فإنّ اعتداد الإمام بأذان غيره إذا كان منفرداً يقتضي اعتداده بأذانه بطريق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حمله على المنفرد بصلاته مع كونه غير منفرد بأذانه، بل قاصداً به الجماعة أو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الإمام إعادة الأذان حيث يجتزئ به جاز علی الأقوى؛ لأنّه من جملة أفراد تعدّد المؤذّنين مع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واستثني من ذلك تكرار أذان المؤذّن للجماعة، فلا يستحبّ تكراره من الإمام معه للتأسّي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خلف إمام لا يقتدى به أذّن لنفسه وأقام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عدم اعتداده بأذان الإمام لجماعته، إمّا لإخلاله ببعض الفصول، أو لأنّه لم يؤذّن لغيره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سمع أذان مؤذّن صحيح للبلد اجتزأ به، كما يجتزئ به الإمام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خشي فوات الصلاة اقتصر على تكبيرتين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خشي بالاشتغال بتمام الأذان والإقامة فوات ما يعتبر في الركعة من القراءة وغيرها، اقتصر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حينئذٍ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مرّتين إلى آخر الإقامة مرتّباً، والرواية مصرّحة به </w:t>
      </w:r>
      <w:r>
        <w:rPr>
          <w:rStyle w:val="FootnoteAnchor"/>
          <w:rtl w:val="true"/>
        </w:rPr>
        <w:footnoteReference w:id="70"/>
      </w:r>
      <w:r>
        <w:rPr>
          <w:rFonts w:ascii="Amiri" w:hAnsi="Amiri" w:eastAsia="Amiri" w:cs="Amiri"/>
          <w:color w:val="111111"/>
          <w:sz w:val="28"/>
          <w:sz w:val="28"/>
          <w:szCs w:val="28"/>
          <w:rtl w:val="true"/>
          <w:lang w:bidi="ar-SA"/>
        </w:rPr>
        <w:t>، ولكن عبارة المصنّف وغيره وقعت قاصرة عن 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ذلك عدم الاعتداد بأذان المخالف، فلا يكفي إسلام المؤذّن مطلقاً كما سبق</w:t>
      </w:r>
      <w:r>
        <w:rPr>
          <w:rFonts w:eastAsia="Amiri" w:cs="Amiri" w:ascii="Amiri" w:hAnsi="Amiri"/>
          <w:color w:val="111111"/>
          <w:sz w:val="28"/>
          <w:szCs w:val="28"/>
          <w:rtl w:val="true"/>
          <w:lang w:bidi="ar-SA"/>
        </w:rPr>
        <w:t xml:space="preserve">. </w:t>
      </w:r>
      <w:bookmarkStart w:id="203" w:name="pg10178_83546"/>
    </w:p>
    <w:p>
      <w:pPr>
        <w:pStyle w:val="Heading3"/>
        <w:numPr>
          <w:ilvl w:val="2"/>
          <w:numId w:val="1"/>
        </w:numPr>
        <w:rPr/>
      </w:pPr>
      <w:bookmarkStart w:id="204" w:name="__RefHeading___Toc2018472_1067777946"/>
      <w:bookmarkStart w:id="205" w:name="_Toc74"/>
      <w:bookmarkEnd w:id="203"/>
      <w:bookmarkEnd w:id="204"/>
      <w:r>
        <w:rPr>
          <w:rtl w:val="true"/>
        </w:rPr>
        <w:t>[</w:t>
      </w:r>
      <w:r>
        <w:rPr>
          <w:rtl w:val="true"/>
        </w:rPr>
        <w:t>الركن الثاني في أفعال الصلاة</w:t>
      </w:r>
      <w:r>
        <w:rPr>
          <w:rtl w:val="true"/>
        </w:rPr>
        <w:t>]</w:t>
      </w:r>
      <w:bookmarkEnd w:id="205"/>
    </w:p>
    <w:p>
      <w:pPr>
        <w:pStyle w:val="Heading4"/>
        <w:numPr>
          <w:ilvl w:val="3"/>
          <w:numId w:val="1"/>
        </w:numPr>
        <w:rPr/>
      </w:pPr>
      <w:bookmarkStart w:id="206" w:name="__RefHeading___Toc2018474_1067777946"/>
      <w:bookmarkStart w:id="207" w:name="_Toc75"/>
      <w:bookmarkEnd w:id="206"/>
      <w:r>
        <w:rPr>
          <w:rtl w:val="true"/>
        </w:rPr>
        <w:t>[</w:t>
      </w:r>
      <w:r>
        <w:rPr>
          <w:rtl w:val="true"/>
        </w:rPr>
        <w:t>النيّة</w:t>
      </w:r>
      <w:r>
        <w:rPr>
          <w:rtl w:val="true"/>
        </w:rPr>
        <w:t>]</w:t>
      </w:r>
      <w:bookmarkEnd w:id="2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ركن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ما اختاره المصنّف في النافع أنّ النيّة متردّدة بين الشرط والركن </w:t>
      </w:r>
      <w:r>
        <w:rPr>
          <w:rStyle w:val="FootnoteAnchor"/>
          <w:rtl w:val="true"/>
        </w:rPr>
        <w:footnoteReference w:id="71"/>
      </w:r>
      <w:r>
        <w:rPr>
          <w:rFonts w:ascii="Amiri" w:hAnsi="Amiri" w:eastAsia="Amiri" w:cs="Amiri"/>
          <w:color w:val="111111"/>
          <w:sz w:val="28"/>
          <w:sz w:val="28"/>
          <w:szCs w:val="28"/>
          <w:rtl w:val="true"/>
          <w:lang w:bidi="ar-SA"/>
        </w:rPr>
        <w:t>، وهي بالشرط أشبه منها بالركن؛ لوجود خواصّ الشرط فيها، وعدم منافاة ما فيها من خواصّ الركن له،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فتبطل الصلاة بتركها عمداً وسهواً، والخلاف قليل الجدوى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وحقيقتها استحضار صفة الصلاة في الذهن، والقصد بها إلى اُمور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أو الندب، والقربة والتعيين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أنّ النيّة هي القصد إلى فعل الصلاة، لكن لمّا كان القصد متعلّقاً بمقصود، فلابدّ من العلم بالمقصود أوّلاً؛ ليتعلّق به القصد، فيحضر المصلّي في نفسه الصلاة التي يُريد فعلها، ويميّزها بما يزيل الاشتراك بينها وبين غيرها من أفراد الصلاة الذي يمكن وقوعه ذلك الوقت، وذلك كلّه خارج عن حقيقة النيّة، ثمّ يقصد فعل الحاضر المذكور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القصد هو النيّة، والقربة غاية الفعل المقصود، والمتقدّم هو</w:t>
      </w:r>
    </w:p>
    <w:p>
      <w:pPr>
        <w:pStyle w:val="BookText"/>
        <w:rPr/>
      </w:pPr>
      <w:r>
        <w:rPr>
          <w:rFonts w:ascii="Amiri" w:hAnsi="Amiri" w:eastAsia="Amiri" w:cs="Amiri"/>
          <w:color w:val="111111"/>
          <w:sz w:val="28"/>
          <w:sz w:val="28"/>
          <w:szCs w:val="28"/>
          <w:rtl w:val="true"/>
          <w:lang w:bidi="ar-SA"/>
        </w:rPr>
        <w:t>المقصود لا النيّة، ولا يخفى بُعد ما ذكره المصنّف عن تحرير ذلك ومنافرته لما يراد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الخروج من الصلاة لم تبطل على الأظهر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البطلان، سواء نوى الخروج في الحال أم بعده في أثناء الصلاة، وكذا لو نوى فعل المنافي مطلقاً</w:t>
      </w:r>
      <w:r>
        <w:rPr>
          <w:rFonts w:eastAsia="Amiri" w:cs="Amiri" w:ascii="Amiri" w:hAnsi="Amiri"/>
          <w:color w:val="111111"/>
          <w:sz w:val="28"/>
          <w:szCs w:val="28"/>
          <w:rtl w:val="true"/>
          <w:lang w:bidi="ar-SA"/>
        </w:rPr>
        <w:t xml:space="preserve">. </w:t>
      </w:r>
      <w:bookmarkStart w:id="208" w:name="pg10178_83547"/>
    </w:p>
    <w:p>
      <w:pPr>
        <w:pStyle w:val="BookText"/>
        <w:rPr/>
      </w:pPr>
      <w:bookmarkEnd w:id="20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نوى بشيء من أفعال الصلاة الرياءَ، أو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كبّر تكبيرة الافتتاح ونوى بها تنبيه غيره على شيء، أو هوى للركوع أو السجود بنيّة أخذ شيء،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لو نوى بشيء من أفعالها ما ينافي القربة كالرياء، فإنّ ذلك كلّه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لو نوى بفعل واجب الندب أو بالعكس، سواء كان ذكراً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البطلان به بلوغ حدّ الكثرة مطلقاً على الأقوى، بل يبطل بمسمّاه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نقل النيّة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مواضع خاصّة لا مطلقاً؛ للنهي عن قطع العبادة، والفعل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فرض إلى فرض، كما لو اشتغل باللاحقة أداء أو قضاءً ناسياً أو معتقداً فعله السابقة، فذكر في أثنائها السابقة ولم يتجاوز محلّ العدول، فإنه ينقل النيّة إليها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النفل إلى النفل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الفرض إلى النفل، كخائف فوت الركعة من الإمام وهو في فريضة، فيعدل بها إلى النافلة كما سيأتي، ونقل الظهر إلى النافلة يوم الجمعة لمن نسي سورتها كما ذُكر، ولا يجوز العكس إلّا عند من يجوّز إكمال صلاة الصبيّ لو بلغ في أثنائها بغير المبطل فيجدّد نيّة الفرض حينئذٍ، وهو في معنى النقل لكنّه ضعيف</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018476_1067777946"/>
      <w:bookmarkStart w:id="210" w:name="_Toc76"/>
      <w:bookmarkEnd w:id="209"/>
      <w:r>
        <w:rPr>
          <w:rtl w:val="true"/>
        </w:rPr>
        <w:t>[</w:t>
      </w:r>
      <w:r>
        <w:rPr>
          <w:rtl w:val="true"/>
        </w:rPr>
        <w:t>تكبيرة الإحرام</w:t>
      </w:r>
      <w:r>
        <w:rPr>
          <w:rtl w:val="true"/>
        </w:rPr>
        <w:t>]</w:t>
      </w:r>
      <w:bookmarkEnd w:id="2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والأخرس ينطق بها على قدر الإمكان فإن عجز عن النطق أصلاً عقد قلبه بمعناها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بمعناها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تكبيراً لله تعالى يفتتح به الصلاة، لا المعنى الموضوع لها وضعاً، ويجب مع الإشارة بالإصبع تحريك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الأخرس مَن يتعذّر </w:t>
      </w:r>
      <w:bookmarkStart w:id="211" w:name="pg10178_83548"/>
    </w:p>
    <w:p>
      <w:pPr>
        <w:pStyle w:val="BookText"/>
        <w:rPr/>
      </w:pPr>
      <w:bookmarkEnd w:id="211"/>
      <w:r>
        <w:rPr>
          <w:rFonts w:ascii="Amiri" w:hAnsi="Amiri" w:eastAsia="Amiri" w:cs="Amiri"/>
          <w:color w:val="111111"/>
          <w:sz w:val="28"/>
          <w:sz w:val="28"/>
          <w:szCs w:val="28"/>
          <w:rtl w:val="true"/>
          <w:lang w:bidi="ar-SA"/>
        </w:rPr>
        <w:t>عليه النطق لعارض، ولو عجز عن البعض أتى بالممكن وعوّض عن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كبّر ونوى الافتتاح، ثم كبّر ونوى الافتتاح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تبطل الصلاة بالتكبير الثاني مع عدم نيّة الخروج منها قبله، وإلّا انعقدت به وإنّما تنعقد بالثالث مع مقارنته للنيّة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بنيّة الافتتاح به عمّا لو كبّر مطلقاً، فإنّه يقع ذكراً لله تعالى ولا تبطل الصلاة، وإنّما تبطل إذا جعله بصورة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أنّه مع عدم نيّة الخروج ومصاحبة النيّة فعلاً، ونيّة الوجوب به تبطل الصلاة في كلّ شفع وتنعقد بالوتر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والمسنون فيها أن يأتي بلفظ الجلالة من غير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حرف المدّ الذي فيها وهو الألف زيادة على القدر الطبيعي فيه، أمّا مدّ غيره كالهمزة فإنّه يبطلها لتغيّر المعنى به وإن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وبلفظ أكبر على وزن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ذلك واجب وإن لم يقصد خلافه، إلّا أن يريد بخلافه ما لا يبلغ حدّاً يغيّر معناه، بأن لا يبلغ مدّ الباء إلى صيغة الجمع ونحوه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018478_1067777946"/>
      <w:bookmarkStart w:id="213" w:name="_Toc77"/>
      <w:bookmarkEnd w:id="212"/>
      <w:r>
        <w:rPr>
          <w:rtl w:val="true"/>
        </w:rPr>
        <w:t>[</w:t>
      </w:r>
      <w:r>
        <w:rPr>
          <w:rtl w:val="true"/>
        </w:rPr>
        <w:t>القيام</w:t>
      </w:r>
      <w:r>
        <w:rPr>
          <w:rtl w:val="true"/>
        </w:rPr>
        <w:t>]</w:t>
      </w:r>
      <w:bookmarkEnd w:id="2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ركن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مطلق القيام ركناً؛ لعدم بطلان الصلاة بزيادته ونقصانه على كثير من الوجوه، بل الأمر الكلّي منه، وإنّما يتحقّق مع إضافة الركوع إليه، ومعه يكفي في البطلان زيادة ونقصاناً الركوع؛ لأنّه ركن، ولكن لمّا أجمعوا على كون القيام ركناً في الجملة مع عدم بطلان الصلاة بزيادته ونقصانه على بعض الوجوه، حملوه على هذا المعنى، وغايته أن يستلزم اجتماع معرّفات كثيرة للبطلان، وهو غير ضائر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 القيام مستقلّاً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بالاستقلال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مستند إلى شيء، بحيث لو أُزيل الإسناد سقط</w:t>
      </w:r>
      <w:r>
        <w:rPr>
          <w:rFonts w:eastAsia="Amiri" w:cs="Amiri" w:ascii="Amiri" w:hAnsi="Amiri"/>
          <w:color w:val="111111"/>
          <w:sz w:val="28"/>
          <w:szCs w:val="28"/>
          <w:rtl w:val="true"/>
          <w:lang w:bidi="ar-SA"/>
        </w:rPr>
        <w:t xml:space="preserve">. </w:t>
      </w:r>
      <w:bookmarkStart w:id="214" w:name="pg10178_83549"/>
    </w:p>
    <w:p>
      <w:pPr>
        <w:pStyle w:val="BookText"/>
        <w:rPr/>
      </w:pPr>
      <w:bookmarkEnd w:id="21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الاعتماد على الحائط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w:t>
      </w:r>
      <w:r>
        <w:rPr>
          <w:rStyle w:val="FootnoteAnchor"/>
          <w:rtl w:val="true"/>
        </w:rPr>
        <w:footnoteReference w:id="72"/>
      </w:r>
      <w:r>
        <w:rPr>
          <w:rFonts w:ascii="Amiri" w:hAnsi="Amiri" w:eastAsia="Amiri" w:cs="Amiri"/>
          <w:color w:val="111111"/>
          <w:sz w:val="28"/>
          <w:sz w:val="28"/>
          <w:szCs w:val="28"/>
          <w:rtl w:val="true"/>
          <w:lang w:bidi="ar-SA"/>
        </w:rPr>
        <w:t>محمولة على اعتمادٍ لا يبلغ حدّ الاستناد مجازاً، جمعاً بينها وبين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قدر على القيام في بعض الصلاة وجب أن يقوم بقدر مكنته وإلّا صلّى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أن لا يتمكّن من المشي بقدر زمان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القيام متى أمكن ولو ماشياً ولو بمعاون زمن القراءة أو بعضها، ومع تعذّر ذلك رأساً يسقط، ويجب اعتماد ما بينه وبين الجلوس من الحالات المتوسّطة مقدّماً للأعلى فالأعلى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عجز عن القعود صلّى مضطَجِعاً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مقدّماً للجانب الأيمن، مستقبلاً بوجهه القبلة، فإن تعذّر الأيمن فالأيسر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صلّى مستلقياً، والأخيران يومئان لركوعهما وسجودهما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بالرأس، فإن تعذّر فبالعينين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رفع ما يسجد عليه، وتمكين باقي المساجد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والمسنون في هذا الفصل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يتربّع المصلّي قاعداً في حال قراءته ويثني رجليه في حال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بالتربيع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فخذيه وساقيه ويعتمد على أليته، وبثني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يفترشهما ويجلس على صدورهما، وبالتورّك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وركه الأيسر ويخرج قدميه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ويتورّك في حال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018480_1067777946"/>
      <w:bookmarkStart w:id="216" w:name="_Toc78"/>
      <w:bookmarkEnd w:id="215"/>
      <w:r>
        <w:rPr>
          <w:rtl w:val="true"/>
        </w:rPr>
        <w:t>[</w:t>
      </w:r>
      <w:r>
        <w:rPr>
          <w:rtl w:val="true"/>
        </w:rPr>
        <w:t>القراءة</w:t>
      </w:r>
      <w:r>
        <w:rPr>
          <w:rtl w:val="true"/>
        </w:rPr>
        <w:t>]</w:t>
      </w:r>
      <w:bookmarkEnd w:id="21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الصلاة مع الإخلال ولو بحرف واحد منها عمداً حتّى التشديد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حكمه المدّ المتّصل والطبيعي والإدغام وما في معناه، أمّا المنفصل وباقي الصفات من الهمس والجهر والاستعلاء والإطباق والغنّة فمستحبّ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هنا ما يشمل البناء، ولا فرق فيهما بين المغيّر للمعنى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خالف عمداً أعاد، وإن كان ناسياً استأنف القراءة ما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يحصل منها ما يمكن البناء عليه أو مع الإخلال بالموالاة، وإلّا جاز البناء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يحسنها يجب عليه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ضاق الوقت قرأ ما تيسّر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تسميته قرآناً، وإلّا لم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العوض من غيرها مساواته للمعوّض حروفاً، ومراعاة الترتيب بينه وبين ما يعلمه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تعذّر قرأ ما تيسّر من غيرها، أو سبّح الله تعالى وهلّله وكبّره بقدر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بالتسبيحات الأربع الواجبة في الأخيرتين، ويجب تكرّره بقدر الفاتحة حروفاً، ولو أمكن الائتمام بالقارئ قدّم على التسبيح، وكذا يقدّم قراءة الفاتحة من المكتوب، ولا يجزئ اختياراً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والأخرس يحرّك لسانه بالقراءة ويعقد بها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ينوي بقلبه ويحرّك لسانه كونهما بدلاً منها، ويجب الإشارة بإصبعه أيضاً، وكذا باقى الأذكار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سورة كاملة بعد الحمد في الأُوليين واجب في الفرائض مع سعة الوقت وإمكان التعلّم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قدّم السورة على الحمد أعادها أو غيرها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يتعمّد، وإلّا بطلت، والجاهل عامد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يقرأ فى الفرائض شيئاً من سُوَر العزائم، ولا ما يفوت الوقت بقراءته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فتبطل مع العلم بمجرّد الشروع، ولو ظنّ السعة فتبيّن الضيق بعد الشروع عدل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يقرن بين سورتين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ويتحقّق بقراءة أزيد من سورة بنيّة الوجوب أو الإطلاق، أمّا لو قرأ الزائد بنيّة الندب كان كغيرها من القراءة والذكر فى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الجهر أن يسمعه القريب الصحيح السمع إذا استمع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معه من اشتمال الصوت على جهريّة عرفيّة على وجه لا يجتمع مع الإخفات في مادّة؛ لأنّ التفصيل يقطع الاشتراك، وبالجملة فهما حقيقتان متضادّتان والحوالة فيهما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النساء 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واجب، لكن لو جهرن صحّ إذا لم يسمعهنّ مَن يحرم إسماعه صوتهنّ، والخنثى هنا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والمسنون في هذا القسم الجهر بالبسملة في مواضع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الجهر من السنن مع أنّه كيفيّة للقراءة الواجبة لا يمكن تأديتها إلّا به أو بالسرّ، وذلك يقتضي وجوبهما تخييراً؛ نظراً إلى أنّه أفضل الفردين الواجبين على التخيير، فاستحبابه عيناً لا ينافي وجوبه تخييراً؛ لتغاير الموضوع، ولا فرق في استحباب الجهر بهاتين الأُولتين والأخيرتين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وترتيل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فسّره المصنّف في المعتبر بأنّه تبيين الحروف من غير مبالغة </w:t>
      </w:r>
      <w:r>
        <w:rPr>
          <w:rStyle w:val="FootnoteAnchor"/>
          <w:rtl w:val="true"/>
        </w:rPr>
        <w:footnoteReference w:id="73"/>
      </w:r>
      <w:r>
        <w:rPr>
          <w:rFonts w:ascii="Amiri" w:hAnsi="Amiri" w:eastAsia="Amiri" w:cs="Amiri"/>
          <w:color w:val="111111"/>
          <w:sz w:val="28"/>
          <w:sz w:val="28"/>
          <w:szCs w:val="28"/>
          <w:rtl w:val="true"/>
          <w:lang w:bidi="ar-SA"/>
        </w:rPr>
        <w:t>، والمراد به التبيين زيادة على الواجب الذي يتحقق به النطق بها ليتمّ الاستحباب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يرى وجوب السورتين في الظهرين </w:t>
      </w:r>
      <w:r>
        <w:rPr>
          <w:rStyle w:val="FootnoteAnchor"/>
          <w:rtl w:val="true"/>
        </w:rPr>
        <w:footnoteReference w:id="74"/>
      </w:r>
      <w:r>
        <w:rPr>
          <w:rFonts w:ascii="Amiri" w:hAnsi="Amiri" w:eastAsia="Amiri" w:cs="Amiri"/>
          <w:color w:val="111111"/>
          <w:sz w:val="28"/>
          <w:sz w:val="28"/>
          <w:szCs w:val="28"/>
          <w:rtl w:val="true"/>
          <w:lang w:bidi="ar-SA"/>
        </w:rPr>
        <w:t>، وليس بمعتمد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الأقوى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الأُولى من نافلة الزوال والمغرب، ونافلة الليل، وركعتي الفجر والصبح إذا ظهرت الحمرة، وسنّة الإحرام، وركعتي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ويقرأ في أُوليي صلاة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أنّها أحد المواضع السبعة التي يقرأ فيها بالجحد، وطريق الجمع بينه وبين ما هنا باستحباب كلّ منهما على الانفراد، أو الجمع لجواز القِران في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يجوز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في غيره من أحوال الصلاة ولو حالة الدعاء، ويجوز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بمعناه، كلّ ذلك لغير تقيّة، ولها يجوز بل 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في القراءة شرط في صحّتها، فلو قرأ خلالها من غيرها استأنف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يتعمّد، وإلّا بطلت الصلاة، وتتحقّق الغيريّة بقراءة ما لا محلّ لقراءته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نوى قطع القراءة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يخرج به عن كونه قارئاً، وإلّا أعاد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كونه مصلّياً، وإلّا أعاد الصلاة، ولا فرق هنا بين العمد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سكت في خلال القراءة لا بنيّة القطع، أو نوى القطع ولم يقطع، مضى في صلاته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نوى قطع القراءة لا قطع الصلاة، وإلّا بطلت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يمضي في صلاته مع السكوت خلالها لا بنيّة القطع إذا لم يخرج عن كونه قارئاً ولا مصلّياً، وإلّا أعاد القراءة في الأوّل والصلاة في الثاني</w:t>
      </w:r>
      <w:r>
        <w:rPr>
          <w:rFonts w:eastAsia="Amiri" w:cs="Amiri" w:ascii="Amiri" w:hAnsi="Amiri"/>
          <w:color w:val="111111"/>
          <w:sz w:val="28"/>
          <w:szCs w:val="28"/>
          <w:rtl w:val="true"/>
          <w:lang w:bidi="ar-SA"/>
        </w:rPr>
        <w:t xml:space="preserve">. </w:t>
      </w:r>
      <w:bookmarkStart w:id="217" w:name="pg10178_83553"/>
    </w:p>
    <w:p>
      <w:pPr>
        <w:pStyle w:val="BookText"/>
        <w:rPr/>
      </w:pPr>
      <w:bookmarkEnd w:id="21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أصحابنا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إفراد إحداهما من صاحبتها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يفتقر إلى البسملة بينهما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وجوبها، ورعاية الترتيب بينهما على الوجه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خافت في موضع الجهر أو عكس، جاهلاً أو ناسياً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بالحال قبل الركوع أم بعده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 عوضاً عن الحمد اثنتا عشرة تسبيحة، صورتها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عشر، وفي رواية تسع، وفي رواية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الأوّل، والأقوى الاجتزاء بالجميع خصوصاً لو أكمل واحدة من الأربع في إحدى الثلاث على تقدير اختيار التسع أو العشر بنيّة الوجوب مع الزيادة على الأربع بشيء منها لا بالمجموع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المعوِّذتان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لأنّهما نزلتا ليعوّذ بهما الحسنان علیهما السلام، ولا خلاف في كونهما من القرآن</w:t>
      </w:r>
      <w:r>
        <w:rPr>
          <w:rFonts w:eastAsia="IRNazanin" w:cs="IRNazanin"/>
          <w:color w:val="111111"/>
          <w:sz w:val="28"/>
          <w:szCs w:val="28"/>
          <w:rtl w:val="true"/>
          <w:lang w:bidi="fa-IR"/>
        </w:rPr>
        <w:t>.</w:t>
      </w:r>
    </w:p>
    <w:p>
      <w:pPr>
        <w:pStyle w:val="Heading4"/>
        <w:numPr>
          <w:ilvl w:val="3"/>
          <w:numId w:val="1"/>
        </w:numPr>
        <w:rPr/>
      </w:pPr>
      <w:bookmarkStart w:id="218" w:name="__RefHeading___Toc2018482_1067777946"/>
      <w:bookmarkStart w:id="219" w:name="_Toc79"/>
      <w:bookmarkEnd w:id="218"/>
      <w:r>
        <w:rPr>
          <w:rtl w:val="true"/>
        </w:rPr>
        <w:t>[</w:t>
      </w:r>
      <w:r>
        <w:rPr>
          <w:rtl w:val="true"/>
        </w:rPr>
        <w:t>الركوع</w:t>
      </w:r>
      <w:r>
        <w:rPr>
          <w:rtl w:val="true"/>
        </w:rPr>
        <w:t>]</w:t>
      </w:r>
      <w:bookmarkEnd w:id="2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فيه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ينحني بقدر ما يمكن وضع يديه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يتمكّن من الانحناء لعارض أتى بما يمكن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وهو المذكور سابقاً للبالغ حدّاً يصل به كفّاه ركبتيه، وحينئذٍ فلا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بما يمكن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يرد لو اُريد بالانحناء مطلقه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عجز عن مطلق الانحناء استقلالاً واعتماداً ولو بأُجرة، فإنّه يومئ له برأسه مع الإمكان، وإلّا فبعينيه كغيره</w:t>
      </w:r>
      <w:r>
        <w:rPr>
          <w:rFonts w:eastAsia="Amiri" w:cs="Amiri" w:ascii="Amiri" w:hAnsi="Amiri"/>
          <w:color w:val="111111"/>
          <w:sz w:val="28"/>
          <w:szCs w:val="28"/>
          <w:rtl w:val="true"/>
          <w:lang w:bidi="ar-SA"/>
        </w:rPr>
        <w:t xml:space="preserve">. </w:t>
      </w:r>
      <w:bookmarkStart w:id="220" w:name="pg10178_83554"/>
    </w:p>
    <w:p>
      <w:pPr>
        <w:pStyle w:val="BookText"/>
        <w:rPr/>
      </w:pPr>
      <w:bookmarkEnd w:id="22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كالراكع خلقة، أو لعارض وجب أن يزيد لركوعه یسیر انحناء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تؤدّ الزيادة إلى الخروج عن حدّ الراكع،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مريضاً لا يتمكّن سقطت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الانحناء إلى حدّه ليأتي بالذكر حالته ولو بالزيادة عن أقلّه؛ ليوقع الذكر هاوياً ورافعاً في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المتضمّن للثناء على الله تعالى من تسبيح أو تهليل أو تكبير أو تحميد ونحوه،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والمسنون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 أمام التسبيح وأن يسبّح ثلاثاً أو خمساً، أو سبعاً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إماماً، وإلّا اقتصر على الثلاث، نعم لو انحصر المأمومون وأحبّوا الإطالة استحبّ له الزيادة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يقول بعد انتصابه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هنا بمعنى استجاب، ومن ثمّ عدّى باللام، وهو دعاء باستجابة الله تعالى لمن يحمده، لاثناء على الله تعالى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يركع ويداه تحت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تكونان بارزتين أو في كمّه على المشهور</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018484_1067777946"/>
      <w:bookmarkStart w:id="222" w:name="_Toc80"/>
      <w:bookmarkEnd w:id="221"/>
      <w:r>
        <w:rPr>
          <w:rtl w:val="true"/>
        </w:rPr>
        <w:t>[</w:t>
      </w:r>
      <w:r>
        <w:rPr>
          <w:rtl w:val="true"/>
        </w:rPr>
        <w:t>السجود</w:t>
      </w:r>
      <w:r>
        <w:rPr>
          <w:rtl w:val="true"/>
        </w:rPr>
        <w:t>]</w:t>
      </w:r>
      <w:bookmarkEnd w:id="2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واجب في كلّ ركعة سجدتان، وهما ركن في الصلاة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الركن مجموع السجدتين يقتضي فواته بالإخلال بأحدهما وعدم تحقّقه بدونهما، مع أنّ السهو عن السجدة الواحدة غير مبطل والسهو عن الركن مبطل،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الجمع إمّا التزام فواته بفوات الواحدة وجعل هذا من جملة المستثنى، </w:t>
      </w:r>
    </w:p>
    <w:p>
      <w:pPr>
        <w:pStyle w:val="BookText"/>
        <w:rPr/>
      </w:pPr>
      <w:r>
        <w:rPr>
          <w:rFonts w:ascii="Amiri" w:hAnsi="Amiri" w:eastAsia="Amiri" w:cs="Amiri"/>
          <w:color w:val="111111"/>
          <w:sz w:val="28"/>
          <w:sz w:val="28"/>
          <w:szCs w:val="28"/>
          <w:rtl w:val="true"/>
          <w:lang w:bidi="ar-SA"/>
        </w:rPr>
        <w:t>وإمّا جعل الركن مسمّى السجود، ولا يتحقّق الإخلال به إلّا بترك السجدتين معاً ليتمّ في جانب النقصان، ويفسد من جانب الزيادة لا بجعله مستثنى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واجبات السجود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والكفّان والركبتان وإبهاما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في كلّ منها مسمّاه حتّى الجبهة على الأقوى، ولا يكفي وضعها مطلقاً، بل يعتبر معه الاعتماد عليها وإن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 فلو سجد على كَوْر العمامة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والمنع من السجود عليه مبنيّ على الغالب من كونها من جنس ما لا يصحّ السجود عليه، فلو كانت منه 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ينحني للسجود حتّى يساوي موضع جبهته موقفه، إلّا أن يكون علوّاً يسيراً بمقدار لبنةٍ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بفتح اللام وكسر الباء، أو بكسر اللام وسكون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المعتاد شرعاً، وقدّرت بأربع أصابع مضمومة تقريباً، وفي حكم العلوّ الانخفاض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ذلك في جميع المساجد، ولا فرق هنا بين الأرض المنحدرة والمختلفة بسبب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الاجتزاء بمطلق الذكر كالركوع، ويظهر من العبارة اختلاف مذهب المصنّف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إلّا مع الضرورة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مع الإمكان، أمّا مع الضرورة فتسقط كما مرّ، ويبقى وجوب الذكر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 الأُولى حتّى يعتدل مطمئنّاً، وفي وجوب التكبير للأخذ فيه والرفع منه تردّد، والأظهر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فيه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يرغم بأنفه ويدعو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الإرغام مأخوذ من الرغام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التراب، والمراد به هنا السجود علی الأنف مضافاً إلى بقيّة الأعضاء، واضعاً له على ما يصحّ السجود عليه، وأفضله التراب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على التسبيحة الواحدة 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الثلاث مطلقاً، وزائداً ما لا يبلغ السأم من زوج أو وتر، إلّا أن يكون إماماً فما أحبّه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الإقعاء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يعتمد بصدور قدميه، ويجعل أليته على عقبيه كما يقعد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به ما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على الأرض، كالدمّل إذا لم يستغرق الجبهة يحتفر حفيرة ليقع السليم من جبهته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وقوع السليم على ما يصحّ السجود عليه بحفرة ونحوها، ويعتبر منه صدق اسمه كحالة الاختيار فما دونه، ولو تعذّر الجميع ينتقل معه إلى أحد الجبينين مخيّراً فيهما وإن كان تقديم الأيمن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ينتقل إلى الذقن يجب كشف شعره لتقع البشرة على ما يصحّ السجود عليه مع الإمكان، ومع التعذّر يسقط كما يسقط السجود أصلاً لو تعذّر الذقن وينتقل إلى الإيماء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والسجود واجب في العزائم الأربع، للقارئ والمستمع ويستحبّ للسامع علی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وجوبه،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يتّفق له السماع من غير إنصات، وبالمستمع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الفور، ويجوز التراخي به إلى آخر الآية المشتملة عليه، ويتكرّر بتكرّر السبب ولو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اجتمعت هذه الأسباب، بأن قرأ واستمع إلى غيره في سجدة واحدة، فالظاهر عدم التعدّد اتّحاد الموجب، ومع تغايره إشكال، والتعدّد حينئذٍ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شيء من السجدات تكبير، ولا تشهّد، ولا تسليم، ولا يشترط فيها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w:t>
      </w:r>
      <w:bookmarkStart w:id="223" w:name="pg10178_83557"/>
    </w:p>
    <w:p>
      <w:pPr>
        <w:pStyle w:val="BookText"/>
        <w:rPr/>
      </w:pPr>
      <w:bookmarkEnd w:id="223"/>
      <w:r>
        <w:rPr>
          <w:rFonts w:ascii="Amiri" w:hAnsi="Amiri" w:eastAsia="Amiri" w:cs="Amiri"/>
          <w:color w:val="111111"/>
          <w:sz w:val="28"/>
          <w:sz w:val="28"/>
          <w:szCs w:val="28"/>
          <w:rtl w:val="true"/>
          <w:lang w:bidi="ar-SA"/>
        </w:rPr>
        <w:t>الطهارة، ولا استقبال القبلة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غيره من شروط الصلاة، والأقوى أنّه لا يجب فيه سوى وضع الجبهة وإن كان ضميمة باقي واجبات السجود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مقارنة للوضع أو حالة استدامته، ويجب اشتمالها على قصد الفعل واجباً أو ندباً، وتعيين ما يسجد له من سماع وقسيميه متقرّباً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سجود العزيمة مطلقاً، فإن كان في ذمّته نوعان فصاعداً لم يجز، وإلّا فالأقرب الإجزاء، ولو أخلّ بالفوريّة بقيت أداءً مدّة العمر، والظاهر عدم وجوب التعرّض فى نيّته له أيضاً، ويستحبّ فيها الذكر المخصوص ويجزئ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سجدتا الشكر مستحبّتان عند تجدّد النِعَم، ودفع النِقَم، وعقيب الصلوات، ويستحبّ بينهما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تعفير الجبينين، وهو وضعهما على 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التراب، وكذا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تأدّي السنّة بوضعها على ما يصحّ السجود عليه وجه وإن كان التراب أولى؛ ليتحقّق معنى الاشتقاق</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018486_1067777946"/>
      <w:bookmarkStart w:id="225" w:name="_Toc81"/>
      <w:bookmarkEnd w:id="224"/>
      <w:r>
        <w:rPr>
          <w:rtl w:val="true"/>
        </w:rPr>
        <w:t>[</w:t>
      </w:r>
      <w:r>
        <w:rPr>
          <w:rtl w:val="true"/>
        </w:rPr>
        <w:t>التشهّد</w:t>
      </w:r>
      <w:r>
        <w:rPr>
          <w:rtl w:val="true"/>
        </w:rPr>
        <w:t>]</w:t>
      </w:r>
      <w:bookmarkEnd w:id="2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التشهّد وجب عليه الإتيان بما يحسن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فعل الباقي بالترجمة إن أحسنها، كما يجب لو لم يحسن شيئاً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018488_1067777946"/>
      <w:bookmarkStart w:id="227" w:name="_Toc82"/>
      <w:bookmarkEnd w:id="226"/>
      <w:r>
        <w:rPr>
          <w:rtl w:val="true"/>
        </w:rPr>
        <w:t>[</w:t>
      </w:r>
      <w:r>
        <w:rPr>
          <w:rtl w:val="true"/>
        </w:rPr>
        <w:t>التسليم</w:t>
      </w:r>
      <w:r>
        <w:rPr>
          <w:rtl w:val="true"/>
        </w:rPr>
        <w:t>]</w:t>
      </w:r>
      <w:bookmarkEnd w:id="22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واجب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ومسنون هذا القسم أن يسلّم المنفرد إلى القبلة تسليمةً واحدةً ويومئ بمُؤْخِر عينيه إلى يمينه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الهمزة وكسر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مؤخّر طرفيها الذي يلي الصدغ، </w:t>
      </w:r>
      <w:bookmarkStart w:id="228" w:name="pg10178_83558"/>
    </w:p>
    <w:p>
      <w:pPr>
        <w:pStyle w:val="BookText"/>
        <w:rPr/>
      </w:pPr>
      <w:bookmarkEnd w:id="228"/>
      <w:r>
        <w:rPr>
          <w:rFonts w:ascii="Amiri" w:hAnsi="Amiri" w:eastAsia="Amiri" w:cs="Amiri"/>
          <w:color w:val="111111"/>
          <w:sz w:val="28"/>
          <w:sz w:val="28"/>
          <w:szCs w:val="28"/>
          <w:rtl w:val="true"/>
          <w:lang w:bidi="ar-SA"/>
        </w:rPr>
        <w:t>واستحباب الإيماء كذلك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المأموم ثمّ إن كان على يساره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الناس وإن لم يكن مصلّياً، وليكن الإيماء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الجمعة قنوتان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ركعة الوتر قبل الركوع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الأُولى قبل الركوع، وفي الثانية بعد الركوع، ولو نسيه قضاه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ذكره قائماً، وإلّا قضاه بعد التسليم جالساً مستقبلاً، فإن لم يذكر حتّى انصرف قضاه ولو في الطريق مستقبلاً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018490_1067777946"/>
      <w:bookmarkStart w:id="230" w:name="_Toc83"/>
      <w:bookmarkEnd w:id="229"/>
      <w:r>
        <w:rPr>
          <w:rtl w:val="true"/>
        </w:rPr>
        <w:t>[</w:t>
      </w:r>
      <w:r>
        <w:rPr>
          <w:rtl w:val="true"/>
        </w:rPr>
        <w:t>خاتمة في قواطع الصلاة</w:t>
      </w:r>
      <w:r>
        <w:rPr>
          <w:rtl w:val="true"/>
        </w:rPr>
        <w:t>]</w:t>
      </w:r>
      <w:bookmarkEnd w:id="230"/>
    </w:p>
    <w:p>
      <w:pPr>
        <w:pStyle w:val="Heading5"/>
        <w:numPr>
          <w:ilvl w:val="4"/>
          <w:numId w:val="1"/>
        </w:numPr>
        <w:rPr/>
      </w:pPr>
      <w:bookmarkStart w:id="231" w:name="__RefHeading___Toc2018492_1067777946"/>
      <w:bookmarkStart w:id="232" w:name="_Toc84"/>
      <w:bookmarkEnd w:id="231"/>
      <w:r>
        <w:rPr>
          <w:rtl w:val="true"/>
        </w:rPr>
        <w:t>[</w:t>
      </w:r>
      <w:r>
        <w:rPr/>
        <w:t>1</w:t>
      </w:r>
      <w:r>
        <w:rPr>
          <w:rtl w:val="true"/>
        </w:rPr>
        <w:t xml:space="preserve"> - </w:t>
      </w:r>
      <w:r>
        <w:rPr>
          <w:rtl w:val="true"/>
        </w:rPr>
        <w:t>ما يبطلها عمداً وسهواً</w:t>
      </w:r>
      <w:r>
        <w:rPr>
          <w:rtl w:val="true"/>
        </w:rPr>
        <w:t>]</w:t>
      </w:r>
      <w:bookmarkEnd w:id="2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ما يوجب الوضوء سهواً تطهّر وبنى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البطلان مطلقاً</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018494_1067777946"/>
      <w:bookmarkStart w:id="234" w:name="_Toc85"/>
      <w:bookmarkEnd w:id="233"/>
      <w:r>
        <w:rPr>
          <w:rtl w:val="true"/>
        </w:rPr>
        <w:t>[</w:t>
      </w:r>
      <w:r>
        <w:rPr/>
        <w:t>2</w:t>
      </w:r>
      <w:r>
        <w:rPr>
          <w:rtl w:val="true"/>
        </w:rPr>
        <w:t xml:space="preserve"> - </w:t>
      </w:r>
      <w:r>
        <w:rPr>
          <w:rtl w:val="true"/>
        </w:rPr>
        <w:t>مالا يبطلها إلّا عمداً</w:t>
      </w:r>
      <w:r>
        <w:rPr>
          <w:rtl w:val="true"/>
        </w:rPr>
        <w:t>]</w:t>
      </w:r>
      <w:bookmarkEnd w:id="2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وضع اليمين على الشمال،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التحريم، وبطلان الصلاة به مع التعمّد وعدم التقيّة، ولا فرق بين وضعهما على الهيئة المشروعة عند المخالف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والالتفات إلى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بدنه، أمّا بوجهه خاصّة فيكره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بحرفين فصاعداً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حكمه الحرف الواحد المفيد فائدة الكلام كالأمر من الأفعال المعتلّة الطرفين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معنى الحرفين الحرف بعده مَدّة ناشئة من إشباع حركته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الضحك المشتمل على الصوت وإن قلّ، أو وقعت على وجه لا يمكن دفعها على الأقوى وإن انتفى عنها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يفعل فعلاً كثيراً ليس من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الكثرة العرف لا اللغة، وضابطه ما يخيّل للناظر إليه أنّ فاعله معرض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يتقيّد البطلان فيها بالعمد إذا لم يوجب انمحاء صورة الصلاة به، وإلّا أبطل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والبكاء لشيء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البكاء على الميّت وإن كان لصلاحه، أمّا البكاء من خوف الله تعالى فلا، إلّا أن يتبيّن منه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 البكاء المبطل ما اشتمل على انتحاب وصوت، لا مجرّد خروج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والأكل والشرب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إلحاقهما بالفعل الخارج عن الصلاة، فلا يبطلان بمجرّدهما، بل 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صلاة الوتر لمن أصابه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لا يستلزم فعل مناف آخر غير الشرب، ولا فرق في الوتر والصوم بين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عقص الشعر للرجل تردّد، والأشبه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والمراد بالعقص جمع الشعر في وسط الرأس وشدّه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الالتفات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 أمّا بالبدن فيبطل مع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يفرقع أصابعه أو يتأوّه، أو يئنّ بحرف واحد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التأوّه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 والمراد هنا النطق بذلك على وجه لا يستبين منه حرفان، وفي معناه الأنين إلّا أنّه مختصّ بالمريض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يدافع البول أو الغائط أو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عرضت قبل الشروع في سعة الوقت، أمّا بعده أو مع ضيقه فلا، وفي معناها النوم، ولا يجبر هذا المكروه فضيلة الائتمام ولا شرف البقعة حيث يستلزم دفعها فواتهما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الرجل في الصلاة يستحبّ له أن يحمد الله، وكذا إن عطسَ غيره يستحبّ له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تسميت العاطس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ردّ العاطس عليه بلفظ الدعاء مثل قوله، ولو قصد بغير المنصوص مجرّد الردّ فالأقوى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عليه يجوز أن يردّ عليه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عبّر بالجواز؛ لأنّه موضع النزاع بيننا وبين مَن خالفنا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معناه الأعم، والمراد منه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الردّ بمثل قوله إذا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نبّه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سلّم بغيره اقتصر في الردّ على ما ذكر هنا وإن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المسلّم بين الصغير المميّز والكبير، ولا 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إسماعه الجواب، ولو ترك الردّ أثم، والأقرب عدم بطلان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حيّاه بغيره من التحيّات العرفيّة كالصباح والمساء وغيرهما، وجب الردّ عليه بما يتضمّن الدعاء بقصده أو بجواب السلام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للمصلّي أن يقطع صلاته إذا خاف تلف مالٍ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بالجواز هنا معناه الأعمّ كما سبق، ثمّ قد يجب إذا كان المال الذي يخاف تلفه ممّا يضرّه فوته، والطفل المتردّي محترماً، وقد يكون مستحبّاً كما إذا كان المال كثيراً غير مضرّ فواته، ومباحاً إذا كان قليلاً دون ذلك مع تموّله، ومكروهاً إذا كان غير متموّل كالحبّة والحبّتين، ويحرم قطعها لغير سبب مجوّز، فهو منقسم إلى الأحكام الخمسة</w:t>
      </w:r>
      <w:r>
        <w:rPr>
          <w:rFonts w:eastAsia="Amiri" w:cs="Amiri" w:ascii="Amiri" w:hAnsi="Amiri"/>
          <w:color w:val="111111"/>
          <w:sz w:val="28"/>
          <w:szCs w:val="28"/>
          <w:rtl w:val="true"/>
          <w:lang w:bidi="ar-SA"/>
        </w:rPr>
        <w:t xml:space="preserve">. </w:t>
      </w:r>
      <w:bookmarkStart w:id="235" w:name="pg10178_83561"/>
    </w:p>
    <w:p>
      <w:pPr>
        <w:pStyle w:val="Heading3"/>
        <w:numPr>
          <w:ilvl w:val="2"/>
          <w:numId w:val="1"/>
        </w:numPr>
        <w:rPr/>
      </w:pPr>
      <w:bookmarkStart w:id="236" w:name="__RefHeading___Toc2018496_1067777946"/>
      <w:bookmarkStart w:id="237" w:name="_Toc86"/>
      <w:bookmarkEnd w:id="235"/>
      <w:bookmarkEnd w:id="236"/>
      <w:r>
        <w:rPr>
          <w:rtl w:val="true"/>
        </w:rPr>
        <w:t>[</w:t>
      </w:r>
      <w:r>
        <w:rPr>
          <w:rtl w:val="true"/>
        </w:rPr>
        <w:t>الركن الثالث في بقيّة الصلوات</w:t>
      </w:r>
      <w:r>
        <w:rPr>
          <w:rtl w:val="true"/>
        </w:rPr>
        <w:t>]</w:t>
      </w:r>
      <w:bookmarkEnd w:id="237"/>
    </w:p>
    <w:p>
      <w:pPr>
        <w:pStyle w:val="Heading4"/>
        <w:numPr>
          <w:ilvl w:val="3"/>
          <w:numId w:val="1"/>
        </w:numPr>
        <w:rPr/>
      </w:pPr>
      <w:bookmarkStart w:id="238" w:name="__RefHeading___Toc2018498_1067777946"/>
      <w:bookmarkStart w:id="239" w:name="_Toc87"/>
      <w:bookmarkEnd w:id="238"/>
      <w:r>
        <w:rPr>
          <w:rtl w:val="true"/>
        </w:rPr>
        <w:t>[</w:t>
      </w:r>
      <w:r>
        <w:rPr>
          <w:rtl w:val="true"/>
        </w:rPr>
        <w:t>الفصل الأوّل في صلاة الجمعة</w:t>
      </w:r>
      <w:r>
        <w:rPr>
          <w:rtl w:val="true"/>
        </w:rPr>
        <w:t>]</w:t>
      </w:r>
      <w:bookmarkEnd w:id="239"/>
    </w:p>
    <w:p>
      <w:pPr>
        <w:pStyle w:val="Heading5"/>
        <w:numPr>
          <w:ilvl w:val="4"/>
          <w:numId w:val="1"/>
        </w:numPr>
        <w:rPr/>
      </w:pPr>
      <w:bookmarkStart w:id="240" w:name="__RefHeading___Toc2018500_1067777946"/>
      <w:bookmarkStart w:id="241" w:name="_Toc88"/>
      <w:bookmarkEnd w:id="240"/>
      <w:r>
        <w:rPr>
          <w:rtl w:val="true"/>
        </w:rPr>
        <w:t>[</w:t>
      </w:r>
      <w:r>
        <w:rPr>
          <w:rtl w:val="true"/>
        </w:rPr>
        <w:t>وقتها</w:t>
      </w:r>
      <w:r>
        <w:rPr>
          <w:rtl w:val="true"/>
        </w:rPr>
        <w:t>]</w:t>
      </w:r>
      <w:bookmarkEnd w:id="2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الوقت وهو فيها أتمّ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إدراك ركعة في وقتها كغيرها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وتفوت الجمعة بفوات الوقت، ثمّ لا تقضى جمعةً، وإنّما تُقضى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يناسب عوده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قضاء لها، ولأنّ القضاء يجب مساواته للمقضي كميّةً، والظهر لا يناسب الجمعة كذلك، بل قال المصنّف في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عائد إلى وظيفة الوقت يوم الجمعة وهو أحد الأمرين الجمعة أو الظهر مع فواتها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بقضاء الوظيفة ظهراً الإتيان بها كذلك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الصَّلَوةُ فَانتَشِرُوا فِي الْأَرْضِ</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مَّنَنسِكَكُمْ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تيقّن أنّ الوقت يتّسع للخطبة وركعتين خفيفتين وجبت الجمعة وإن تيقّن أو غلب على ظنّه أنّ الوقت لا يتّسع لذلك فقد فاتت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الاكتفاء في وجوبها بإدراك ركعة بعد الخطبتين، ووجوب الشروع فيها متى احتمل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طابق ما يحصل به إدراكها صحّت، وإلّا فلا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لو لم يحضر الخطبة وأوّل الصلاة، وأدرك مع الإمام ركعة، صلّى جمعةً</w:t>
      </w:r>
      <w:r>
        <w:rPr>
          <w:rFonts w:eastAsia="Amiri" w:cs="Amiri" w:ascii="Amiri" w:hAnsi="Amiri"/>
          <w:color w:val="111111"/>
          <w:sz w:val="28"/>
          <w:szCs w:val="28"/>
          <w:rtl w:val="true"/>
          <w:lang w:bidi="ar-SA"/>
        </w:rPr>
        <w:t xml:space="preserve">». </w:t>
      </w:r>
      <w:bookmarkStart w:id="242" w:name="pg10178_83562"/>
    </w:p>
    <w:p>
      <w:pPr>
        <w:pStyle w:val="BookText"/>
        <w:rPr/>
      </w:pPr>
      <w:bookmarkEnd w:id="242"/>
      <w:r>
        <w:rPr>
          <w:rFonts w:ascii="Amiri" w:hAnsi="Amiri" w:eastAsia="Amiri" w:cs="Amiri"/>
          <w:color w:val="111111"/>
          <w:sz w:val="28"/>
          <w:sz w:val="28"/>
          <w:szCs w:val="28"/>
          <w:rtl w:val="true"/>
          <w:lang w:bidi="ar-SA"/>
        </w:rPr>
        <w:t>لكن يأثم بتفويت سماع الخطبة اختياراً؛ لوجوب الحضور عندها والاستماع، وإن صحّت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أدرك الإمام راكعاً في الثانية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والمعتبر اجتماعهما في حدّ الراكع وإن لم يجتمعا في الذكر</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018502_1067777946"/>
      <w:bookmarkStart w:id="244" w:name="_Toc89"/>
      <w:bookmarkEnd w:id="243"/>
      <w:r>
        <w:rPr>
          <w:rtl w:val="true"/>
        </w:rPr>
        <w:t>[</w:t>
      </w:r>
      <w:r>
        <w:rPr>
          <w:rtl w:val="true"/>
        </w:rPr>
        <w:t>شروط الجمعة</w:t>
      </w:r>
      <w:r>
        <w:rPr>
          <w:rtl w:val="true"/>
        </w:rPr>
        <w:t>]</w:t>
      </w:r>
      <w:bookmarkEnd w:id="2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لا تجب إلّا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نصبه، فلو مات في أثناء الصلاة لم تبطل، وجاز أن يقدّم الجماعة مَن يتمّ بهم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فيهم صالح للإمامة، وحينئذٍ فيجب عليهم التقديم وعليه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صالح وجبَ كفايةً، ويجب عليهم تجديد نيّة القدوة، ثمّ إن كان في أثناء القراءة ابتدأ من حيث قطعَ الإمام إن كان قطع على رأس آية أو جملة تامّة، وإلّا فمن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ابتدأ من أوّل القراءة مطلقاً كان أولى، ولو تعذّر الاقتداء أتمّوا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وهو خمسة الإمام أحدهم،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انفضّوا في أثناء الخطبة أو بعدها قبل التلبّس بالصلاة سقط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سقوطاً مراعى بعدم عود مَن تنعقد به الجمعة، ثمّ إن عادوا بعد الانفضاض بنی على ما سبق منها، وفي معناه انفضاض مَن ينقص به العدد 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دخلوا في الصلاة ولو بالتكبير وجب الإتمام ولو لم يبق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وإن لم يبق غير الإمام فيتمّ فرادى، كما يتمّ المأموم كذلك إذا تعذّر إتمامها </w:t>
      </w:r>
      <w:r>
        <w:rPr>
          <w:rStyle w:val="FootnoteAnchor"/>
          <w:rtl w:val="true"/>
        </w:rPr>
        <w:footnoteReference w:id="78"/>
      </w:r>
      <w:r>
        <w:rPr>
          <w:rFonts w:ascii="Amiri" w:hAnsi="Amiri" w:eastAsia="Amiri" w:cs="Amiri"/>
          <w:color w:val="111111"/>
          <w:sz w:val="28"/>
          <w:sz w:val="28"/>
          <w:szCs w:val="28"/>
          <w:rtl w:val="true"/>
          <w:lang w:bidi="ar-SA"/>
        </w:rPr>
        <w:t>مؤتمّاً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 ويجب في كلّ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 على النبيّ وآله علیهم السلام والوعظ</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ويتعيّن الحمد والصلاة والوعظ بتعيّن الحمد والصلاة بلفظهما، ولا ينحصر الوعظ في </w:t>
      </w:r>
    </w:p>
    <w:p>
      <w:pPr>
        <w:pStyle w:val="BookText"/>
        <w:rPr/>
      </w:pPr>
      <w:r>
        <w:rPr>
          <w:rFonts w:ascii="Amiri" w:hAnsi="Amiri" w:eastAsia="Amiri" w:cs="Amiri"/>
          <w:color w:val="111111"/>
          <w:sz w:val="28"/>
          <w:sz w:val="28"/>
          <w:szCs w:val="28"/>
          <w:rtl w:val="true"/>
          <w:lang w:bidi="ar-SA"/>
        </w:rPr>
        <w:t>لفظٍ، ويجب الترتيب كما ذكر، وإيقاعها بالعربيّة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سورة خفيفة،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ولو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إيقاعها قبل زوال الشمس حتّى إذا فرغ زالت،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يكون الخطيب قائماً وقت إيراده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هنا إمكان القيام حالة الخطبة أو بعضها بدون مشقّة لا تتحمّل عادة، فلو أمكن القيام في بعضها وجب، ولو تعذّر فيها أجمع أو في بعضها أجزأ المعجوز عنه من جلوس، وكذا القول في باقي مراتب العجز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يجزئ كذلك لو تعذّر خطبة غيره ممّن هو أعلى حالاً منه، وإلّا وجب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الفصل بين الخطبتين بجلسة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وقعتا حالة القيام، أو ما دونه من الحالات التي لا تبلغ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أوقعهما جالساً فصلَ بينهما بسكتة حالته، ولو تعذّر الجلوس بينهما سقط كتعذّر القيام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الطهارة شرطٌ فيهما؟ فيه تردّد، والأشبه أنّها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اشتراطها من الحدث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يرفع صوته بحيث يسمع العدد المعتبر فصاعداً،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إسماع مَن لا يشقّ إسماعه عادةً وإن زاد عن العدد المعتبر، لكن إنّما يشترط في صحّتها إسماع العدد خاصّة، فيأثم بترك إسماع الزائد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فلا تصحّ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الجماعة بنيّة المأموم الاقتداء بالإمام، ويعتبر في انعقادها نيّة العدد المعتبر الاقتداء، وإنّما تشترط الجماعة في ابتدائها لا في استدامتها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جمعة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سبقت إحداهما ولو بتكبيرة الإحرام بطلت المتأخّرة ولو لم تتحقّق السابقة أعاد ظهراً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تحقّق السابقة يشمل ما لو عُلمت ابتداءً ثمّ اشتبهت، وما لو ابتدأ مع العلم بها في </w:t>
      </w:r>
      <w:bookmarkStart w:id="245" w:name="pg10178_83564"/>
    </w:p>
    <w:p>
      <w:pPr>
        <w:pStyle w:val="BookText"/>
        <w:rPr/>
      </w:pPr>
      <w:bookmarkEnd w:id="245"/>
      <w:r>
        <w:rPr>
          <w:rFonts w:ascii="Amiri" w:hAnsi="Amiri" w:eastAsia="Amiri" w:cs="Amiri"/>
          <w:color w:val="111111"/>
          <w:sz w:val="28"/>
          <w:sz w:val="28"/>
          <w:szCs w:val="28"/>
          <w:rtl w:val="true"/>
          <w:lang w:bidi="ar-SA"/>
        </w:rPr>
        <w:t>الجملة، وما لو شكّ في السبق والاقتران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الأخير إعادة الجمعة لاغير، إمّا باجتماعهم عليها، أو يفرقهم المسافة المعتبرة في صحّة المتعدّدة</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018504_1067777946"/>
      <w:bookmarkStart w:id="247" w:name="_Toc90"/>
      <w:bookmarkEnd w:id="246"/>
      <w:r>
        <w:rPr>
          <w:rtl w:val="true"/>
        </w:rPr>
        <w:t>[</w:t>
      </w:r>
      <w:r>
        <w:rPr>
          <w:rtl w:val="true"/>
        </w:rPr>
        <w:t>من تجب عليه الجمعة</w:t>
      </w:r>
      <w:r>
        <w:rPr>
          <w:rtl w:val="true"/>
        </w:rPr>
        <w:t>]</w:t>
      </w:r>
      <w:bookmarkEnd w:id="2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تجب عليه، ويراعى فيه شروط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والذكورة، والحريّة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يتعذّر معه حضور محلّ الجماعة، أو يشقّ بما لا يتحمّل عادة، ويوجب زيادة أو بطء برئه، وفي حكمه معلّل المريض حيث لا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حدّ الإقعاد، أو المستلزم لمشقّة في السعي لا يتحمّل عادة، ومثله القول في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هؤلاء إذا تكلّفوا الحضور وجبت عليهم الجمعة وانعقدت بهم، سوى من خرج عن التكليف، وفي العبد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وجوبها عليه وانعقادها به مع إذن المولى</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018506_1067777946"/>
      <w:bookmarkStart w:id="249" w:name="_Toc91"/>
      <w:bookmarkEnd w:id="248"/>
      <w:r>
        <w:rPr>
          <w:rtl w:val="true"/>
        </w:rPr>
        <w:t>[</w:t>
      </w:r>
      <w:r>
        <w:rPr>
          <w:rtl w:val="true"/>
        </w:rPr>
        <w:t>هاهنا مسائل</w:t>
      </w:r>
      <w:r>
        <w:rPr>
          <w:rtl w:val="true"/>
        </w:rPr>
        <w:t>:]</w:t>
      </w:r>
      <w:bookmarkEnd w:id="2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اتّفقت في يوم نفسه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لم يجز السفر؛ لتعيّن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يحرم السفر الاختياري غير الواجب المضيّق، فالمضطرّ إليه الواجب كسفر الحجّ إذا استلزم التأخير فواته تلك السنة لا يحرم، وحيث يحرم السفر يكون عاصياً به إلى أن تفوت الجمعة، وتغتفر المسافة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الإصغاء إلى الخطبة هل هو واجب؟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إصغاء مَن يمكن في حقّه سماع الخطبة أو بعضها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تحريم الكلام في أثنائها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تحريم الكلام في أثنائهما وبينهما للخطيب وغيره، إلّا ما يضطرّ إليه كتنبيه الأعمى وردّ السلام وتسميت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إمام الجمعة كمال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يكون أبرص أو أجذم؟ فيه تردّد، والأشبه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الثاني يوم الجمعة بدعة،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التحريم، والمراد به ما وقع ثانياً بالزمان بعد أذان آخر واقع في الوقت من مؤذّن واحد أو قاصداً كونه ثانياً، سواء كان على المنارة أم بين يدي الخطيب أم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البيع يوم الجمعة بعد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بعد الزوال مطلقاً، ويلحق بالبيع ما أشبهه من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البيع صحيحاً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أحد المتعاقدين ممّن لا يجب عليه السعي، كان البيع سائغاً بالنظر إليه، حراماً بالنظر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تحريمه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وأمكن الاجتماع والخطبتان،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يُصلّى جمعة،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والأوّل أظهر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الاستحباب، والمراد به كون الجمعة أفضل الفردين الواجبين على التخيير، وهما الجمعة والظهر، وذلك لا ينافي كونها واجبة تخييراً؛ لأنّ الاستحباب العيني لا ينافي الوجوب التخييري، لا بمعنى رجحان فعلها مع جواز تركها لا إلى بدل؛ لأنّ ذلك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فينوي بها الوجوب وتجزئ عن الظهر، وشرطها ما ذكره المصنّف من إمكان الاجتماع، أي اجتماع العدد المعتبر جماعة وإن لم يكن فيهم الإمام أو مَن نصبه، والخطبتان على الوجه المعتبر وإن انضمّ إليهما ذكر أئمّة الجور والثناء عليهم تقيّة</w:t>
      </w:r>
      <w:r>
        <w:rPr>
          <w:rFonts w:eastAsia="Amiri" w:cs="Amiri" w:ascii="Amiri" w:hAnsi="Amiri"/>
          <w:color w:val="111111"/>
          <w:sz w:val="28"/>
          <w:szCs w:val="28"/>
          <w:rtl w:val="true"/>
          <w:lang w:bidi="ar-SA"/>
        </w:rPr>
        <w:t xml:space="preserve">. </w:t>
      </w:r>
      <w:bookmarkStart w:id="250" w:name="pg10178_83566"/>
    </w:p>
    <w:p>
      <w:pPr>
        <w:pStyle w:val="BookText"/>
        <w:rPr/>
      </w:pPr>
      <w:bookmarkEnd w:id="25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يتمكّن المأموم من السجود مع الإمام في الأُولى، فإن أمكنه السجود واللحاق به قبل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اقتصر على متابعته في السجدتين وينوي بهما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أجزأ وانصرفا إلى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نوى بهما الثانية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2018508_1067777946"/>
      <w:bookmarkStart w:id="252" w:name="_Toc92"/>
      <w:bookmarkEnd w:id="251"/>
      <w:r>
        <w:rPr>
          <w:rtl w:val="true"/>
        </w:rPr>
        <w:t>[</w:t>
      </w:r>
      <w:r>
        <w:rPr>
          <w:rtl w:val="true"/>
        </w:rPr>
        <w:t>آداب الجمعة</w:t>
      </w:r>
      <w:r>
        <w:rPr>
          <w:rtl w:val="true"/>
        </w:rPr>
        <w:t>]</w:t>
      </w:r>
      <w:bookmarkEnd w:id="2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آداب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فالغسل، والتنفّل بعشرين ركعة، ستّ عند انبساط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انتشارها على وجه الأرض، وهو كمال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كون الشمس في وسط السماء بحيث يفرغ منها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وركعتان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 النافلة إلى بعد الزوال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أخرّ مجموع نافلة الجمعة، والحاصل أنّ وقتها يوم الجمعة مطلقاً، لكنّ الأفضل تفريقها أسداساً كما ذكر، ثمّ جعل السنّة فيها بين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على 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السكينة في الأعضاء بمعنى اعتدال حركاتها، والوقار في النفس بمعنى طمأنينتها وثباتها على وجه توجب الخشوع والإقبال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الخطيب بليغاً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جمعه بين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خلوص الكلام من ضعف التأليف، وتنافر الكلمات والتعقيد وكونها غريبة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ملكة توجب القدرة على تأليف الكلام المطابق لمقتضى الحال من التخويف والإنذار والإعلام بفضيلة الوقت وغيرها بحسب حال السامعين</w:t>
      </w:r>
      <w:r>
        <w:rPr>
          <w:rFonts w:eastAsia="Amiri" w:cs="Amiri" w:ascii="Amiri" w:hAnsi="Amiri"/>
          <w:color w:val="111111"/>
          <w:sz w:val="28"/>
          <w:szCs w:val="28"/>
          <w:rtl w:val="true"/>
          <w:lang w:bidi="ar-SA"/>
        </w:rPr>
        <w:t xml:space="preserve">. </w:t>
      </w:r>
      <w:bookmarkStart w:id="253" w:name="pg10178_83567"/>
    </w:p>
    <w:p>
      <w:pPr>
        <w:pStyle w:val="BookText"/>
        <w:rPr/>
      </w:pPr>
      <w:bookmarkEnd w:id="25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 الكلام في أثناء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سبق الإمام إلى قراءة سورة فليعدل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الثانية يعدل إلى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يتجاوز نصف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لم يبلغ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العدول عنهما إلى الجمعة هنا كغيرهما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الجهر بالظهر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تركه فيها</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018510_1067777946"/>
      <w:bookmarkStart w:id="255" w:name="_Toc93"/>
      <w:bookmarkEnd w:id="254"/>
      <w:r>
        <w:rPr>
          <w:rtl w:val="true"/>
        </w:rPr>
        <w:t>[</w:t>
      </w:r>
      <w:r>
        <w:rPr>
          <w:rtl w:val="true"/>
        </w:rPr>
        <w:t>الفصل الثاني في صلاة العيدين</w:t>
      </w:r>
      <w:r>
        <w:rPr>
          <w:rtl w:val="true"/>
        </w:rPr>
        <w:t>]</w:t>
      </w:r>
      <w:bookmarkEnd w:id="255"/>
    </w:p>
    <w:p>
      <w:pPr>
        <w:pStyle w:val="Heading5"/>
        <w:numPr>
          <w:ilvl w:val="4"/>
          <w:numId w:val="1"/>
        </w:numPr>
        <w:rPr/>
      </w:pPr>
      <w:bookmarkStart w:id="256" w:name="__RefHeading___Toc2018512_1067777946"/>
      <w:bookmarkStart w:id="257" w:name="_Toc94"/>
      <w:bookmarkEnd w:id="256"/>
      <w:r>
        <w:rPr>
          <w:rtl w:val="true"/>
        </w:rPr>
        <w:t>[</w:t>
      </w:r>
      <w:r>
        <w:rPr>
          <w:rtl w:val="true"/>
        </w:rPr>
        <w:t>شروطها</w:t>
      </w:r>
      <w:r>
        <w:rPr>
          <w:rtl w:val="true"/>
        </w:rPr>
        <w:t>]</w:t>
      </w:r>
      <w:bookmarkEnd w:id="25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اختلّت الشرائط 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هنا بين حضور الفقيه وعدمه في ظاهر كلام الأصحاب، بخلاف الجمعة حيث يختلّ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التباعد بين نفليها بفرسخ، ولا بين فرضها ونفلها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كيفيّتها أن يكبّر للإحرام،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والأفضل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يكبّر بعد القراءة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يكبّر أربعاً ويقنت بينها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العبارة تجوّز؛ لأنّ التكبيرات إذا كانت أربعاً لم يكن القنوت بينها أربعاً، بل ثلاثاً،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ويقنت بعد كلّ تكبير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الزائد عن المعتاد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 الأُولى وأربع في الثانية غير تكبيرة الإحرام وتكبيرتي الركوعين</w:t>
      </w:r>
      <w:r>
        <w:rPr>
          <w:rFonts w:eastAsia="Amiri" w:cs="Amiri" w:ascii="Amiri" w:hAnsi="Amiri"/>
          <w:color w:val="111111"/>
          <w:sz w:val="28"/>
          <w:szCs w:val="28"/>
          <w:rtl w:val="true"/>
          <w:lang w:bidi="ar-SA"/>
        </w:rPr>
        <w:t xml:space="preserve">». </w:t>
      </w:r>
      <w:bookmarkStart w:id="258" w:name="pg10178_83568"/>
    </w:p>
    <w:p>
      <w:pPr>
        <w:pStyle w:val="BookText"/>
        <w:rPr/>
      </w:pPr>
      <w:bookmarkEnd w:id="258"/>
      <w:r>
        <w:rPr>
          <w:rFonts w:ascii="Amiri" w:hAnsi="Amiri" w:eastAsia="Amiri" w:cs="Amiri"/>
          <w:color w:val="111111"/>
          <w:sz w:val="28"/>
          <w:sz w:val="28"/>
          <w:szCs w:val="28"/>
          <w:rtl w:val="true"/>
          <w:lang w:bidi="ar-SA"/>
        </w:rPr>
        <w:t>هذه التكبيرات ليست زائدة عن المعتاد، فلا يفتقر إلى ذكرها، ولو أراد بذلك التوضيح كان تركه أوضح</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2018514_1067777946"/>
      <w:bookmarkStart w:id="260" w:name="_Toc95"/>
      <w:bookmarkEnd w:id="259"/>
      <w:r>
        <w:rPr>
          <w:rtl w:val="true"/>
        </w:rPr>
        <w:t>[</w:t>
      </w:r>
      <w:r>
        <w:rPr>
          <w:rtl w:val="true"/>
        </w:rPr>
        <w:t>سننها</w:t>
      </w:r>
      <w:r>
        <w:rPr>
          <w:rtl w:val="true"/>
        </w:rPr>
        <w:t>]</w:t>
      </w:r>
      <w:bookmarkEnd w:id="2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وسنن هذه الصلاة الإصحار بها إلّا بمكّة، والسجود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غيرها ممّا يصحّ السجود عليه، ويستحبّ مباشرة الأرض بما يمكن من أعضاء المصلّى زيادةً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يَطْعَم قبل خروجه في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بفتح الياء وسكون الطاء وفتح العين، مضارع طَعِمَ كعَلِمَ، أي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الأمصار عقيب 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استحبابها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الخروج بالسلاح، وأن يتنفّل قبل الصلاة أو بعدها إلّا بمسجد النبيّ صلى الله عليه و آله و سلم بالمدينة، فإنّه يصلّي ركعتين قبل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الصلاة، فيصلّى ثمّ يخرج إلى المصلّى تأسّياً بالنبيّ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الزائد هل هو واجب؟ 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وجوب التكبيرات، والقنوت حيث تجب الصلاة، واشتراطها بهما حیث يستحبّ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وبتقدير الوجوب هل يتعيّن فيه لفظ؟ الأظهر أنّه لا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وإن كان المأثور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اتّفق عيد وجمعة فمن حضر العيد كان بالخيار في حضور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مختصّ بمن كان نائياً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عموم الرخصة؛ لعموم الخبر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يجب على الإمام إعلامهم في خطبة </w:t>
      </w:r>
      <w:bookmarkStart w:id="261" w:name="pg10178_83569"/>
    </w:p>
    <w:p>
      <w:pPr>
        <w:pStyle w:val="BookText"/>
        <w:rPr/>
      </w:pPr>
      <w:bookmarkEnd w:id="261"/>
      <w:r>
        <w:rPr>
          <w:rFonts w:ascii="Amiri" w:hAnsi="Amiri" w:eastAsia="Amiri" w:cs="Amiri"/>
          <w:color w:val="111111"/>
          <w:sz w:val="28"/>
          <w:sz w:val="28"/>
          <w:szCs w:val="28"/>
          <w:rtl w:val="true"/>
          <w:lang w:bidi="ar-SA"/>
        </w:rPr>
        <w:t>العيد، يجب عليه الحضور لصلاة الجمعة، فإن اجتمع معه مَن تنعقد به الجمعة صلّاها،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ينقل المنبر من الجامع، بل يعمل شبه المنبر من طين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حرم السفر حتّى يصلّي صلاة العيد إن كان ممّن تجب عليه وفي خروجه بعد الفجر وقبل طلوعها تردّد، والأشبه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018516_1067777946"/>
      <w:bookmarkStart w:id="263" w:name="_Toc96"/>
      <w:bookmarkEnd w:id="262"/>
      <w:r>
        <w:rPr>
          <w:rtl w:val="true"/>
        </w:rPr>
        <w:t>[</w:t>
      </w:r>
      <w:r>
        <w:rPr>
          <w:rtl w:val="true"/>
        </w:rPr>
        <w:t>الفصل الثالث في صلاة الكسوف</w:t>
      </w:r>
      <w:r>
        <w:rPr>
          <w:rtl w:val="true"/>
        </w:rPr>
        <w:t>]</w:t>
      </w:r>
      <w:bookmarkEnd w:id="263"/>
    </w:p>
    <w:p>
      <w:pPr>
        <w:pStyle w:val="Heading5"/>
        <w:numPr>
          <w:ilvl w:val="4"/>
          <w:numId w:val="1"/>
        </w:numPr>
        <w:rPr/>
      </w:pPr>
      <w:bookmarkStart w:id="264" w:name="__RefHeading___Toc2018518_1067777946"/>
      <w:bookmarkStart w:id="265" w:name="_Toc97"/>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فتجب عند كسوف الشمس، وخسوف القمر، والزلزلة، وهل تجب لما عدا ذلك من ريح مظلمة وغيرها من أخاويف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وجوبها لجميع الأخاويف السماويّة؛ للرواية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بالسماء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العلوّ مطلقاً؛ ليدخل فيه نحو الصواعق والظلمة الشديدة والريح 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يخاف منه أكثر العقلاء بمقتضى حدوثه عادةً، لا ما يتّفق منه الخوف لواحدٍ، كما لا اعتبار بخوف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في الكسوف من حين ابتدائه إلى حين انجلائه، فإن لم يتّسع لها لم تجب، وكذا الرياح والأخاويف إن قلنا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اعتبار سعة وقتها لصلاتها مطلقاً كالزلزلة، وتبقى أداء وإن وجب الفور بها</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018520_1067777946"/>
      <w:bookmarkStart w:id="267" w:name="_Toc98"/>
      <w:bookmarkEnd w:id="266"/>
      <w:r>
        <w:rPr>
          <w:rtl w:val="true"/>
        </w:rPr>
        <w:t>[</w:t>
      </w:r>
      <w:r>
        <w:rPr>
          <w:rtl w:val="true"/>
        </w:rPr>
        <w:t>في كيفيّتها</w:t>
      </w:r>
      <w:r>
        <w:rPr>
          <w:rtl w:val="true"/>
        </w:rPr>
        <w:t>]</w:t>
      </w:r>
      <w:bookmarkEnd w:id="2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كيفيّتها فهو أن يحرم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ثمّ يركع، ثمّ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لم يتمّ السورة قرأ من حيث قطع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الاكتفاء في كلّ قيام بآية فما فوقها متّصلة بالسابق أو منفصلة عنه مع تحقّق قراءة سورة تامّة بعد الحمد في الخمس مجتمعة ومتفرّقة، ولا يجب الحمد في </w:t>
      </w:r>
      <w:bookmarkStart w:id="268" w:name="pg10178_83570"/>
    </w:p>
    <w:p>
      <w:pPr>
        <w:pStyle w:val="BookText"/>
        <w:rPr/>
      </w:pPr>
      <w:bookmarkEnd w:id="268"/>
      <w:r>
        <w:rPr>
          <w:rFonts w:ascii="Amiri" w:hAnsi="Amiri" w:eastAsia="Amiri" w:cs="Amiri"/>
          <w:color w:val="111111"/>
          <w:sz w:val="28"/>
          <w:sz w:val="28"/>
          <w:szCs w:val="28"/>
          <w:rtl w:val="true"/>
          <w:lang w:bidi="ar-SA"/>
        </w:rPr>
        <w:t>غير القيام الأوّل والسادس إلّا مع إكمال سورة قبله، وفيهما 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حصل الكسوف في وقت فريضة حاضرة كان مخيّراً في الإتيان بأيّهما شاء ما لم تتضيّق الحاضرة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أدرك الكسوف بعدها أو ركعة منها قبل تمام الانجلاء أتى بها، وإن خرج وقتها؛ فإن كان قد أخّر الحاضرة مع وجوبها اختياراً قضى الكسوف،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 أولى،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يصلّي صلاة الكسوف على ظهر الدابّة وماشياً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مع العذر،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غيرها من الصلوات الواجبة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018522_1067777946"/>
      <w:bookmarkStart w:id="270" w:name="_Toc99"/>
      <w:bookmarkEnd w:id="269"/>
      <w:r>
        <w:rPr>
          <w:rtl w:val="true"/>
        </w:rPr>
        <w:t>[</w:t>
      </w:r>
      <w:r>
        <w:rPr>
          <w:rtl w:val="true"/>
        </w:rPr>
        <w:t>الفصل الرابع في الصلاة على الأموات</w:t>
      </w:r>
      <w:r>
        <w:rPr>
          <w:rtl w:val="true"/>
        </w:rPr>
        <w:t>]</w:t>
      </w:r>
      <w:bookmarkEnd w:id="270"/>
    </w:p>
    <w:p>
      <w:pPr>
        <w:pStyle w:val="Heading5"/>
        <w:numPr>
          <w:ilvl w:val="4"/>
          <w:numId w:val="1"/>
        </w:numPr>
        <w:rPr/>
      </w:pPr>
      <w:bookmarkStart w:id="271" w:name="__RefHeading___Toc2018524_1067777946"/>
      <w:bookmarkStart w:id="272" w:name="_Toc100"/>
      <w:bookmarkEnd w:id="271"/>
      <w:r>
        <w:rPr>
          <w:rtl w:val="true"/>
        </w:rPr>
        <w:t>[</w:t>
      </w:r>
      <w:r>
        <w:rPr>
          <w:rtl w:val="true"/>
        </w:rPr>
        <w:t>من يصلّى عليه</w:t>
      </w:r>
      <w:r>
        <w:rPr>
          <w:rtl w:val="true"/>
        </w:rPr>
        <w:t>]</w:t>
      </w:r>
      <w:bookmarkEnd w:id="2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من يصلّى عليه، وهو كلّ مَن كان مظهراً للشهادتين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يحكم مع ذلك بكفره كالخارجي، والمجسّم، والمرتدّ بإنكار بعض الواجبات أو استحلال المحرّمات، وإلّا لم تصحّ الصلاة عليه كغيره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طفلاً له ستّ سنين ممّن له 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يكون متولّداً من مسلم، أو ملقوطاً في دار الإسلام، أو دار الكفر وفيها مسلم صالح لإلحاقه به، أو مسبيّاً تابعاً للمسلم حيث يحكم بإسلامه بذلك</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018526_1067777946"/>
      <w:bookmarkStart w:id="274" w:name="_Toc101"/>
      <w:bookmarkEnd w:id="273"/>
      <w:r>
        <w:rPr>
          <w:rtl w:val="true"/>
        </w:rPr>
        <w:t>[</w:t>
      </w:r>
      <w:r>
        <w:rPr>
          <w:rtl w:val="true"/>
        </w:rPr>
        <w:t>في المصلّي</w:t>
      </w:r>
      <w:r>
        <w:rPr>
          <w:rtl w:val="true"/>
        </w:rPr>
        <w:t>]</w:t>
      </w:r>
      <w:bookmarkEnd w:id="2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في المصلّي وأحقّ الناس بالصلاة عليه أولاهم بميراثه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الوارث أولى ممّن لا يرث مطلقاً، ثمّ إن اتّحد الوارث اختصّ بالولاية، وإن تعدّد كالأب والابن فالأب أولى، والزوج أولى مطلقاً، والذكر أولى من الأُنثى، </w:t>
      </w:r>
      <w:bookmarkStart w:id="275" w:name="pg10178_83571"/>
    </w:p>
    <w:p>
      <w:pPr>
        <w:pStyle w:val="BookText"/>
        <w:rPr/>
      </w:pPr>
      <w:bookmarkEnd w:id="275"/>
      <w:r>
        <w:rPr>
          <w:rFonts w:ascii="Amiri" w:hAnsi="Amiri" w:eastAsia="Amiri" w:cs="Amiri"/>
          <w:color w:val="111111"/>
          <w:sz w:val="28"/>
          <w:sz w:val="28"/>
          <w:szCs w:val="28"/>
          <w:rtl w:val="true"/>
          <w:lang w:bidi="ar-SA"/>
        </w:rPr>
        <w:t>ولا ترجيح بكثرة النصيب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الولد أولى من الجدّ والأخ والعمّ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كالتفريع على القاعدة السابقه بالأولويّة وكالمستغني عنه؛ لأنّ الجدّ والأخ والعمّ لا يرثون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 من الأب والأُمّ أولى ممّن يمتّ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بتشديد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يتّصل بأحدهما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وأولويّته على مَن يمتّ بالأب خاصّة واضح؛ لعدم إرثه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مَن يمتّ بالأُمّ فليس بواضح؛ لاشتراكهما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ترجيح الأكثر نصيباً كالعمّ على الخال، وولده على ولده، والأخ من الأب على الأخ من الأُمّ، لكنّ المشهور الترجيح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أولى بالمرأة من عَصَباتها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جميع أقاربها، وخصّ العصبة لأنّهم أقوى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الزوجة بين الدائم والمستمتع بها، ولا بين الحرّة والمملوكة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تساوى الأولياء قدّم الأفقه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تقديم الأقرأ كغيرها من الصلوات، وإنّما قدّم المصنّف هنا الأفقه؛ لسقوط القراءة في هذه الصلاة، فلا ترجيح لمزاياها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أو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والهاشمي أولى من غيره إذا قدّمه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شبهة في أولويّة مقدّم الوليّ وإن كان ناقصاً، وإنّما الكلام في أولويّته بحيث يستحبّ للوليّ تقديمه، والمشهور استحباب تقديمه مطلقاً، لكن لا دليل عليه بعينه، ولا بأس به؛ لما فيه من صلة الرسول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76" w:name="__RefHeading___Toc2018528_1067777946"/>
      <w:bookmarkStart w:id="277" w:name="_Toc102"/>
      <w:bookmarkEnd w:id="276"/>
      <w:r>
        <w:rPr>
          <w:rtl w:val="true"/>
        </w:rPr>
        <w:t>[</w:t>
      </w:r>
      <w:r>
        <w:rPr>
          <w:rtl w:val="true"/>
        </w:rPr>
        <w:t>في كيفيّة الصلاة على الميّت</w:t>
      </w:r>
      <w:r>
        <w:rPr>
          <w:rtl w:val="true"/>
        </w:rPr>
        <w:t>]</w:t>
      </w:r>
      <w:bookmarkEnd w:id="27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في كيفيّة الصلاة، وهي خمس تكبيرات، والدعاء بينهنّ غير 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وجوب الشهادتين والصلاة على النبيّ وآله في الأُوليين، والاجتزاء في الدعاء للمؤمنين والميّت بما سنح وإن كان المنقول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منافقاً اقتصر المصلّي على أربع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هنا المخالف مطلقاً، والاقتصار على الأربع واجب، وينبغي الدعاء عليه بعد الرابعة إن كان ناصبيّاً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فيها النيّة، واستقبال القبلة، وجعل رأسه إلى يمين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مع ذلك كونه بين يديه، وعدم التباعد عنه بما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المصلّي منفرداً أو إماماً، أمّا المأموم فيُغتفران فيه إذا كان الإمام كذلك والتباعد بواسطة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ذلك كلّه مع إمكانه، فلو تعذّر كالمصلوب صُلّي عليه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وسُترت عورته وصلّي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يمكن ستره خارج القبر، وإلّا 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منع القبر مشاهدته، وإلّا تخيّر، ولا فرق بين وجود ناظر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طفلاً جُعل من وراء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تجب الصلاة عليه، وإلّا قدّم عليها، وكذا يقدّمه على الخنثى كما تقدّم الخنثى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ويرفع يديه في أوّل تكبيرة إجماعاً، وفي البواقي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عقيب الرابعة أن يدعو له إن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وبدعاء المستضعفين إن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يعتقد الحقّ ولا يعاند فيه ولا يوالي أحداً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فرغ من الصلاة وقف موقفه حتّى ترفع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في ذلك الإمام وغيره، نعم يستثنى من المصلّين مَن يتحقّق بهم رفع الجنازة إن لم يتّفق من غيرهم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الصلاة على الجنازة الواحدة مرّتين</w:t>
      </w:r>
      <w:r>
        <w:rPr>
          <w:rFonts w:eastAsia="Amiri" w:cs="Amiri" w:ascii="Amiri" w:hAnsi="Amiri"/>
          <w:color w:val="111111"/>
          <w:sz w:val="28"/>
          <w:szCs w:val="28"/>
          <w:rtl w:val="true"/>
          <w:lang w:bidi="ar-SA"/>
        </w:rPr>
        <w:t xml:space="preserve">». </w:t>
      </w:r>
      <w:bookmarkStart w:id="278" w:name="pg10178_83573"/>
    </w:p>
    <w:p>
      <w:pPr>
        <w:pStyle w:val="BookText"/>
        <w:rPr/>
      </w:pPr>
      <w:bookmarkEnd w:id="278"/>
      <w:r>
        <w:rPr>
          <w:rFonts w:ascii="Amiri" w:hAnsi="Amiri" w:eastAsia="Amiri" w:cs="Amiri"/>
          <w:color w:val="111111"/>
          <w:sz w:val="28"/>
          <w:sz w:val="28"/>
          <w:szCs w:val="28"/>
          <w:rtl w:val="true"/>
          <w:lang w:bidi="ar-SA"/>
        </w:rPr>
        <w:t>من المصلّي الواحد، أو مع منافاة التعجيل، أو مع القدرة على جعلها صلاة واحدة، وإلّا لم يكره كلّ ذلك قبل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الإمام في أثناء صلاته تابعه، فإذا فرغ أتمّ ما بقي عليه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غير دعاء بينها، هذا إذا خيف رفعها واختلال شرط من شرائطها، وإلّا أتى بوظيفة الدعاء أو بالممكن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 المأموم بتكبيرة أو مازاد، استحبّ له إعادتها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سبقه سهواً، أو ظنّاً أنّه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تعمّد استمرّ متأنّياً حتّى يلحقه الإمام، وتابع كاليوميّة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يصلّي على القبر يوماً وليلةً من لم يصلّ عليه، ثمّ لا يصلّى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الصلاة لمن لم يصلّ على الميّت مطلقاً من غير تحديد وإن كان الاقتصار على ميّت لم يصلّ عليه أصلاً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 على جنازة بعض الصلاة ثمّ حضرت أُخرى كان مخيّراً إن شاء استأنف الصلاة عليهما، وإن شاء أتمّ الأُولى على الأوّل واستأنف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انحصار تخيّره بين تأخير الثانية إلى أن يفرغ من الأُولى إن لم يخف عليها، وبين إدخالها حينئذٍ بالنيّة وتشريكهما في التكبير، وتخصيص كلّ واحدةٍ بذكرها مخيّراً في تقديم أيّهما شاء إلى أن يكمل الأُولى ثمّ يتمّ على الثانية، ولو خيف عليها بالتأخير تعيّن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قطع الصلاة أو استئنافها عليهما فليس بجيّد؛ لما فيه من إبطال العمل المنهيّ عنه من غير ضرورة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018530_1067777946"/>
      <w:bookmarkStart w:id="280" w:name="_Toc103"/>
      <w:bookmarkEnd w:id="279"/>
      <w:r>
        <w:rPr>
          <w:rtl w:val="true"/>
        </w:rPr>
        <w:t>[</w:t>
      </w:r>
      <w:r>
        <w:rPr>
          <w:rtl w:val="true"/>
        </w:rPr>
        <w:t>الفصل الخامس في الصلوات المرغّبات</w:t>
      </w:r>
      <w:r>
        <w:rPr>
          <w:rtl w:val="true"/>
        </w:rPr>
        <w:t>]</w:t>
      </w:r>
      <w:bookmarkEnd w:id="280"/>
    </w:p>
    <w:p>
      <w:pPr>
        <w:pStyle w:val="Heading5"/>
        <w:numPr>
          <w:ilvl w:val="4"/>
          <w:numId w:val="1"/>
        </w:numPr>
        <w:rPr/>
      </w:pPr>
      <w:bookmarkStart w:id="281" w:name="__RefHeading___Toc2018532_1067777946"/>
      <w:bookmarkStart w:id="282" w:name="_Toc104"/>
      <w:bookmarkEnd w:id="281"/>
      <w:r>
        <w:rPr>
          <w:rtl w:val="true"/>
        </w:rPr>
        <w:t>[</w:t>
      </w:r>
      <w:r>
        <w:rPr>
          <w:rtl w:val="true"/>
        </w:rPr>
        <w:t>صلاة الاستسقاء</w:t>
      </w:r>
      <w:r>
        <w:rPr>
          <w:rtl w:val="true"/>
        </w:rPr>
        <w:t>]</w:t>
      </w:r>
      <w:bookmarkEnd w:id="2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ويتخيّر من الأدعية ما تيسّر له، وإلّا فليقل ما نقل في أخبار أهل البيت علیهم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وجملة الشرط محذوفة مدلول </w:t>
      </w:r>
    </w:p>
    <w:p>
      <w:pPr>
        <w:pStyle w:val="BookText"/>
        <w:rPr/>
      </w:pPr>
      <w:r>
        <w:rPr>
          <w:rFonts w:ascii="IRNazanin" w:hAnsi="IRNazanin" w:eastAsia="IRNazanin"/>
          <w:color w:val="111111"/>
          <w:sz w:val="28"/>
          <w:sz w:val="28"/>
          <w:szCs w:val="28"/>
          <w:rtl w:val="true"/>
          <w:lang w:bidi="fa-IR"/>
        </w:rPr>
        <w:t xml:space="preserve">عليها بما سبق من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وتقديرها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يراد التخيير، بل يراد الأفضل، فليقل ما نقل عن أهل البيت علیهم السلام، وهذا معنى صحيح لا مزيّة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تيسّر له شيء فليقل المنقول، ويكون من باب القلب،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تيسّر المنقول فليقل ما 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والقلب باب حسن في أساليب كلام العرب يوجب له لطفاً وملاحة، وهو كثير في الكتاب والسنّة وعالي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ذلك الثالث الاثنين، فإن لم يتيسّر فالجمعة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الاثنين على الجمعة؛ لأنّه المنصوص نصّاً خصوصاً </w:t>
      </w:r>
      <w:r>
        <w:rPr>
          <w:rStyle w:val="FootnoteAnchor"/>
          <w:rtl w:val="true"/>
        </w:rPr>
        <w:footnoteReference w:id="80"/>
      </w:r>
      <w:r>
        <w:rPr>
          <w:rFonts w:ascii="Amiri" w:hAnsi="Amiri" w:eastAsia="Amiri" w:cs="Amiri"/>
          <w:color w:val="111111"/>
          <w:sz w:val="28"/>
          <w:sz w:val="28"/>
          <w:szCs w:val="28"/>
          <w:rtl w:val="true"/>
          <w:lang w:bidi="ar-SA"/>
        </w:rPr>
        <w:t>، وأمّا الجمعة فإنّما دخل عموماً لمزيد شرفه وإجابة 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يخرجوا إلى الصحراء حُفاة على سكينة 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ونعالهم بأيديهم، مطرقي رؤوسهم، في ثياب بذلتهم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ويفرّقوا بين الأطفال وأُمّهاتهم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استجلاباً لبكائِهم وخشوعِهم، وينبغي في ذلك مراعاة حفظ الأطفال الواجب، فيدفع كلّ طفل إلى غير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 الإمام من صلاته حوَّل رداءه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يجعل ما على المنكب الأيمن على الأيسر، وبالعكس؛ للتأسّي والتفاؤل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التحويل عند الفراغ من الصلاة،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الفراغ من الخطبة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بالجمع، والأولى عموم الاستحباب لغير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يتابعونه في كلّ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الذِكْرِ لا في الجهة، بل يستمرّون على الاستقبال</w:t>
      </w:r>
      <w:r>
        <w:rPr>
          <w:rFonts w:eastAsia="Amiri" w:cs="Amiri" w:ascii="Amiri" w:hAnsi="Amiri"/>
          <w:color w:val="111111"/>
          <w:sz w:val="28"/>
          <w:szCs w:val="28"/>
          <w:rtl w:val="true"/>
          <w:lang w:bidi="ar-SA"/>
        </w:rPr>
        <w:t xml:space="preserve">. </w:t>
      </w:r>
      <w:bookmarkStart w:id="283" w:name="pg10178_83575"/>
    </w:p>
    <w:p>
      <w:pPr>
        <w:pStyle w:val="Heading5"/>
        <w:numPr>
          <w:ilvl w:val="4"/>
          <w:numId w:val="1"/>
        </w:numPr>
        <w:rPr/>
      </w:pPr>
      <w:bookmarkStart w:id="284" w:name="__RefHeading___Toc2018534_1067777946"/>
      <w:bookmarkStart w:id="285" w:name="_Toc105"/>
      <w:bookmarkEnd w:id="283"/>
      <w:bookmarkEnd w:id="284"/>
      <w:r>
        <w:rPr>
          <w:rtl w:val="true"/>
        </w:rPr>
        <w:t>[</w:t>
      </w:r>
      <w:r>
        <w:rPr>
          <w:rtl w:val="true"/>
        </w:rPr>
        <w:t>نافلة شهر رمضان</w:t>
      </w:r>
      <w:r>
        <w:rPr>
          <w:rtl w:val="true"/>
        </w:rPr>
        <w:t>]</w:t>
      </w:r>
      <w:bookmarkEnd w:id="2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والأشهر في الروايات استحباب ألف ركعة في شهر رمضان زيادةً على النوافل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 كلّ ليلة عشرين ركعةً ثمان بعد المغرب واثنتي عشرة ركعة بعد العشاء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ويجوز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يقتصر في ليالي الأفراد على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ويصلّي في كلّ جمعة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يوم الجمعة وهو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آخر جمعة عشرين ركعة بصلاة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المرويّ ليلة آخر جمعة </w:t>
      </w:r>
      <w:r>
        <w:rPr>
          <w:rStyle w:val="FootnoteAnchor"/>
          <w:rtl w:val="true"/>
        </w:rPr>
        <w:footnoteReference w:id="82"/>
      </w:r>
      <w:r>
        <w:rPr>
          <w:rFonts w:ascii="Amiri" w:hAnsi="Amiri" w:eastAsia="Amiri" w:cs="Amiri"/>
          <w:color w:val="111111"/>
          <w:sz w:val="28"/>
          <w:sz w:val="28"/>
          <w:szCs w:val="28"/>
          <w:rtl w:val="true"/>
          <w:lang w:bidi="ar-SA"/>
        </w:rPr>
        <w:t>، وعليه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عشيّة تلك الجمعة 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ليلة السبت، ولو اتّفقت ليلة العيد جعلها ليلة آخر سبت من الشهر، هذا كلّه إذا اتّفق في الشهر أربع جمع كما هو الغالب، فلو اتّفق فيه خمس جمع تخيّر في إسقاط واحدة، وبسط العدد عليها كيف اتّفق بحيث لا يزيد في كلّ جمعة عمّا وظّف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أمير المؤمنين علیه السلام أربع ركعات بتشهّدين وتسليمين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وقت لهذه الصلاة مخصوصاً وإن كان الأفضل فعلها يوم الجمعة، وكذا صلاة فاطمة، ويجوز نسبة كلّ من الصلاتين إلى كلّ منهما علیهما السلام نيّة وحكماً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جعفر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إليه؛ لأنّه السبب في شرعيّتها، لما حباه بها النبيّ صلى الله عليه و آله و سلم حين قدومه من الحبشة، ولذلك سميّت صلاة الحبوة، وتُسمّى أيضاً صلاة التسبيح؛ لما تشتمل عليه من زيادة على غيرها</w:t>
      </w:r>
      <w:r>
        <w:rPr>
          <w:rFonts w:eastAsia="Amiri" w:cs="Amiri" w:ascii="Amiri" w:hAnsi="Amiri"/>
          <w:color w:val="111111"/>
          <w:sz w:val="28"/>
          <w:szCs w:val="28"/>
          <w:rtl w:val="true"/>
          <w:lang w:bidi="ar-SA"/>
        </w:rPr>
        <w:t xml:space="preserve">. </w:t>
      </w:r>
      <w:bookmarkStart w:id="286" w:name="pg10178_83576"/>
    </w:p>
    <w:p>
      <w:pPr>
        <w:pStyle w:val="Heading5"/>
        <w:numPr>
          <w:ilvl w:val="4"/>
          <w:numId w:val="1"/>
        </w:numPr>
        <w:rPr/>
      </w:pPr>
      <w:bookmarkStart w:id="287" w:name="__RefHeading___Toc2018536_1067777946"/>
      <w:bookmarkStart w:id="288" w:name="_Toc106"/>
      <w:bookmarkEnd w:id="286"/>
      <w:bookmarkEnd w:id="287"/>
      <w:r>
        <w:rPr>
          <w:rtl w:val="true"/>
        </w:rPr>
        <w:t>[</w:t>
      </w:r>
      <w:r>
        <w:rPr>
          <w:rtl w:val="true"/>
        </w:rPr>
        <w:t>خاتمة</w:t>
      </w:r>
      <w:r>
        <w:rPr>
          <w:rtl w:val="true"/>
        </w:rPr>
        <w:t>]</w:t>
      </w:r>
      <w:bookmarkEnd w:id="2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النوافل يجوز أن يصلّيها الإنسان قاعداً، وقائماً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الاستحباب عامّ لا يستثنى منه الوتيرة وإن لم يكن القيام فيها مؤكّداً تأكيده في غيرها، والسرّ فيه أنّ النافلة الراتبة ضعف الفريضة، وبدون الوتيرة تنقص عنه بركعة يفعلها جالساً يحصل المطلوب من العدد، وقائماً يحصل فضيلة ركعة زائدة على الراتبة فيكون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جعل كلّ ركعتين من جلوس مقام ركعة كان أفضل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أفضل من جعل كلّ ركعة من جلوس بركعة من قيام، وروي أنّه لو قام المتنفّل جالساً فركع قائماً أحرز فضل القائم </w:t>
      </w:r>
      <w:r>
        <w:rPr>
          <w:rStyle w:val="FootnoteAnchor"/>
          <w:rtl w:val="true"/>
        </w:rPr>
        <w:footnoteReference w:id="83"/>
      </w:r>
      <w:r>
        <w:rPr>
          <w:rFonts w:ascii="Amiri" w:hAnsi="Amiri" w:eastAsia="Amiri" w:cs="Amiri"/>
          <w:color w:val="111111"/>
          <w:sz w:val="28"/>
          <w:sz w:val="28"/>
          <w:szCs w:val="28"/>
          <w:rtl w:val="true"/>
          <w:lang w:bidi="ar-SA"/>
        </w:rPr>
        <w:t>، خصوصاً لو أبقى آية فركع بعد قراءتها قائماً</w:t>
      </w:r>
      <w:r>
        <w:rPr>
          <w:rFonts w:eastAsia="Amiri" w:cs="Amiri" w:ascii="Amiri" w:hAnsi="Amiri"/>
          <w:color w:val="111111"/>
          <w:sz w:val="28"/>
          <w:szCs w:val="28"/>
          <w:rtl w:val="true"/>
          <w:lang w:bidi="ar-SA"/>
        </w:rPr>
        <w:t xml:space="preserve">. </w:t>
      </w:r>
      <w:bookmarkStart w:id="289" w:name="pg10178_83577"/>
    </w:p>
    <w:p>
      <w:pPr>
        <w:pStyle w:val="Heading3"/>
        <w:numPr>
          <w:ilvl w:val="2"/>
          <w:numId w:val="1"/>
        </w:numPr>
        <w:rPr/>
      </w:pPr>
      <w:bookmarkStart w:id="290" w:name="__RefHeading___Toc2018538_1067777946"/>
      <w:bookmarkStart w:id="291" w:name="_Toc107"/>
      <w:bookmarkEnd w:id="289"/>
      <w:bookmarkEnd w:id="290"/>
      <w:r>
        <w:rPr>
          <w:rtl w:val="true"/>
        </w:rPr>
        <w:t>[</w:t>
      </w:r>
      <w:r>
        <w:rPr>
          <w:rtl w:val="true"/>
        </w:rPr>
        <w:t>الركن الرابع في التوابع</w:t>
      </w:r>
      <w:r>
        <w:rPr>
          <w:rtl w:val="true"/>
        </w:rPr>
        <w:t>]</w:t>
      </w:r>
      <w:bookmarkEnd w:id="291"/>
    </w:p>
    <w:p>
      <w:pPr>
        <w:pStyle w:val="Heading4"/>
        <w:numPr>
          <w:ilvl w:val="3"/>
          <w:numId w:val="1"/>
        </w:numPr>
        <w:rPr/>
      </w:pPr>
      <w:bookmarkStart w:id="292" w:name="__RefHeading___Toc2018540_1067777946"/>
      <w:bookmarkStart w:id="293" w:name="_Toc108"/>
      <w:bookmarkEnd w:id="292"/>
      <w:r>
        <w:rPr>
          <w:rtl w:val="true"/>
        </w:rPr>
        <w:t>[</w:t>
      </w:r>
      <w:r>
        <w:rPr>
          <w:rtl w:val="true"/>
        </w:rPr>
        <w:t>الفصل الأوّل في الخلل الواقع في الصلاة</w:t>
      </w:r>
      <w:r>
        <w:rPr>
          <w:rtl w:val="true"/>
        </w:rPr>
        <w:t>]</w:t>
      </w:r>
      <w:bookmarkEnd w:id="293"/>
    </w:p>
    <w:p>
      <w:pPr>
        <w:pStyle w:val="Heading5"/>
        <w:numPr>
          <w:ilvl w:val="4"/>
          <w:numId w:val="1"/>
        </w:numPr>
        <w:rPr/>
      </w:pPr>
      <w:bookmarkStart w:id="294" w:name="__RefHeading___Toc2018542_1067777946"/>
      <w:bookmarkStart w:id="295" w:name="_Toc109"/>
      <w:bookmarkEnd w:id="294"/>
      <w:r>
        <w:rPr>
          <w:rtl w:val="true"/>
        </w:rPr>
        <w:t>[</w:t>
      </w:r>
      <w:r>
        <w:rPr>
          <w:rtl w:val="true"/>
        </w:rPr>
        <w:t>الخلل عن عمد</w:t>
      </w:r>
      <w:r>
        <w:rPr>
          <w:rtl w:val="true"/>
        </w:rPr>
        <w:t>]</w:t>
      </w:r>
      <w:bookmarkEnd w:id="2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العمد فمن أخلّ بشيء من واجبات الصلاة عامداً فقد أبطل صلاته، شرطاً كان ما أخلّ به أو جزءاً، أو كيفيّة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الترك من جملة أفراد الواجب في الصلاة على وجه المجاز من حيث وجوب تركه، فهو واجب في الجملة من هذه الحيثيّة، ويتحقّق الإخلال بواجبه بأن يفعله فيها، وهو تجوّز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لو فعل ما يجب تركه، أو ترك ما يجب فعله جهلاً بوجوبه إلّا الجهر والإخفات في مواضعهما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القسم داخل في السابق، فإنّه من جملة الإخلال بشيء من واجبات الصلاة عمداً، فإنّ الجاهل عامد، فهو تخصيص بعد التعميم؛ ليترتّب عليه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مستثنيان من الواجبات المتروكة جهلاً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جهل غصبيّة الثوب الذي يصلّي فيه، أو المكان، أو نجاسة الثوب، أو البدن، أو موضع السجود، فلا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إعادة جاهل النجاسة في الوقت</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018544_1067777946"/>
      <w:bookmarkStart w:id="297" w:name="_Toc110"/>
      <w:bookmarkEnd w:id="296"/>
      <w:r>
        <w:rPr>
          <w:rtl w:val="true"/>
        </w:rPr>
        <w:t>[</w:t>
      </w:r>
      <w:r>
        <w:rPr>
          <w:rtl w:val="true"/>
        </w:rPr>
        <w:t>فروع</w:t>
      </w:r>
      <w:r>
        <w:rPr>
          <w:rtl w:val="true"/>
        </w:rPr>
        <w:t>:]</w:t>
      </w:r>
      <w:bookmarkEnd w:id="29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يعلم أنّ الجلد ميتة فصلّى فيه ثمّ علم لم يُعد إذا كان في يد مسلم، أو شراه من سوق المسلمين</w:t>
      </w:r>
      <w:r>
        <w:rPr>
          <w:rFonts w:eastAsia="Amiri" w:cs="Amiri" w:ascii="Amiri" w:hAnsi="Amiri"/>
          <w:color w:val="111111"/>
          <w:sz w:val="28"/>
          <w:szCs w:val="28"/>
          <w:rtl w:val="true"/>
          <w:lang w:bidi="ar-SA"/>
        </w:rPr>
        <w:t xml:space="preserve">». </w:t>
      </w:r>
      <w:bookmarkStart w:id="298" w:name="pg10178_83578"/>
    </w:p>
    <w:p>
      <w:pPr>
        <w:pStyle w:val="BookText"/>
        <w:rPr/>
      </w:pPr>
      <w:bookmarkEnd w:id="298"/>
      <w:r>
        <w:rPr>
          <w:rFonts w:ascii="Amiri" w:hAnsi="Amiri" w:eastAsia="Amiri" w:cs="Amiri"/>
          <w:color w:val="111111"/>
          <w:sz w:val="28"/>
          <w:sz w:val="28"/>
          <w:szCs w:val="28"/>
          <w:rtl w:val="true"/>
          <w:lang w:bidi="ar-SA"/>
        </w:rPr>
        <w:t>أي من مسلم معلوم الإسلام، وأمّا شراؤه من سوق المسلمين فيكفي فيه عدم العلم بكفر ذي اليد وإن لم يعلم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أغلب أهله مسلمين وإن كان حاكمهم كافراً، ومع التساوي أو أغلبيّة الكفّار فهو سوق كفر لا يحلّ فيه ما يفتقر إلى التذكية إلّا ما أُخذ من يد معلوم الإسلام، ولا يعتبر في تحقّق سوق الإسلام وضدّه أغلبيّة الحكّام ولا نفوذ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يعلم أنّه من جنس ما يصلّى فيه، وصلّى،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ما تتمّ الصلاة فيه منفرداً وغيره كالخاتم المتّخذ من عظم ما لا يعلم أصله</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018546_1067777946"/>
      <w:bookmarkStart w:id="300" w:name="_Toc111"/>
      <w:bookmarkEnd w:id="299"/>
      <w:r>
        <w:rPr>
          <w:rtl w:val="true"/>
        </w:rPr>
        <w:t>[</w:t>
      </w:r>
      <w:r>
        <w:rPr>
          <w:rtl w:val="true"/>
        </w:rPr>
        <w:t>الخلل عن سهو</w:t>
      </w:r>
      <w:r>
        <w:rPr>
          <w:rtl w:val="true"/>
        </w:rPr>
        <w:t>]</w:t>
      </w:r>
      <w:bookmarkEnd w:id="3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أخلّ برُكنٍ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إخلالاً لا يتدارك على وجهه، لا مطلق الإخلال كما ينبّه عليه بالفروع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الزائد ويأتي بالفائت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زاد في الصلاة ركعة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تبطل بزيادة ركعة سهواً إذا لم يكن جلس آخرها بقدر التشهّد، وإلّا صحّت، وكذا القول في زيادة أكثر من ركعة، ويتخيّر حينئذٍ بين هدم الزائد، وإكماله ركعتين وجعلهما نافلة إن لم تبلغهما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الزيادة قبل الركوع هدم الركعة وسلّم، وبعد الركوع الأقوى إلحاقه بزيادة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الركوع فركع، ثمّ ذكر أنّه كان قد ركع، أرسل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نقص</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نقص ركعة، أمّا لو نقص ركوعاً أو سجدتين بطلت مطلقاً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يبطلها عمداً لا سهواً كالكلام، فيه تردّد، والأشبه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ترك التسليم ثمّ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كون المشبّه به الحكم بالصحّة المتّصل به لا التفصيل بتمامه؛ لأنّ التسليم غير ركن، فلا تبطل الصلاة بتركه نسياناً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سجدتين ولم يدر أهما من ركعتين أو ركعة؟ رجّحنا جانب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إعادة الصلاة؛ لاحتمال كونها من ركعة واحدة، والعمل بالاحتياط هنا متعيّن عند المصنِّف والجماعة، مع احتمال صحّة الصلاة؛ عملاً بأصالتها مع الشكّ في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كانتا من ركعتين ولم يدرِ أيّتهما هي؟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لا إعادة، وعليه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نسي القراءة، أو الجهر، أو الإخفات في موضعه، أو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قراءة السورة حتّى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كون الركوع غاية لعدم التدارك في الجميع، وهو كذلك في غير الجهر والإخفات، أمّا فيهما فالأقوى عدم العود إليهما وإن لم يركع، والمراد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حدّه وإن لم يطمئنّ أو يسبّح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السجود على الأعضاء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الجبهة، فإنّ نسيان السجود عليها إذا اتّفق في السجدتين موجب للإعادة في محلّه مطلقاً؛ لعدم تحقّق السجدة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السجود على الأعضاء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الجبهة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نسي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قرأ سورةً استأنف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 السورة؛ للتنبّه على أنّه لا يتعيّن عليه قراءة السورة السابقة، ولو عرّفها لأفهم إعادة ما قرأه سهواً وليس بمتعيّن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نسي الركوع وذكر قبل أن يسجد قامَ فركع ثمّ سجد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نسي الركوع قائماً بحيث هوى ابتداءً بنيّة السجود، أمّا لو هوى للركوع ثمّ </w:t>
      </w:r>
      <w:bookmarkStart w:id="301" w:name="pg10178_83580"/>
    </w:p>
    <w:p>
      <w:pPr>
        <w:pStyle w:val="BookText"/>
        <w:rPr/>
      </w:pPr>
      <w:bookmarkEnd w:id="301"/>
      <w:r>
        <w:rPr>
          <w:rFonts w:ascii="Amiri" w:hAnsi="Amiri" w:eastAsia="Amiri" w:cs="Amiri"/>
          <w:color w:val="111111"/>
          <w:sz w:val="28"/>
          <w:sz w:val="28"/>
          <w:szCs w:val="28"/>
          <w:rtl w:val="true"/>
          <w:lang w:bidi="ar-SA"/>
        </w:rPr>
        <w:t>نسيه قبل تحقّقه لم يجب القيام قبله، بل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يقوم منحنياً إلى حدّ الراكع، أو إلى محلّ حصل عنده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من ترك السجدتين أو إحداهما، أو التشهّد وذكر قبل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هنا الجلوس قبل السجدة المنسيّة إن لم يكن جلس بعد قيامه من السجدة ولو بقرينة الفصل بين السجدتين، ولو شكّ في الجلوس بنى على الأصل وهو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في هذين الموضعين سجدتا السهو،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018548_1067777946"/>
      <w:bookmarkStart w:id="303" w:name="_Toc112"/>
      <w:bookmarkEnd w:id="302"/>
      <w:r>
        <w:rPr>
          <w:rtl w:val="true"/>
        </w:rPr>
        <w:t>[</w:t>
      </w:r>
      <w:r>
        <w:rPr>
          <w:rtl w:val="true"/>
        </w:rPr>
        <w:t>الخلل عن شكّ</w:t>
      </w:r>
      <w:r>
        <w:rPr>
          <w:rtl w:val="true"/>
        </w:rPr>
        <w:t>]</w:t>
      </w:r>
      <w:bookmarkEnd w:id="3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عدد الواجبة الثنائيّة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 الشاكّ يجب عليه عند عروض الشكّ التروّي، فإن غلب ظنّه على شيء بنى عليه مطلقاً، وإن تساوى الاحتمالان فذلك حكم الشكّ الذي تترتّب عليه هذه الأحكام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في شيء من أفعال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موضعه أتى به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القراءة القيام وما بعده إلى أن يصير في حدّ الراكع، وكذا موضع الركوع إلى أن يصير ساجداً، والسجود والتشهّد إلى أن يصير قائماً، ولا يكفي الشروع فيه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انتقل مضى في صلاته، سواء كان ذلك الفعل ركناً أو غيره، وسواء كان في الأُوليين أو الأخيرتين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تحقّق نيّة الصلاة وشكّ هل نوى ظهراً أو عصراً مثلاً، أو فرضاً أو نفلاً استأنف</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يدرِ ما قام إليه، وإلّا بنى عليه؛ عملاً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مع وجوبهما عليه مرتّبتين يكفيه نيّة أنّه في الظهر؛ لأنّها إن كانت المنويّة فهي فرضه، وإلّا فالعدول إليها جائز حيث وقعت نيّة ما بعدها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الشكّ بعد الفراغ ولم يعلم ما قام إليه، </w:t>
      </w:r>
    </w:p>
    <w:p>
      <w:pPr>
        <w:pStyle w:val="BookText"/>
        <w:rPr/>
      </w:pPr>
      <w:r>
        <w:rPr>
          <w:rFonts w:ascii="Amiri" w:hAnsi="Amiri" w:eastAsia="Amiri" w:cs="Amiri"/>
          <w:color w:val="111111"/>
          <w:sz w:val="28"/>
          <w:sz w:val="28"/>
          <w:szCs w:val="28"/>
          <w:rtl w:val="true"/>
          <w:lang w:bidi="ar-SA"/>
        </w:rPr>
        <w:t>كفاه صلاة عدد يطابق المشتبهتين مردّداً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بين الاثنتين والثلاث بنى على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وقع الشكّ بعد إكمال السجدتين، ويتحقّق بالفراغ من ذكر السجدة الثانية من الركعة الثانية ليحرز الأُوليين، وكذا كلّ شكّ يتعلّق بالثانية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 بين الثلاث والأربع بنی على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 في هذه الصورة يصحّ حيث وقع؛ لإحرازه الأُوليين والسلامة من محذور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بين الاثنتين والأربع بنى على الأربع ثمّ أتى بركعتين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تجزئه هنا الصلاة من جلوس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شكّ بين الاثنتين والثلاث والأربع بنى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بركعتين من قيام، وركعتين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مقدِّماً لركعتي القيام كما ذكر، ولا يجزئ بدل الركعتين من جلوس ركعة من قيام على الأقوى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غلب على ظنّه أحد طرفي ما شكّ فيه بنى على الظنّ وكان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وقع الظنّ ابتداءً أو بعد التروّي، بخلاف الشكّ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البناء على المظنون تنزيله منزلة الواقع، وترتيب الحكم عليه من صحّة وبطلان وزيادة ونقصان، حتّى لو كان الشكّ بين الأربع والخمس فغلب ظنّه على الأربع فلا سجود، أو على الخمس فكما لو زاد ركعة آخرها، وكذا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يتعيّن في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 ما يبطل الصلاة قبل الاحتياط،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وإن أثم مع فعله اختياراً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سها في سهوٍ لم يلتفت وبنى على صلاته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سها في موجب السهو أو شكّ فيه، بأن يسهو في سجدتي السهو عمّا لا يتلافى بعده كالذكر والطمأنينة ممّا يوجب السجود في غيره، فلا يجب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سها عن ذلك في صلاة الاحتياط، أو شكّ في فعل أو عدد فيهما في محلّه، فإنّه يبني على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سها عن فعل وذكرَ في محلّه أتى به، أو بعده ممّا يوجب التلافي بعده كالسجدة والتشهّد أتى به من غير سجود للسهو، ولو استلزم البناء على فعله زيادة في الواجب بنی على المصححّ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على الإمام إذا حفظ عليه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يرجع إلى حفظ مَن خلفه لو عرض له شكّ في فعل أو عدد، سواء كان عدلاً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يرجع مع الشكّ إلى ظنّ المأموم، ومع الظنّ إلى نفسه،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الشكّ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اتّفقا فيه لزمهما حكمه، وإن اختلفا وجمعتهما رابطة رجعا إليها، كمالو شكّ أحدهما بين الاثنتين والثلاث والآخر بين الثلاث والأربع، فيرجعان إلى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تجمعهما رابطة تعيّن الانفراد ولزم كلّ منهما شكّه كما لو شكّ أحدهما كذلك والآخر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الرابطة شكّاً، رجعا إليها ولزمهما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المأموم واختصّ الحفظ ببعضهم، رجع إليه الإمام، ورجع الباقون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حكم للسهو مع كثرته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عدم ترتّب حكمه لو لا الكثرة معها، فلا تجب سجدتا السهو لو فعل ما يقتضيها لولاها، ولا يلتفت لو شكّ في فعل وإن كان في محلّه، بل يبني على وقوعه، ويبنى على الأكثر لو شكّ في عدد الركعات، إلّا أن يستلزم الزيادة فيبني على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سها عن ركن مبطل بطلت، أو عن فعل يتلافى مع السجود تلافاه من غیر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في الكثرة إلى العرف، ويزول الحكم بخلوّ السهو من فرائض يتحقّق فيها كثرته أيضاً، وهكذا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 الكثرة إلى ما يسمّى في العادة كثيراً،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يسهو ثلاثاً في </w:t>
      </w:r>
      <w:bookmarkStart w:id="304" w:name="pg10178_83583"/>
    </w:p>
    <w:p>
      <w:pPr>
        <w:pStyle w:val="BookText"/>
        <w:rPr/>
      </w:pPr>
      <w:bookmarkEnd w:id="304"/>
      <w:r>
        <w:rPr>
          <w:rFonts w:ascii="Amiri" w:hAnsi="Amiri" w:eastAsia="Amiri" w:cs="Amiri"/>
          <w:color w:val="111111"/>
          <w:sz w:val="28"/>
          <w:sz w:val="28"/>
          <w:szCs w:val="28"/>
          <w:rtl w:val="true"/>
          <w:lang w:bidi="ar-SA"/>
        </w:rPr>
        <w:t>فريضة،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مرّة في ثلاثة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تحقّقه بكلّ واحد منهما؛ لدلالة العرف عليه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018550_1067777946"/>
      <w:bookmarkStart w:id="306" w:name="_Toc113"/>
      <w:bookmarkEnd w:id="305"/>
      <w:r>
        <w:rPr>
          <w:rtl w:val="true"/>
        </w:rPr>
        <w:t>[</w:t>
      </w:r>
      <w:r>
        <w:rPr>
          <w:rtl w:val="true"/>
        </w:rPr>
        <w:t>في سجدتي السهو</w:t>
      </w:r>
      <w:r>
        <w:rPr>
          <w:rtl w:val="true"/>
        </w:rPr>
        <w:t>]</w:t>
      </w:r>
      <w:bookmarkEnd w:id="3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واجبتان حيث ذكرنا، وفي من تكلّم ساهياً،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زيادة و نقيصة إذا لم يكن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وموضعها بعد التسليم للزيادة والنقصان،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فيهما الذكر؟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وجب هل يتعيّن بلفظٍ؟ الأشبه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تعيين مارواه الحلبي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وصلّى الله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بحذف حرف العطف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يجزئ غيرها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018552_1067777946"/>
      <w:bookmarkStart w:id="308" w:name="_Toc114"/>
      <w:bookmarkEnd w:id="307"/>
      <w:r>
        <w:rPr>
          <w:rtl w:val="true"/>
        </w:rPr>
        <w:t>[</w:t>
      </w:r>
      <w:r>
        <w:rPr>
          <w:rtl w:val="true"/>
        </w:rPr>
        <w:t>الفصل الثاني في قضاء الصلوات</w:t>
      </w:r>
      <w:r>
        <w:rPr>
          <w:rtl w:val="true"/>
        </w:rPr>
        <w:t>]</w:t>
      </w:r>
      <w:bookmarkEnd w:id="308"/>
    </w:p>
    <w:p>
      <w:pPr>
        <w:pStyle w:val="Heading5"/>
        <w:numPr>
          <w:ilvl w:val="4"/>
          <w:numId w:val="1"/>
        </w:numPr>
        <w:rPr/>
      </w:pPr>
      <w:bookmarkStart w:id="309" w:name="__RefHeading___Toc2018554_1067777946"/>
      <w:bookmarkStart w:id="310" w:name="_Toc115"/>
      <w:bookmarkEnd w:id="309"/>
      <w:r>
        <w:rPr>
          <w:rtl w:val="true"/>
        </w:rPr>
        <w:t>[</w:t>
      </w:r>
      <w:r>
        <w:rPr>
          <w:rtl w:val="true"/>
        </w:rPr>
        <w:t>سبب القضاء</w:t>
      </w:r>
      <w:r>
        <w:rPr>
          <w:rtl w:val="true"/>
        </w:rPr>
        <w:t>]</w:t>
      </w:r>
      <w:bookmarkEnd w:id="3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السبب فمنه ما يسقط معه القضاء وهو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والجنون، والإغماء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والحيض والنفاس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عروضهما بسبب من الله ومنهما، بخلاف الإغماء</w:t>
      </w:r>
      <w:r>
        <w:rPr>
          <w:rFonts w:eastAsia="Amiri" w:cs="Amiri" w:ascii="Amiri" w:hAnsi="Amiri"/>
          <w:color w:val="111111"/>
          <w:sz w:val="28"/>
          <w:szCs w:val="28"/>
          <w:rtl w:val="true"/>
          <w:lang w:bidi="ar-SA"/>
        </w:rPr>
        <w:t xml:space="preserve">. </w:t>
      </w:r>
      <w:bookmarkStart w:id="311" w:name="pg10178_83584"/>
    </w:p>
    <w:p>
      <w:pPr>
        <w:pStyle w:val="BookText"/>
        <w:rPr/>
      </w:pPr>
      <w:bookmarkEnd w:id="31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وعدم التمكّن من فعل ما يستبيح به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عداه يجب معه القضاء كالإخلال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النوم وإن استوعب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يخرج عن العادة حدّاً فيلحق بالإغماء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أكل غذاءً مؤذياً فآل إلى الإغماء لم يقض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جهله بكونه مؤذياً، أو اضطراره إليه، أو إكراهه عليه، وإلّا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ارتدّ المسلم أو أسلم الكافر ثمّ كفر، وجب عليه القضاء زمان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الفطري والملّي؛ لقبول توبة الفطري باطناً على الأقوى فيمكنه القضاء، ولو قتل قبله بقي في ذمّته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018556_1067777946"/>
      <w:bookmarkStart w:id="313" w:name="_Toc116"/>
      <w:bookmarkEnd w:id="312"/>
      <w:r>
        <w:rPr>
          <w:rtl w:val="true"/>
        </w:rPr>
        <w:t>[</w:t>
      </w:r>
      <w:r>
        <w:rPr>
          <w:rtl w:val="true"/>
        </w:rPr>
        <w:t>حكم القضاء</w:t>
      </w:r>
      <w:r>
        <w:rPr>
          <w:rtl w:val="true"/>
        </w:rPr>
        <w:t>]</w:t>
      </w:r>
      <w:bookmarkEnd w:id="3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فاتت لمرض لا يزيل العقل لم يتأكّد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يتصدّق عن كلّ ركعتين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عجز فعن كلّ أربع، فإن عجز فمدّ لصلاة الليل ومدّ لصلاة النهار، فإن عجز فعن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قضاء الفائتة وقت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بالفائتة هنا المتّحدة، فإنّ مذهبه وجوب تقديمها على الحاضرة مع السعة مطلقاً، والأقوى أنّها كغيرها في سعة وقت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قضاء الفائتة وقت الذكر،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السابقة على اللاحقة، كالظهر على العصر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 السابقة من الفوائت يجب تقديمها في القضاء على اللاحقة منها، فإذا فاته ظهر وعصر وجب تقديم الظهر في القضاء على العصر،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من الترتيب أنّ المرتّب متأخّر عن المرتّب عليه، خلاف ما يظهر من العبارة، وحينئذٍ فيحتاج في </w:t>
      </w:r>
      <w:bookmarkStart w:id="314" w:name="pg10178_83585"/>
    </w:p>
    <w:p>
      <w:pPr>
        <w:pStyle w:val="BookText"/>
        <w:rPr/>
      </w:pPr>
      <w:bookmarkEnd w:id="314"/>
      <w:r>
        <w:rPr>
          <w:rFonts w:ascii="Amiri" w:hAnsi="Amiri" w:eastAsia="Amiri" w:cs="Amiri"/>
          <w:color w:val="111111"/>
          <w:sz w:val="28"/>
          <w:sz w:val="28"/>
          <w:szCs w:val="28"/>
          <w:rtl w:val="true"/>
          <w:lang w:bidi="ar-SA"/>
        </w:rPr>
        <w:t>تحصيل المراد من العبارة إلى تكلّف يتضمّن الترتّب معنى التقدّم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فاتته صلوات لم تترتّب على الحاضرة،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ترتّبها عليها مطلقاً، نعم يستحبّ تعجيل القضاء مع سعة وقت الحاضرة وتقديمها عليها، والعدول منها إليها لو شرع فيها ناسياً، ولا فرق بین فائتة يومها وغيرها، ولا بين المتّحدة والمتعدّدة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عليه صلاة فنسيها وصلّى الحاضرة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في أثنائها عدل إلى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وجوباً عند موجب تقديم الفائتة، واستحباباً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العدول مع تساوي الصلاتين عدداً، أو عدم تجاوز محلّه بأن لا يركع في ركعة تزيد مع ما قبلها على عدد المعدول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العدول أن ينوي بقلبه نيّة الانتقال ممّا هو فيها إلى السابقة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الحاضرة مع الذكر أعاد بناءً على وجوب تقديم الفائتة، وإلّا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دخل في نافلة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فريضةً استأنف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جواز النافلة لمن عليه فريضة، والأقوى الجواز ما لم يضرّبها، وعلى القولين لا يجوز العدول منها إليها مطلقاً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018558_1067777946"/>
      <w:bookmarkStart w:id="316" w:name="_Toc117"/>
      <w:bookmarkEnd w:id="315"/>
      <w:r>
        <w:rPr>
          <w:rtl w:val="true"/>
        </w:rPr>
        <w:t>[</w:t>
      </w:r>
      <w:r>
        <w:rPr>
          <w:rtl w:val="true"/>
        </w:rPr>
        <w:t>مسائل</w:t>
      </w:r>
      <w:r>
        <w:rPr>
          <w:rtl w:val="true"/>
        </w:rPr>
        <w:t>:]</w:t>
      </w:r>
      <w:bookmarkEnd w:id="3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من الخمس غير معيّنة قضى صبحاً ومغرباً وأربعاً عن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ترتيب بينها، ويتخيّر في الرباعيّة بين الجهر والإخفات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يوم، والأوّل مرويّ،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فاتته من ذلك مرّات لا يعلمها قضى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فاتته فريضة مجهولة من الخَمس متعدّدة مجهولة العدد، كرّر القضاء كما ذكر إلى أن يظنّ الوفاء، كما يجب تكرار قضاء كلّ ما لا يعلم عدده، والأقوى اعتبار العلم </w:t>
      </w:r>
      <w:bookmarkStart w:id="317" w:name="pg10178_83586"/>
    </w:p>
    <w:p>
      <w:pPr>
        <w:pStyle w:val="BookText"/>
        <w:rPr/>
      </w:pPr>
      <w:bookmarkEnd w:id="317"/>
      <w:r>
        <w:rPr>
          <w:rFonts w:ascii="Amiri" w:hAnsi="Amiri" w:eastAsia="Amiri" w:cs="Amiri"/>
          <w:color w:val="111111"/>
          <w:sz w:val="28"/>
          <w:sz w:val="28"/>
          <w:szCs w:val="28"/>
          <w:rtl w:val="true"/>
          <w:lang w:bidi="ar-SA"/>
        </w:rPr>
        <w:t>بدخول ما في ذمّته فيما فعله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مستحلّاً قُتل إن كان وُلِد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ذكراً، أمّا المرأة فلا تُقتل بل تُحبس وتُضرب أوقات الصلاة إلى أن تتوب أو تموت كما لو ارتدّت بغير ترك الصلاة، والأجود إلحاق الخنثى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ترك الصلاة ترك شرط مُجمع عليه عُلم ثبوته ضرورة كالطهارة أو جزء كالركوع، دون المختلف فيه كالفاتحة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 ثالثةً قُتل،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الرابعة، 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018560_1067777946"/>
      <w:bookmarkStart w:id="319" w:name="_Toc118"/>
      <w:bookmarkEnd w:id="318"/>
      <w:r>
        <w:rPr>
          <w:rtl w:val="true"/>
        </w:rPr>
        <w:t>[</w:t>
      </w:r>
      <w:r>
        <w:rPr>
          <w:rtl w:val="true"/>
        </w:rPr>
        <w:t>الفصل الثالث في صلاة الجماعة</w:t>
      </w:r>
      <w:r>
        <w:rPr>
          <w:rtl w:val="true"/>
        </w:rPr>
        <w:t>]</w:t>
      </w:r>
      <w:bookmarkEnd w:id="319"/>
    </w:p>
    <w:p>
      <w:pPr>
        <w:pStyle w:val="Heading5"/>
        <w:numPr>
          <w:ilvl w:val="4"/>
          <w:numId w:val="1"/>
        </w:numPr>
        <w:rPr/>
      </w:pPr>
      <w:bookmarkStart w:id="320" w:name="__RefHeading___Toc2018562_1067777946"/>
      <w:bookmarkStart w:id="321" w:name="_Toc119"/>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وتدرك صلاة الجماعة بإدراك الركوع، وبإدراك الإمام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اجتماعه معه في حدّ الراكع وإن لم يدرك الذكر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مع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يمنعها في جميع الصلاة، فلو شاهده في بعضها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الحائل المانع كونه جسماً غير مأموم، ولا فرق بين الأعمى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المأموم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رجل، ويشترط مع ذلك علمها بانتقالات الإمام إلى الركوع والسجود ومنهما؛ لتتحقّق المتابعة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كالرجل إذا كان مأموماً، وكالمرأة إذا كان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تنعقد والإمام أعلى من المأموم، بما يعتدّ به كالأبنية،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الأشهر، والمرجع في الاعتداد إلى العرف، وقدّر بما لا يتخطّى عادة، وهو قريب منه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يقف على علوّ من أرض منحدرة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مساواة موضع مساجد كلّ منهما بالنسبة إليه، أو ما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المأموم على بناءٍ عالٍ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أدائه إلى البعد المفرط عادةً، ولا عبرة بتقدير البناء واقعاً في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تباعد المأموم عن الإمام بما يكون كثيراً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ذلك بين صفوف المؤتمّين أيضاً، فتبطل صلاة الصفّ المتباعد بذلك ومَن خلفه، وإنّما يُغتفر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بين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الصفوف المتّصلة إذا لم يؤدّ إلى تخلّف المتأخّر عن الإمام بما يخرج عن اسم القدوة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يقرأ المأموم خلف الإمام إلّا إذا كانت الصلاة جهريّةً ثمّ لا يسمع ولا همهمة،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الحمد فيما لا يجهر فيه،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وحينئذٍ فيقرأ الفاتحة وحدها سرّاً، ولو سبّح جاز مطلقاً ما لم يمنعه عن سماع القراءة فيكره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الإمام ممّن لا يُقتدى به وجبت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مخالفاً، فصلّى معه تقيّة، وحينئذٍ فتجب عليه القراءة لنفسه، وإنّما يتابعه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فرغ من القراءة معه فذاك، وإن سبقه بقي ذاكراً مسبّحاً إلى أن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سبقه الإمام، فإن كان قد أكمل الفاتحة اجتزأ بها وركع معه، وإن لم يكملها استمرّ قارئاً إلى أن يبلغ حدّ الراكع ويسقط عنه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متابعة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لا يسبقه بالأفعال، بل إمّا أن يقارنه، أو يتأخّر عنه وهو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المتابعة في الأقوال على الأقوى، نعم يستحبّ مع سماعها منه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منها تكبيرة الإحرام، فلا يكبّر حتّى يكبّر الإمام وجوباً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رفع المأموم رأسه عامداً استمرّ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قائماً على حالته إلى أن يلحقه الإمام، ولا يجوز له الرجوع إليه، فلو رجع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ناسياً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وجوباً على الأقوى، ولو لم يعد لم تبطل وإن أثم، والظانّ كالناسي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يقف المأموم قدّام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التقدّم عليه بتقدّم عقبه على عقبه وأصابعه على أصابعه قائماً وراكعاً، والمعتبر في حال الجلوس بمؤخّر بدنه كالألية، ومضطجعاً بالجنب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اثنان فقال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إماماً صحّت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ذلك بعد تمام الصلاة، أمّا في الأثناء؛ فإن كان قبل القراءة تعيّن الانفراد، وبعد الركوع تبطل الصلاة حيث تبطل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يأتمّ المفترض بالمفترض وإن اختلف الفرضان، والمتنفّل بالمفترض، والمتنفّل والمفترض بالمتنفّل في أماكن،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اختصاصه بأماكن خاصّة كما في الصور الثلاث، فموضع اقتداء المتنفّل بالمفترض ما لو كان الإمام مبتدئاً للصلاة والمأموم مُعيداً، وبالعكس في العكس، والمتنفّلين في المعيدين، وفي صلاة العيد المندوبة والاستسقاء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يقف المأموم عن يمين الإمام إن كان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مؤتمّة بمثلها، والخنثى هنا كالمرأة المقتدية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وخلفه إن كانوا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هنا ما فوق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إمامها رجلاً أو خنثى، وإلّا وقفت عن اليمين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العاري بالعراة جلس وجلسوا في سمته، لا يبرز إلّا بركبتيه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عدم أمن المطّلع ولو منهم، فلو كانوا في ظلمة مانعة منها، أو فاقدي البصر </w:t>
      </w:r>
      <w:bookmarkStart w:id="322" w:name="pg10178_83589"/>
    </w:p>
    <w:p>
      <w:pPr>
        <w:pStyle w:val="BookText"/>
        <w:rPr/>
      </w:pPr>
      <w:bookmarkEnd w:id="322"/>
      <w:r>
        <w:rPr>
          <w:rFonts w:ascii="Amiri" w:hAnsi="Amiri" w:eastAsia="Amiri" w:cs="Amiri"/>
          <w:color w:val="111111"/>
          <w:sz w:val="28"/>
          <w:sz w:val="28"/>
          <w:szCs w:val="28"/>
          <w:rtl w:val="true"/>
          <w:lang w:bidi="ar-SA"/>
        </w:rPr>
        <w:t>وأمنوا اطّلاع غيرهم، صلّوا قياماً مومئين للركوع والسجود كالعاري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يعيد المنفرد صلاته إذا وجد من يصلّي تلك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لمن صلّى جماعة إذا وجد جماعة أُخرى وإن لم تكن أكمل إماماً ومأموماً، ويتراسل الاستحباب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تمكين الصبيان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يكره لغير أهله مع وجودهم، كما يكره لهم التأخّر، ولو لم يكملوا الصفّ جاز لغيرهم إكماله من غير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يقف المأموم وحده، إلّا أن تمتلئ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الذكر والأُنثى مع كون الإمام مماثلاً، فلا يكره للأُنثى إذا لم يكن معها مثلها، وكذا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القيام إلى الصلاة إذا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018564_1067777946"/>
      <w:bookmarkStart w:id="324" w:name="_Toc120"/>
      <w:bookmarkEnd w:id="323"/>
      <w:r>
        <w:rPr>
          <w:rtl w:val="true"/>
        </w:rPr>
        <w:t>[</w:t>
      </w:r>
      <w:r>
        <w:rPr>
          <w:rtl w:val="true"/>
        </w:rPr>
        <w:t>إمام الجماعة</w:t>
      </w:r>
      <w:r>
        <w:rPr>
          <w:rtl w:val="true"/>
        </w:rPr>
        <w:t>]</w:t>
      </w:r>
      <w:bookmarkEnd w:id="3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الإمام الإيمان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والبلوغ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إلّا أن يؤمّ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يكون قاعداً بقائمٍ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ذي مرتبة دنياً بمن هو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أُمّياً بمن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قراءة مجموع الفاتحة وسورة، وبغيره مَن يحسنهما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في الأُمّية جاز اقتداء أحدهما بالآخر مع اشتراكهما في شخص مجهول، وضيق الوقت عن التعلّم، وتعذّر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أحدهما عن الآخر جاز اقتداء الناقص بصاحبه دون العكس، وكذا لو كان أحدهما لا يحسن تمام الفاتحة والآخر يحسنها ولكن لا يحسن تمام سورة جاز ائتمام الأوّل بالثاني دون العكس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الحرّيّة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الذكورة إذا كان المأموم ذُكراناً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تؤمّ المرأة النساء، وكذا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أن تؤمّ الأُنثى لا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الإمام يلحن في قراءته لم تجز إمامته بِمُتقِنٍ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ولا فرق بين اللحن المغيّر للمعنى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من يبدل الحرف كالتمتام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تأدية التاء على وجهها، وقد يُطلق على مَن يكرّرها إذا أراد التلفّظ بها، كما يقال لمن يكرّر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فأفاء، وبهذا المعنى يكره إمامته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بالمعنى الأوّل الألثغ بالمثلّثة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يُبدّل حرفاً بغيره، وبالمثناة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يبيّن بعض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المسجد والإمارة والمنزل أولى بالتقدّم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بصاحب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الراتب فيه، وبصاحب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ساكنه وإن لم يكن مالكاً، والثلاثة أولى من غيرهم وإن كان أكمل منهم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والهاشمي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الثلاثة السابقة، والأقوى أنّ الأفقه والأقرأ أولى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اختلفوا قدّم الأقرأ فالأفقه، فالأقدم هجرة، فالأسنّ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بجودة الأداء وإتقان القراءة وإن لم يكن حافظاً، وبالأفقه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بفقه الصلاة، فإن تساووا فيه فالأعلم بمطلق الفقه، وبالأقدم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المنتقل من بلاد الكفر إلى بلاد الإسلام قبل الآخر، وبالأسنّ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سنّاً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الإمام أو أُغمي عليه استنيب مَن 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المأموم نيّة إتمام الصلاة مؤتمّاً بالنائب، سواء كان المستنيب الإمام أو المأموم على الأقوى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عرض للإمام ضرورة جاز أن يستنيب، ولو فعل ذلك اختياراً جاز</w:t>
      </w:r>
      <w:r>
        <w:rPr>
          <w:rFonts w:eastAsia="Amiri" w:cs="Amiri" w:ascii="Amiri" w:hAnsi="Amiri"/>
          <w:color w:val="111111"/>
          <w:sz w:val="28"/>
          <w:szCs w:val="28"/>
          <w:rtl w:val="true"/>
          <w:lang w:bidi="ar-SA"/>
        </w:rPr>
        <w:t xml:space="preserve">». </w:t>
      </w:r>
      <w:bookmarkStart w:id="325" w:name="pg10178_83591"/>
    </w:p>
    <w:p>
      <w:pPr>
        <w:pStyle w:val="BookText"/>
        <w:rPr/>
      </w:pPr>
      <w:bookmarkEnd w:id="325"/>
      <w:r>
        <w:rPr>
          <w:rFonts w:ascii="Amiri" w:hAnsi="Amiri" w:eastAsia="Amiri" w:cs="Amiri"/>
          <w:color w:val="111111"/>
          <w:sz w:val="28"/>
          <w:sz w:val="28"/>
          <w:szCs w:val="28"/>
          <w:rtl w:val="true"/>
          <w:lang w:bidi="ar-SA"/>
        </w:rPr>
        <w:t>نبّه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أبي حنيفة حيث منع من الاستخلاف هنا؛ لبطلان الصلاة، فيبطل حكمها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سبقه الحدث، فإنّ الصلاة لا تبطل عنده، وإذا بقي حكمها بقي حكمها على الجماعة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عندنا باطل؛ لبطلان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اشتبه معنى هذه العبارة على قوم، فخبطوا فيها خبط عشواء، حيث نظروا إلى عدم جواز قطع الصلاة اختياراً، فحملوا ذلك على ما لو كان قبل الشروع في الصلاة، أو على ما إذا انتهت صلاة الإمام لكونه مقصّراً والمأموم متمّماً فسمّى الانتهاء قطعاً، أو على ما إذا عزل نيّته عن الجماعة مع بقائه على الصلاة منفرداً للمأموم أن يقيم غيره حتّى يتمّ إماماً ويتمّ معه الصلاة، وهذا كلّه مع فساده لا يُطابق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يؤمّ الأجذم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الختان عليه ولو لضيق الوقت، وإلّا لم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وإمامة مَن يكرهه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يكره كونه إماماً، بل يريد الاقتداء بغيره، فتقدّم هو على ذلك الغير بحيث منعه من الإمامة وإن كان المتقدّم أكمل؛ لأنّ مختار المأموم مقدّم على كمال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أجود ممّا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كراهته إن كانت لدين لم تُكره، وإن كانت لدنيا كرهت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يؤمّ الأعرابي بالمهاجرين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بالأعرابي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البادية مع عدم وجوب الهجرة عليه، وربما أُطلقت على مَن تلزمه المهاجرة فيترك، وعلى مَن لا يعرف منهم محاسن الإسلام، وواجب الأحكام بهذين المعنيين تمتنع إمامته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018566_1067777946"/>
      <w:bookmarkStart w:id="327" w:name="_Toc121"/>
      <w:bookmarkEnd w:id="326"/>
      <w:r>
        <w:rPr>
          <w:rtl w:val="true"/>
        </w:rPr>
        <w:t>[</w:t>
      </w:r>
      <w:r>
        <w:rPr>
          <w:rtl w:val="true"/>
        </w:rPr>
        <w:t>أحكام الجماعة</w:t>
      </w:r>
      <w:r>
        <w:rPr>
          <w:rtl w:val="true"/>
        </w:rPr>
        <w:t>]</w:t>
      </w:r>
      <w:bookmarkEnd w:id="3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أنّ الإمام فاسق، أو كافر، أو على غير طهارة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في </w:t>
      </w:r>
    </w:p>
    <w:p>
      <w:pPr>
        <w:pStyle w:val="BookText"/>
        <w:rPr/>
      </w:pPr>
      <w:r>
        <w:rPr>
          <w:rFonts w:ascii="Amiri" w:hAnsi="Amiri" w:eastAsia="Amiri" w:cs="Amiri"/>
          <w:color w:val="111111"/>
          <w:sz w:val="28"/>
          <w:sz w:val="28"/>
          <w:szCs w:val="28"/>
          <w:rtl w:val="true"/>
          <w:lang w:bidi="ar-SA"/>
        </w:rPr>
        <w:t>أثناء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الانفراد ويتمّ،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يمشي في ركوعه حتّى يلحق بالصفّ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لا يستلزم الفعل الكثير، وأن يكون في غير وقت الذكر الواجب، وينبغي أن يجرّ رجليه ولا يرفعهما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الإمام في محراب داخل، فصلاة مَن يقابله ماضية، دون صلاة من إلى جانبيه إذا لم يشاهدوه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الداخل في المسجد؛ لعدم مشاهدة من يشاهده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الداخل في الحائط فإنّ الصلاة خلفه جائزة مطلقاً؛ لعدم المانع، فإنّ مَن على يمينه ويساره يشاهدون مَن وراءه ولو بواسطة بأطراف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للمأموم مفارقة الإمام لغير عذر، فإن نوى الانفراد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نوى الانفراد جاز له المفارقة في جميع أحوال الصلاة، ثمّ إن كان قبل القراءة قرأ لنفسه، أو فيها قرأ من حيث فارق والأولى استئنافها، أو بعدها كفته قراءة الإمام، حتّى لو دخل في جزء منها وفارق بعده أجزأ وإن فاته ثواب الجماعة، هذا إذا لم تجب الجماعة، وإلّا حرم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جائزة في السفينة الواحدة وفي سفن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الشرائط التي من جملتها عدم البعد والتقدّم على الإمام وغيرهما، وفي معناه ما لو كان أحدهما في السفينة والآخر على الشاطئ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شرع المأموم في نافلة فأحرم الإمام قطعها واستأنف إن خشي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أن يُراد به فوات جزء من الصلاة مع الإمام وإن أدرك الركعة، وفي بعض الأخبار قطعها متى أُقيمت الصلاة وإن لم يدخل فيها </w:t>
      </w:r>
      <w:r>
        <w:rPr>
          <w:rStyle w:val="FootnoteAnchor"/>
          <w:rtl w:val="true"/>
        </w:rPr>
        <w:footnoteReference w:id="89"/>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فريضةً نقل نيّته إلى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 ركعتين</w:t>
      </w:r>
      <w:r>
        <w:rPr>
          <w:rFonts w:eastAsia="Amiri" w:cs="Amiri" w:ascii="Amiri" w:hAnsi="Amiri"/>
          <w:color w:val="111111"/>
          <w:sz w:val="28"/>
          <w:szCs w:val="28"/>
          <w:rtl w:val="true"/>
          <w:lang w:bidi="ar-SA"/>
        </w:rPr>
        <w:t xml:space="preserve">». </w:t>
      </w:r>
      <w:bookmarkStart w:id="328" w:name="pg10178_83593"/>
    </w:p>
    <w:p>
      <w:pPr>
        <w:pStyle w:val="BookText"/>
        <w:rPr/>
      </w:pPr>
      <w:bookmarkEnd w:id="328"/>
      <w:r>
        <w:rPr>
          <w:rFonts w:ascii="Amiri" w:hAnsi="Amiri" w:eastAsia="Amiri" w:cs="Amiri"/>
          <w:color w:val="111111"/>
          <w:sz w:val="28"/>
          <w:sz w:val="28"/>
          <w:szCs w:val="28"/>
          <w:rtl w:val="true"/>
          <w:lang w:bidi="ar-SA"/>
        </w:rPr>
        <w:t>إن لم يكن تجاوزهما، وإلّا استمرّ، وحيث يعدل إلى النافلة يجوز له قطعها كما لو نواها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الإمام بعد رفعه من الأخيرة كبّر وسجد معه، فإذا سلّم قام فاستأنف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تخيّره بين السجود معه، والجلوس من غير سجود، وانتظاره قائماً إلى أن يقوم أو يكمل الصلاة، ولا يستأنف في الأخيرين وإن كان الأوّل أفضل ثمّ ما يليه، وكذا لو أدركه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الركعة الأخيرة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التكبير الأوّل،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يسلّم المأموم قبل الإمام وينصرف لضرورة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نيّة الانفراد، وبدونها على الظاهر؛ بناءً على عدم وجوب المتابعة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النساء في الصفّ الأخير فجاء رجال وجب أن يتأخّرن إذا لم يكن للرجال موقف أمامهنّ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لم تجوز المحاذاة، وإلّا كان تأخّرهنّ على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يجب حيث یجب إذا لم يكن المكان ملكاً لهنّ، وإلّا استحبّ أيضاً</w:t>
      </w:r>
      <w:r>
        <w:rPr>
          <w:rFonts w:eastAsia="IRNazanin" w:cs="IRNazanin"/>
          <w:color w:val="111111"/>
          <w:sz w:val="28"/>
          <w:szCs w:val="28"/>
          <w:rtl w:val="true"/>
          <w:lang w:bidi="fa-IR"/>
        </w:rPr>
        <w:t>.</w:t>
      </w:r>
    </w:p>
    <w:p>
      <w:pPr>
        <w:pStyle w:val="Heading5"/>
        <w:numPr>
          <w:ilvl w:val="4"/>
          <w:numId w:val="1"/>
        </w:numPr>
        <w:rPr/>
      </w:pPr>
      <w:bookmarkStart w:id="329" w:name="__RefHeading___Toc2018568_1067777946"/>
      <w:bookmarkStart w:id="330" w:name="_Toc122"/>
      <w:bookmarkEnd w:id="329"/>
      <w:r>
        <w:rPr>
          <w:rtl w:val="true"/>
        </w:rPr>
        <w:t>[</w:t>
      </w:r>
      <w:r>
        <w:rPr>
          <w:rtl w:val="true"/>
        </w:rPr>
        <w:t>خاتمة فيما يتعلّق بالمساجد</w:t>
      </w:r>
      <w:r>
        <w:rPr>
          <w:rtl w:val="true"/>
        </w:rPr>
        <w:t>]</w:t>
      </w:r>
      <w:bookmarkEnd w:id="33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اتّخاذ المساجد مكشوفةً غير مسقّفة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بينهما، للتنبيه على أنّ المراد بالأوّل هو الثاني لا مطلق الكشف، فلو وضع عليه عريشاً </w:t>
      </w:r>
      <w:r>
        <w:rPr>
          <w:rStyle w:val="FootnoteAnchor"/>
          <w:rtl w:val="true"/>
        </w:rPr>
        <w:footnoteReference w:id="90"/>
      </w:r>
      <w:r>
        <w:rPr>
          <w:rFonts w:ascii="Amiri" w:hAnsi="Amiri" w:eastAsia="Amiri" w:cs="Amiri"/>
          <w:color w:val="111111"/>
          <w:sz w:val="28"/>
          <w:sz w:val="28"/>
          <w:szCs w:val="28"/>
          <w:rtl w:val="true"/>
          <w:lang w:bidi="ar-SA"/>
        </w:rPr>
        <w:t>ونحوه لم يكره، كما فعل النبيّ صلى الله عليه و آله و سلم بمسجده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عدم الحاجة إلى السقف، وإلّا انتفت الكراهة، وينبغي الجمع بين الفرضين بتسقيف بعضه وكشف بعض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تكون الميضأة على أبوابها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المطهرة، وإنّما يستحبّ وضعها خارجه ابتداءً، أمّا بعد وضعه فلا يجوز جعلها وسطه، وهو المراد من قول مَن عبّر بتحريم جعلها وسطاً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والمنارة مع حائطها لا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وضعت ابتداءً، وإلّا حرم توسيطها كالميضأة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يتعاهد نعليه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في معناه من مظنّات النجاسة كالعصا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نقض ما استهدم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أشرف على الانهدام، وكذا يجوز نقضه لتوسعته، لكن يؤخّر هدمه حينئذٍ إلى أن تتمّ العمارة، إلّا مع الاحتياج إلى الآلة فيؤخّر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استعمال آلته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استغنائه عنها، أو تعذّر استعمالها فيه؛ لخرابه، أو كون الآخر أحوج منه؛ لكثرة المصلّين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كنس المساجد والإسراج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استحباب إسراجها بين إقامة أحد فيها وعدمه، ومحلّه الليل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زخرفتها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نقشها بالزخرف وهو الذهب، أمّا نقشها بغيره فيكره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ونقشها بالصور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الأرواح، وإلّا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آلتها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غناها عن بيعها وعدم المصلحة، وإلّا جاز</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إدخال النجاسة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تعدّيها إليها أو إلى آلاتها، وإلّا فلا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إزالة النجاسة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استلزامها تنجيس ما يحرم تنجيسه منها، وإلّا فلا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إخراج الحصى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كانت فرشاً أو جزءاً منها، أمّا لو كانت قمامة استحبّ إخراجها، وكذا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تعليتها، وأن يعمل لها شرف، أو محاريب داخلة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داخلة كثيراً، وكذا يكره الداخلة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تجعل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يستلزم انمحاء صورة المسجديّة، وإلّا حرم، وهو الفارق بين جعلها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في طريق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يتجنّب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وإنفاذ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إذا كثر، 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وتعريف الضوالّ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إنشاداً ونشداناً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وإنشاد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استثني منه ما يكثر منفعته مع قلّته، كبيت حكمة، وشاهد على لغة في كتاب أو سنّة، ونحوه ممّا يعدّ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وكشف العورة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أمن المطّلع المحترم، وكذا يكره كشف السرّة والركبة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انهدمت الكنائس والبيع فإن كان لأهلها ذمّة لم يجز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أرض الحرب، أو باد أهلها جاز استعمالها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 غيرها، وكذا لا يجوز نقضها، إلّا ما لا بدّ منه في تحقّق المسجديّة كالمحراب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المكتوبة في المساجد أفضل من المنزل، والنافلة بالعكس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يرجو تأسّي غيره به ممّن لا يصلّيها فيستحبّ إيقاعها في المسجد، وغيره </w:t>
      </w:r>
      <w:bookmarkStart w:id="331" w:name="pg10178_83596"/>
    </w:p>
    <w:p>
      <w:pPr>
        <w:pStyle w:val="BookText"/>
        <w:rPr/>
      </w:pPr>
      <w:bookmarkEnd w:id="331"/>
      <w:r>
        <w:rPr>
          <w:rFonts w:ascii="Amiri" w:hAnsi="Amiri" w:eastAsia="Amiri" w:cs="Amiri"/>
          <w:color w:val="111111"/>
          <w:sz w:val="28"/>
          <w:sz w:val="28"/>
          <w:szCs w:val="28"/>
          <w:rtl w:val="true"/>
          <w:lang w:bidi="ar-SA"/>
        </w:rPr>
        <w:t>ممّا يظهر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تستحبّ الفريضة في المسجد في حقّ الرجال، أمّا النساء فبيتهنّ أفضل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فيه أهل البلد غالباً وإنّ تعدّد، ومسجد المحلّة في البلد الكبير بمنزلة مسجد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حذف المضاف، أي مسجد السوق</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018570_1067777946"/>
      <w:bookmarkStart w:id="333" w:name="_Toc123"/>
      <w:bookmarkEnd w:id="332"/>
      <w:r>
        <w:rPr>
          <w:rtl w:val="true"/>
        </w:rPr>
        <w:t>[</w:t>
      </w:r>
      <w:r>
        <w:rPr>
          <w:rtl w:val="true"/>
        </w:rPr>
        <w:t>الفصل الرابع في صلاة الخوف والمطاردة</w:t>
      </w:r>
      <w:r>
        <w:rPr>
          <w:rtl w:val="true"/>
        </w:rPr>
        <w:t>]</w:t>
      </w:r>
      <w:bookmarkEnd w:id="333"/>
    </w:p>
    <w:p>
      <w:pPr>
        <w:pStyle w:val="Heading5"/>
        <w:numPr>
          <w:ilvl w:val="4"/>
          <w:numId w:val="1"/>
        </w:numPr>
        <w:rPr/>
      </w:pPr>
      <w:bookmarkStart w:id="334" w:name="__RefHeading___Toc2018572_1067777946"/>
      <w:bookmarkStart w:id="335" w:name="_Toc124"/>
      <w:bookmarkEnd w:id="334"/>
      <w:r>
        <w:rPr>
          <w:rtl w:val="true"/>
        </w:rPr>
        <w:t>[</w:t>
      </w:r>
      <w:r>
        <w:rPr>
          <w:rtl w:val="true"/>
        </w:rPr>
        <w:t>صلاة الخوف</w:t>
      </w:r>
      <w:r>
        <w:rPr>
          <w:rtl w:val="true"/>
        </w:rPr>
        <w:t>]</w:t>
      </w:r>
      <w:bookmarkEnd w:id="3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الخوف مقصورة سفراً، وفي الحضر، إذا صلّيت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صلّيت فرادی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جماعة فالإمام بالخيار، إن شاء صلّى بطائفة ثمّ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يصلّي كما صلّى رسول الله صلى الله عليه و آله و سلم بذات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موضع على ثلاثة أميال من المدينة عند بئر أروما </w:t>
      </w:r>
      <w:r>
        <w:rPr>
          <w:rStyle w:val="FootnoteAnchor"/>
          <w:rtl w:val="true"/>
        </w:rPr>
        <w:footnoteReference w:id="93"/>
      </w:r>
      <w:r>
        <w:rPr>
          <w:rFonts w:ascii="Amiri" w:hAnsi="Amiri" w:eastAsia="Amiri" w:cs="Amiri"/>
          <w:color w:val="111111"/>
          <w:sz w:val="28"/>
          <w:sz w:val="28"/>
          <w:szCs w:val="28"/>
          <w:rtl w:val="true"/>
          <w:lang w:bidi="ar-SA"/>
        </w:rPr>
        <w:t xml:space="preserve">، سمّيت بذلك لاشتمال المكان على جُدَد </w:t>
      </w:r>
      <w:r>
        <w:rPr>
          <w:rStyle w:val="FootnoteAnchor"/>
          <w:rtl w:val="true"/>
        </w:rPr>
        <w:footnoteReference w:id="94"/>
      </w:r>
      <w:r>
        <w:rPr>
          <w:rFonts w:ascii="Amiri" w:hAnsi="Amiri" w:eastAsia="Amiri" w:cs="Amiri"/>
          <w:color w:val="111111"/>
          <w:sz w:val="28"/>
          <w:sz w:val="28"/>
          <w:szCs w:val="28"/>
          <w:rtl w:val="true"/>
          <w:lang w:bidi="ar-SA"/>
        </w:rPr>
        <w:t>حمر وصفر كالرقاع، أو لأنّ الصحابة كانوا أو أكثرهم حفاة فلفّوا على أرجلهم الجلود والخرق من حرّ الرمضاء، أو لأنّ أرجلهم نقبت من المشي فلفّوا عليها ذلك، أو لرقاع كانت في ألويتهم، أو أنّ الرقاع اسم شجرة في موضع الرقعة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2018574_1067777946"/>
      <w:bookmarkStart w:id="337" w:name="_Toc125"/>
      <w:bookmarkEnd w:id="336"/>
      <w:r>
        <w:rPr>
          <w:rtl w:val="true"/>
        </w:rPr>
        <w:t>[</w:t>
      </w:r>
      <w:r>
        <w:rPr>
          <w:rtl w:val="true"/>
        </w:rPr>
        <w:t>شروطها</w:t>
      </w:r>
      <w:r>
        <w:rPr>
          <w:rtl w:val="true"/>
        </w:rPr>
        <w:t>]</w:t>
      </w:r>
      <w:bookmarkEnd w:id="33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الخصم في غير جهة القبلة</w:t>
      </w:r>
      <w:r>
        <w:rPr>
          <w:rFonts w:eastAsia="Amiri" w:cs="Amiri" w:ascii="Amiri" w:hAnsi="Amiri"/>
          <w:color w:val="111111"/>
          <w:sz w:val="28"/>
          <w:szCs w:val="28"/>
          <w:rtl w:val="true"/>
          <w:lang w:bidi="ar-SA"/>
        </w:rPr>
        <w:t xml:space="preserve">». </w:t>
      </w:r>
      <w:bookmarkStart w:id="338" w:name="pg10178_83597"/>
    </w:p>
    <w:p>
      <w:pPr>
        <w:pStyle w:val="BookText"/>
        <w:rPr/>
      </w:pPr>
      <w:bookmarkEnd w:id="338"/>
      <w:r>
        <w:rPr>
          <w:rFonts w:ascii="Amiri" w:hAnsi="Amiri" w:eastAsia="Amiri" w:cs="Amiri"/>
          <w:color w:val="111111"/>
          <w:sz w:val="28"/>
          <w:sz w:val="28"/>
          <w:szCs w:val="28"/>
          <w:rtl w:val="true"/>
          <w:lang w:bidi="ar-SA"/>
        </w:rPr>
        <w:t xml:space="preserve">الأقوى عدم اشتراط ذلك فيها وإن كان الأولى حينئذٍ صلاة عسفان؛ للتأسّي بالنبيّ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يحتاج الإمام إلى تفريقهم أكثر من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الصلاة أكثر من ركعتين، وإلّا جاز التفريق بحسب الركعات كالمغرب</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2018576_1067777946"/>
      <w:bookmarkStart w:id="340" w:name="_Toc126"/>
      <w:bookmarkEnd w:id="339"/>
      <w:r>
        <w:rPr>
          <w:rtl w:val="true"/>
        </w:rPr>
        <w:t>[</w:t>
      </w:r>
      <w:r>
        <w:rPr>
          <w:rtl w:val="true"/>
        </w:rPr>
        <w:t>كيفيّتها</w:t>
      </w:r>
      <w:r>
        <w:rPr>
          <w:rtl w:val="true"/>
        </w:rPr>
        <w:t>]</w:t>
      </w:r>
      <w:bookmarkEnd w:id="3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الصلاة ثُنائيّةً صلّى بالأُولى ركعةً وقام إلى الثانية فينوي مَن خلفه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ينو جاز؛ لانتهاء ما نوى الائتمام فيه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ثُلاثيّةً فهو بالخيار إن شاء صلّى بالأُولى ركعة وبالثانية ركعتين، وإن شاء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أفضل؛ لفعل عليّ علیه السلام </w:t>
      </w:r>
      <w:r>
        <w:rPr>
          <w:rStyle w:val="FootnoteAnchor"/>
          <w:rtl w:val="true"/>
        </w:rPr>
        <w:footnoteReference w:id="95"/>
      </w:r>
      <w:r>
        <w:rPr>
          <w:rFonts w:ascii="Amiri" w:hAnsi="Amiri" w:eastAsia="Amiri" w:cs="Amiri"/>
          <w:color w:val="111111"/>
          <w:sz w:val="28"/>
          <w:sz w:val="28"/>
          <w:szCs w:val="28"/>
          <w:rtl w:val="true"/>
          <w:lang w:bidi="ar-SA"/>
        </w:rPr>
        <w:t>، وتقارب الفرقتين في إدراك الأركان والقراءة المتعيّنة</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2018578_1067777946"/>
      <w:bookmarkStart w:id="342" w:name="_Toc127"/>
      <w:bookmarkEnd w:id="341"/>
      <w:r>
        <w:rPr>
          <w:rtl w:val="true"/>
        </w:rPr>
        <w:t>[</w:t>
      </w:r>
      <w:r>
        <w:rPr>
          <w:rtl w:val="true"/>
        </w:rPr>
        <w:t>أحكامها</w:t>
      </w:r>
      <w:r>
        <w:rPr>
          <w:rtl w:val="true"/>
        </w:rPr>
        <w:t>]</w:t>
      </w:r>
      <w:bookmarkEnd w:id="3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سهو يلحق المصلّين في حال متابعتهم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تحمّل الإمام سهو مَن خلفه، والمصنّف لا يقول به، ولا خصوصيّة لصلاة الخوف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بالسهو الشكّ مجازاً، فيتمّ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السلاح واجب في الصلاة، ولو كان على السلاح نجاسة لم يجز على قول، والجواز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ثقيلاً يمنع شيئاً من واجبات الصلاة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مع الضرورة فيجب، ويصلّي بحسب الإمكان ولو بالإيماء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الإمام سهواً يوجب السجدتين، ثمّ دخلت الثانية معه</w:t>
      </w:r>
      <w:r>
        <w:rPr>
          <w:rFonts w:eastAsia="Amiri" w:cs="Amiri" w:ascii="Amiri" w:hAnsi="Amiri"/>
          <w:color w:val="111111"/>
          <w:sz w:val="28"/>
          <w:szCs w:val="28"/>
          <w:rtl w:val="true"/>
          <w:lang w:bidi="ar-SA"/>
        </w:rPr>
        <w:t xml:space="preserve">». </w:t>
      </w:r>
      <w:bookmarkStart w:id="343" w:name="pg10178_83598"/>
    </w:p>
    <w:p>
      <w:pPr>
        <w:pStyle w:val="BookText"/>
        <w:rPr/>
      </w:pPr>
      <w:bookmarkEnd w:id="343"/>
      <w:r>
        <w:rPr>
          <w:rFonts w:ascii="Amiri" w:hAnsi="Amiri" w:eastAsia="Amiri" w:cs="Amiri"/>
          <w:color w:val="111111"/>
          <w:sz w:val="28"/>
          <w:sz w:val="28"/>
          <w:szCs w:val="28"/>
          <w:rtl w:val="true"/>
          <w:lang w:bidi="ar-SA"/>
        </w:rPr>
        <w:t xml:space="preserve">لم يجب عليها اتّباعه؛ بناءً على وجوب متابعة المأموم إمامه فيه في غيره، كما اختاره الشيخ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فالواجب السجود على الفرقة الأُولى خاصّة، وعلى ما اختاره المصنّف لا يجب عليهما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018580_1067777946"/>
      <w:bookmarkStart w:id="345" w:name="_Toc128"/>
      <w:bookmarkEnd w:id="344"/>
      <w:r>
        <w:rPr>
          <w:rtl w:val="true"/>
        </w:rPr>
        <w:t>[</w:t>
      </w:r>
      <w:r>
        <w:rPr>
          <w:rtl w:val="true"/>
        </w:rPr>
        <w:t>صلاة المطاردة</w:t>
      </w:r>
      <w:r>
        <w:rPr>
          <w:rtl w:val="true"/>
        </w:rPr>
        <w:t>]</w:t>
      </w:r>
      <w:bookmarkEnd w:id="3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صلاة المطاردة وتسمّى صلاة 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الصلاة من جملة أقسام صلاة الخوف فعطفها عليها من باب </w:t>
      </w:r>
      <w:r>
        <w:rPr>
          <w:rStyle w:val="FootnoteAnchor"/>
          <w:rtl w:val="true"/>
        </w:rPr>
        <w:footnoteReference w:id="97"/>
      </w:r>
      <w:r>
        <w:rPr>
          <w:rFonts w:ascii="Amiri" w:hAnsi="Amiri" w:eastAsia="Amiri" w:cs="Amiri"/>
          <w:color w:val="111111"/>
          <w:sz w:val="28"/>
          <w:sz w:val="28"/>
          <w:szCs w:val="28"/>
          <w:rtl w:val="true"/>
          <w:lang w:bidi="ar-SA"/>
        </w:rPr>
        <w:t>عطف الخاصّ على العامّ لمزيد الاهتمام، وإلّا فشدّة الخوف من أفراد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ينتهي الحال إلى المعانقة والمسايفة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فعلها أن لا يمكن فعل الصلاة على الوجه المعتبر في أحد أنواع صلاة الخوف المقرّرة على وجه يأمنون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يتمكّن من النزول صلّى راكباً، ويسجد على قَربوس 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بفتح أوّله وثانيه، وإنّما يسجد عليه إذا كان من جنس ما يسجد عليه أو تعذّر وضع شيء منه عليه، وإلّا وجب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يتمكّن أومأ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برأسه، فإن تعذّر فبعينيه كغيره ممّن فرضه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خشي صلّى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 المجوّز له تعذّر الإيماء مع الإتيان بباقي الأفعال، ويجب مع التسبيح النيّة والتكبير قبله، والتشهّد والتسليم بعده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مومئاً فأمن أتمّ صلاته بالركوع والسجود فيما بقي منها، ولا يستأنف،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صلاته</w:t>
      </w:r>
      <w:r>
        <w:rPr>
          <w:rFonts w:eastAsia="Amiri" w:cs="Amiri" w:ascii="Amiri" w:hAnsi="Amiri"/>
          <w:color w:val="111111"/>
          <w:sz w:val="28"/>
          <w:szCs w:val="28"/>
          <w:rtl w:val="true"/>
          <w:lang w:bidi="ar-SA"/>
        </w:rPr>
        <w:t xml:space="preserve">». </w:t>
      </w:r>
      <w:bookmarkStart w:id="346" w:name="pg10178_83599"/>
    </w:p>
    <w:p>
      <w:pPr>
        <w:pStyle w:val="BookText"/>
        <w:rPr/>
      </w:pPr>
      <w:bookmarkEnd w:id="346"/>
      <w:r>
        <w:rPr>
          <w:rFonts w:ascii="IRNazanin" w:hAnsi="IRNazanin" w:eastAsia="IRNazanin"/>
          <w:color w:val="111111"/>
          <w:sz w:val="28"/>
          <w:sz w:val="28"/>
          <w:szCs w:val="28"/>
          <w:rtl w:val="true"/>
          <w:lang w:bidi="fa-IR"/>
        </w:rPr>
        <w:t>الأقوى عدم الاستئناف مطلقاً</w:t>
      </w:r>
      <w:r>
        <w:rPr>
          <w:rFonts w:eastAsia="IRNazanin" w:cs="IRNazanin"/>
          <w:color w:val="111111"/>
          <w:sz w:val="28"/>
          <w:szCs w:val="28"/>
          <w:rtl w:val="true"/>
          <w:lang w:bidi="fa-IR"/>
        </w:rPr>
        <w:t>.</w:t>
      </w:r>
    </w:p>
    <w:p>
      <w:pPr>
        <w:pStyle w:val="Heading4"/>
        <w:numPr>
          <w:ilvl w:val="3"/>
          <w:numId w:val="1"/>
        </w:numPr>
        <w:rPr/>
      </w:pPr>
      <w:bookmarkStart w:id="347" w:name="__RefHeading___Toc2018582_1067777946"/>
      <w:bookmarkStart w:id="348" w:name="_Toc129"/>
      <w:bookmarkEnd w:id="347"/>
      <w:r>
        <w:rPr>
          <w:rtl w:val="true"/>
        </w:rPr>
        <w:t>[</w:t>
      </w:r>
      <w:r>
        <w:rPr>
          <w:rtl w:val="true"/>
        </w:rPr>
        <w:t>الفصل الخامس في صلاة المسافر</w:t>
      </w:r>
      <w:r>
        <w:rPr>
          <w:rtl w:val="true"/>
        </w:rPr>
        <w:t>]</w:t>
      </w:r>
      <w:bookmarkEnd w:id="3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الشروط فستّة،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المسافة، وهي مسير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معتدل الزمان والسير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وعشرون إصبعاً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بست قبضات بالأصابع المعتدلة المضمومة المنفردة عن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والميل أربعة آلاف ذراع بذراع اليد، الذي طوله أربع وعشرون إصبعاً، تعويلاً على المشهور بين الناس، أو مدّ البصر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المبصر المتوسّط على وجه يميّز الفارس من الراجل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المسافة أربعة فراسخ وأراد الرجوع ليومه فقد كمل مسير يوم ووجب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لليلته، أو ذهب ليومه وأراد الرجوع لليلته، أو بالعكس مع اتّصال السفر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للبلد طريقان، والأبعد منهما مسافة، فسلك الأبعد،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ذاهباً وعائداً، ولو سلك الأقصر أتمّ، إلّا أن يعود في الأبعد فيقصّر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التابع والمتبوع، كالعبد والزوجة، والولد والأسير، نعم يكفي في التابع قصد المتابعة إذا علم مقصد المتبوع إلى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ينتظر رفقةً، إن تيسّروا سافر معهم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منتظر الرفقة إمّا أن يكون قبل تجاوز حدود البلد، أو بعده قبل بلوغ المسافة،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يعلّق سفره عليها، أو يجزم بالسفر من دونها على تقدير عدم مجيئها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يعلم، أو يظنّ مجيئها، أو يشكّ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توقّعه في محلّ التمام أتمّ مطلقاً، وإن كان بعده قبل بلوغ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أو ظنّ مجيئها أو جزم بالسفر من دونها قصّر مطلقاً إلى أن يمضي ثلاثون يوماً، وإن شكّ وعلّقه عليها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بعد بلوغها قصّر مطلقاً إلى أن يمضي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 السفر بإقامةٍ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عزم على مسافة وفي طريقه ملك له قد استوطنه ستّة أشهر أتمّ في طريقه وفي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الثابت في محلّ الاستيطان أو ما في حكمه وإن لم يصلح للسكنى، ويعتبر ملك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الحكم ما دام الملك باقياً، فلو انتقل عنه انتقل الحكم، ولو تعدّد اعتبر وجود أحدها على ملكه ذلك القدر وإن خرج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البلد المتّخذ للمقام على الدوام، ولو تعدّدت البلدان على التناوب اشترط في كلّ واحد استيطان المدّة كالملك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عدّة مواطن اعتبر ما بينه وبين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تعتبر المسافة بين كلّ موطنين تعتبر بين آخر المواطن وغاية مقصده في القصر منها إلى الغاية وإن قصر في العود، إذ لا يضمّ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فيما نوى فيه الإقامة، سواء وقعت النيّة في ابتداء السفر أو بعد الوصول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والوطن الذي يتمّ فيه هو كلّ موضع له فيه ملك قد استوطنه ستّة أشهر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الاستيطان الصلاة تماماً بنيّة الإقامة، لا مطلق الإقامة، ولا مطلق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جائزاً بالمعنى الأعمّ وإن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معصيةً لم يقصّر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تتحقّق المعصية به بكونه نفسه معصية كسفر الآبق والناشز، أو تكون غايته أو بعضها معصية كتابع الجائر على جوره والساعي على ضرر مسلم، ولا يعتبر عدم المعصية فيه إذا سلمت ذاته وغايته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كاتّباع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جوره، إمّا في الطريق، أو ليعمل له عملاً محلّلاً، فلا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للتجارة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القصر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أكثر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أن لا يقيم في بلده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ضابطه أن يسافر إلى مسافة ثلاث سفرات يتخلّل بينها حكم الإتمام بعد الأُولى والثانية، ولا يقيم بينها عشرة أيّام في بلده مطلقاً، أو في غيره مع النيّة، أو عشرة بعد التردّد ثلاثين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تحصل الكثرة في الثالثة، فيلزمه الحكم فيها، ويستمرّ ما دام مسافراً إلى مسافة إلى أن يتحقّق أحد الثلاثة، فإن تحقّق انقطعت الكثرة وافتقر إلى ثلاث كذلك، وهكذا، ولو ثبتت الكثرة عرفاً قبل ذلك لحقه الحكم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مختصّ بالمكاري، فيدخل في جملته الملّاح والأجير،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يختصّ حكم قطع الكثرة بإقامة العشرة بالمكاري ومَن في معناه، وغيره يبقى على التمام وإن أقامها وما في معناها، والأقوى انقطاع الكثرة بها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أقام خمسة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وقيل يقصّر نهاراً صلاته دون صومه ويتمّ ليلاً،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للمسافر التقصير حتّى تتوارى جدران البلد، الذي يخرج منه أو يخفى عليه الأذان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اعتبار خفائهما معاً ذهاباً وعوداً في القصر، فينقطع في العود بإدراك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صورة الجدار لا شبحه، وسماع صوت الأذان وما في معناه وإن لم يميّز فصوله أو يفهم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اتّسع البلد حدّاً اعتبر أذان محلّته وجدرها، ويعتبر منهما المتوسّط من السامع والمبصر المتوسّط والأرض والوقت المعتدلين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عند الخروج من منزله ويتمّ عند دخوله،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نوى الإقامة في غير بلده عشرة أيّام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كونها تامّة ولو ملفّقة بما يحصل من يومي الدخول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تردّد عزمه قصّر ما بينه وبين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ثلاثين يوماً، فلا يكفي الشهر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يتمّ ولو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الإقامة ثمّ بدا له رجع إلى التقصير، ولو صلّى صلاةً واحدةً بنيّة التمام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صلّى رباعيّة بنيّة التمام، واحترز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صلّاها بسبب شرف البقعة كأحد المواطن الأربعة، أو أتمّ ناسياً، فإنّه لا يؤثّر وإن أجزأت، والأقوى الاكتفاء بالشروع في الركعة الثالثة وإن لم يركع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الواجب والندب إن عيّنا من المسافر، والنافلة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الرجوع إلى القصر بعد الصلاة تماماً وما في حكمها البقاء عليه إلى أن يخرج إلى مسافة مقصودة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القصر، فإنّه عزيمة إلّا أن تكون المسافة أربعاً، ولم يرد الرجوع ليومه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أنّه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أحد المواطن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اختصاص الحكم بالمساجد الثلاثة، والمراد بالحائر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مادار عليه سور الحضرة الحسينيّة دون سور البلد، والتخيير فيها مختصّ بالصلاة، أمّا الصوم فيتعيّن فيه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جاهلاً بالتقصير فلا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جهل المسافة فأتمّ ثمّ تبيّنت وإن كان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قصّر المسافر اتّفاقاً لم يصحّ</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 الاتّفاق بقصر قاصد المسافة جاهلاً بوجوبه، وبقصر الجاهل ببلوغ المقصود مسافة ثمّ تبيّن المطابقة، وبنيّة الصلاة تماماً مع العلم بالمسافة ووجوب القصر ثمّ سلّم </w:t>
      </w:r>
    </w:p>
    <w:p>
      <w:pPr>
        <w:pStyle w:val="BookText"/>
        <w:rPr/>
      </w:pPr>
      <w:r>
        <w:rPr>
          <w:rFonts w:ascii="Amiri" w:hAnsi="Amiri" w:eastAsia="Amiri" w:cs="Amiri"/>
          <w:color w:val="111111"/>
          <w:sz w:val="28"/>
          <w:sz w:val="28"/>
          <w:szCs w:val="28"/>
          <w:rtl w:val="true"/>
          <w:lang w:bidi="ar-SA"/>
        </w:rPr>
        <w:t>على اثنتين ناسياً، والكلّ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دخل الوقت وهو حاضر، ثمّ سافر والوقت باق،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مضيّ مقدار الصلاة وشرائطها المفقودة قبل بلوغ محلّ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الخلاف لو دخل الوقت وهو مسافر فحضر والوقت باقٍ، والإتمام هنا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إدراك ركعة مع الشرائط المفقودة بعد بلوغ حدود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يقول عقيب كلّ فريضة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أنّ الاستحباب هنا مقصور على المقصورة </w:t>
      </w:r>
      <w:r>
        <w:rPr>
          <w:rStyle w:val="FootnoteAnchor"/>
          <w:rtl w:val="true"/>
        </w:rPr>
        <w:footnoteReference w:id="99"/>
      </w:r>
      <w:r>
        <w:rPr>
          <w:rFonts w:ascii="Amiri" w:hAnsi="Amiri" w:eastAsia="Amiri" w:cs="Amiri"/>
          <w:color w:val="111111"/>
          <w:sz w:val="28"/>
          <w:sz w:val="28"/>
          <w:szCs w:val="28"/>
          <w:rtl w:val="true"/>
          <w:lang w:bidi="ar-SA"/>
        </w:rPr>
        <w:t xml:space="preserve">، ولكن ورد استحباب ذلك بعد كلّ فريضة وإن كان حاضراً </w:t>
      </w:r>
      <w:r>
        <w:rPr>
          <w:rStyle w:val="FootnoteAnchor"/>
          <w:rtl w:val="true"/>
        </w:rPr>
        <w:footnoteReference w:id="100"/>
      </w:r>
      <w:r>
        <w:rPr>
          <w:rFonts w:ascii="Amiri" w:hAnsi="Amiri" w:eastAsia="Amiri" w:cs="Amiri"/>
          <w:color w:val="111111"/>
          <w:sz w:val="28"/>
          <w:sz w:val="28"/>
          <w:szCs w:val="28"/>
          <w:rtl w:val="true"/>
          <w:lang w:bidi="ar-SA"/>
        </w:rPr>
        <w:t>، فيدخل المسافر ويبقى الاستحباب عقيب مقصورة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إلى مسافة فمنعه مانع اعتبر فإن كان بحيث يخفى عليه الأذان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إلى مسافة فردّته الريح، فإن بلغ سماع الأذان أتمّ، وإلّا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بالأذان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بلده، فلو كان غيره بقي على القصر وإن كان قد نوى نيّة المقام عشرة وصلّى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عزم على الإقامة في غير بلده عشرة أياّم ثمّ خرج إلى ما دون المسافة، فإن عزم على العود والإقامة أتمّ ذاهباً وعائداً وفي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خرج بعد الصلاة تماماً، أو ما في حكمها، وإلّا رجع إلى القصر بمجرّد الرجوع عن النيّة مطلقاً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عشرة مستأنفة، وحينئذٍ فيتوقّف القصر على السفر إلى مسافة ولم يحصل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هنا بين نيّة الإقامة العشرة في بلد الإقامة الأُولى وغيرها ممّا هو دون المسافة، ولا بين تعليق إقامتها على وصوله إلى المحلّ، أو بعد تردّد إليه، أو إلى غيره ممّا يقصر عنها مرّة ومراراً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عزم على العود من دون الإقامة أتمّ ذاهباً وفي ما خرج إليه، وقصّر عائداً إن قصد مسافة،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عزم على عدم العود، أو تردّد فيه أو في الإقامة معه، أو ذهل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صلاة بنيّة القصر، ثمّ عنّ له الإقامة أتمّ، ولو نوى الإقامة عشراً ودخل في صلاته فعنّ له السفر، لم يرجع إلى التقصير،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الرجوع إلى القصر ما لم يركع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جدّد العزم بعد الفراغ لم يجز التقصير ما دام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جدّده بعد الركوع من الثالثة وإن لم يتمّ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الاعتبار في القضاء بحال فوات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القضاء تابع للأداء فيهما، فيكون الاعتبار بحال الوجوب في الأوّل، وبحال الفوات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نافلة الزوال فلم يصلّ وسافر استحبّ له قضاؤها، ولو في السفر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بالقضاء هنا الفعل، فإن كان وقتها باقياً صلّاها أداء، وإلّا قضاء</w:t>
      </w:r>
      <w:r>
        <w:rPr>
          <w:rFonts w:eastAsia="Amiri" w:cs="Amiri" w:ascii="Amiri" w:hAnsi="Amiri"/>
          <w:color w:val="111111"/>
          <w:sz w:val="28"/>
          <w:szCs w:val="28"/>
          <w:rtl w:val="true"/>
          <w:lang w:bidi="ar-SA"/>
        </w:rPr>
        <w:t xml:space="preserve">. </w:t>
      </w:r>
      <w:bookmarkStart w:id="349" w:name="pg10178_83605"/>
    </w:p>
    <w:p>
      <w:pPr>
        <w:pStyle w:val="Heading2"/>
        <w:numPr>
          <w:ilvl w:val="1"/>
          <w:numId w:val="1"/>
        </w:numPr>
        <w:rPr/>
      </w:pPr>
      <w:bookmarkStart w:id="350" w:name="__RefHeading___Toc2018584_1067777946"/>
      <w:bookmarkStart w:id="351" w:name="_Toc130"/>
      <w:bookmarkEnd w:id="349"/>
      <w:bookmarkEnd w:id="350"/>
      <w:r>
        <w:rPr>
          <w:rtl w:val="true"/>
        </w:rPr>
        <w:t>كتاب الزكاة</w:t>
      </w:r>
      <w:bookmarkEnd w:id="351"/>
    </w:p>
    <w:p>
      <w:pPr>
        <w:pStyle w:val="Heading3"/>
        <w:numPr>
          <w:ilvl w:val="2"/>
          <w:numId w:val="1"/>
        </w:numPr>
        <w:rPr/>
      </w:pPr>
      <w:bookmarkStart w:id="352" w:name="__RefHeading___Toc2018586_1067777946"/>
      <w:bookmarkStart w:id="353" w:name="_Toc131"/>
      <w:bookmarkEnd w:id="352"/>
      <w:r>
        <w:rPr>
          <w:rtl w:val="true"/>
        </w:rPr>
        <w:t>[</w:t>
      </w:r>
      <w:r>
        <w:rPr>
          <w:rtl w:val="true"/>
        </w:rPr>
        <w:t>القسم الأوّل في زكاة المال</w:t>
      </w:r>
      <w:r>
        <w:rPr>
          <w:rtl w:val="true"/>
        </w:rPr>
        <w:t>]</w:t>
      </w:r>
      <w:bookmarkEnd w:id="353"/>
    </w:p>
    <w:p>
      <w:pPr>
        <w:pStyle w:val="Heading4"/>
        <w:numPr>
          <w:ilvl w:val="3"/>
          <w:numId w:val="1"/>
        </w:numPr>
        <w:rPr/>
      </w:pPr>
      <w:bookmarkStart w:id="354" w:name="__RefHeading___Toc2018588_1067777946"/>
      <w:bookmarkStart w:id="355" w:name="_Toc132"/>
      <w:bookmarkEnd w:id="354"/>
      <w:r>
        <w:rPr>
          <w:rtl w:val="true"/>
        </w:rPr>
        <w:t>[</w:t>
      </w:r>
      <w:r>
        <w:rPr>
          <w:rtl w:val="true"/>
        </w:rPr>
        <w:t>من تجب عليه</w:t>
      </w:r>
      <w:r>
        <w:rPr>
          <w:rtl w:val="true"/>
        </w:rPr>
        <w:t>]</w:t>
      </w:r>
      <w:bookmarkEnd w:id="3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فالبلوغ يعتبر في الذهب والفضّة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اتّجر له من إليه النظر استحبّ له إخراج الزكاة من مال الطفل وإن ضمنه واتّجر لنفسه وكان مليّاً كان الربح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بضمانه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ملكه بوجه شرعي كالقرض، وبملائه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مال بقدر مال الطفل المضمون فاضلاً عن المستثنيات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يكن مليّاً، أو لم يكن وليّاً، كان ضامناً، ولليتيم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يكون الربح لليتيم مع الشراء بالعين وكون المشتري وليّاً، أو مع إجازته وحصول الغبطة للطفل، وإلّا بطل البيع مع انتفاء أحد الأمرين، ووقع للمشتري مع انتفاء الأوّل، فالزكاة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وتستحبّ الزكاة في غلّات الطفل ومواشيه،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المجنون حكم الطفل، والأصحّ أنّه لا زكاة في ماله إلّا في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بالصامت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ويقابله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المواشي والغلّات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والمملوك لا تجب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ملّكه سيّده مالاً وصرّفه فيه لم تجب عليه </w:t>
      </w:r>
    </w:p>
    <w:p>
      <w:pPr>
        <w:pStyle w:val="BookText"/>
        <w:rPr/>
      </w:pPr>
      <w:r>
        <w:rPr>
          <w:rFonts w:ascii="Amiri" w:hAnsi="Amiri" w:eastAsia="Amiri" w:cs="Amiri"/>
          <w:color w:val="111111"/>
          <w:sz w:val="28"/>
          <w:sz w:val="28"/>
          <w:szCs w:val="28"/>
          <w:rtl w:val="true"/>
          <w:lang w:bidi="ar-SA"/>
        </w:rPr>
        <w:t>الزكاة،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وتجب عليه الزكاة،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والزكاة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أُوصي له اعتبر الحول بعد الوفاة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وتمكّنه من بعضه، وإلّا فمن حين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نصاباً جرى في الحول من حين العقد لا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تمكّنه من قبضه، وإلّا فمن حين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البائع، أو هما، خياراً زائداً على الثلاثة بني على القول بانتقال الملك، والوجه أنّه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تجري الغنيمة في الحول إلّا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الغانم أو وكيله، ولا يكفي قبض الإمام، نعم لو عزلها قابضاً عنه تمّ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في أثناء الحول الصدقة بعين النصاب انقطع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نذر أن يتصدّق به، فإنّ الزكاة لا تجب وإن بقي على ملكه إلى حين التصدّق؛ لمنعه من التصرّف فيه، وأولى منه ما لو نذر جعله صدقة، والفرق بينهما احتياج الأوّل إلى ارتفاع صيغة التصدّق في خروجه عن ملكه، بخلاف الثاني فإنّه يصير صدقة بمجرّد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نذر الصدقة بمال في الذمّة لم يكن مانعاً من وجوب الزكاة في ماله وإن كان بصفة المنذور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وإمكان أداء الواجب معتبر في الضمان لا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الزكاة بحول الحول وإن لم يجد المستحقّ، لكن لو تلف النصاب قبل التمكّن من أداء الزكاة سقطت، ولو تلف البعض سقط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تجب الزكاة في المال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المال ممّا يعتبر فيه الحول، أمّا ما لا يعتبر فيه كالغلّات، فإن استوعب الغصب مدّة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نموّه في ملكه بأن لم يرجع حتّى بدا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ولو عاد قبله وجبت، كما لو انتقلت إلى ملكه حينئذٍ</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الرهن على الأشبه</w:t>
      </w:r>
      <w:r>
        <w:rPr>
          <w:rFonts w:eastAsia="IRNazanin" w:cs="IRNazanin"/>
          <w:color w:val="111111"/>
          <w:sz w:val="28"/>
          <w:szCs w:val="28"/>
          <w:rtl w:val="true"/>
          <w:lang w:bidi="fa-IR"/>
        </w:rPr>
        <w:t xml:space="preserve">». </w:t>
      </w:r>
      <w:bookmarkStart w:id="356" w:name="pg10178_83607"/>
    </w:p>
    <w:p>
      <w:pPr>
        <w:pStyle w:val="BookText"/>
        <w:rPr/>
      </w:pPr>
      <w:bookmarkEnd w:id="356"/>
      <w:r>
        <w:rPr>
          <w:rFonts w:ascii="Amiri" w:hAnsi="Amiri" w:eastAsia="Amiri" w:cs="Amiri"/>
          <w:color w:val="111111"/>
          <w:sz w:val="28"/>
          <w:sz w:val="28"/>
          <w:szCs w:val="28"/>
          <w:rtl w:val="true"/>
          <w:lang w:bidi="ar-SA"/>
        </w:rPr>
        <w:t>إن لم يتمكّن مالكه من فكّه، وإلّا 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نتج زكّي النتاج؛ لأنّه بمنزلة النماء، إلّا أن يشرط الواقف دخوله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 ولا المال المفقود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بالضالّ الحيوان، وبالمفقود غيره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مدّة الضلال والفقدان إطلاق الاسم عرفاً، فلو ضلّ يوماً في الحول لم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الدين حتّى يقبضه، فإن كان تأخيره من جهة صاحبه،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على مالكه،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إلّا أن يعيّنه المديون ويمكّنه منه في وقته، فيجري في الحول حينئذٍ</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018590_1067777946"/>
      <w:bookmarkStart w:id="358" w:name="_Toc133"/>
      <w:bookmarkEnd w:id="357"/>
      <w:r>
        <w:rPr>
          <w:rtl w:val="true"/>
        </w:rPr>
        <w:t>[</w:t>
      </w:r>
      <w:r>
        <w:rPr>
          <w:rtl w:val="true"/>
        </w:rPr>
        <w:t>ماتجب فيه، وماتستحبّ</w:t>
      </w:r>
      <w:r>
        <w:rPr>
          <w:rtl w:val="true"/>
        </w:rPr>
        <w:t>]</w:t>
      </w:r>
      <w:bookmarkEnd w:id="3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وتستحبّ في كلّ ما تنبت الأرض ممّا يكال أو يوزن، عدا الخضر كالقَتّ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والتاء 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الخضر يُطعم للدوابّ، وهو الفصّة والرطبة والقضب </w:t>
      </w:r>
      <w:r>
        <w:rPr>
          <w:rStyle w:val="FootnoteAnchor"/>
          <w:rtl w:val="true"/>
        </w:rPr>
        <w:footnoteReference w:id="101"/>
      </w:r>
      <w:r>
        <w:rPr>
          <w:rFonts w:ascii="Amiri" w:hAnsi="Amiri" w:eastAsia="Amiri" w:cs="Amiri"/>
          <w:color w:val="111111"/>
          <w:sz w:val="28"/>
          <w:sz w:val="28"/>
          <w:szCs w:val="28"/>
          <w:rtl w:val="true"/>
          <w:lang w:bidi="ar-SA"/>
        </w:rPr>
        <w:t xml:space="preserve">، وأمّا الفتّ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نبت يُخبز حبّه ويُؤكل في الجدب، قاله إبن دريد </w:t>
      </w:r>
      <w:r>
        <w:rPr>
          <w:rStyle w:val="FootnoteAnchor"/>
          <w:rtl w:val="true"/>
        </w:rPr>
        <w:footnoteReference w:id="102"/>
      </w:r>
      <w:r>
        <w:rPr>
          <w:rFonts w:ascii="Amiri" w:hAnsi="Amiri" w:eastAsia="Amiri" w:cs="Amiri"/>
          <w:color w:val="111111"/>
          <w:sz w:val="28"/>
          <w:sz w:val="28"/>
          <w:szCs w:val="28"/>
          <w:rtl w:val="true"/>
          <w:lang w:bidi="ar-SA"/>
        </w:rPr>
        <w:t>، لكنّه ليس من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مال التجارة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 والاستحباب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تولّد حيوان بين حيوانين أحدهما زكاتي روعي في إلحاقه بالزكوي إطلاق اسمه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أُطلق عليه اسم الزكوي وجبت وإن لم يكن أحد أبويه كذلك؛ نظراً إلى قدرة الله تعالى، كما أنّه لو انتفى عنه فلا زكاة وإن كانا معاً زكویّين</w:t>
      </w:r>
      <w:r>
        <w:rPr>
          <w:rFonts w:eastAsia="IRNazanin" w:cs="IRNazanin"/>
          <w:color w:val="111111"/>
          <w:sz w:val="28"/>
          <w:szCs w:val="28"/>
          <w:rtl w:val="true"/>
          <w:lang w:bidi="fa-IR"/>
        </w:rPr>
        <w:t xml:space="preserve">. </w:t>
      </w:r>
      <w:bookmarkStart w:id="359" w:name="pg10178_83608"/>
    </w:p>
    <w:p>
      <w:pPr>
        <w:pStyle w:val="Heading4"/>
        <w:numPr>
          <w:ilvl w:val="3"/>
          <w:numId w:val="1"/>
        </w:numPr>
        <w:rPr/>
      </w:pPr>
      <w:bookmarkStart w:id="360" w:name="__RefHeading___Toc2018592_1067777946"/>
      <w:bookmarkStart w:id="361" w:name="_Toc134"/>
      <w:bookmarkEnd w:id="359"/>
      <w:bookmarkEnd w:id="360"/>
      <w:r>
        <w:rPr>
          <w:rtl w:val="true"/>
        </w:rPr>
        <w:t>[</w:t>
      </w:r>
      <w:r>
        <w:rPr>
          <w:rtl w:val="true"/>
        </w:rPr>
        <w:t>القول في زكاة الأنعام</w:t>
      </w:r>
      <w:r>
        <w:rPr>
          <w:rtl w:val="true"/>
        </w:rPr>
        <w:t>]</w:t>
      </w:r>
      <w:bookmarkEnd w:id="3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الشرائط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اعتبار النصب، وهي في الإبل اثنا عشر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مائةً وإحدى وعشرين فأربعون أو خمسون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حينئذٍ أن يقدّر بما يحصل معه استيعاب العدد، فإن حصل بأحدهما تعيّن كمائة وخمسين ومائة وستّين، وإن حصل بهما تخيّر كمائتين، وإن أمكن بهما وجب الجمع كمائة وسبعين، وإن أمكن بهما أو بأحدهما تخيّر في الثلاثة كأربعمائة، ولو لم يستوعب ذلك منهما تحرّى أكثرهما استيعاباً كمائة وإحدى وعشرين، فيقدّر بالأربعين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البقر نصابان ثلاثون وأربعون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 ما يستوعب بأحدهما أو بهما كالإبل، فيعتبر الستّين بالثلاثين، والثمانين بالأربعين، والسبعين بهما، ويتخيّر في المائة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أربعمائة فيؤخذ من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الفائدة في الوجوب وفي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عن سؤال مقدّر، وهو أنّه إذا كان على القولين يجب في أربعمائة أربع فأيّ فائدة للخلاف؛ وبوجه آخر أنّه إذا كان يجب في الثلاثمائة وواحدة أربع كالأربعمائة فأيّ فائدة في الزائد؟</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تظهر في الوجوب، أيّ في محلّ الوجوب، فإنّه إذا كانت أربعمائة فمحلّ الوجوب مجموعها على المشهور، ولو نقصت عن الأربعمائة ولو واحدة كان محلّ الوجوب الثلاثمائة والواحدة والزائد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الضمان، فإنّه إذا تلف من أربعمائة واحدة بعد الحول بغير تفريط نقص من الواجب جزء من مائة جزء من شاة، ولو كانت ناقصة عن الأربعمائة ولو واحدة وتلف منها شيء لم يسقط شيء ما دامت ثلاثمائة وواحدة؛ لوجود النصاب الموجب للأربع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جرت العادة بتسمية ما لا تتعلّق به الفريضة من الإبل شنَقاً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البقر وقَصاً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القاف، ما بين الفريضتين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 مال إنسان إلى غيره وإن اجتمعت شرائط الخِلطة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وشرائطها اتّحاد المسرح والمراح والمشرع والفحل والحالب والمحلب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الماشية تسوم سوماً إذا 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تجب الزكاة في المعلوفة، ولا في السخال، إلّا إذا استغنت عن الأُمّهات بالرعي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الأقوى أنّ ابتداء حولها من حين النتاج؛ لصحيحة زرارة عن الباقر علیه السلام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استمرار السوم جملة الحول فلو علفها بعضاً ولو يوماً استأنف الحول عند استئناف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اليوم لا يؤثّر في السنة ولا في الشهر، والمرجع في ذلك إلى العرف، فمتى خرجت عن كونها سائمة عرفاً استؤنف الحول،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باللحظة عادةً،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اجتماع السوم والعلف،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أن 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حدّ الحول شرعاً أحد عشر شهراً، فتجب الزكاة بتمامه وإن لم يكمل الحول لغة وهو اثنا عشر شهراً، لكن حقّ استقرار الوجوب مشروط ببقاء شرائط الوجوب إلى آخره، فلو اختلفت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قد دفعها إلى المستحقّ رجع بها مع علم القابض بالحال أو بقاء عينها، وإلّا فلا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 أحد شروطها في أثناء الحول بطل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نقصت عن النصاب </w:t>
      </w:r>
      <w:bookmarkStart w:id="362" w:name="pg10178_83610"/>
    </w:p>
    <w:p>
      <w:pPr>
        <w:pStyle w:val="BookText"/>
        <w:rPr/>
      </w:pPr>
      <w:bookmarkEnd w:id="362"/>
      <w:r>
        <w:rPr>
          <w:rFonts w:ascii="IRNazanin" w:hAnsi="IRNazanin" w:eastAsia="IRNazanin"/>
          <w:color w:val="111111"/>
          <w:sz w:val="28"/>
          <w:sz w:val="28"/>
          <w:szCs w:val="28"/>
          <w:rtl w:val="true"/>
          <w:lang w:bidi="fa-IR"/>
        </w:rPr>
        <w:t>فأتمّها أو عاوضها بجنسها أو بمثلها على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قويٌّ، والمراد بالجنس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كالغنم الشامل لصنفيه، وبالمثل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الصنفيّة كالضأن بالضأن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فراراً وجبت الزكاة،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 السخال مع الأُمّهات، بل لكلّ منهما حول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السخال نصاباً مستقلّاً بعد نصاب الأُمّهات، كما لو ولدت خمسُ من الإبل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غير مستقلّ بعد الأوّل فالأقوى أنّه لا يبتدئ الحول لها حتّى يكمل حول الأُمّهات، ثمّ يستأنف لهما، وكذا لو ملك عدداً بعد جريان الأوّل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فرّط المالك ضمن، وإن لم يكن فرّط سقط من الفريضة بنسبة التالف من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التفريط بوجود المستحقّ والقدرة على دفعها إليه، وعدمه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ارتدّ المسلم قبل الحول لم تجب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به عن المسلمة، فإنّ ارتدادها لا يقطع الحول كالمرتدّ عن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ووجبت الزكاة عند تمام الحول ما دام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الإمام أو الساعي النيّة، ويجزئ عنه وإن عاد إلى الإسلام، بخلاف ما لو أدّاها بنفسه، إلّا أن تكون العين باقية والقابض عالماً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تكون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كونها عوامل إلى العرف كالسوم، فلا تقدح الساعة ولا اليوم في الحول، ولا في الشهر</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2018594_1067777946"/>
      <w:bookmarkStart w:id="364" w:name="_Toc135"/>
      <w:bookmarkEnd w:id="363"/>
      <w:r>
        <w:rPr>
          <w:rtl w:val="true"/>
        </w:rPr>
        <w:t>[</w:t>
      </w:r>
      <w:r>
        <w:rPr>
          <w:rtl w:val="true"/>
        </w:rPr>
        <w:t>القول في الفريضة</w:t>
      </w:r>
      <w:r>
        <w:rPr>
          <w:rtl w:val="true"/>
        </w:rPr>
        <w:t>]</w:t>
      </w:r>
      <w:bookmarkEnd w:id="3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أمكن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فرض كلّ واحد من الأمرين، كان المالك بالخيار في إخراج أيّهما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كمائتين، فإنّه يتخيّر في إخراج أربع حقق أو خمس بنات لبون، وأشار بذلك إلى أنّه يتعيّن التقدير بما لا يحصل به نقص على الفقراء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في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بنت مخاض وليست عنده أجزأه ابن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عنده لم يجزئ ابن اللبون وإن كان عنده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وجبت عليه سنّ وليست عنده وعنده أعلى منها بسنّ، دفعها وأخذ شاتين أو 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دفع شاة وعشرة دراهم وأخذها، ثمّ إن كان المالك هو الدافع أوقعَ النيّة على المجموع، وإن كان الآخذ أوقعَها عليه كذلك واشترط على المعطي ما يجبر به الزيادة، فيكون نيّة وشرطاً لا نيّة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تفاوتت الأسنان بأزيد من درجة لم يتضاعف التقدير الشرعي، ورجع في التقاصّ إلى القيمة السوقيّة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فوق الجذع من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يجزئ عن الواجب بدون الجبر، بل يعتبر بالقيمة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في أسنان الفرائض، بنت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للحوامل، وهو اسم جنس لا واحد له من لفظه، والمراد ببنت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شأنها أن تكون حاملاً، سواء لقحت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وبنت اللَبون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لبن ولو بالصلاحيّة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الإبل إذا كمل لها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بفتح الجيم والذال، وجمعها جَذَعات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في تلك السنّ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والشاة التي تؤخذ في الزكاة،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الجذع من الضأن</w:t>
      </w:r>
      <w:r>
        <w:rPr>
          <w:rFonts w:eastAsia="Amiri" w:cs="Amiri" w:ascii="Amiri" w:hAnsi="Amiri"/>
          <w:color w:val="111111"/>
          <w:sz w:val="28"/>
          <w:szCs w:val="28"/>
          <w:rtl w:val="true"/>
          <w:lang w:bidi="ar-SA"/>
        </w:rPr>
        <w:t xml:space="preserve">». </w:t>
      </w:r>
      <w:bookmarkStart w:id="365" w:name="pg10178_83612"/>
    </w:p>
    <w:p>
      <w:pPr>
        <w:pStyle w:val="BookText"/>
        <w:rPr/>
      </w:pPr>
      <w:bookmarkEnd w:id="365"/>
      <w:r>
        <w:rPr>
          <w:rFonts w:ascii="Amiri" w:hAnsi="Amiri" w:eastAsia="Amiri" w:cs="Amiri"/>
          <w:color w:val="111111"/>
          <w:sz w:val="28"/>
          <w:sz w:val="28"/>
          <w:szCs w:val="28"/>
          <w:rtl w:val="true"/>
          <w:lang w:bidi="ar-SA"/>
        </w:rPr>
        <w:t>قويٌّ، وسنّ الجذع سبعة أشهر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 المريضة ولا الهرمة ولا ذات العوار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في النصاب صحيح أو فتيّ أو سليم من العوار، أمّا لو كان جميعه كذلك أجزأ الإخراج منه، ولو اختلفت قسّط إن لم يتبرّع بالجيّد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يتخيّر المالك مطلقاً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018596_1067777946"/>
      <w:bookmarkStart w:id="367" w:name="_Toc136"/>
      <w:bookmarkEnd w:id="366"/>
      <w:r>
        <w:rPr>
          <w:rtl w:val="true"/>
        </w:rPr>
        <w:t>[</w:t>
      </w:r>
      <w:r>
        <w:rPr>
          <w:rtl w:val="true"/>
        </w:rPr>
        <w:t>اللواحق</w:t>
      </w:r>
      <w:r>
        <w:rPr>
          <w:rtl w:val="true"/>
        </w:rPr>
        <w:t>]</w:t>
      </w:r>
      <w:bookmarkEnd w:id="3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أمهر امرأةً نصاباً وحال عليه الحول في يدها فطلّقها قبل الدخول وبعد الحول كان له النصف موفَّراً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ينقص النصف عليه بسبب الزكاة وإن كان لها الإخراج من عينه، فتغرم له حينئذٍ نصف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وجوب الزكاة عليها بين أن يكون الطلاق قبل تمكّنها من الإخراج وبعده، ولا يلحق الأوّل بتلف النصاب بغير تفريط؛ لرجوع عوضه إليها وهو البضع، بخلاف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عنده ستّ وعشرون من الإبل فإن مضى عليها حولان وجب عليه بنت مخاض وخمس شياه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في النصاب بنت مخاض أو ما في معناها؛ ليسلم للحول الثاني خمس وعشرون تامّة 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فرض كونها زائدة عليها في السنّ والقيمة، أمكن أن يفرض خروج بنت المخاض عن الحول الأوّل من جزء واحدة من النصاب، ويبقى من المخرج منه قيمة خمس شياه، فيجب في الثالث خمس أُخرى، بل يمكن تعدّد الخمس أيضاً، ويمكن العكس، بأن يكون النصاب بأجمعه ناقصاً عن بنت المخاض، كما لو كانوا ذكراناً، ينقص قيمة كلّ واحد ثمنها، فينقص من الحول الأوّل عن خمس وعشرين، فلا يجب للثاني خمس، وهذا كلّه وارد على إطلاق العبارة</w:t>
      </w:r>
      <w:r>
        <w:rPr>
          <w:rFonts w:eastAsia="Amiri" w:cs="Amiri" w:ascii="Amiri" w:hAnsi="Amiri"/>
          <w:color w:val="111111"/>
          <w:sz w:val="28"/>
          <w:szCs w:val="28"/>
          <w:rtl w:val="true"/>
          <w:lang w:bidi="ar-SA"/>
        </w:rPr>
        <w:t xml:space="preserve">. </w:t>
      </w:r>
      <w:bookmarkStart w:id="368" w:name="pg10178_83613"/>
    </w:p>
    <w:p>
      <w:pPr>
        <w:pStyle w:val="BookText"/>
        <w:rPr/>
      </w:pPr>
      <w:bookmarkEnd w:id="36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والنصاب المجتمع من المعز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الإبل العراب والبَخاتي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العراب بكسر العين، والبَخاتي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بُختي بضمّها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والمالك بالخيار في إخراج الفريضة من أيّ الصنفين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تساويهما قيمة أو بذله الأجود، وإلّا فالأجود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على مالي الحول، أو قد أخرجت ما وجب عليّ قبلُ منه، ولم يكن عليه بيّنة ولا يمين ولو شهد عليه شاهدان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تقبل شهادتهما بعدم الإخراج إذا انحصرت على وجه ينضبط؛ إذ الشهادة على النفي الصرف غير مسموعة، وضبطها بأن يدّعي إخراج شاة معيّنة في وقت معيّن، فيشهد الشاهدان بموتها قبل ذلك، أو أنّه أخرج دينه على فلان فيشهدان ببراءته قبله،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الوالد إلى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 الوالد عن قرب بمنزلة النفساء من الإنسان، والمانع من إخراجها المرض، فلا تجزئ وإن رضي المالك بدفعها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الأكولة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بفتح الهمزة، ولو دفعها المالك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فحل الضراب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القويّ المحتاج إليه لضرب الإناث التي عنده عادةً، فلو استغنى عنها أو عن بعضها كان كغيره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018598_1067777946"/>
      <w:bookmarkStart w:id="370" w:name="_Toc137"/>
      <w:bookmarkEnd w:id="369"/>
      <w:r>
        <w:rPr>
          <w:rtl w:val="true"/>
        </w:rPr>
        <w:t>[</w:t>
      </w:r>
      <w:r>
        <w:rPr>
          <w:rtl w:val="true"/>
        </w:rPr>
        <w:t>القول في زكاة الذهب والفضّة</w:t>
      </w:r>
      <w:r>
        <w:rPr>
          <w:rtl w:val="true"/>
        </w:rPr>
        <w:t>]</w:t>
      </w:r>
      <w:bookmarkEnd w:id="370"/>
    </w:p>
    <w:p>
      <w:pPr>
        <w:pStyle w:val="Heading5"/>
        <w:numPr>
          <w:ilvl w:val="4"/>
          <w:numId w:val="1"/>
        </w:numPr>
        <w:rPr/>
      </w:pPr>
      <w:bookmarkStart w:id="371" w:name="__RefHeading___Toc2018600_1067777946"/>
      <w:bookmarkStart w:id="372" w:name="_Toc138"/>
      <w:bookmarkEnd w:id="371"/>
      <w:r>
        <w:rPr>
          <w:rtl w:val="true"/>
        </w:rPr>
        <w:t>[</w:t>
      </w:r>
      <w:r>
        <w:rPr>
          <w:rtl w:val="true"/>
        </w:rPr>
        <w:t>النصاب</w:t>
      </w:r>
      <w:r>
        <w:rPr>
          <w:rtl w:val="true"/>
        </w:rPr>
        <w:t>]</w:t>
      </w:r>
      <w:bookmarkEnd w:id="3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الزكاة في الذهب حتّى يبلغ عشرين ديناراً</w:t>
      </w:r>
      <w:r>
        <w:rPr>
          <w:rFonts w:eastAsia="Amiri" w:cs="Amiri" w:ascii="Amiri" w:hAnsi="Amiri"/>
          <w:color w:val="111111"/>
          <w:sz w:val="28"/>
          <w:szCs w:val="28"/>
          <w:rtl w:val="true"/>
          <w:lang w:bidi="ar-SA"/>
        </w:rPr>
        <w:t xml:space="preserve">». </w:t>
      </w:r>
      <w:bookmarkStart w:id="373" w:name="pg10178_83614"/>
    </w:p>
    <w:p>
      <w:pPr>
        <w:pStyle w:val="BookText"/>
        <w:rPr/>
      </w:pPr>
      <w:bookmarkEnd w:id="373"/>
      <w:r>
        <w:rPr>
          <w:rFonts w:ascii="Amiri" w:hAnsi="Amiri" w:eastAsia="Amiri" w:cs="Amiri"/>
          <w:color w:val="111111"/>
          <w:sz w:val="28"/>
          <w:sz w:val="28"/>
          <w:szCs w:val="28"/>
          <w:rtl w:val="true"/>
          <w:lang w:bidi="ar-SA"/>
        </w:rPr>
        <w:t>المراد بالدينار هنا المثقال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العين حتّى تبلغ أربعين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فيما ينقص عن الأربعين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نقص في جميع الموازين، أمّا لو نقص في بعضها وكمل في بعض مع كونها غالبة في المعاملة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مقدار العشرة سبعة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بذلك بيان قدر المثقال؛ إذ لم يسبق له ذكر، وقد استفيد منه أنّ الدينار درهم وثلاثة أسباع درهم، وأنّ الدرهم نصف الدينار وخمسه، فيكون النصاب الأوّل من الذهب ثمانية وعشرين درهماً وأربعة أسباع درهم</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018602_1067777946"/>
      <w:bookmarkStart w:id="375" w:name="_Toc139"/>
      <w:bookmarkEnd w:id="374"/>
      <w:r>
        <w:rPr>
          <w:rtl w:val="true"/>
        </w:rPr>
        <w:t>[</w:t>
      </w:r>
      <w:r>
        <w:rPr>
          <w:rtl w:val="true"/>
        </w:rPr>
        <w:t>شروط وجوبها</w:t>
      </w:r>
      <w:r>
        <w:rPr>
          <w:rtl w:val="true"/>
        </w:rPr>
        <w:t>]</w:t>
      </w:r>
      <w:bookmarkEnd w:id="3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نقص في أثنائه، أو تبدّلت أعيان النصاب بغير جنسه أو بجنسه لم تجب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بالجنس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النوعيّة، كما لو أُبدل الذهب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الآخر، كالذهب بالفضّة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منع من التصرّف فيه سواء كان المنع شرعيّاً كالوقف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جواز وقف الدراهم والدنانير، والمصنّف لا يراه، ومع ذلك فهو مستغن عنه بما ذكر في أوّل الكتاب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الزكاة في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أنّ زكاة الحليّ إعارته استحباباً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السَبائك والنِقار والتبر</w:t>
      </w:r>
      <w:r>
        <w:rPr>
          <w:rFonts w:eastAsia="Amiri" w:cs="Amiri" w:ascii="Amiri" w:hAnsi="Amiri"/>
          <w:color w:val="111111"/>
          <w:sz w:val="28"/>
          <w:szCs w:val="28"/>
          <w:rtl w:val="true"/>
          <w:lang w:bidi="ar-SA"/>
        </w:rPr>
        <w:t xml:space="preserve">». </w:t>
      </w:r>
      <w:bookmarkStart w:id="376" w:name="pg10178_83615"/>
    </w:p>
    <w:p>
      <w:pPr>
        <w:pStyle w:val="BookText"/>
        <w:rPr/>
      </w:pPr>
      <w:bookmarkEnd w:id="376"/>
      <w:r>
        <w:rPr>
          <w:rFonts w:ascii="Amiri" w:hAnsi="Amiri" w:eastAsia="Amiri" w:cs="Amiri"/>
          <w:color w:val="111111"/>
          <w:sz w:val="28"/>
          <w:sz w:val="28"/>
          <w:szCs w:val="28"/>
          <w:rtl w:val="true"/>
          <w:lang w:bidi="ar-SA"/>
        </w:rPr>
        <w:t>السَبائك أعمّ من الذهب والفضّة والتبر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نُقرة 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الفضّة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 ما كان من الذهب غير مضروب، وبعضهم يجعله كذلك من الفضّة أيضاً </w:t>
      </w:r>
      <w:r>
        <w:rPr>
          <w:rStyle w:val="FootnoteAnchor"/>
          <w:rtl w:val="true"/>
        </w:rPr>
        <w:footnoteReference w:id="106"/>
      </w:r>
      <w:r>
        <w:rPr>
          <w:rFonts w:ascii="Amiri" w:hAnsi="Amiri" w:eastAsia="Amiri" w:cs="Amiri"/>
          <w:color w:val="111111"/>
          <w:sz w:val="28"/>
          <w:sz w:val="28"/>
          <w:szCs w:val="28"/>
          <w:rtl w:val="true"/>
          <w:lang w:bidi="ar-SA"/>
        </w:rPr>
        <w:t>، ومن هنا يظهر تداخل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عملهما كذلك فراراً وجبت الزكاة ولو كان قبل الحول، والاستحباب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2018604_1067777946"/>
      <w:bookmarkStart w:id="378" w:name="_Toc140"/>
      <w:bookmarkEnd w:id="377"/>
      <w:r>
        <w:rPr>
          <w:rtl w:val="true"/>
        </w:rPr>
        <w:t>[</w:t>
      </w:r>
      <w:r>
        <w:rPr>
          <w:rtl w:val="true"/>
        </w:rPr>
        <w:t>أحكام زكاة الذهب والفضّة</w:t>
      </w:r>
      <w:r>
        <w:rPr>
          <w:rtl w:val="true"/>
        </w:rPr>
        <w:t>]</w:t>
      </w:r>
      <w:bookmarkEnd w:id="3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معه دراهم مغشوشة، فإن عرف قدر الفضّة، أخرج الزكاة عنها فضّة خالصة وعن الجملة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عنده ثلاثمائة درهم والغش ثلثها، فإن شاء أخرج خمسة جياداً، وإن شاء سبعة ونصفاً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المقترض الزكاة على المقرض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دفن مالاً وجَهِل موضعه، أو ورث مالاً ولم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بوصوله إليه تمكّنه من قبضه وإن لم يكن في يده، وفي حكم وصوله إليه وصوله إلى يد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ترك نفقة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معرّضة للإتلاف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الزكاة عنها مع غيبة المالك، وتجب لو كان حاضراً،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فيها على التقديرين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التعليل بكونها معرّضة للإتلاف لا يصلح دليلاً لإسقاط الزكاة، فقد وجبت في كثير ممّا هو معرّض له حيث يكون الملك تامّاً، وإنّما الاعتماد على النصوص الواردة بذلك، وعمل بمضمونها الكثير، وفيه مع ذلك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379" w:name="pg10178_83616"/>
    </w:p>
    <w:p>
      <w:pPr>
        <w:pStyle w:val="Heading4"/>
        <w:numPr>
          <w:ilvl w:val="3"/>
          <w:numId w:val="1"/>
        </w:numPr>
        <w:rPr/>
      </w:pPr>
      <w:bookmarkStart w:id="380" w:name="__RefHeading___Toc2018606_1067777946"/>
      <w:bookmarkStart w:id="381" w:name="_Toc141"/>
      <w:bookmarkEnd w:id="379"/>
      <w:bookmarkEnd w:id="380"/>
      <w:r>
        <w:rPr>
          <w:rtl w:val="true"/>
        </w:rPr>
        <w:t>[</w:t>
      </w:r>
      <w:r>
        <w:rPr>
          <w:rtl w:val="true"/>
        </w:rPr>
        <w:t>القول في</w:t>
      </w:r>
      <w:r>
        <w:rPr>
          <w:rtl w:val="true"/>
        </w:rPr>
        <w:t xml:space="preserve">] </w:t>
      </w:r>
      <w:r>
        <w:rPr>
          <w:rtl w:val="true"/>
        </w:rPr>
        <w:t>زكاة الغلّات</w:t>
      </w:r>
      <w:bookmarkEnd w:id="381"/>
    </w:p>
    <w:p>
      <w:pPr>
        <w:pStyle w:val="Heading5"/>
        <w:numPr>
          <w:ilvl w:val="4"/>
          <w:numId w:val="1"/>
        </w:numPr>
        <w:rPr/>
      </w:pPr>
      <w:bookmarkStart w:id="382" w:name="__RefHeading___Toc2018608_1067777946"/>
      <w:bookmarkStart w:id="383" w:name="_Toc142"/>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يستحبّ فيما عدا ذلك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يدخل المكيال والميزان، كالذرة والأرزّ والعدس والماش والسُلْت والعَلَس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الشعير </w:t>
      </w:r>
      <w:r>
        <w:rPr>
          <w:rStyle w:val="FootnoteAnchor"/>
          <w:rtl w:val="true"/>
        </w:rPr>
        <w:footnoteReference w:id="108"/>
      </w:r>
      <w:r>
        <w:rPr>
          <w:rFonts w:ascii="Amiri" w:hAnsi="Amiri" w:eastAsia="Amiri" w:cs="Amiri"/>
          <w:color w:val="111111"/>
          <w:sz w:val="28"/>
          <w:sz w:val="28"/>
          <w:szCs w:val="28"/>
          <w:rtl w:val="true"/>
          <w:lang w:bidi="ar-SA"/>
        </w:rPr>
        <w:t xml:space="preserve">، والعَلَس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الحنطة </w:t>
      </w:r>
      <w:r>
        <w:rPr>
          <w:rStyle w:val="FootnoteAnchor"/>
          <w:rtl w:val="true"/>
        </w:rPr>
        <w:footnoteReference w:id="10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وجوب الزكاة فيهما، وضمّ كلّ منهما إلى صنفه لو اجتمعا </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2018610_1067777946"/>
      <w:bookmarkStart w:id="385" w:name="_Toc143"/>
      <w:bookmarkEnd w:id="384"/>
      <w:r>
        <w:rPr>
          <w:rtl w:val="true"/>
        </w:rPr>
        <w:t>[</w:t>
      </w:r>
      <w:r>
        <w:rPr>
          <w:rtl w:val="true"/>
        </w:rPr>
        <w:t>شروطها</w:t>
      </w:r>
      <w:r>
        <w:rPr>
          <w:rtl w:val="true"/>
        </w:rPr>
        <w:t>]</w:t>
      </w:r>
      <w:bookmarkEnd w:id="3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الذي تتعلّق به الزكاة من الأجناس أن يسمّى حنطةً أو شعيراً أو تمراً أو زبيباً،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احمرّ ثمر النخل أو اصفرّ أو انعقد الحصرم،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هو الأشهر، وعلى القولين فوقت الإخراج التصفية والتشميس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عدم جواز التصرّف فيها بعد الانعقاد وما في معناه حتّى يخرصها ويضمن حقّه الواجب على الثاني دون الأوّل، وفيما لو نقلها إلى غيره بين الوقتين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الإخراج في الغلّة إذا صفت، وفي التمر بعد اخترافه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اجتناؤه، كالاقتطاف للعنب، وفي جعل ذلك وقت الإخراج</w:t>
      </w:r>
    </w:p>
    <w:p>
      <w:pPr>
        <w:pStyle w:val="BookText"/>
        <w:rPr/>
      </w:pPr>
      <w:r>
        <w:rPr>
          <w:rFonts w:ascii="Amiri" w:hAnsi="Amiri" w:eastAsia="Amiri" w:cs="Amiri"/>
          <w:color w:val="111111"/>
          <w:sz w:val="28"/>
          <w:sz w:val="28"/>
          <w:szCs w:val="28"/>
          <w:rtl w:val="true"/>
          <w:lang w:bidi="ar-SA"/>
        </w:rPr>
        <w:t>تجوّز، وإنّما وقته بعد يبس الثمرة وصيرورتها تمراً أو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الزكاة في الغلّات إلّا إذا مُلكت بالزراعة، لا بغيرها من الأسباب كالابتياع والهبة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بالزراعة هنا انعقاد الثمرة على ملكه أو احمرارها أو اصفرارها، فالمنفي في </w:t>
      </w:r>
      <w:bookmarkStart w:id="386" w:name="pg10178_83617"/>
    </w:p>
    <w:p>
      <w:pPr>
        <w:pStyle w:val="BookText"/>
        <w:rPr/>
      </w:pPr>
      <w:bookmarkEnd w:id="38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بغيرها من الأسباب كالابتياع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وقوعه بعد تحقّق الوجوب بحصول أحد الأمور المذكورة قبل البيع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الزكاة إلّا بعد إخراج حصّة السلطان، والمؤن كلّها،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وخالف فيه الشيخ في أحد قوليه، فذهب إلى أنّها على المالك مطلقاً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النصوص ما يدلّ على المشهور،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يغرمه المالك على الغلّة، ممّا يتكرّر كلّ سنة، كالحرث والسقي وأُجرة الأعمال والأرض ومؤونة العامل حيث يشترط، وما نقص بسببه من الآلات والعوامل، ولو اشترك بينها وبين غيرها 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عين البذر إن كان من ماله، ولو اشتراه تخيّر بين إخراج المثل وثمنه وثمن الزرع والثمرة لو اشتراهما، ويعتبر النصاب بعد المؤن المتقدّمة على الوجوب وقبل المتأخّرة عنه كالحصاد</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2018612_1067777946"/>
      <w:bookmarkStart w:id="388" w:name="_Toc144"/>
      <w:bookmarkEnd w:id="387"/>
      <w:r>
        <w:rPr>
          <w:rtl w:val="true"/>
        </w:rPr>
        <w:t>[</w:t>
      </w:r>
      <w:r>
        <w:rPr>
          <w:rtl w:val="true"/>
        </w:rPr>
        <w:t>اللواحق</w:t>
      </w:r>
      <w:r>
        <w:rPr>
          <w:rtl w:val="true"/>
        </w:rPr>
        <w:t>]</w:t>
      </w:r>
      <w:bookmarkEnd w:id="3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سقي سيحاً أو بعلاً أو عذياً ففيه العشر، وما سقي بالدوالي والنواضح ففيه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سقي بالماء الجاري و نحوه ممّا لا مؤونة له، سواء كان قبل الزرع كالنيل </w:t>
      </w:r>
      <w:r>
        <w:rPr>
          <w:rStyle w:val="FootnoteAnchor"/>
          <w:rtl w:val="true"/>
        </w:rPr>
        <w:footnoteReference w:id="113"/>
      </w:r>
      <w:r>
        <w:rPr>
          <w:rFonts w:ascii="IRNazanin" w:hAnsi="IRNazanin" w:eastAsia="IRNazanin"/>
          <w:color w:val="111111"/>
          <w:sz w:val="28"/>
          <w:sz w:val="28"/>
          <w:szCs w:val="28"/>
          <w:rtl w:val="true"/>
          <w:lang w:bidi="fa-IR"/>
        </w:rPr>
        <w:t>أم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بعروقه في الأرض التي يقرب ماؤها من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سقته السماء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تديرها البقر فترفع الماء، وبحكمها الناعورة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البعير يستقى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اجتمع فيه الأمران كان الحكم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في عدد السقي، أو في مدّة العيش، أو في كثرة النفع والنموّ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تقابلت فالأولى ترجيح الأخير، ولو أُشكل الأغلب فكالاستواء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سبق ما لا يبلغ نصاباً تربّصنا في وجوب الزكاة إدراك ما يكمل نصاباً سواء أطْلَع الجميع دفعةً، أو أدرك دفعةً، أو اختلف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حيث فرّق بين الأمرين على اختلاف بينهم في ذلك </w:t>
      </w:r>
      <w:r>
        <w:rPr>
          <w:rStyle w:val="FootnoteAnchor"/>
          <w:rtl w:val="true"/>
        </w:rPr>
        <w:footnoteReference w:id="114"/>
      </w:r>
      <w:r>
        <w:rPr>
          <w:rFonts w:ascii="Amiri" w:hAnsi="Amiri" w:eastAsia="Amiri" w:cs="Amiri"/>
          <w:color w:val="111111"/>
          <w:sz w:val="28"/>
          <w:sz w:val="28"/>
          <w:szCs w:val="28"/>
          <w:rtl w:val="true"/>
          <w:lang w:bidi="ar-SA"/>
        </w:rPr>
        <w:t>، وهذه التسوية ترجع إلى أصل الحكم المدلول عليه بما ذكر، فالمسألة من اتّحاد الملك إذا ظهر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عندنا مطلقاً، سواء اتّفقا في الإدراك والإطلاع، أو بالإطلاع،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في المسألة إدراك بعضها قبل بعض، ثمّ أردفها بالتسوية بين الأمرين، فظهرت العبارة غير جيّدة، والمراد منها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نخل تطلع مرّةً، وأُخرى تطلع مرّتين،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يضمّ الثاني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أخذ الرطب عن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أخذه أصلاً، أمّا لو أخذه قيمة صحّ ولا رجوع وإن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المالك وعليه دين فظهرت الثمرة وبلغت نصاباً لم يجب على الوارث زكاتها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الدين مستوعباً للتركة، ولا فرق حينئذٍ بين اتّحاد المالك وتعدّده، وكذا لو لم يستوعب لكن لم يفضل منها للوارث ما يبلغ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قُضي الدين وفضل منها النصاب لم تجب الزكاة؛ لأنّه على حكم مال الميّت</w:t>
      </w:r>
      <w:r>
        <w:rPr>
          <w:rFonts w:eastAsia="Amiri" w:cs="Amiri" w:ascii="Amiri" w:hAnsi="Amiri"/>
          <w:color w:val="111111"/>
          <w:sz w:val="28"/>
          <w:szCs w:val="28"/>
          <w:rtl w:val="true"/>
          <w:lang w:bidi="ar-SA"/>
        </w:rPr>
        <w:t xml:space="preserve">». </w:t>
      </w:r>
      <w:bookmarkStart w:id="389" w:name="pg10178_83619"/>
    </w:p>
    <w:p>
      <w:pPr>
        <w:pStyle w:val="BookText"/>
        <w:rPr/>
      </w:pPr>
      <w:bookmarkEnd w:id="389"/>
      <w:r>
        <w:rPr>
          <w:rFonts w:ascii="Amiri" w:hAnsi="Amiri" w:eastAsia="Amiri" w:cs="Amiri"/>
          <w:color w:val="111111"/>
          <w:sz w:val="28"/>
          <w:sz w:val="28"/>
          <w:szCs w:val="28"/>
          <w:rtl w:val="true"/>
          <w:lang w:bidi="ar-SA"/>
        </w:rPr>
        <w:t>الأقوى أنّ التركة تنتقل إلى ملك الوارث، لكن يمنع منها حتّى يوفي الدين، وعلى هذا فلو فضل منها عن الدين نصاب واتّحد الوارث أو بلغ نصيبه نصاباً زكّيت،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مطلقاً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ضاقت التركة عن الدين، وقيل يقع التحاصّ بين أرباب الزكاة والديّان،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الزكاة لتعلّقها بالعين قبل تعلّق الدين بها،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نخلاً قبل أن يبدو صلاح ثمرته فالزكاة عليه وكذا إذا اشترى ثمرةً على الوجه الذي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مع الشرط المعتبر في بيع الثمرة قبل بدوّ الصلاح وهو ظهورها، أو الضمّ إليها، أو كون المبيع أزيد من عام، أو بشرط القطع على ما يختاره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ملك الثمرة بعد ذلك فالزكاة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ضمن حصّة المستحقّين، وإلّا بطل في قدرها</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2018614_1067777946"/>
      <w:bookmarkStart w:id="391" w:name="_Toc145"/>
      <w:bookmarkEnd w:id="390"/>
      <w:r>
        <w:rPr>
          <w:rtl w:val="true"/>
        </w:rPr>
        <w:t>[</w:t>
      </w:r>
      <w:r>
        <w:rPr>
          <w:rtl w:val="true"/>
        </w:rPr>
        <w:t>القول في زكاة مال التجارة</w:t>
      </w:r>
      <w:r>
        <w:rPr>
          <w:rtl w:val="true"/>
        </w:rPr>
        <w:t>]</w:t>
      </w:r>
      <w:bookmarkEnd w:id="391"/>
    </w:p>
    <w:p>
      <w:pPr>
        <w:pStyle w:val="Heading5"/>
        <w:numPr>
          <w:ilvl w:val="4"/>
          <w:numId w:val="1"/>
        </w:numPr>
        <w:rPr/>
      </w:pPr>
      <w:bookmarkStart w:id="392" w:name="__RefHeading___Toc2018616_1067777946"/>
      <w:bookmarkStart w:id="393" w:name="_Toc146"/>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المال الذي ملك بعقد معاوضة، وقصد به الاكتساب عند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العين والمنفعة، فلو استأجر عقاراً للتكسّب تحقّقت التجارة؛ وبالمعاوضة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محضة، وهي ما يقوّم طرفاها بالمال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قصد المالك عند التمليك غير شرط، بل لو تجدّد قصدها بعده كفى، وهو خيرة المصنِّف في المعتبر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اشتراه للتجارة ثمّ نوى القنية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شرط آخر غير ما ذكره في التعريف، وهو بقاء قصد الاكتساب طول </w:t>
      </w:r>
      <w:bookmarkStart w:id="394" w:name="pg10178_83620"/>
    </w:p>
    <w:p>
      <w:pPr>
        <w:pStyle w:val="BookText"/>
        <w:rPr/>
      </w:pPr>
      <w:bookmarkEnd w:id="394"/>
      <w:r>
        <w:rPr>
          <w:rFonts w:ascii="Amiri" w:hAnsi="Amiri" w:eastAsia="Amiri" w:cs="Amiri"/>
          <w:color w:val="111111"/>
          <w:sz w:val="28"/>
          <w:sz w:val="28"/>
          <w:szCs w:val="28"/>
          <w:rtl w:val="true"/>
          <w:lang w:bidi="ar-SA"/>
        </w:rPr>
        <w:t>الحول، فينتفي الوجوب أو الاستحباب بتجدّد قصد القنية في أثناء الحول كما ينتفي لو وقع ابتداءً</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018618_1067777946"/>
      <w:bookmarkStart w:id="396" w:name="_Toc147"/>
      <w:bookmarkEnd w:id="395"/>
      <w:r>
        <w:rPr>
          <w:rtl w:val="true"/>
        </w:rPr>
        <w:t>[</w:t>
      </w:r>
      <w:r>
        <w:rPr>
          <w:rtl w:val="true"/>
        </w:rPr>
        <w:t>شروطها</w:t>
      </w:r>
      <w:r>
        <w:rPr>
          <w:rtl w:val="true"/>
        </w:rPr>
        <w:t>]</w:t>
      </w:r>
      <w:bookmarkEnd w:id="3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الشروط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هنا من النصاب أحد النقدين دون غيرهما وإن كان مال التجارة من جنس آخر، فلو اشترى أربعين من الغنم للتجارة اعتبر بلوغ قيمتها النصاب الأوّل من أحد النقدين، ويعتبر في الزائد عنه بلوغ النصاب الثاني كذلك، والمخرج ربع العشر عيناً أو قيمة كالنقدين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برأس المال 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رأس ماله مائةً، فطلب بنقيصة ولو حبّة، لم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المعتبر هنا نصاب أحد النقدين كان اعتبار الحبّة من أحدهما، ويتحقّق كونها متموّلة عرفاً؛ إذ لا اعتبار بنقصان نحو حبّة الحنطة، وإنّما ينتفي الاستحباب ما دام كذلك، فلو عاد إلى أصله أو زاد استؤنف الحول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أنّه إذا مضى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زكّاه لسنة واحدة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بيده نصاب بعض الحول فاشترى به متاعاً للتجارة،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حول العرض حول الأصل، والأشبه استئناف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الخلاف ما إذا كان النصاب الأوّل من أحد النقدين، والأقوى الاستئناف مطلقاً</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018620_1067777946"/>
      <w:bookmarkStart w:id="398" w:name="_Toc148"/>
      <w:bookmarkEnd w:id="397"/>
      <w:r>
        <w:rPr>
          <w:rtl w:val="true"/>
        </w:rPr>
        <w:t>[</w:t>
      </w:r>
      <w:r>
        <w:rPr>
          <w:rtl w:val="true"/>
        </w:rPr>
        <w:t>أحكامها</w:t>
      </w:r>
      <w:r>
        <w:rPr>
          <w:rtl w:val="true"/>
        </w:rPr>
        <w:t>]</w:t>
      </w:r>
      <w:bookmarkEnd w:id="3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التجارة تتعلّق بقيمة المتاع لا بعينه، ويقوّم بالدنانير أو الدراهم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رأس المال عروضاً، أمّا لو كان أحد النقدين تعيّن تقويمه به، فإن بلغ به </w:t>
      </w:r>
    </w:p>
    <w:p>
      <w:pPr>
        <w:pStyle w:val="BookText"/>
        <w:rPr/>
      </w:pPr>
      <w:r>
        <w:rPr>
          <w:rFonts w:ascii="Amiri" w:hAnsi="Amiri" w:eastAsia="Amiri" w:cs="Amiri"/>
          <w:color w:val="111111"/>
          <w:sz w:val="28"/>
          <w:sz w:val="28"/>
          <w:szCs w:val="28"/>
          <w:rtl w:val="true"/>
          <w:lang w:bidi="ar-SA"/>
        </w:rPr>
        <w:t>النصاب ثبتت، وإلّا فلا، ولو كان منهما معاً قوّم بهما بالنسبة، ولو كان نقداً وعرضاً قسّط أيضاً على قيمته، وقوّم ما يخصّ النقد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السلعة تبلغ النصاب بأحد النقدين دون الآخر، تعلّقت بها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اشتريت بعرض أو بما بلغت به من النقد،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الزكاتان هذه وجوباً، وهذه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عاوض أربعين سائمةً بأربعين سائمةٍ للتجارة، سقط وجوب الماليّة والتجارة، واستأنف الحول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الأربعين الأُولى إن كانت للتجارة سقطت الماليّة بالمعارضة دون التجارة، وإن كانت للقنية سقطت الماليّة أيضاً، واستؤنف الحول للماليّة والتجارة، فإن بقيت الشرائط إلى آخر الحول وجبت الماليّة، وإن اختلّت شرائط الماليّة ثبتت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تخرج قبل أن ينضّ المال؟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وقاية لرأس المال،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استحقاق الفقراء له أخرجه عن كونه وقاية،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المتّجه عدم ثبوت الزكاة قبل الإنضاض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المتّخذ للنماء تستحبّ الزكاة في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إلحاقه بالتجارة في استحباب الزكاة في حاصله، وعدم اشتراط النصاب والحول فيه، وعلى هذا فلو أجّره بالنقد وبلغ نصاباً وحال عليه الحول وجبت الماليّة، ولم يمنعها الإخراج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إذا كانت إناثاً سائمةً وحال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مع ذلك أن لا تكون عوامل، وأن تكمل للمالك الواحد فرس كاملة وإن كانت بالشركة كنصف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العتاق عن كلّ فرس ديناران، وفي البراذين عن كلّ فرس دينار استحباباً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بالفرس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أبواه عربيّان كريمان، وبالبرذون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سواء كان أبواه معاً غير كريمين، وهو البرذون بالمعنى الأخصّ أم أبوه خاصّة، وهو </w:t>
      </w:r>
      <w:bookmarkStart w:id="399" w:name="pg10178_83622"/>
    </w:p>
    <w:p>
      <w:pPr>
        <w:pStyle w:val="BookText"/>
        <w:rPr/>
      </w:pPr>
      <w:bookmarkEnd w:id="399"/>
      <w:r>
        <w:rPr>
          <w:rFonts w:ascii="Amiri" w:hAnsi="Amiri" w:eastAsia="Amiri" w:cs="Amiri"/>
          <w:color w:val="111111"/>
          <w:sz w:val="28"/>
          <w:sz w:val="28"/>
          <w:szCs w:val="28"/>
          <w:rtl w:val="true"/>
          <w:lang w:bidi="ar-SA"/>
        </w:rPr>
        <w:t>المقرف، أم أُمّه خاصّة، وهو الهجين</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018622_1067777946"/>
      <w:bookmarkStart w:id="401" w:name="_Toc149"/>
      <w:bookmarkEnd w:id="400"/>
      <w:r>
        <w:rPr>
          <w:rtl w:val="true"/>
        </w:rPr>
        <w:t>[</w:t>
      </w:r>
      <w:r>
        <w:rPr>
          <w:rtl w:val="true"/>
        </w:rPr>
        <w:t>النظر الثالث فيمن تصرف إليه الزكاة</w:t>
      </w:r>
      <w:r>
        <w:rPr>
          <w:rtl w:val="true"/>
        </w:rPr>
        <w:t>]</w:t>
      </w:r>
      <w:bookmarkEnd w:id="401"/>
    </w:p>
    <w:p>
      <w:pPr>
        <w:pStyle w:val="Heading5"/>
        <w:numPr>
          <w:ilvl w:val="4"/>
          <w:numId w:val="1"/>
        </w:numPr>
        <w:rPr/>
      </w:pPr>
      <w:bookmarkStart w:id="402" w:name="__RefHeading___Toc2018624_1067777946"/>
      <w:bookmarkStart w:id="403" w:name="_Toc150"/>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أصناف المستحقّين للزكاة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اتّحاد معنى الفقراء والمساكين، وعلى الأقوى من تغايرهما فالأصناف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أراد المخرج بسط الزكاة على الأصناف استحباباً أو وجوباً حيث يجب، فإنّه يقسّمها على ما يختار من الأقسام</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018626_1067777946"/>
      <w:bookmarkStart w:id="405" w:name="_Toc151"/>
      <w:bookmarkEnd w:id="404"/>
      <w:r>
        <w:rPr>
          <w:rtl w:val="true"/>
        </w:rPr>
        <w:t>[</w:t>
      </w:r>
      <w:r>
        <w:rPr>
          <w:rtl w:val="true"/>
        </w:rPr>
        <w:t>الفقراء والمساكين</w:t>
      </w:r>
      <w:r>
        <w:rPr>
          <w:rtl w:val="true"/>
        </w:rPr>
        <w:t>]</w:t>
      </w:r>
      <w:bookmarkEnd w:id="4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الذين تقصر أموالهم عن مؤونة سنتهم،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يقصر ماله عن أحد النصب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فرّق بينهما في الآية، 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أنّ الفرق حيث يجتمعان كآية الزكاة، وأنّ المسكين أسوأ حالاً من الفقير؛ لصحيحة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الفقير الذي لا يسأل الناس، والمسكين أجهد منه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القولين فلا ثمرة مهمّة في تحقيق ذلك؛ للاتّفاق على استحقاقهما من الزكاة حيث يجتمعان، ودخول أحدهما في الآخر، حيث يذكر أحدهما، وإنّما تظهر الفائدة نادراً في مثل الوقف على أسوأهما حالاً،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يقدر على اكتساب ما يموّن به نفسه وعياله لا يحلّ له؛ لأنّه كالغني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الكسب كونه لائقاً بحاله عادةً، فلا يكلّف غيره، ولو منعه منه الاشتغال بطلب علم ديني جاز له أخذها وإن قدر عليه لو ترك، نعم لو أمكن الجمع من غير منافاة له، أو لبعضه بحيث يعتدّ به منع</w:t>
      </w:r>
      <w:r>
        <w:rPr>
          <w:rFonts w:eastAsia="Amiri" w:cs="Amiri" w:ascii="Amiri" w:hAnsi="Amiri"/>
          <w:color w:val="111111"/>
          <w:sz w:val="28"/>
          <w:szCs w:val="28"/>
          <w:rtl w:val="true"/>
          <w:lang w:bidi="ar-SA"/>
        </w:rPr>
        <w:t xml:space="preserve">. </w:t>
      </w:r>
      <w:bookmarkStart w:id="406" w:name="pg10178_83623"/>
    </w:p>
    <w:p>
      <w:pPr>
        <w:pStyle w:val="BookText"/>
        <w:rPr/>
      </w:pPr>
      <w:bookmarkEnd w:id="40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قصرت عن كفايته جاز أن يتناولها،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ما يتمّ به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إن أخذها على التعاقب، فيمنع ممّا زاد عن المرّة إن حصل بها التتمّة، أمّا لو أخذ منها دفعة ما يزيد عن التتمّة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يعطى الفقير ولو كان له دار يسكنها، أو خادم يخدمه إذا كان لا غناء 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عدم الغَناء في الخادم بعادة المخدوم لذلك، وعجزه عن الخدمة لزمانة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يستثنى له ما تقتضيه العادة، وتدفع به الحاجة وإن زاد على الواحد، ويعتبر فيه وفي الدار ما يليق بحاله عادة كميّة وكيفيّة، فالزائد فيهما يستحبّ من جملة المال كغيره، وفي حكمهما ثياب التجمّل لأهله، والدابّة والكتب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الفقر فإن عرف صدقه أو كذبه عومل بما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من أسباب الاستحقاق كالعيال والاشتغال بالعلم المانع من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له أصل مال وادّعى تلفه،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يحلف على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قبول قوله بغير يمين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إعلام الفقير أنّ المدفوع إليه زكاة، فلو كان ممّن يترفّع عنها وهو مستحقّ جاز صرفها إليه على وجه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عند وصولها إليه أو وكيله، أو بعده مع بقائها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دفعها إليه على أنّه فقير فبان غنيّاً ارتجعت مع التمكّن، فإن تعذّر كانت ثابتةً في ذمّة الآخذ، ولا يلزم الدافع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اجتهاد الدافع في البحث عن حاله، وإلّا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بان أنّ المدفوع إليه كافر، أو فاسق أو ممّن تجب عليه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كونه عبداً للدافع وغيره على الأقوى</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2018628_1067777946"/>
      <w:bookmarkStart w:id="408" w:name="_Toc152"/>
      <w:bookmarkEnd w:id="407"/>
      <w:r>
        <w:rPr>
          <w:rtl w:val="true"/>
        </w:rPr>
        <w:t>[</w:t>
      </w:r>
      <w:r>
        <w:rPr>
          <w:rtl w:val="true"/>
        </w:rPr>
        <w:t>العاملون</w:t>
      </w:r>
      <w:r>
        <w:rPr>
          <w:rtl w:val="true"/>
        </w:rPr>
        <w:t>]</w:t>
      </w:r>
      <w:bookmarkEnd w:id="40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عمّال الصدقات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الساعون في تحصيلها وتحصينها بأخذ وكتابة وحفظ ونحوه</w:t>
      </w:r>
      <w:r>
        <w:rPr>
          <w:rFonts w:eastAsia="Amiri" w:cs="Amiri" w:ascii="Amiri" w:hAnsi="Amiri"/>
          <w:color w:val="111111"/>
          <w:sz w:val="28"/>
          <w:szCs w:val="28"/>
          <w:rtl w:val="true"/>
          <w:lang w:bidi="ar-SA"/>
        </w:rPr>
        <w:t xml:space="preserve">. </w:t>
      </w:r>
      <w:bookmarkStart w:id="409" w:name="pg10178_83624"/>
    </w:p>
    <w:p>
      <w:pPr>
        <w:pStyle w:val="BookText"/>
        <w:rPr/>
      </w:pPr>
      <w:bookmarkEnd w:id="40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يستكمل فيهم أربع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يشترط الفقه في العامل على العموم، أو فيما يتوقّف عليه، والمراد الفقه بأحكام ما يتولّاه من الزكاة، ويكفي التقليد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اعتبار الحريّة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اعتباره قوّة</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018630_1067777946"/>
      <w:bookmarkStart w:id="411" w:name="_Toc153"/>
      <w:bookmarkEnd w:id="410"/>
      <w:r>
        <w:rPr>
          <w:rtl w:val="true"/>
        </w:rPr>
        <w:t>[</w:t>
      </w:r>
      <w:r>
        <w:rPr>
          <w:rtl w:val="true"/>
        </w:rPr>
        <w:t>المؤلّفة قلوبهم</w:t>
      </w:r>
      <w:r>
        <w:rPr>
          <w:rtl w:val="true"/>
        </w:rPr>
        <w:t>]</w:t>
      </w:r>
      <w:bookmarkEnd w:id="4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الكفّار الذين يستمالون إلى الجهاد، ولانعرف مؤلّفة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جماعة من الأصحاب حيث قسّموهم إلى مسلمين وكفّار، وجعلوا المسلمين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لهم نظراء من المشركين إذا أُعطوا رغب نظراؤهم في الإسلام، وقوم في نيّاتهم ضعف فتقوى به نيّاتهم، وقوم بإزائهم آخرون من أصحاب الصدقات إذا أُعطوا جبوها وأغنوا الإمام عن عامل، وقوم في أطراف بلاد الإسلام إذا أُعطوا منعوا الكفّار من الدخول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ردّ هذه الأربعة إلى سبيل الله والعاملة؛ فلذا نفاها المصنّف، والأقوى ثبوتها أصالة فاضلاً عن مؤنة الحاجة</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018632_1067777946"/>
      <w:bookmarkStart w:id="413" w:name="_Toc154"/>
      <w:bookmarkEnd w:id="412"/>
      <w:r>
        <w:rPr>
          <w:rtl w:val="true"/>
        </w:rPr>
        <w:t>[</w:t>
      </w:r>
      <w:r>
        <w:rPr>
          <w:rtl w:val="true"/>
        </w:rPr>
        <w:t>في الرقاب</w:t>
      </w:r>
      <w:r>
        <w:rPr>
          <w:rtl w:val="true"/>
        </w:rPr>
        <w:t>]</w:t>
      </w:r>
      <w:bookmarkEnd w:id="4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المكاتبون، والعبيد الذين تحت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الشدّة إلى العرف، ولا بدّ من صيغة العتق بعد الشراء، ونيّة الزكاة مقارنة للعتق أو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يشترى ويعتق، وإن لم يكن في شدّة، لكن بشرط عدم المستحقّ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يشترط ذلك إذا اشتري من سهم الرقاب، أمّا لو اشتري من سهم سبيل الله حيث يقول بشموله لكلّ قربة لم يشترط</w:t>
      </w:r>
      <w:r>
        <w:rPr>
          <w:rFonts w:eastAsia="Amiri" w:cs="Amiri" w:ascii="Amiri" w:hAnsi="Amiri"/>
          <w:color w:val="111111"/>
          <w:sz w:val="28"/>
          <w:szCs w:val="28"/>
          <w:rtl w:val="true"/>
          <w:lang w:bidi="ar-SA"/>
        </w:rPr>
        <w:t xml:space="preserve">. </w:t>
      </w:r>
      <w:bookmarkStart w:id="414" w:name="pg10178_83625"/>
    </w:p>
    <w:p>
      <w:pPr>
        <w:pStyle w:val="BookText"/>
        <w:rPr/>
      </w:pPr>
      <w:bookmarkEnd w:id="41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وهو مَن وجبت عليه كفّارة ولم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أن يعطى ثمن الرقبة ليشتري هو ويعتق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والمكاتب إنّما يعطى من هذا السهم إذا لم يكن معه ما يصرفه في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كسبه قاصر عن مال الكتابة فاضلاً عن مؤنته، فإنّه يعطى ما يتمّ به الحاجة، والأقوى حينئذٍ تخييره بين إخراج ما أخذه على نفقته وأداء النجوم من كسبه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صرفه في غيره والحال هذه جاز ارتجاعه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صرفه في غير ما يجوز له صرفه فيه كما بيّنّاه، والأولى أن يراد بالجواز هنا معناه الأعمّ؛ إذ لا يجزئ ذلك عن الزكاة مع تعيّنه لها بالدفع إليه؛ لوقوعه في محلّه وإنّما عرض له فساد التصرّف، وحينئذٍ فيتّجه عدم جواز إخراجها من غيره، فيجب ارتجاعه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أنّه كوتب،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بالبيّنة أو بحلف،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وموضع الخلاف ما لم يكذّبه مولاه</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2018634_1067777946"/>
      <w:bookmarkStart w:id="416" w:name="_Toc155"/>
      <w:bookmarkEnd w:id="415"/>
      <w:r>
        <w:rPr>
          <w:rtl w:val="true"/>
        </w:rPr>
        <w:t>[</w:t>
      </w:r>
      <w:r>
        <w:rPr>
          <w:rtl w:val="true"/>
        </w:rPr>
        <w:t>الغارمون</w:t>
      </w:r>
      <w:r>
        <w:rPr>
          <w:rtl w:val="true"/>
        </w:rPr>
        <w:t>]</w:t>
      </w:r>
      <w:bookmarkEnd w:id="4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لوتاب صرف إليه من سهم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يدفع إليه من سهم الفقراء لو كان فقيراً؛ فإنّ الغرم لا يستلزم الفقر، وإنّما يشترط التوبة لو اشترطنا العدالة، أو مجانبة الكبائر حيث تكون المعصية كبيرة، وإلّا لم يتوقّف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جهل في ما ذا أنفقه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إعطائه؛ حملاً لتصرّف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الغارم ميّتاً، جاز أن يقضي عنه وأن يقاصّ</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يقضي عنه مَن عليه الزكاة بأن يدفعها إلى صاحب الدين، ولو كانت الزكاة عليه </w:t>
      </w:r>
      <w:bookmarkStart w:id="417" w:name="pg10178_83626"/>
    </w:p>
    <w:p>
      <w:pPr>
        <w:pStyle w:val="BookText"/>
        <w:rPr/>
      </w:pPr>
      <w:bookmarkEnd w:id="417"/>
      <w:r>
        <w:rPr>
          <w:rFonts w:ascii="Amiri" w:hAnsi="Amiri" w:eastAsia="Amiri" w:cs="Amiri"/>
          <w:color w:val="111111"/>
          <w:sz w:val="28"/>
          <w:sz w:val="28"/>
          <w:szCs w:val="28"/>
          <w:rtl w:val="true"/>
          <w:lang w:bidi="ar-SA"/>
        </w:rPr>
        <w:t>قاصّه بها بأن يحتسبها عليه ويأخذها مقاصّة، ولو احتسب ما في ذمّة الميّت جاز ولم تتحقّق المقاصّة، ويشترط في الميّت استحقاق الزكاة حيّاً بأن يكون فقيراً أو غارماً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نزيد هنا أنّ الغارم الحيّ يستثنى له ما يستثنى في وفاء الدين من الدار والخادم ونحوهما، بخلاف الميّت فإنّ جميع تركته يحتسب منها الدين، فإن قصرت عن ذلك جازت المقاصّة، ولو تعذّر استيفاؤه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إمكان إثباته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 احتسابه عليه من الزكاة وإن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صرف الغارم ما دفع إليه من سهم الغارمين في غير القضاء ارتجع منه على الأشبه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تجرّدت دعواه عن التصديق والإنكار،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2018636_1067777946"/>
      <w:bookmarkStart w:id="419" w:name="_Toc156"/>
      <w:bookmarkEnd w:id="418"/>
      <w:r>
        <w:rPr>
          <w:rtl w:val="true"/>
        </w:rPr>
        <w:t>[</w:t>
      </w:r>
      <w:r>
        <w:rPr>
          <w:rtl w:val="true"/>
        </w:rPr>
        <w:t>سبيل الله</w:t>
      </w:r>
      <w:r>
        <w:rPr>
          <w:rtl w:val="true"/>
        </w:rPr>
        <w:t>]</w:t>
      </w:r>
      <w:bookmarkEnd w:id="4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الجهاد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المصالح، كبناء القناطر،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018638_1067777946"/>
      <w:bookmarkStart w:id="421" w:name="_Toc157"/>
      <w:bookmarkEnd w:id="420"/>
      <w:r>
        <w:rPr>
          <w:rtl w:val="true"/>
        </w:rPr>
        <w:t>[</w:t>
      </w:r>
      <w:r>
        <w:rPr>
          <w:rtl w:val="true"/>
        </w:rPr>
        <w:t>ابن السبيل</w:t>
      </w:r>
      <w:r>
        <w:rPr>
          <w:rtl w:val="true"/>
        </w:rPr>
        <w:t>]</w:t>
      </w:r>
      <w:bookmarkEnd w:id="4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فضل منه شيء أعاده،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إعادته إلى مالكه أو وكيله، فإن تعذّر فإلى الحاكم، ويحتمل قويّاً جواز دفعه إلى الحاكم ابتداءً، ولا فرق بين النقدين والدابّة وغيرهما من المتاع وإن كان مأكولاً</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2018640_1067777946"/>
      <w:bookmarkStart w:id="423" w:name="_Toc158"/>
      <w:bookmarkEnd w:id="422"/>
      <w:r>
        <w:rPr>
          <w:rtl w:val="true"/>
        </w:rPr>
        <w:t>[</w:t>
      </w:r>
      <w:r>
        <w:rPr>
          <w:rtl w:val="true"/>
        </w:rPr>
        <w:t>أوصاف المستحقّين</w:t>
      </w:r>
      <w:r>
        <w:rPr>
          <w:rtl w:val="true"/>
        </w:rPr>
        <w:t>]</w:t>
      </w:r>
      <w:bookmarkEnd w:id="4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فلا تعطى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ذلك المؤلّفة وبعض أفراد سبيل الله، فلا يعتبر الإيمان فيهما قطعاً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عدم المؤمن يجوز صرف الفطرة خاصّةً إلى المستضعفين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المنع من غير المؤمن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وقد اعتبرها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تعتبر عند معتبرها في غير المؤلّفة ومَن في معناهم كما مرّ في الإيمان، والمراد بالعدالة هنا على ما 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راسخة في النفس تبعث على ملازمة التقوى </w:t>
      </w:r>
      <w:r>
        <w:rPr>
          <w:rStyle w:val="FootnoteAnchor"/>
          <w:rtl w:val="true"/>
        </w:rPr>
        <w:footnoteReference w:id="119"/>
      </w:r>
      <w:r>
        <w:rPr>
          <w:rFonts w:ascii="Amiri" w:hAnsi="Amiri" w:eastAsia="Amiri" w:cs="Amiri"/>
          <w:color w:val="111111"/>
          <w:sz w:val="28"/>
          <w:sz w:val="28"/>
          <w:szCs w:val="28"/>
          <w:rtl w:val="true"/>
          <w:lang w:bidi="ar-SA"/>
        </w:rPr>
        <w:t>، ولا تعتبر المروءة فيها كما تعتبر في الشهادة، والأقوى عدم اعتبارها مطلقاً وإن كان تخصيص العدل أولى، نعم تعتبر في الساعي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النفقة غنيّ مع بذل المنفق لا مطلقاً بالنسبة إلى غير المالك، أمّا هو فلا يجزئه الدفع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تجب نفقته عاملاً جاز أن يأخذ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 القريب إنّما يمتنع دفعه لقريبه من سهم الفقراء لقوت نفسه مستقرّاً في وطنه، فلو كان من باقي الأصناف أو زادت نفقة السفر عن الحضر جاز الدفع إليه، وكذا نفقة زوجته وخادمه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كذلك لم تحلّ له زكاة غيره، وتحلّ له زكاة مثله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بالمثل مطلق الهاشمي، ويتخيّر مع وجود الخمس بينه وبين زكاة مثله وإن كان الخمس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يتمكّن الهاشمي من كفايته من الخمس، جاز له أن يأخذ من الزكاة ولو من غير هاشمي،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قدر الضرورة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بقدر الضرورة هنا قوت يوم وليلة لا مؤونة السنة، أو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إذا أمكن تحصيل قوت اليوم كلّ يوم إلى أن يحصّل الخمس، فلو علم تعذّره في بعض الأوقات جاز له أخذ مؤونة تلك المدّة المظنون فقدها فيها إلى تمام السنة</w:t>
      </w:r>
      <w:r>
        <w:rPr>
          <w:rFonts w:eastAsia="Amiri" w:cs="Amiri" w:ascii="Amiri" w:hAnsi="Amiri"/>
          <w:color w:val="111111"/>
          <w:sz w:val="28"/>
          <w:szCs w:val="28"/>
          <w:rtl w:val="true"/>
          <w:lang w:bidi="ar-SA"/>
        </w:rPr>
        <w:t xml:space="preserve">. </w:t>
      </w:r>
      <w:bookmarkStart w:id="424" w:name="pg10178_83628"/>
    </w:p>
    <w:p>
      <w:pPr>
        <w:pStyle w:val="BookText"/>
        <w:rPr/>
      </w:pPr>
      <w:bookmarkEnd w:id="42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للهاشمي أن يتناول المندوبة من هاشمي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الواجبة كالمنذورة، والكفّارة غير الزكاتين على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المراد بالهاشمي هنا غير النبيّ صلی الله علیه و آله و سلم والأئمّة علیهم السلام، فتحرم عليهم الصدقة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تحرم عليهم الصدقة الواجبة، من ولد هاشم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الآن أولاد أبي طالب، والعبّاس، والحارث وأبي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زمن النبيّ صلی الله علیه و آله و سلم فقد كانوا أزيد من ذلك ثمّ انقرضوا، منهم حمزة علیه السلام فإنّه لم يخلّف إلّا بنتاً</w:t>
      </w:r>
      <w:r>
        <w:rPr>
          <w:rFonts w:eastAsia="IRNazanin" w:cs="IRNazanin"/>
          <w:color w:val="111111"/>
          <w:sz w:val="28"/>
          <w:szCs w:val="28"/>
          <w:rtl w:val="true"/>
          <w:lang w:bidi="fa-IR"/>
        </w:rPr>
        <w:t>.</w:t>
      </w:r>
    </w:p>
    <w:p>
      <w:pPr>
        <w:pStyle w:val="Heading5"/>
        <w:numPr>
          <w:ilvl w:val="4"/>
          <w:numId w:val="1"/>
        </w:numPr>
        <w:rPr/>
      </w:pPr>
      <w:bookmarkStart w:id="425" w:name="__RefHeading___Toc2018642_1067777946"/>
      <w:bookmarkStart w:id="426" w:name="_Toc159"/>
      <w:bookmarkEnd w:id="425"/>
      <w:r>
        <w:rPr>
          <w:rtl w:val="true"/>
        </w:rPr>
        <w:t>[</w:t>
      </w:r>
      <w:r>
        <w:rPr>
          <w:rtl w:val="true"/>
        </w:rPr>
        <w:t>المتولّي لإخراج الزكاة</w:t>
      </w:r>
      <w:r>
        <w:rPr>
          <w:rtl w:val="true"/>
        </w:rPr>
        <w:t>]</w:t>
      </w:r>
      <w:bookmarkEnd w:id="4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طلبها الإمام وجب صرفها إليه، ولو فرّقها المالك والحال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وإن أثم،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وحينئذٍ فيسترجعها المالك من المستحقّ مع بقاء العين أو علم القابض بالحال،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الإمام أن ينصب عاملاً لقبض الصدقات، ويجب دفعها إليه عند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مطالبة العامل بها، ولو أخرجها المالك بنفسه حينئذٍ فالأقوى عدم الإجزاء، كما لو طلبها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يكن الإمام موجوداً دفعت إلى الفقيه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المجتهد العدل الذي لا يتوصّل إلى أخذها بالحِيل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يعدل بها إلى غير الموجود، ولا إلى غير أهل البلد مع وجود المستحقّ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الأحوط، والأقوى جواز نقلها مطلقاً خصوصاً الأفضل، والتعميم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يؤخّر دفعها مع التمكّن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جواز تأخيرها شهراً أو شهرين خصوصاً للبسط، ولا يجوز الزائد مطلقاً</w:t>
      </w:r>
      <w:r>
        <w:rPr>
          <w:rFonts w:eastAsia="Amiri" w:cs="Amiri" w:ascii="Amiri" w:hAnsi="Amiri"/>
          <w:color w:val="111111"/>
          <w:sz w:val="28"/>
          <w:szCs w:val="28"/>
          <w:rtl w:val="true"/>
          <w:lang w:bidi="ar-SA"/>
        </w:rPr>
        <w:t xml:space="preserve">. </w:t>
      </w:r>
      <w:bookmarkStart w:id="427" w:name="pg10178_83629"/>
    </w:p>
    <w:p>
      <w:pPr>
        <w:pStyle w:val="BookText"/>
        <w:rPr/>
      </w:pPr>
      <w:bookmarkEnd w:id="42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لم يجد المستحقّ جاز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وأُجرة النقل على المالك في الحالين، وعلى ما اختاره المصنِّف يجب الاقتصار به على الأقرب فالأقرب، فإن تجاوزه فكأصل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نقل الواجب إلى بلده 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يتحقّق نقل الواجب بعزله في مال خاصّ بقدره بالنيّة، وإلّا فهو ماله، فلا يتحقّق الضمان، وهذا يتمّ مع عدم المستحقّ، وإلّا ففي تعيّنه بذلك بدون قبض المستحقّ نظر؛ لأنّ الزكاة حينئذٍ كالدين لا تتعيّن إلّا بقبض المستحقّ، أو من يقوم مقامه، وكذا القول في تعيين زكاة الفطرة</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018644_1067777946"/>
      <w:bookmarkStart w:id="429" w:name="_Toc160"/>
      <w:bookmarkEnd w:id="428"/>
      <w:r>
        <w:rPr>
          <w:rtl w:val="true"/>
        </w:rPr>
        <w:t>[</w:t>
      </w:r>
      <w:r>
        <w:rPr>
          <w:rtl w:val="true"/>
        </w:rPr>
        <w:t>اللواحق</w:t>
      </w:r>
      <w:r>
        <w:rPr>
          <w:rtl w:val="true"/>
        </w:rPr>
        <w:t>]</w:t>
      </w:r>
      <w:bookmarkEnd w:id="4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قبض الإمام أو الساعي الزكاة برئت ذمّة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قبضها الفقيه الشرعي، بخلاف قبض وكيل المالك؛ إلّا أن تتلف بغير تفريط مع عزلها بالبيّنة وعدم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المالك لها مستحقّاً فالأفضل له عزلها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بذلك للزكاة، فلا يصحّ إبدالها، ولا يضمنها لو تلفت بغير تفريط، ونماؤها المتّصل تابع لها، وكذا المنفصل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الذي يُشترى من الزكاة، إذا مات ولا وارث له، ورثه أرباب الزكاة،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يرثه الإمام،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احتاجت الصدقة إلى كيل أو وزن كانت الأُجرة على المالك،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تحتسب من الزكاة،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للفقير سببان أو مازاد يستحقّ بهما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الفائدة على تقدير البسط، وفيما لو اندفعت الضرورة المعتبرة في أحد الوجوه فإنّه يجوز أن يزاد بالسبب الآخر، كما لو أُعطي ما يفي بدينه وكان عاملاً، ونحوه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يعطى الفقير ما يجب في النصاب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 النصاب </w:t>
      </w:r>
      <w:bookmarkStart w:id="430" w:name="pg10178_83630"/>
    </w:p>
    <w:p>
      <w:pPr>
        <w:pStyle w:val="BookText"/>
        <w:rPr/>
      </w:pPr>
      <w:bookmarkEnd w:id="430"/>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الأوّل، وأنّه على وجه الاستحباب حيث يمكن امتثاله، فلو لم يكن عنده سوی النصاب الأوّل والثاني، فأعطى الأوّل الواحد، جاز إعطاء الثاني لآخر من غير كراهة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قبض الإمام الزكاة دعا لصاحبها وجوباً،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وهو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الوجوب، وكذا يجب على نائبه خصوصاً كالساعي وعموماً كالفقيه، ويستحبّ من الفقير، والأولى اختصاصه بلفظ الصلاة للتأسّي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يملك ما أخرجه في الصدقة اختياراً، واجبةً كانت أو مندوبةً، ولا بأس إذا عادت إليه بميراث وما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المشابه شراء الوكيل ودفعه إليه من دينه مع موافقته له في الجنس والوصف، فإنّه يجب عليه قبوله فلا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يوسم نَعَمُ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في المِيْسَم ما أُخذت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المِكواة بكسر الميم أيضاً، ويستحبّ أن يضيف إلى ما ذكر اسم الله تعالى أيضاً</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018646_1067777946"/>
      <w:bookmarkStart w:id="432" w:name="_Toc161"/>
      <w:bookmarkEnd w:id="431"/>
      <w:r>
        <w:rPr>
          <w:rtl w:val="true"/>
        </w:rPr>
        <w:t>[</w:t>
      </w:r>
      <w:r>
        <w:rPr>
          <w:rtl w:val="true"/>
        </w:rPr>
        <w:t>القول في وقت تسليم الزكاة</w:t>
      </w:r>
      <w:r>
        <w:rPr>
          <w:rtl w:val="true"/>
        </w:rPr>
        <w:t>]</w:t>
      </w:r>
      <w:bookmarkEnd w:id="4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أهلّ الثاني عشر وجب دفع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التأخير إلّا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الأقوى جواز التأخير شهرين وإن لم يعزلها اختياراً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تقديمها قبل وقت الوجوب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تقديمها زكاة بالنيّة، فإنّ ذلك غير مجزئ، وهو المراد من عدم الجواز، وحيث وقع الدفع فاسداً لم يستبح القابض التصرّف فيها مع علمه بالحال</w:t>
      </w:r>
      <w:r>
        <w:rPr>
          <w:rFonts w:eastAsia="Amiri" w:cs="Amiri" w:ascii="Amiri" w:hAnsi="Amiri"/>
          <w:color w:val="111111"/>
          <w:sz w:val="28"/>
          <w:szCs w:val="28"/>
          <w:rtl w:val="true"/>
          <w:lang w:bidi="ar-SA"/>
        </w:rPr>
        <w:t xml:space="preserve">. </w:t>
      </w:r>
      <w:bookmarkStart w:id="433" w:name="pg10178_83631"/>
    </w:p>
    <w:p>
      <w:pPr>
        <w:pStyle w:val="BookText"/>
        <w:rPr/>
      </w:pPr>
      <w:bookmarkEnd w:id="43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النصاب يتمّ بالقرض لم تجب الزكاة، سواء كانت عينه باقيةً أو تالفةً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الشيخ </w:t>
      </w:r>
      <w:r>
        <w:rPr>
          <w:rStyle w:val="FootnoteAnchor"/>
          <w:rtl w:val="true"/>
        </w:rPr>
        <w:footnoteReference w:id="122"/>
      </w:r>
      <w:r>
        <w:rPr>
          <w:rFonts w:ascii="Amiri" w:hAnsi="Amiri" w:eastAsia="Amiri" w:cs="Amiri"/>
          <w:color w:val="111111"/>
          <w:sz w:val="28"/>
          <w:sz w:val="28"/>
          <w:szCs w:val="28"/>
          <w:rtl w:val="true"/>
          <w:lang w:bidi="ar-SA"/>
        </w:rPr>
        <w:t>حيث ذهب إلى أنّ المقترض لا يملك العين إلّا بالتصرّف، فمع بقاء عينها تكون باقية على ملك المقرض فلا يثلم النصاب بالقرض لو تمّ بها، والأقوى ملكه بالقبض فينثلم بالتصرّف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دفع إليه شاة فزادت زيادة متّصلة كالسمن لم يكن له استعادة العين مع ارتفاع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قابض الزكاة المعجّلة على وجه القرض يملكها بالقبض، سواء زادت أم لا، سواء بقي على الاستحقاق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كانت مثليّة فعليه مثلها، وإلّا فقيمتها، ولا يتعيّن عليه دفع العين لو طلبها المالك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الواجب المثلي مطلقاً، وانحصرت أفراده في العين، وطلبها المالك، تعيّن دفعها إليه مالم تزد زيادة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فتقييد المصنّف عدم استعادة العين بالزيادة وارتفاع الفقر مستغنى عنه، إلّا أن ينزّل على ما ذكرناه من وجوب المثل وتعذّره في غيرها، وإن استعادها على تقدير بقائه على الاستحقاق لاثمرة له، فيتمّ الكلام، لكنّه فرض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لونقصت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لزوم القيمة حين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استغنى بعين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استغنى بغيره استعيد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الغنى بغيره بالغني بنمائه، وبه مع غيره، كما أنّ استغناءه بعينه أو به وبغيره لا يخرج عن الفقر؛ لأنّه لو أُخذ منه صار فقيراً</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018648_1067777946"/>
      <w:bookmarkStart w:id="435" w:name="_Toc162"/>
      <w:bookmarkEnd w:id="434"/>
      <w:r>
        <w:rPr>
          <w:rtl w:val="true"/>
        </w:rPr>
        <w:t>[</w:t>
      </w:r>
      <w:r>
        <w:rPr>
          <w:rtl w:val="true"/>
        </w:rPr>
        <w:t>القول في نيّة دفع الزكاة</w:t>
      </w:r>
      <w:r>
        <w:rPr>
          <w:rtl w:val="true"/>
        </w:rPr>
        <w:t>]</w:t>
      </w:r>
      <w:bookmarkEnd w:id="43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والمراعى نيّة الدافع إن كان مالكاً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نيّة الزكاة قد تكون عند دفع المالك لها إلى المستحقّ وإلى الساعي وإلى الإمام، وعند دفع الساعي إلى الإمام، وعند دفعه أو دفع الإمام لها إلى المستحقّ، وعند دفع المالك لها إلى وكيله، ومن وكيله عند دفعها إلى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كلّها مجزئة، إلّا عند دفعها إلى وكيله خاصّة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وتتعيّن عند الدفع، ولو نوى بعد الدفع لم أستبعد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بقاء العين، أو تلفها وعلم القابض بالحال وهو أنّها زكاة غير منويّة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الغائب باقياً فهذه زكاته، وإن كان تالفاً فهي نافلة صحّ، ولا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في النيّة متحقّق في الأُولى على التقديرين، وإنّما التردّد في بقاء المال وعدمه، وذلك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الثانية فإنّ الترديد فيها حاصل بين الزكاة وغيرها على تقدير واحد، وهو حالة بقاء المال، فلم تقع النيّة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له مالان متساويان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وغائب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زكاة ونواهاعن أحدهما أجزأته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الغائب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كونه تتمّة للمسألة السابقة، بمعنى جواز إخراج بعض الحقّ عن مال غائب وحاضر وإن ضمّ إلى ذلك تقييد الغائب بكونه سالماً، وأن تكون مسألة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نوى الإخراج عن ماله الغائب إن كان سالماً، وأن يكون المراد أنّه لو كان له مالان متساويان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وغائب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فنوى بالمخرج عن الغائب إن كان سالماً، وإلّا فعن الحاضر، والحكم في الثلاثة صحيح وإن كان حمل العبارة على الأخير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أخرج عن ماله الغائب إن كان سالماً ثمّ بان تالفاً جاز نقلها إلى غيره،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بقاء العين، أو علم القابض بالشرط</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أخذها طوعاً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والإجزاء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436" w:name="pg10178_83633"/>
    </w:p>
    <w:p>
      <w:pPr>
        <w:pStyle w:val="Heading3"/>
        <w:numPr>
          <w:ilvl w:val="2"/>
          <w:numId w:val="1"/>
        </w:numPr>
        <w:rPr/>
      </w:pPr>
      <w:bookmarkStart w:id="437" w:name="__RefHeading___Toc2018650_1067777946"/>
      <w:bookmarkStart w:id="438" w:name="_Toc163"/>
      <w:bookmarkEnd w:id="436"/>
      <w:bookmarkEnd w:id="437"/>
      <w:r>
        <w:rPr>
          <w:rtl w:val="true"/>
        </w:rPr>
        <w:t>[</w:t>
      </w:r>
      <w:r>
        <w:rPr>
          <w:rtl w:val="true"/>
        </w:rPr>
        <w:t>القسم الثاني في زكاة الفطرة</w:t>
      </w:r>
      <w:r>
        <w:rPr>
          <w:rtl w:val="true"/>
        </w:rPr>
        <w:t>]</w:t>
      </w:r>
      <w:bookmarkEnd w:id="438"/>
    </w:p>
    <w:p>
      <w:pPr>
        <w:pStyle w:val="Heading4"/>
        <w:numPr>
          <w:ilvl w:val="3"/>
          <w:numId w:val="1"/>
        </w:numPr>
        <w:rPr/>
      </w:pPr>
      <w:bookmarkStart w:id="439" w:name="__RefHeading___Toc2018652_1067777946"/>
      <w:bookmarkStart w:id="440" w:name="_Toc164"/>
      <w:bookmarkEnd w:id="439"/>
      <w:r>
        <w:rPr>
          <w:rtl w:val="true"/>
        </w:rPr>
        <w:t>[</w:t>
      </w:r>
      <w:r>
        <w:rPr>
          <w:rtl w:val="true"/>
        </w:rPr>
        <w:t>من تجب عليه</w:t>
      </w:r>
      <w:r>
        <w:rPr>
          <w:rtl w:val="true"/>
        </w:rPr>
        <w:t>]</w:t>
      </w:r>
      <w:bookmarkEnd w:id="4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المكاتب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على مولاه إذا لم يعله غيره، وكذا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فلا تجب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تحلّ 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تحلّ له الزكاة لفقره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للفقير إخراجها، وأقلّ ذلك أن يدير صاعاً على عياله ثمّ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صاعاً ويدفعه عن نفسه إلى أحد عياله بالنيّة، ثمّ يدفعه الآخذ عن نفسه إلى الآخر إن كان مكلّفاً، وإلّا تولّاه الوليّ، وهكذا، ثمّ يدفعه الأخير إلى المستحقّ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الشروط يخرجها عن نفسه، وعن جميع من يعوله، فرضاً أو نفلاً، من زوجة وولد، وما شاكلهما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الزوجة وجوب نفقتها عليه، ولا يشترط الدخول، والمطلّقة رجعيّة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وضيفٍ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إطلاق اسمه عليه عرفاً وإن لم يكن قد أكلَ عنده قبل الهلال إذا تحقّق وصفه قبلُ واتّصل به، ولو تعدّد المضيّف وجبت عليهم بالنسبة، وإنّما تجب على المضيّف مع يساره، ومع إعساره تجب على المضيّف الموسر، ولو تبرّع المعسر بإخراجها عنه أو ضيفه الموسر بإخراجها عن نفسه اعتبر في إجزائها إذن مَن خوطب بها، وكذا حكم مَن في حكمه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قبل الهلال،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بعد ذلك ما لم یصلّ استحبّت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بصلاة العيد هنا وقتها مجازاً، والمراد أنّه متى اجتمعت الشرائط قبل الزوال استحبّت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الزوجة والمملوك تجب الزكاة عنهما، ولو لم يكونا في عياله إذا لم يعلهما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مع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يكونا في عياله إذا لم يعلهما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المعيل مخاطباً بها بأن كان موسراً، وإلّا فالزكاة على المولى والزوج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وجبت زكاته على غيره سقطت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علمه بإخراج المخاطب بها وعلمه بعدمه، وعدمه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مملوك غائب يعرف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المملوك وغيره ممّن تجب نفقته كالزوجة والولد، ولا يعتبر علمه بحياته، بل عدم الحكم بموته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العبد بين شريكين فالزكاة عليهما فإن عاله أحدهما فالزكاة على العائل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كلّ واحد من الصاع بنسبة ملكه منه وإن اختلف جنس المخرج منهم، ولا فرق بين اتّحاد قوتهم واختلافه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بعيلولة أحدهما له تبرّعاً، لا ما يتّفق في نوبته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المولى وعليه دين، فإن كان بعد الهلال، وجبت زكاة مملوكه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 ممّن تجب فطرته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مات قبل الهلال لم تجب على أحد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وجوبها على الوارث؛ لانتقال التركة إليه وإن منع من التصرّف فيها قبل وفاء الدين، فإنّه غير مانع من زكاة الفطرة وإن منع الماليّة</w:t>
      </w:r>
      <w:r>
        <w:rPr>
          <w:rFonts w:eastAsia="Amiri" w:cs="Amiri" w:ascii="Amiri" w:hAnsi="Amiri"/>
          <w:color w:val="111111"/>
          <w:sz w:val="28"/>
          <w:szCs w:val="28"/>
          <w:rtl w:val="true"/>
          <w:lang w:bidi="ar-SA"/>
        </w:rPr>
        <w:t xml:space="preserve">. </w:t>
      </w:r>
      <w:bookmarkStart w:id="441" w:name="pg10178_83635"/>
    </w:p>
    <w:p>
      <w:pPr>
        <w:pStyle w:val="BookText"/>
        <w:rPr/>
      </w:pPr>
      <w:bookmarkEnd w:id="44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أُوصي له بعبد ثمّ مات الموصي، فإن قبل الوصيّة قبل الهلال وجبت عليه، وإن قبل بعده سقطت،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الوارث،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وجوبها على الموصى له؛ بناء على أنّ القبول المتأخّر عن الموت كاشف عن سبق الملك من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الواهب كانت على ورثته،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ومات ثمّ قبض الورثة قبل الهلال وجبت عليهم،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بطلان الهبة بموته قبل القبض، فتجب الفطرة على الواهب</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2018654_1067777946"/>
      <w:bookmarkStart w:id="443" w:name="_Toc165"/>
      <w:bookmarkEnd w:id="442"/>
      <w:r>
        <w:rPr>
          <w:rtl w:val="true"/>
        </w:rPr>
        <w:t>[</w:t>
      </w:r>
      <w:r>
        <w:rPr>
          <w:rtl w:val="true"/>
        </w:rPr>
        <w:t>جنسها وقدرها</w:t>
      </w:r>
      <w:r>
        <w:rPr>
          <w:rtl w:val="true"/>
        </w:rPr>
        <w:t>]</w:t>
      </w:r>
      <w:bookmarkEnd w:id="4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كان قوتاً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الأُصول الستّة المذكورة يجوز إخراجها أصلاً وإن لم تكن قوتاً غالباً، وغيرها تخرج أصلاً مع غلبته في القوت، وإلّا اعتبر بقيمة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والفطرة من جميع الأقوات المذكورة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اللبن أربعة أرطال، وفسّره قوم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الصاع من اللبن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وقدّره قوم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018656_1067777946"/>
      <w:bookmarkStart w:id="445" w:name="_Toc166"/>
      <w:bookmarkEnd w:id="444"/>
      <w:r>
        <w:rPr>
          <w:rtl w:val="true"/>
        </w:rPr>
        <w:t>[</w:t>
      </w:r>
      <w:r>
        <w:rPr>
          <w:rtl w:val="true"/>
        </w:rPr>
        <w:t>وقتها</w:t>
      </w:r>
      <w:r>
        <w:rPr>
          <w:rtl w:val="true"/>
        </w:rPr>
        <w:t>]</w:t>
      </w:r>
      <w:bookmarkEnd w:id="44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وتجب بهلال شوّال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أوّل ليلة من شوّال، وتتحقّق بغروب الشمس من آخر يوم من رمضان وإن رؤي الهلال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تقديمها قبله إلّا على سبيل القرض، على الأظهر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جواز تقديمها في شهر رمضان قوّة</w:t>
      </w:r>
      <w:r>
        <w:rPr>
          <w:rFonts w:eastAsia="Amiri" w:cs="Amiri" w:ascii="Amiri" w:hAnsi="Amiri"/>
          <w:color w:val="111111"/>
          <w:sz w:val="28"/>
          <w:szCs w:val="28"/>
          <w:rtl w:val="true"/>
          <w:lang w:bidi="ar-SA"/>
        </w:rPr>
        <w:t xml:space="preserve">. </w:t>
      </w:r>
      <w:bookmarkStart w:id="446" w:name="pg10178_83636"/>
    </w:p>
    <w:p>
      <w:pPr>
        <w:pStyle w:val="BookText"/>
        <w:rPr/>
      </w:pPr>
      <w:bookmarkEnd w:id="44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تأخيرها إلى قبل صلاة العيد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وقت الصلاة وقد عزلها أخرجها واجباً بنيّة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بالعزل تعيّنها في مال خاصّ بقدرها في وقتها بنيّته، وحينئذٍ فلا يفتقر إلى نيّة الأداء والقضاء عند دفعها إلى المستحقّ بعد ذلك وإن كان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عزلها،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قضاء، وقيل أداء،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حملها إلى بلد آخر، مع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الكراهة مع إخراجها في وقتها كالماليّة</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018658_1067777946"/>
      <w:bookmarkStart w:id="448" w:name="_Toc167"/>
      <w:bookmarkEnd w:id="447"/>
      <w:r>
        <w:rPr>
          <w:rtl w:val="true"/>
        </w:rPr>
        <w:t>[</w:t>
      </w:r>
      <w:r>
        <w:rPr>
          <w:rtl w:val="true"/>
        </w:rPr>
        <w:t>مصرفها</w:t>
      </w:r>
      <w:r>
        <w:rPr>
          <w:rtl w:val="true"/>
        </w:rPr>
        <w:t>]</w:t>
      </w:r>
      <w:bookmarkEnd w:id="4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يُعطى غير المؤمن أو المستضعف 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وجوب الاقتصار على المؤمن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يُعطى الفقير أقلّ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ذلك على وجه الاستحباب، ولا فرق بين الصاع المخرج به عن 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اختصاص ذوي القرابة بها ثمّ الجيران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اتّصافهم بالاستحقاق، ويستحبّ تفضيل الأفضل منهم بالعلم والزهد وغيرهما، و ترجيحه في سائر المراتب</w:t>
      </w:r>
      <w:r>
        <w:rPr>
          <w:rFonts w:eastAsia="Amiri" w:cs="Amiri" w:ascii="Amiri" w:hAnsi="Amiri"/>
          <w:color w:val="111111"/>
          <w:sz w:val="28"/>
          <w:szCs w:val="28"/>
          <w:rtl w:val="true"/>
          <w:lang w:bidi="ar-SA"/>
        </w:rPr>
        <w:t xml:space="preserve">. </w:t>
      </w:r>
      <w:bookmarkStart w:id="449" w:name="pg10178_83637"/>
    </w:p>
    <w:p>
      <w:pPr>
        <w:pStyle w:val="Heading2"/>
        <w:numPr>
          <w:ilvl w:val="1"/>
          <w:numId w:val="1"/>
        </w:numPr>
        <w:rPr/>
      </w:pPr>
      <w:bookmarkStart w:id="450" w:name="__RefHeading___Toc2018660_1067777946"/>
      <w:bookmarkStart w:id="451" w:name="_Toc168"/>
      <w:bookmarkEnd w:id="449"/>
      <w:bookmarkEnd w:id="450"/>
      <w:r>
        <w:rPr>
          <w:rtl w:val="true"/>
        </w:rPr>
        <w:t>كتاب الخمس</w:t>
      </w:r>
      <w:bookmarkEnd w:id="451"/>
    </w:p>
    <w:p>
      <w:pPr>
        <w:pStyle w:val="Heading3"/>
        <w:numPr>
          <w:ilvl w:val="2"/>
          <w:numId w:val="1"/>
        </w:numPr>
        <w:rPr/>
      </w:pPr>
      <w:bookmarkStart w:id="452" w:name="__RefHeading___Toc2018662_1067777946"/>
      <w:bookmarkStart w:id="453" w:name="_Toc169"/>
      <w:bookmarkEnd w:id="452"/>
      <w:r>
        <w:rPr>
          <w:rtl w:val="true"/>
        </w:rPr>
        <w:t>[</w:t>
      </w:r>
      <w:r>
        <w:rPr>
          <w:rtl w:val="true"/>
        </w:rPr>
        <w:t>الفصل الأوّل فيما يجب فيه</w:t>
      </w:r>
      <w:r>
        <w:rPr>
          <w:rtl w:val="true"/>
        </w:rPr>
        <w:t>]</w:t>
      </w:r>
      <w:bookmarkEnd w:id="4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 الخمس بعد المؤونة،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حتّى يبلغ عشرين ديناراً،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على المرويّ، وفي معناه بلوغ ما قيمته ذلك، ولا يكفي بلوغ مائتي درهم على الأقوى، ولو تعدّد ضمّ بعضه إلى بعض مطلقاً، واعتبر النصاب في المجموع، ولو افتقر إخراجه إلى مؤونة اعتبر النصاب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وهو كلّ مال مذخور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مع ذلك كون الادّخار مقصوداً، فلا عبرة باستتار المال اتّفاقاً بسبب الضياع، بل يلحق باللقطة، وقد يعلم الفرق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وجده في ملك مبتاع عرّفه البائع فإن عرفه فهو أحقّ 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تعريف كلّ بائع معلوم للمالك مبتدئاً بالأقرب فالأقرب، ويقدّم قوله من غير بيّنة ولا يمين ولا وصف، وفي حكمه الواهب والمصالح وغيرهم ممّن انتقل عنه، ولو تعدّد في المرتبة الواحدة تساووا فيه مع دعواه، وإلّا اختصّ بالمدّعي، إلّا أن تقتضي دعواه الاشتراك فيقتصر على نصيبه، ويبقى الباقي بحكم ما لو لم يعترف به معترف، وإنّما يحكم به مع انتفاء ذلك للواجد مع عدم وجود أثر الإسلام عليه، وإلّا كان لقطة كما لو وجد في المباح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اشترى دابّةً فوجد في جوفها شيئاً له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الدابّة والسمكة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الدابّة ملك للغير في الأصل، وله عليها يد تقتضي الملك لأجزائها كالأرض، وإنّ الظاهر أنّ ما في بطنها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السمكة فإنّها في الأصل مباحة لا تملك إلّا بالحيازة والنيّة، وما في بطنها لم ينو تملّكه لعدم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الدابة كما تكون مملوكة بالأصل قد تكون وحشيّة فتملك كالسمكة، والسمكة قد تكون مملوكة بالأصل كما لو كانت في ماء محصور مملوك بحيث يكون منشؤها فيه، فتكون كالدابّة بالمعنى الأوّل، فلابدّ من التقييد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عليه أثر الإسلام، وإلّا كان لقطة في الموضعين حيث لا يحكم به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كنزاً في أرض موات من دار الإسلام، فإن لم يكن عليه سكّة، أو كان عليه سكّة عاديّة أخرج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العاديّة أن تكون منسوبة إلى عاد، والمراد هنا ما ليس عليه منها أثر الإسلام، وخصّها بناءً على الغالب من أنّ ما لا يكون عليه سكّة الإسلام يكون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عليه سكّة الإسلام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كاللقطة،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الواجد،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يخرج من البحر بالغوص كالجواهر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منه شيء من غير غوص لم يجب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حيث الغوص، وذلك لا ينافي وجوبه من جهة أُخرى ككونه من المكاسب فيلحقه حكمه، أو من المعادن فبحكمه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العنبر إن أُخرج بالغوص رُوعي فيه مقدار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العنبر يمكن إلحاقه بالأنواع الثلاثة، مع الاستخراج من تحت الماء غوصٌ، ومن وجهه مع بلوغه نصاب المعدن معدنٌ، ومع قصوره مكسبٌ، فيلحقه حكم ما أُلحق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مؤونة السنة له ولعياله من أرباح التجارات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بالمؤونة ماينفقه على نفسه وعياله الواجبي النفقة وغيرهم حتّى الضيف، وما يغرمه في السنة ممّا يليق بحاله عادة من هديّة ومصانعة وصلة، وما يلزمه من نذر وكفّارة ومؤونة تزويج، وما يشتريه للقِنْيَة من دابّة ومملوك وثوب لائق بحاله، فإن أسرف حسب عليه، وإن قتّر حسب له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استطاع الحجّ اعتبرت نفقته من المؤن، ولو اجتمعت الاستطاعة من فضلات أحوال وجب خمس ما عدا عام</w:t>
      </w:r>
    </w:p>
    <w:p>
      <w:pPr>
        <w:pStyle w:val="BookText"/>
        <w:rPr/>
      </w:pP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الذمّي أرضاً من مسلم وجب فيها الخمس، سواء كانت ممّا فيه الخمس، كالأرض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يتصوّر بيع المفتوحة عنوة تبعاً لآثار المتصرّف من بناء وشجر فتملك تبعاً له، ويخرج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إذا اختلط بالحرام ولا يتميّز وجب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جهل قدر الحرام ومالكه، فلو عرفهما تعيّن دفع الحقِّ إلى المالك، زاد عن الخمس أم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القدر خاصّة تصدّق به على مستحقّ الزكاة لحاجته، ولو علم زيادته عن الخمس ولم يعلم قدره ففي إخراجه صدقة أو خمساً وجهان، وفي ثالث إخراج الخمس لمستحقّه والزائد لمستحقّ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نقصانه عن الخمس اقتصر عليه كذلك، ولو علم المالك خاصّة صالحه، ولو كان الخليط ممّا يجب فيه الخمس خمّسه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الحول في شيء من الخمس ولكن يؤخّر ما يجب في أرباح التجارات احتياطاً للمكتسب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في غير الأرباح بتحقّقه وجوباً مضيّقاً، وفيها يجب موسّعاً طول الحول؛ لاحتمال زيادة المؤونة، وحينئذٍ فلا يمكن الفرار منه بعد تحقّقه بنقل الملك مطلقاً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المالك والمستأجر في الكنز، فإن اختلفا في ملكِه فالقول قول المؤجر مع يمينه</w:t>
      </w:r>
      <w:r>
        <w:rPr>
          <w:rFonts w:eastAsia="Amiri" w:cs="Amiri" w:ascii="Amiri" w:hAnsi="Amiri"/>
          <w:color w:val="111111"/>
          <w:sz w:val="28"/>
          <w:szCs w:val="28"/>
          <w:rtl w:val="true"/>
          <w:lang w:bidi="ar-SA"/>
        </w:rPr>
        <w:t xml:space="preserve">». </w:t>
      </w:r>
      <w:bookmarkStart w:id="454" w:name="pg10178_83640"/>
    </w:p>
    <w:p>
      <w:pPr>
        <w:pStyle w:val="BookText"/>
        <w:rPr/>
      </w:pPr>
      <w:bookmarkEnd w:id="454"/>
      <w:r>
        <w:rPr>
          <w:rFonts w:ascii="Amiri" w:hAnsi="Amiri" w:eastAsia="Amiri" w:cs="Amiri"/>
          <w:color w:val="111111"/>
          <w:sz w:val="28"/>
          <w:sz w:val="28"/>
          <w:szCs w:val="28"/>
          <w:rtl w:val="true"/>
          <w:lang w:bidi="ar-SA"/>
        </w:rPr>
        <w:t xml:space="preserve">بل قول المستأجر، وكذا يقدّم قول كلّ ذي يد مرتّبة على غيرها، كالمعير </w:t>
      </w:r>
      <w:r>
        <w:rPr>
          <w:rStyle w:val="FootnoteAnchor"/>
          <w:rtl w:val="true"/>
        </w:rPr>
        <w:footnoteReference w:id="123"/>
      </w:r>
      <w:r>
        <w:rPr>
          <w:rFonts w:ascii="Amiri" w:hAnsi="Amiri" w:eastAsia="Amiri" w:cs="Amiri"/>
          <w:color w:val="111111"/>
          <w:sz w:val="28"/>
          <w:sz w:val="28"/>
          <w:szCs w:val="28"/>
          <w:rtl w:val="true"/>
          <w:lang w:bidi="ar-SA"/>
        </w:rPr>
        <w:t>والمستعير، إلّا أن تشهد القرائن بتقدّمه على زمان ذي اليد فيعمل بها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يجب بعد المؤونة التي يفتقر إليها إخراج الكنز والمعدن، من حفر وسبك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النصاب بعدها هاهنا مطلقاً على الأقوى</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018664_1067777946"/>
      <w:bookmarkStart w:id="456" w:name="_Toc170"/>
      <w:bookmarkEnd w:id="455"/>
      <w:r>
        <w:rPr>
          <w:rtl w:val="true"/>
        </w:rPr>
        <w:t>[</w:t>
      </w:r>
      <w:r>
        <w:rPr>
          <w:rtl w:val="true"/>
        </w:rPr>
        <w:t>الفصل الثاني في قسمة الخمس</w:t>
      </w:r>
      <w:r>
        <w:rPr>
          <w:rtl w:val="true"/>
        </w:rPr>
        <w:t>]</w:t>
      </w:r>
      <w:bookmarkEnd w:id="456"/>
    </w:p>
    <w:p>
      <w:pPr>
        <w:pStyle w:val="Heading4"/>
        <w:numPr>
          <w:ilvl w:val="3"/>
          <w:numId w:val="1"/>
        </w:numPr>
        <w:rPr/>
      </w:pPr>
      <w:bookmarkStart w:id="457" w:name="__RefHeading___Toc2018666_1067777946"/>
      <w:bookmarkStart w:id="458" w:name="_Toc171"/>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وثلاثة للأيتام والمساكين وأبناء السبيل،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يقسّم خمسة أقسام، والأوّل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الأوّل، وعلى الثاني فالسهم الساقط الآن هو سهم الله، فينقص من سهم الإمام علیه السلام، ويجعل له خمسا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الطوائف الثلاث انتسابهم إلى عبد المطّلب بالأُبوّة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انتسبوا بالأُمّ خاصّة لم يعطوا من الخمس شيئاً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استحقاق بني المطّلب تردّد، أظهره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يخصّ بالخمس طائفة؟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غير حصّة الإمام علیه السلام، والأقوى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الإمام على الطوائف الثلاث قدر الكفاية 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كان له، وإن أَعوز أتمّ من نصيبه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يدفع إليه مع حضوره، ثمّ هو يقسّم عليهم قدر الكفاية، والمراد به مؤونة السنة متوسطة بحسب اللائق بحال المدفوع إليه، وقضاء الدين من جملة </w:t>
      </w:r>
    </w:p>
    <w:p>
      <w:pPr>
        <w:pStyle w:val="BookText"/>
        <w:rPr/>
      </w:pPr>
      <w:r>
        <w:rPr>
          <w:rFonts w:ascii="Amiri" w:hAnsi="Amiri" w:eastAsia="Amiri" w:cs="Amiri"/>
          <w:color w:val="111111"/>
          <w:sz w:val="28"/>
          <w:sz w:val="28"/>
          <w:szCs w:val="28"/>
          <w:rtl w:val="true"/>
          <w:lang w:bidi="ar-SA"/>
        </w:rPr>
        <w:t>الكفاية، والحكم بكون الفاضل له والمعوز عليه هو المشهور بين الأصحاب، ومستنده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السبيل لا يعتبر فيه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يراعى ذلك في اليتيم؟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الذي لا أب له، ووجه اشتراط فقره ظاهر إن اعتبر قسمته على الطوائف بقدر الكفاية، وإن لم تتمّ أشكل اعتباره؛ لأنّه قسيم للمسكين في الآية </w:t>
      </w:r>
      <w:r>
        <w:rPr>
          <w:rStyle w:val="FootnoteAnchor"/>
          <w:rtl w:val="true"/>
        </w:rPr>
        <w:footnoteReference w:id="124"/>
      </w:r>
      <w:r>
        <w:rPr>
          <w:rFonts w:ascii="Amiri" w:hAnsi="Amiri" w:eastAsia="Amiri" w:cs="Amiri"/>
          <w:color w:val="111111"/>
          <w:sz w:val="28"/>
          <w:sz w:val="28"/>
          <w:szCs w:val="28"/>
          <w:rtl w:val="true"/>
          <w:lang w:bidi="ar-SA"/>
        </w:rPr>
        <w:t>فتقتضي المغايرة، وإلّا لتداخلت الأقسام، ولاريب أنّ اعتبار فقره أحوط كما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حمل الخمس إلى غير بلده مع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الحمل كالزكاة خصوصاً مع طلب المساواة، وهذا في حال الغَيبة، أمّا مع حضور الإمام فينتقل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معتبر في المستحقّ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اعتباره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والعدالة لا تعتبر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459" w:name="pg10178_83642"/>
    </w:p>
    <w:p>
      <w:pPr>
        <w:pStyle w:val="Heading4"/>
        <w:numPr>
          <w:ilvl w:val="3"/>
          <w:numId w:val="1"/>
        </w:numPr>
        <w:rPr/>
      </w:pPr>
      <w:bookmarkStart w:id="460" w:name="__RefHeading___Toc2018668_1067777946"/>
      <w:bookmarkStart w:id="461" w:name="_Toc172"/>
      <w:bookmarkEnd w:id="459"/>
      <w:bookmarkEnd w:id="460"/>
      <w:r>
        <w:rPr>
          <w:rtl w:val="true"/>
        </w:rPr>
        <w:t>[</w:t>
      </w:r>
      <w:r>
        <w:rPr>
          <w:rtl w:val="true"/>
        </w:rPr>
        <w:t>في الأنفال</w:t>
      </w:r>
      <w:r>
        <w:rPr>
          <w:rtl w:val="true"/>
        </w:rPr>
        <w:t>]</w:t>
      </w:r>
      <w:bookmarkEnd w:id="461"/>
    </w:p>
    <w:p>
      <w:pPr>
        <w:pStyle w:val="Heading5"/>
        <w:numPr>
          <w:ilvl w:val="4"/>
          <w:numId w:val="1"/>
        </w:numPr>
        <w:rPr/>
      </w:pPr>
      <w:bookmarkStart w:id="462" w:name="__RefHeading___Toc2018670_1067777946"/>
      <w:bookmarkStart w:id="463" w:name="_Toc173"/>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الزيادة، ومنه النافلة، والمراد هنا ما يختصّ بالإمام زيادة على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والأرضون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باد أهلها، أو لم يجر عليها ملك كالمفاوز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لا يعرف لها مالك، كما 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ملكت ثمّ باد أهلها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والمراد بإبادتهم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هلاكهم، ولا فرق بين كونهم مسلمين وكفّاراً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وسيف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 البحر، قاله الجوهري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ورؤوس الجبال وما يكون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غير أرضه علیه السلام، والمرجع في الجبال والأودية إلى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فتحت دار الحرب فما كان لسلطانهم من قطائع وصفايا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القطائع بمالا ينقل ولا يحوّل، والصفايا بما ينقل، والضابط أنّ ما كان لسلطان الكفر من مال غير مغصوب من محترم المال فهو لسلطان الإسلام</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2018672_1067777946"/>
      <w:bookmarkStart w:id="465" w:name="_Toc174"/>
      <w:bookmarkEnd w:id="464"/>
      <w:r>
        <w:rPr>
          <w:rtl w:val="true"/>
        </w:rPr>
        <w:t>[</w:t>
      </w:r>
      <w:r>
        <w:rPr>
          <w:rtl w:val="true"/>
        </w:rPr>
        <w:t>كيفيّة التصرّف في الأنفال</w:t>
      </w:r>
      <w:r>
        <w:rPr>
          <w:rtl w:val="true"/>
        </w:rPr>
        <w:t>]</w:t>
      </w:r>
      <w:bookmarkEnd w:id="46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التصرّف في ذلك بغير 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الأنفال المذكورة، ومنها ميراث مَن لا وارث له عندنا، وظاهر العبارة تحريم التصرّف في ذلك إلّا ما سنسميّه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العبارة على حال حضوره، والأقوى إباحة الأنفال حال الغيبة مطلقاً، وميراث فاقد الوارث لفقراء المؤمنين مطلقاً، واختصاص المنع بالخمس إلّا ما يستثنى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إباحة المناكح والمساكن والمتاجر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السراري المغنومة من أهل الحرب حال الغَيبة، فإنّه يباح لنا شراؤها ووطؤها وإن كانت بأجمعها للإمام، ويمكن أن يريد به ما يعمّ مهر الزوجات كما مرّ استثناؤه في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وبالمساكن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يتّخذه منها في الأرض المختصّة به علیه السلام، وبما يشتريه من المساكن والمكاسب، وهو راجع إلى المؤونة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يشترى من الغنائم المأخوذة من أهل الحرب حال الغيبة، أو ممّن لا يعتقد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من الخمس يجب صرفه إليه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مباحاً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المشهور، ووجوبه على القول به غیر معیّن، فلو حفظه المالك أو الحاكم كان جائزاً أيضاً، إلّا أن يطلبه الحاكم من المالك فيتعيّن عليه دفعه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يتولّى صرف حصّة الإمام في الأصناف الموجودين، مَن إليه الحكم بحقّ النيابة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العدل الإمامي الجامع لشرائط الفتوى، ولو تولّى ذلك غيره كان ضامناً</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0178_83645"/>
      <w:bookmarkStart w:id="467" w:name="pg10178_83645"/>
      <w:bookmarkEnd w:id="467"/>
    </w:p>
    <w:p>
      <w:pPr>
        <w:pStyle w:val="Heading2"/>
        <w:numPr>
          <w:ilvl w:val="1"/>
          <w:numId w:val="1"/>
        </w:numPr>
        <w:rPr/>
      </w:pPr>
      <w:bookmarkStart w:id="468" w:name="pg10178_83645"/>
      <w:bookmarkStart w:id="469" w:name="__RefHeading___Toc2018674_1067777946"/>
      <w:bookmarkStart w:id="470" w:name="_Toc175"/>
      <w:bookmarkEnd w:id="468"/>
      <w:bookmarkEnd w:id="469"/>
      <w:r>
        <w:rPr>
          <w:rtl w:val="true"/>
        </w:rPr>
        <w:t>كتاب الصوم</w:t>
      </w:r>
      <w:bookmarkEnd w:id="470"/>
    </w:p>
    <w:p>
      <w:pPr>
        <w:pStyle w:val="Heading3"/>
        <w:numPr>
          <w:ilvl w:val="2"/>
          <w:numId w:val="1"/>
        </w:numPr>
        <w:rPr/>
      </w:pPr>
      <w:bookmarkStart w:id="471" w:name="__RefHeading___Toc2018676_1067777946"/>
      <w:bookmarkStart w:id="472" w:name="_Toc176"/>
      <w:bookmarkEnd w:id="471"/>
      <w:r>
        <w:rPr>
          <w:rtl w:val="true"/>
        </w:rPr>
        <w:t>[</w:t>
      </w:r>
      <w:r>
        <w:rPr>
          <w:rtl w:val="true"/>
        </w:rPr>
        <w:t>النظر الأوّل في أركانه</w:t>
      </w:r>
      <w:r>
        <w:rPr>
          <w:rtl w:val="true"/>
        </w:rPr>
        <w:t>]</w:t>
      </w:r>
      <w:bookmarkEnd w:id="472"/>
    </w:p>
    <w:p>
      <w:pPr>
        <w:pStyle w:val="Heading4"/>
        <w:numPr>
          <w:ilvl w:val="3"/>
          <w:numId w:val="1"/>
        </w:numPr>
        <w:rPr/>
      </w:pPr>
      <w:bookmarkStart w:id="473" w:name="__RefHeading___Toc2018678_1067777946"/>
      <w:bookmarkStart w:id="474" w:name="_Toc177"/>
      <w:bookmarkEnd w:id="473"/>
      <w:r>
        <w:rPr>
          <w:rtl w:val="true"/>
        </w:rPr>
        <w:t>[</w:t>
      </w:r>
      <w:r>
        <w:rPr>
          <w:rtl w:val="true"/>
        </w:rPr>
        <w:t>الركن الأوّل في نيّة الصوم</w:t>
      </w:r>
      <w:r>
        <w:rPr>
          <w:rtl w:val="true"/>
        </w:rPr>
        <w:t>]</w:t>
      </w:r>
      <w:bookmarkEnd w:id="4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الكفّ عن المفطرات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مع النيّة يرجع إلى توطين النفس على ذلك، فلا يرد أنّ الكفّ أمر عدمي لا يكلّف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المخصوصة المعدودة في كتب الفقه، لا ما أفسد الصوم مطلقاً؛ لئلّا يرد الدور من حيث توقّف فهم الصوم على المضطرّ، والمضطرّ عليه؛ لأنّه مفسدة، ومع ذلك يرد عليه الكفّ عنها ليلاً أو بعض النهار، وأنّ النيّة شرط إذا شبّه به فلا يدخل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يكفي ذلك في النذر المعيّن؟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كرمضان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ولونسيها ليلاً جدّدها نهاراً، ما بينه وبين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امتداد نيّة المندوب إلى أن يبقى للغروب بعد النيّة آناً يسيراً، ولكن إن وقعت قبل الزوال أُثيت على صوم جميع اليوم، وإن نوى بعده أُثيت على ما بقي خاصّة؛ لصحيحة هشام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رمضان بجواز تقديم نيّته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نيّة واحدة لصيام الشهر كلّه</w:t>
      </w:r>
      <w:r>
        <w:rPr>
          <w:rFonts w:eastAsia="Amiri" w:cs="Amiri" w:ascii="Amiri" w:hAnsi="Amiri"/>
          <w:color w:val="111111"/>
          <w:sz w:val="28"/>
          <w:szCs w:val="28"/>
          <w:rtl w:val="true"/>
          <w:lang w:bidi="ar-SA"/>
        </w:rPr>
        <w:t xml:space="preserve">». </w:t>
      </w:r>
      <w:bookmarkStart w:id="475" w:name="pg10178_83646"/>
    </w:p>
    <w:p>
      <w:pPr>
        <w:pStyle w:val="BookText"/>
        <w:rPr/>
      </w:pPr>
      <w:bookmarkEnd w:id="475"/>
      <w:r>
        <w:rPr>
          <w:rFonts w:ascii="Amiri" w:hAnsi="Amiri" w:eastAsia="Amiri" w:cs="Amiri"/>
          <w:color w:val="111111"/>
          <w:sz w:val="28"/>
          <w:sz w:val="28"/>
          <w:szCs w:val="28"/>
          <w:rtl w:val="true"/>
          <w:lang w:bidi="ar-SA"/>
        </w:rPr>
        <w:t>الأجود تعدّدها لكلّ يوم، ولو نواه في أوّله جملة ثمّ نوى لكلّ يوم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يقع في رمضان صوم غيره، ولو نوى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عن رمضان دون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اختصاصه بالجاهل والناسي، أمّا العامد فلا يقع صومه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صام على أنّه إن كان من رمضان كان واجباً وإلّا كان مندوباً،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الاقتصار على نيّة الندب حيث لا يتحقّق الهلال؛ لإجزائه حينئذٍ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أصبح بنيّة الإفطار ثمّ بان أنّه من الشهر جدّد النيّة واجتزأ به، فإن كان ذلك بعد الزوال أمسك وعليه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الإمساك على سبيل الوجوب، وتجب نيّته، ولو أخلّ بها فلا شيء، ولو أفطره وجبت الكفّارة كما لو أفسد الصوم، ولو كان قد صام ندباً جدّد نيّة الوجوب مطلقاً، وأجزأ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الإفطار في يوم من رمضان ثمّ جدّد قبل الزوال، قيل لا ينعقد وعليه القضاء، ولو قيل بانعقاده كان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الانعقاد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عقد نيّة الصوم ثمّ نوى الإفطار ولم يفطر ثمّ جدّد النيّة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الصبيّ المميّز صحيحة، وصومه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صحّة نيّته، أمّا شرعيّة صومه ففيه خلاف، والأظهر أنّه تمريني لا شرعي</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018680_1067777946"/>
      <w:bookmarkStart w:id="477" w:name="_Toc178"/>
      <w:bookmarkEnd w:id="476"/>
      <w:r>
        <w:rPr>
          <w:rtl w:val="true"/>
        </w:rPr>
        <w:t>[</w:t>
      </w:r>
      <w:r>
        <w:rPr>
          <w:rtl w:val="true"/>
        </w:rPr>
        <w:t>الركن الثاني</w:t>
      </w:r>
      <w:r>
        <w:rPr>
          <w:rtl w:val="true"/>
        </w:rPr>
        <w:t xml:space="preserve">: </w:t>
      </w:r>
      <w:r>
        <w:rPr>
          <w:rtl w:val="true"/>
        </w:rPr>
        <w:t>ما يمسك عنه الصائم</w:t>
      </w:r>
      <w:r>
        <w:rPr>
          <w:rtl w:val="true"/>
        </w:rPr>
        <w:t>]</w:t>
      </w:r>
      <w:bookmarkEnd w:id="4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الجماع في القبل إجماعاً، وفي دبر المرأة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فساد الصوم بوطء الغلام والدابّة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الإفساد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الكذب على الله وعلى رسوله وعلى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يفسد الصوم بذلك؟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وهو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قويٌّ وإن تضاعفت به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الارتماس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ملاقاة الرأس لمائع غامر له دفعة عرفيّة وإن بقي البدن، والأقوى تحريمه من غير أن 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إيصال الغبار إلى الحلق خلاف، الأظهر التحريم وفساد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ولا فرق بين الغليظ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البقاء على الجنابة عامداً حتّى يطلع الفجر من غير ضرورة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أجنب فنام غير ناوٍ للغسل فطلع الفجر 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هذه وبين تعمّد البقاء على الجنابة فرق ما بين العامّ والخاصّ، فإنّ تعمّد البقاء على الجنابة يقتضي العزم على عدم الغسل، وغير ناوي الغسل أعمّ من ناوي عدمه، فيصدق بالغفلة عن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الجنب ليلاً لا يصحّ له النوم إلّا مع نيّة الغسل ليلاً، واحتماله الانتباه بحيث يغتسل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انتبه ثمّ نام ناوياً للغسل فأصبح نائماً فسد صومه، وعليه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النومة الأُولى إنّما تصحّ مع نيّة الغسل واحتمال الانتباه، فإذا نام كذلك ثمّ انتبه ليلاً حرم عليه النوم ثانياً وإن حصل الشرطان، لكن لو خالف أثم، ووجب عليه القضاء خاصّة على تقدير استمراره نائماً إلى الفجر، والأقوى أنّ الجنابة المتجدّدة لا تهدم العدد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استمنى أو لمس امرأة فأمنى فسد صومه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فرق في ذلك بین المحلّلة وغيرها، ولابين معتاد الإمناء بذلك وغيره، ولا بين قاصده به وغيره، وفي حكم اللمس مطلق الملاعبة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احتلم بعد نيّة الصوم نهاراً لم يفسد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المبادرة إلى الغسل لأجل الصوم، وإنّما يجب حينئذٍ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يجب فلو تركه طول النهار لم يفسد الصوم، ويجب حينئذٍ للصوم المقبل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نظر إلى امرأة فأمنى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إلّا مع قصد الإمناء به، أو اعتياده فيفسد، وتجب الكفّارة وإن كان إلى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والحقنة بالجامد جائزة، وبالمائع محرّمة، ويفسد بها الصوم على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الإفساد بها وإن حرمت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ذكرنا أنّه يفسد الصيام إنّما يفسده إذا وقع عمداً، سواء كان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تحقّق الفساد مع الجهل ووجوب القضاء، وإنّما الخلاف في إلحاق الجاهل بالعالم مطلقاً حتّى في الكفّارة، والمرويّ أنّه لاكفّارة على الجاهل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أُكره على الإفطار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وجوب القضاء وإن أُبيح له الفعل، ومثله الإفطار قبل الغروب أو في بعض الأيّام للتقيّة، ويجب الاقتصار فيهما على تناول ما يدفع الضرر، فلو زاد علیه فكالمتعمّد، ومثله ما لو تأدّت بالأكل فشرب معه أو 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وُجِرَ في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بتخفيف الجيم مبنيّاً للمجهول، أي وضع في حلقه بغير اختياره، ولا خلاف هنا في عدم الفساد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بمصّ الخاتم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 جواز كلّ ما لا يتعدّى إلى الحلق، وحدّه مخرج الخاء المعجمة</w:t>
      </w:r>
      <w:r>
        <w:rPr>
          <w:rFonts w:eastAsia="Amiri" w:cs="Amiri" w:ascii="Amiri" w:hAnsi="Amiri"/>
          <w:color w:val="111111"/>
          <w:sz w:val="28"/>
          <w:szCs w:val="28"/>
          <w:rtl w:val="true"/>
          <w:lang w:bidi="ar-SA"/>
        </w:rPr>
        <w:t xml:space="preserve">. </w:t>
      </w:r>
      <w:bookmarkStart w:id="478" w:name="pg10178_83649"/>
    </w:p>
    <w:p>
      <w:pPr>
        <w:pStyle w:val="BookText"/>
        <w:rPr/>
      </w:pPr>
      <w:bookmarkEnd w:id="4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السواك للصلاة بالرطب واليابس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الشيخ حيث كرهه بالرطب للرواية </w:t>
      </w:r>
      <w:r>
        <w:rPr>
          <w:rStyle w:val="FootnoteAnchor"/>
          <w:rtl w:val="true"/>
        </w:rPr>
        <w:footnoteReference w:id="128"/>
      </w:r>
      <w:r>
        <w:rPr>
          <w:rFonts w:ascii="Amiri" w:hAnsi="Amiri" w:eastAsia="Amiri" w:cs="Amiri"/>
          <w:color w:val="111111"/>
          <w:sz w:val="28"/>
          <w:sz w:val="28"/>
          <w:szCs w:val="28"/>
          <w:rtl w:val="true"/>
          <w:lang w:bidi="ar-SA"/>
        </w:rPr>
        <w:t>، ولا يخفى أنّ الجواز فضلاً عن الاستحباب مقيّد بما إذا لم يتعدّ إلى الحلق شيء من أجزائه المتخلّلة، وإلّا حرم، وحينئذٍ فلا فرق بين الرطب واليابس</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018682_1067777946"/>
      <w:bookmarkStart w:id="480" w:name="_Toc179"/>
      <w:bookmarkEnd w:id="479"/>
      <w:r>
        <w:rPr>
          <w:rtl w:val="true"/>
        </w:rPr>
        <w:t>[</w:t>
      </w:r>
      <w:r>
        <w:rPr>
          <w:rtl w:val="true"/>
        </w:rPr>
        <w:t>القضاء والكفّارات</w:t>
      </w:r>
      <w:r>
        <w:rPr>
          <w:rtl w:val="true"/>
        </w:rPr>
        <w:t>]</w:t>
      </w:r>
      <w:bookmarkEnd w:id="4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مع القضاء الكفّارة بسبعة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طلب الإمناء بأيّ شيء كان مع حصول إمناء به، لا مطلق طلبه وإن كان الطلب أيضاً محرّماً، لكنّه لا يوجب الكفّارة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غبار المحلّل كالدقيق وغيره كالتراب، ولا يشترط كونه غليظاً كما مرّ، ومن ثمّ أطلق خلافاً لجماعة حيث قدّره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ناسياً فظنّ فساد صومه فأفطر عامداً فسد صومه وعليه قضاؤه وفي وجوب الكفّارة تردّد، الأشبه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جزئيّة من جزئيّات أحكام الجاهل، وقد تقدّم أنّ المرويّ فيه عدم الكفّارة </w:t>
      </w:r>
      <w:r>
        <w:rPr>
          <w:rStyle w:val="FootnoteAnchor"/>
          <w:rtl w:val="true"/>
        </w:rPr>
        <w:footnoteReference w:id="129"/>
      </w:r>
      <w:r>
        <w:rPr>
          <w:rFonts w:ascii="Amiri" w:hAnsi="Amiri" w:eastAsia="Amiri" w:cs="Amiri"/>
          <w:color w:val="111111"/>
          <w:sz w:val="28"/>
          <w:sz w:val="28"/>
          <w:szCs w:val="28"/>
          <w:rtl w:val="true"/>
          <w:lang w:bidi="ar-SA"/>
        </w:rPr>
        <w:t>وإن كان ما اختاره المصنّف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خوّف فأفطر وجب القضاء على تردّد ولا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وجوب القضاء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الكفّارة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أو صيام شهرين متتابعين، أو إطعام ستّين </w:t>
      </w:r>
    </w:p>
    <w:p>
      <w:pPr>
        <w:pStyle w:val="BookText"/>
        <w:rPr/>
      </w:pPr>
      <w:r>
        <w:rPr>
          <w:rFonts w:ascii="Amiri" w:hAnsi="Amiri" w:eastAsia="Amiri" w:cs="Amiri"/>
          <w:color w:val="111111"/>
          <w:sz w:val="28"/>
          <w:sz w:val="28"/>
          <w:szCs w:val="28"/>
          <w:rtl w:val="true"/>
          <w:lang w:bidi="ar-SA"/>
        </w:rPr>
        <w:t>مسكيناً، مخيّراً في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أنّها 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بالإفطار بالمحرّم ثلاث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ولا فرق بين المحرّم بالأصل والعارض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زماناً نذر صومه على التعيين كان عليه القضاء، وكفّارة كبرى مخيّرة،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يمين،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كفّارة خلف النذر ككفّارة رمضان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على الله وعلى رسوله وعلى الأئمّة علیهم السلام حرام على الصائم وغيره وإن تأكّد في الصائم، لكن لا يجب به قضاء ولا كفّارة على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الارتماس حرام على الأظهر ولا تجب به كفّارة ولا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به،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لاباس بالحقنة بالجامد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به القضاء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أجنب ونام ناوياً للغسل، ثمّ انتبه ثمّ نام كذلك، ثمّ انتبه ونام ثالثة ناوياً حتّى طلع الفجر، لزمته الكفّارة على قول مشهور،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ضعف متمسّك القائل بوجوب الكفّارة مع اعتضاده بأصالة البراءة، ولكنّ المشهور وجوبها حتّى كاد يكون إجماعا، وكثير من الأصحاب لا ينقل في المسألة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القضاء في الصوم الواجب المتعيّن بتسعة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المفطر قبل مراعاة الفجر مع القدرة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احترز بالقدرة عمّا لو كان عاجزاً عنها كالأعمى والمحبوس فلا شيء عليهما مع عدم ظنّ الطلوع، ولا فرق على التقديرين بين الاستناد إلى مخبر بعدم الطلوع </w:t>
      </w:r>
    </w:p>
    <w:p>
      <w:pPr>
        <w:pStyle w:val="BookText"/>
        <w:rPr/>
      </w:pPr>
      <w:r>
        <w:rPr>
          <w:rFonts w:ascii="Amiri" w:hAnsi="Amiri" w:eastAsia="Amiri" w:cs="Amiri"/>
          <w:color w:val="111111"/>
          <w:sz w:val="28"/>
          <w:sz w:val="28"/>
          <w:szCs w:val="28"/>
          <w:rtl w:val="true"/>
          <w:lang w:bidi="ar-SA"/>
        </w:rPr>
        <w:t>وعدمه، إلّا أن يكون المخبر بعدمه عدلان فيقوى 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العمل بقول المخبر بطلوعه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كونه عدلاً أو فاسقاً، إلّا أن يكون عدلان فيجب القضاء والكفّارة؛ لأنّهما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الإفطار تقليداً أنّ الليل دخل، ثمّ تبيّن فساد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المفطر تقليداً إن كان عاجزاً عن المراعاة وكان المقلّد عدلاً لا شيء عليه، وإن كان غيره وجب القضاء، وإن كان قادراً على المراعاة لم يجز له الإفطار مطلقاً، ويجب القضاء مع استمرار الاشتباه أو ظهور المخالفة، ويقوى وجوب الكفّارة معه على الثاني، إلّا أن يجهل تحريم الإفطار حينئذٍ فيبني على وجوبها على الجاهل وعدمه، ولو ظهرت الموافقة فالإثم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والإفطار للظلمة الموهمة دخول الليل، فلو غلب على ظنّه 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المتناول مع الوهم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الجانب المرجوح من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الشكّ يجب عليه القضاء، سواء انكشف بعد ذلك بقاء النهار أم استمرّ الاشتباه، وسواء كان له طريق إلى العلم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 أنّ مثل ذلك لا يجوّز الإفطار وجبت عليه الكفّارة أيضاً، وإن جهل بنى على حكم الجاهل، ولو ظهر بعد ذلك أنّ الليل كان قد دخل وقت التناول فالأقوى سقوط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ظنّ الدخول وله طريق إلى العلم، ولو ظنّه ولا طريق له إلى العلم جاز له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تبيّنت المطابقة أو استمرّ الاشتباه فلاقضاء، وإن ظهرت المخالفة فقولان، أجودهما،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وتعمّد القيء، ولو ذَرَعه 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ذرعه القيء أي سبقه بغير اختياره، وإنّما ينتفي الإفطار من حيث القيء، أمّا لو ابتلع شيئاً ممّا خرج منه فصار إلى فضاء الفم اختياراً وجب القضاء والكفّارة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والحقنة بالمائع</w:t>
      </w:r>
      <w:r>
        <w:rPr>
          <w:rFonts w:eastAsia="Amiri" w:cs="Amiri" w:ascii="Amiri" w:hAnsi="Amiri"/>
          <w:color w:val="111111"/>
          <w:sz w:val="28"/>
          <w:szCs w:val="28"/>
          <w:rtl w:val="true"/>
          <w:lang w:bidi="ar-SA"/>
        </w:rPr>
        <w:t xml:space="preserve">». </w:t>
      </w:r>
      <w:bookmarkStart w:id="481" w:name="pg10178_83652"/>
    </w:p>
    <w:p>
      <w:pPr>
        <w:pStyle w:val="BookText"/>
        <w:rPr/>
      </w:pPr>
      <w:bookmarkEnd w:id="481"/>
      <w:r>
        <w:rPr>
          <w:rFonts w:ascii="IRNazanin" w:hAnsi="IRNazanin" w:eastAsia="IRNazanin"/>
          <w:color w:val="111111"/>
          <w:sz w:val="28"/>
          <w:sz w:val="28"/>
          <w:szCs w:val="28"/>
          <w:rtl w:val="true"/>
          <w:lang w:bidi="fa-IR"/>
        </w:rPr>
        <w:t>قد تقدّم أنّ الأقوى عدم القضاء بها وإن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ودخول الماء إلى الحلق للتبرّد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عدم تقصيره في التحفّظ، وإلّا وجب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التمضمض به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اختصاص الحكم بالطهارة لصلاة الفريضة، فلو كانت لصلاة نافلة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يستند السبق إلى تقصيره في التحفّظ، وإلّا قضى وكفّر، والظاهر أنّ الاستنشاق بحكم 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نظر إلى مَن يحرم عليه نظرها بشهوة فأمنى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محلّلة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إلّا مع قصد الإمناء أو اعتياده، ولا فرق بين المحلّلة والمحرّمة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018684_1067777946"/>
      <w:bookmarkStart w:id="483" w:name="_Toc180"/>
      <w:bookmarkEnd w:id="482"/>
      <w:r>
        <w:rPr>
          <w:rtl w:val="true"/>
        </w:rPr>
        <w:t>[</w:t>
      </w:r>
      <w:r>
        <w:rPr>
          <w:rtl w:val="true"/>
        </w:rPr>
        <w:t>فروع</w:t>
      </w:r>
      <w:r>
        <w:rPr>
          <w:rtl w:val="true"/>
        </w:rPr>
        <w:t>]</w:t>
      </w:r>
      <w:bookmarkEnd w:id="4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تمضمض متداوياً،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عبثاً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وجوب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 بقايا الغذاء من بين أسنانه يحرم ابتلاعه للصائم، فإن ابتلعه عمداً وجب عليه القضاء، والأشبه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العلم، ومع الجهل يبني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السهو 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يقصّر في التخليل فيقوى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الدواء في الإحليل حتّى يصل إلى الجوف يفسده،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الإفساد به، ومثله ما لو طعن نفسه برمح، أو أدخل شيئاً في موضع الطعنة، أو داوى جرحه كذلك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الصوم بابتلاع النخامة والبصاق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المراد بهما هنا ما يخرج من الصدر؛ لأنّ ما ينزل من الدماغ يأتي حكمه، والأقوى فيهما معاً فساد الصوم بابتلاعهما إذا صارا في الفم، وحدّه مخرج الحاء المعجمة، وعدم تحریم ازدرادهما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طعم كالعلك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الصوم،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ومحلّ الخلاف ما إذا لم ينفصل مع الريق أجزاء فابتلعه الصائم، وإلّا فسد مع تعمّده قطعاً، ووجب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مع المراعاة لم يكن عليه شيء، وإن أهمله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تجب عليه المبادرة إلى التخلّص منه بنيّته، فلو نوى بالنزع الجماع فكمبتدئه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تتكرّر الكفّارة بتكرّر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التكرّر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ما تجب به الكفّارة ثمّ سقط فرض الصوم بسفر أو حيض وشبهه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الكفّارة،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وطئ زوجته في شهر رمضان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الإكراه لأجنبيّة،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هنا،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لا يتحمّل عن الأمة ولا عن النائمة، وكذا لا تتحمّل المرأة لو أكرهته، ولا المكره لو كان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وجب عليه شهران متتابعان فعجز صام ثمانية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انحصار الوجوب في الشهرين، أمّا لو كان مخيّراً بينهما وبین غیرهما ككفّارة رمضان كان وجوب الثمانية عشر مشروطاً بالعجز عن غيره من الخصال، ولا يجب تتابع صوم الثمانية عشر على تقدير وجوبها وإن كان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متبرّع بالتكفير عمّن وجبت عليه الكفّارة جاز، لكن يراعى في الصوم الوفاة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المنع من التبرّع بالصوم عن الحيّ مطلقاً، وتوقّف غيره على إذن مَن وجب عليه</w:t>
      </w:r>
      <w:r>
        <w:rPr>
          <w:rFonts w:eastAsia="Amiri" w:cs="Amiri" w:ascii="Amiri" w:hAnsi="Amiri"/>
          <w:color w:val="111111"/>
          <w:sz w:val="28"/>
          <w:szCs w:val="28"/>
          <w:rtl w:val="true"/>
          <w:lang w:bidi="ar-SA"/>
        </w:rPr>
        <w:t xml:space="preserve">. </w:t>
      </w:r>
      <w:bookmarkStart w:id="484" w:name="pg10178_83654"/>
    </w:p>
    <w:p>
      <w:pPr>
        <w:pStyle w:val="Heading4"/>
        <w:numPr>
          <w:ilvl w:val="3"/>
          <w:numId w:val="1"/>
        </w:numPr>
        <w:rPr/>
      </w:pPr>
      <w:bookmarkStart w:id="485" w:name="__RefHeading___Toc2018686_1067777946"/>
      <w:bookmarkStart w:id="486" w:name="_Toc181"/>
      <w:bookmarkEnd w:id="484"/>
      <w:bookmarkEnd w:id="485"/>
      <w:r>
        <w:rPr>
          <w:rtl w:val="true"/>
        </w:rPr>
        <w:t>[</w:t>
      </w:r>
      <w:r>
        <w:rPr>
          <w:rtl w:val="true"/>
        </w:rPr>
        <w:t>المقصد الثالث فيما يكره للصائم</w:t>
      </w:r>
      <w:r>
        <w:rPr>
          <w:rtl w:val="true"/>
        </w:rPr>
        <w:t>]</w:t>
      </w:r>
      <w:bookmarkEnd w:id="4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تسعة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تقبيلاً ولمساً وملاعبةً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يستثنى من ذلك الشيخ الكبير المالك لإربه </w:t>
      </w:r>
      <w:r>
        <w:rPr>
          <w:rStyle w:val="FootnoteAnchor"/>
          <w:rtl w:val="true"/>
        </w:rPr>
        <w:footnoteReference w:id="130"/>
      </w:r>
      <w:r>
        <w:rPr>
          <w:rFonts w:ascii="Amiri" w:hAnsi="Amiri" w:eastAsia="Amiri" w:cs="Amiri"/>
          <w:color w:val="111111"/>
          <w:sz w:val="28"/>
          <w:sz w:val="28"/>
          <w:szCs w:val="28"/>
          <w:rtl w:val="true"/>
          <w:lang w:bidi="ar-SA"/>
        </w:rPr>
        <w:t>، ومن لا تُحرّك القبلة شهوته فلا يكره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والاكتحال بما فيه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المرّ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والسَعُوط بما لا يتعدّى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إلى الدماغ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ويتأكّد في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وسكون الراء وكسر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يكره غير الرياحين من الأطياب، بل روي استحبابه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وجلوس المرأة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الخنثى، ولا يكره للرجل وإن كان أكثر تبريداً من بلّ الثوب عليه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018688_1067777946"/>
      <w:bookmarkStart w:id="488" w:name="_Toc182"/>
      <w:bookmarkEnd w:id="487"/>
      <w:r>
        <w:rPr>
          <w:rtl w:val="true"/>
        </w:rPr>
        <w:t>[</w:t>
      </w:r>
      <w:r>
        <w:rPr>
          <w:rtl w:val="true"/>
        </w:rPr>
        <w:t>الركن الثالث</w:t>
      </w:r>
      <w:r>
        <w:rPr>
          <w:rtl w:val="true"/>
        </w:rPr>
        <w:t xml:space="preserve">: </w:t>
      </w:r>
      <w:r>
        <w:rPr>
          <w:rtl w:val="true"/>
        </w:rPr>
        <w:t>الزمان الذي يصحّ فيه الصوم</w:t>
      </w:r>
      <w:r>
        <w:rPr>
          <w:rtl w:val="true"/>
        </w:rPr>
        <w:t>)</w:t>
      </w:r>
      <w:bookmarkEnd w:id="4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يوماً معيّناً فاتّفق أحد العيدين لم يصحّ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قضاؤه؟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قضاؤه،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لكن يستحبّ</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018690_1067777946"/>
      <w:bookmarkStart w:id="490" w:name="_Toc183"/>
      <w:bookmarkEnd w:id="489"/>
      <w:r>
        <w:rPr>
          <w:rtl w:val="true"/>
        </w:rPr>
        <w:t>[</w:t>
      </w:r>
      <w:r>
        <w:rPr>
          <w:rtl w:val="true"/>
        </w:rPr>
        <w:t>الركن الرابع</w:t>
      </w:r>
      <w:r>
        <w:rPr>
          <w:rtl w:val="true"/>
        </w:rPr>
        <w:t xml:space="preserve">: </w:t>
      </w:r>
      <w:r>
        <w:rPr>
          <w:rtl w:val="true"/>
        </w:rPr>
        <w:t>من يصحّ منه الصوم</w:t>
      </w:r>
      <w:r>
        <w:rPr>
          <w:rtl w:val="true"/>
        </w:rPr>
        <w:t>]</w:t>
      </w:r>
      <w:bookmarkEnd w:id="4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العاقل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صوم الكافر وإن وجب عليه، ولا المجنون، ولا </w:t>
      </w:r>
    </w:p>
    <w:p>
      <w:pPr>
        <w:pStyle w:val="BookText"/>
        <w:rPr/>
      </w:pPr>
      <w:r>
        <w:rPr>
          <w:rFonts w:ascii="Amiri" w:hAnsi="Amiri" w:eastAsia="Amiri" w:cs="Amiri"/>
          <w:color w:val="111111"/>
          <w:sz w:val="28"/>
          <w:sz w:val="28"/>
          <w:szCs w:val="28"/>
          <w:rtl w:val="true"/>
          <w:lang w:bidi="ar-SA"/>
        </w:rPr>
        <w:t>المغمى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من المغمى عليه النيّة كان بحكم الصائم،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من المستحاضة إذا فعلت ما يجب عليها من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جميع الأغسال بالنسبة إلى الصوم المقبل، أمّا الحاضر فيشترط فيه الإتيان بالأغسال النهاريّة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تخلّ بالغسل المعتبر في الصوم يفسد، ويجب القضاء إجماعاً، وفي وجوب الكفّارة قولان، أظهرهما العدم، وكذا القول في الحائض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الغسل تيمّمت، فلو تركته وجب القضاء، وعدم الكفّارة 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يجب على المجنب التيمّم لو تعذّر الغسل، فلو تركه فالظاهر وجوب القضاء خاصّة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والنذر المشروط سفراً وحضراً على قول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قويٌّ ولا فرق بين وقوع النذر حاضراً ومسافراً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يصوم مندوباً؟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ذلك ممّن له حكم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نوى إقامة عشرة في غير بلده أو مضى عليه ثلاثون يوماً متردّداً في الإقامة، وكثير السفر، والعاصي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استيقظ جنباً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صومه قضاءً عن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من المريض مالم يستضرّ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الضرر المجوّز للإفطار بخوف زيادته بسبب الصوم، أو بطء برئه، أو بحصول مشقّة شديدة لا تتحمّل عادة، أو بحدوث مرض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إلى ما يجده من نفسه، أو يخبره به من يظنّ صدقه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 الذي يجب معه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أو الإنبات، أو بلوغ خمس عشرة </w:t>
      </w:r>
    </w:p>
    <w:p>
      <w:pPr>
        <w:pStyle w:val="BookText"/>
        <w:rPr/>
      </w:pPr>
      <w:r>
        <w:rPr>
          <w:rFonts w:ascii="Amiri" w:hAnsi="Amiri" w:eastAsia="Amiri" w:cs="Amiri"/>
          <w:color w:val="111111"/>
          <w:sz w:val="28"/>
          <w:sz w:val="28"/>
          <w:szCs w:val="28"/>
          <w:rtl w:val="true"/>
          <w:lang w:bidi="ar-SA"/>
        </w:rPr>
        <w:t>سنة في الرجال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الخنثى، والمراد ببلوغ السنة إكمالها، فلا يكفي الدخول فيها، ولو شكّ في البلوغ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يمرَّنُ الصبيّ والصبيّة على الصوم قبل البلوغ</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التمرين تفعيل من المرانة وهي الصلابة والعادة، أي يكلّف به ليعتاده ويُصَلَّب عليه، فلا يجد فيه مشقّة بعد البلوغ، وكذا غيره من العبادات كالصلاة، ولو أطاق بعض النهار خاصّة 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اقتصاره في النيّة على التقرّب، ولو أضاف إليه الوجه وجوباً أو ندباً على وجه التمرّن أجزأ</w:t>
      </w:r>
      <w:r>
        <w:rPr>
          <w:rFonts w:eastAsia="Amiri" w:cs="Amiri" w:ascii="Amiri" w:hAnsi="Amiri"/>
          <w:color w:val="111111"/>
          <w:sz w:val="28"/>
          <w:szCs w:val="28"/>
          <w:rtl w:val="true"/>
          <w:lang w:bidi="ar-SA"/>
        </w:rPr>
        <w:t xml:space="preserve">. </w:t>
      </w:r>
      <w:bookmarkStart w:id="491" w:name="pg10178_83657"/>
    </w:p>
    <w:p>
      <w:pPr>
        <w:pStyle w:val="Heading3"/>
        <w:numPr>
          <w:ilvl w:val="2"/>
          <w:numId w:val="1"/>
        </w:numPr>
        <w:rPr/>
      </w:pPr>
      <w:bookmarkStart w:id="492" w:name="__RefHeading___Toc2018692_1067777946"/>
      <w:bookmarkStart w:id="493" w:name="_Toc184"/>
      <w:bookmarkEnd w:id="491"/>
      <w:bookmarkEnd w:id="492"/>
      <w:r>
        <w:rPr>
          <w:rtl w:val="true"/>
        </w:rPr>
        <w:t>[</w:t>
      </w:r>
      <w:r>
        <w:rPr>
          <w:rtl w:val="true"/>
        </w:rPr>
        <w:t>النظر الثاني في أقسام الصوم</w:t>
      </w:r>
      <w:r>
        <w:rPr>
          <w:rtl w:val="true"/>
        </w:rPr>
        <w:t>]</w:t>
      </w:r>
      <w:bookmarkEnd w:id="493"/>
    </w:p>
    <w:p>
      <w:pPr>
        <w:pStyle w:val="Heading4"/>
        <w:numPr>
          <w:ilvl w:val="3"/>
          <w:numId w:val="1"/>
        </w:numPr>
        <w:rPr/>
      </w:pPr>
      <w:bookmarkStart w:id="494" w:name="__RefHeading___Toc2018694_1067777946"/>
      <w:bookmarkStart w:id="495" w:name="_Toc185"/>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والاعتكاف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وجب بنذرٍ وشبهه، واليوم الثالث إذا اعتكف يومين ندباً وما أشبهه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018696_1067777946"/>
      <w:bookmarkStart w:id="497" w:name="_Toc186"/>
      <w:bookmarkEnd w:id="496"/>
      <w:r>
        <w:rPr>
          <w:rtl w:val="true"/>
        </w:rPr>
        <w:t>[</w:t>
      </w:r>
      <w:r>
        <w:rPr>
          <w:rtl w:val="true"/>
        </w:rPr>
        <w:t>القول في صوم شهر رمضان</w:t>
      </w:r>
      <w:r>
        <w:rPr>
          <w:rtl w:val="true"/>
        </w:rPr>
        <w:t>]</w:t>
      </w:r>
      <w:bookmarkEnd w:id="497"/>
    </w:p>
    <w:p>
      <w:pPr>
        <w:pStyle w:val="Heading5"/>
        <w:numPr>
          <w:ilvl w:val="4"/>
          <w:numId w:val="1"/>
        </w:numPr>
        <w:rPr/>
      </w:pPr>
      <w:bookmarkStart w:id="498" w:name="__RefHeading___Toc2018698_1067777946"/>
      <w:bookmarkStart w:id="499" w:name="_Toc187"/>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 الشهر برؤية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يره لا يجب عليه الصوم إلّا أن يمضي من شعبان ثلاثون يوماً، أو يُرى رؤيةً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جماعة برؤيته، تأمن النفس من تواطئهم على الكذب، ويحصل بإخبارهم الظنّ المتاخم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في عدد، نعم يشترط كونهم ثلاثة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الصغير والكبير، والذكر والأُنثى، والمسلم والكافر إذا حصل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حصل الشياع وجب الصوم على مَن علم به وإن لم يحكم به حاكم، ولا فرق في ثبوته بين هلال 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يتّفق ذلك وشهد شاهدان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مطلقاً،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رُئي في البلاد المتقاربة كالكوفة وبغداد وجب الصوم على ساكنيها أجمع، دون المتباعدة كالعراق وخراسان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المرجع في القرب والبعد إلى اختلاف المطالع المؤثّر في رؤية أهل البلدين وذلك يعرفه أهل التقويم، ولا شبهة في كون ما مثّل به المصنّف للقرب والبعد مطابقاً، إنّما الكلام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ولايثبت بشهادة الواحد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والقائل به لا يثبت غير الصوم، فلو كان الشهر منتهى أجل أو عدّة أو مدّة ظهار لم يثبت إجماعاً، نعم قد ثبت شهر شوّال تبعاً إذا مضى ثلاثون يوماً بتلك الشهادة فيجب الإفطار، ويحكم بدخول شوّال، وتجب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حيث هي شهادة، أما لو حصل بهنّ الشياع كفى كغيرهنّ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اعتبار بالجدول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حساب مخصوص مأخوذ من سير القمر، ومرجعه إلى عدّ شهر تامّاً وشهر ناقصاً في جميع السنة، مبتدئاً في التامّ بالمحرّم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 يُطلق على خمسة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شعبان ناقصاً ورمضان تامّاً أبداً، وعدّ شهر تامّاً وشهر ناقصاً في جميع السنة، وعدّ خمسة من هلال الماضية وجعل الخامس أوّل الشهر المطلوب في هذه السنة، وعدّ تسعة وخمسين من هلال رجب، وعدّ كلّ شهر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لا عبرة به على الأقوى، إلّا مع غمّة الشهور فيعمل بالثالث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بغيبوبة الهلال بعد الشفق، ولا برؤيته يوم الثلاثين قبل الزوال، ولا بتطوّقه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الأصحاب إلى اعتبار ذلك، بمعنى الحكم به لليلة الماضية في الثلاثين </w:t>
      </w:r>
      <w:r>
        <w:rPr>
          <w:rStyle w:val="FootnoteAnchor"/>
          <w:rtl w:val="true"/>
        </w:rPr>
        <w:footnoteReference w:id="131"/>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الثلاثين من شعبان بنيّة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صامه بنيّة رمضان لأمارة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بالأمارة نحو شهادة الواحد، وإخبار العدد الذي لا يثبت به الشياع، وبذلك يتحقّق كونه شكّاً لا بدونه، والأقوى عدم إجزاء نيّته عن رمضان مطلقاً</w:t>
      </w:r>
      <w:r>
        <w:rPr>
          <w:rFonts w:eastAsia="Amiri" w:cs="Amiri" w:ascii="Amiri" w:hAnsi="Amiri"/>
          <w:color w:val="111111"/>
          <w:sz w:val="28"/>
          <w:szCs w:val="28"/>
          <w:rtl w:val="true"/>
          <w:lang w:bidi="ar-SA"/>
        </w:rPr>
        <w:t xml:space="preserve">. </w:t>
      </w:r>
      <w:bookmarkStart w:id="500" w:name="pg10178_83659"/>
    </w:p>
    <w:p>
      <w:pPr>
        <w:pStyle w:val="BookText"/>
        <w:rPr/>
      </w:pPr>
      <w:bookmarkEnd w:id="50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غمّت شهور السنة عدّ كلّ شهر منها 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منها لقضاء العادة بالنقيصة،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ذلك برواية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عدّ ثلاثين ثلاثين في نحو الشهرين والثلاثة، والرجوع فيما زاد إلى رواية العدد في غير السنة الكبيسيّة، وفيها تعدّ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بحيث لا يعلم الشهر، كالأسير والمحبوس صام شهراً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شهرٍ يغلب على ظنّه أنّه شهر رمضان، فإن لم يظنّ شهراً تخيّر في كلّ سنة شهراً، مراعياً المطابقة بين الشهرين فى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يُعيّن للصوم شهراً، يلحقه حكم الشهر في وجوب النيّة والمتابعة وأحكام القضاء والكفّارة وغيرها</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2018700_1067777946"/>
      <w:bookmarkStart w:id="502" w:name="_Toc188"/>
      <w:bookmarkEnd w:id="501"/>
      <w:r>
        <w:rPr>
          <w:rtl w:val="true"/>
        </w:rPr>
        <w:t>[</w:t>
      </w:r>
      <w:r>
        <w:rPr>
          <w:rtl w:val="true"/>
        </w:rPr>
        <w:t>شروط وجوب الصوم</w:t>
      </w:r>
      <w:r>
        <w:rPr>
          <w:rtl w:val="true"/>
        </w:rPr>
        <w:t>]</w:t>
      </w:r>
      <w:bookmarkEnd w:id="5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وكمال العقل، فلا يجب على الصبيّ، ولا على المجنون إلّا أن يكملا قبل طلوع الفجر ولو كملا بعد طلوعه لم يجب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المغمى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الصوم قبل الإغماء صحّ، وإلّا كان عليه القضاء،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كالصبيّ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 لم يجزه مع العلم، ويجزئه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جهل وجوب الإفطار حتّى خرج الوقت، فلو ذكر في أثناء النهار وجب الإفطار والقضاء، والناسي هنا كالجاهل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حضر بلده أو بلداً يعزم فيه الإقامة عشرة أيّام كان حكمه حكم بُرء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نيّة الإقامة إن حصلت قبل الزوال ولم يتناول وجب عليه تجديد نيّة الصوم وأجزأه، وإلّا فلا، ولو تقدّمت نيّة الإقامة على الوصول كان الاعتبار بوصوله إلى حدود البلد قبل الزوال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والكافر وإن وجب عليه لكن لا يجب القضاء إلّا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ويصوم إذا أسلم قبل </w:t>
      </w:r>
      <w:bookmarkStart w:id="503" w:name="pg10178_83660"/>
    </w:p>
    <w:p>
      <w:pPr>
        <w:pStyle w:val="BookText"/>
        <w:rPr/>
      </w:pPr>
      <w:bookmarkEnd w:id="503"/>
      <w:r>
        <w:rPr>
          <w:rFonts w:ascii="Amiri" w:hAnsi="Amiri" w:eastAsia="Amiri" w:cs="Amiri"/>
          <w:color w:val="111111"/>
          <w:sz w:val="28"/>
          <w:sz w:val="28"/>
          <w:szCs w:val="28"/>
          <w:rtl w:val="true"/>
          <w:lang w:bidi="ar-SA"/>
        </w:rPr>
        <w:t>الزوال، وإن ترك قضى،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2018702_1067777946"/>
      <w:bookmarkStart w:id="505" w:name="_Toc189"/>
      <w:bookmarkEnd w:id="504"/>
      <w:r>
        <w:rPr>
          <w:rtl w:val="true"/>
        </w:rPr>
        <w:t>[</w:t>
      </w:r>
      <w:r>
        <w:rPr>
          <w:rtl w:val="true"/>
        </w:rPr>
        <w:t>أحكام قضاء الصوم</w:t>
      </w:r>
      <w:r>
        <w:rPr>
          <w:rtl w:val="true"/>
        </w:rPr>
        <w:t>]</w:t>
      </w:r>
      <w:bookmarkEnd w:id="5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فلاقضاء عليه وكذا إن فاته لإغماء،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لم ينو قبل إغمائه،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وهذا وما قبله ليس تكراراً لما سبق في شرائط الوجوب؛ إذ لا ملازمة بين عدم الوجوب وعدم القضاء، فقد يجب القضاء على مَن لا يجب عليه الأداء؛ فلذا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القضاء على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تارك له بعد وجوبه عليه، إذا لم يقم مقامه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الشيخ والشيخة وذي العطاش ومَن استمرّ به المرض إلى رمضان آخر، فإنّ الفدية تقوم مقام القضاء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الموالاة في القضاء احتياطاً للبراءة،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التفريق للفرق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استمرّ به المرض إلى رمضان آخر سقط قضاؤه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وكفّر عن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تتكرّر الفدية بتكرار السنين، ومحلّها مستحقّ الزكاة لحاجته، ولا يجب تعدّده، وكذا القول فى كلّ فدية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السفر المستمرّ بالمرض على الأقوى، بل يجب على المؤخّر به اختياراً القضاء والفدية، وعلى المعذور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برئ بينهما وأخّره عازماً على القضاء قضاه ولا كفّارة، وإن تركه تهاوناً قضاه، وكفّر عن كلّ يوم من السالف بمدّ من الطعام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والمراد بالتهاون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العزم على القضاء، سواء عزم على الترك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عزم على القضاء في حال السعة، فلمّا ضاق الوقت عرض له مانع منه كالحيض والمرض والسفر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وجوب القضاء مع الفدية </w:t>
      </w:r>
    </w:p>
    <w:p>
      <w:pPr>
        <w:pStyle w:val="BookText"/>
        <w:rPr/>
      </w:pPr>
      <w:r>
        <w:rPr>
          <w:rFonts w:ascii="Amiri" w:hAnsi="Amiri" w:eastAsia="Amiri" w:cs="Amiri"/>
          <w:color w:val="111111"/>
          <w:sz w:val="28"/>
          <w:sz w:val="28"/>
          <w:szCs w:val="28"/>
          <w:rtl w:val="true"/>
          <w:lang w:bidi="ar-SA"/>
        </w:rPr>
        <w:t>على مَن قدر على القضاء ولم يقض حتّى دخل الثاني، سواء عزم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الوليّ إلّا ما تمكّن الميّت من قضائه وأهمله، إلّا ما يفوت بالسفر فإنّه يُقضى ولو مات مسافراً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تمكّنه من القضاء في وجوب القضاء عنه كغيره ولو بالإقامة في أثناء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والوليّ هو أكبر أولاده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هناك ذكر أكبر منه، فلو لم يكن إلّا واحد فهو الوليّ، ولو تعدّد فالمعتبر الأكبر بالسنّ مع الاشتراك في البلوغ، فإن تعارضا قدّم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الأكبر أُنثى لم يجب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مع عدم الذكر الأكبر على غيره من الوارث حتّى المعتق وضامن الجريرة والزوج والزوجة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الأكبر فالأكبر من الذكور، ثمّ الإناث في كلّ طبقة،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وليّان، أو أولياء متساوون في السنّ تساووا في القضاء،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القضاء ويقسّط عليهم بالسويّة، فإن كان يوماً أو بقي منه يوم وجب عليهم كفاية، ولو تبرّع أحدهم بالجميع أو استأجر ثالثاً أو أحدهما فالأقرب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بالقضاء بعضٌ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تبرّع الأجنبي عن الوليّ وتبرّع بعض الأولياء عن بعض على تقدير وجوب التقسيط، ولا فرق بين إيفائه بإذن الوليّ وعدمه وإن كان استئذانه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يقضى عن المرأة ما فاتها؟ فيه تردّد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الوجوب وإن كان أولى، وحيث لا يجب على الوليّ القضاء لو أوصى به الميّت وجب إنفاذه، ولو لم يوص به لم يجب، بخلاف الحجّ فإنّه يجب قضاؤه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الحجّ حقّ مالي وإن كان فيه شائبة البدن، فهو متعلّق بالمال مع الذمّة، </w:t>
      </w:r>
    </w:p>
    <w:p>
      <w:pPr>
        <w:pStyle w:val="BookText"/>
        <w:rPr/>
      </w:pPr>
      <w:r>
        <w:rPr>
          <w:rFonts w:ascii="Amiri" w:hAnsi="Amiri" w:eastAsia="Amiri" w:cs="Amiri"/>
          <w:color w:val="111111"/>
          <w:sz w:val="28"/>
          <w:sz w:val="28"/>
          <w:szCs w:val="28"/>
          <w:rtl w:val="true"/>
          <w:lang w:bidi="ar-SA"/>
        </w:rPr>
        <w:t>بخلاف الصوم فإنّه حقّ بدنيّ محض فلا يتعلّق بالمال ما لم يوص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القسم الأوّل الزكاة والخمس والكفّارة، ومن الثاني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له وليّ، أو كان الأكبر أُنثى، سقط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عن كلّ يوم بمدّ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يسقط القضاء مع كون الأكبر أُنثى إذا كان الذكر الذي دونها غير بالغ على قول، فأمّا مع بلوغه فيثبت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محمول على الأوّل، أو على ما لو كانت الأكبر مع عدم وجود ذكر أصلاً، كما عبّروا بأنّ الوليّ أكبر الأولاد الذكور، وجعلوه شاملاً لما لو لم يكن غيره، أو قول بأنّ الذكر متى كان أصغر من الأُنثى لاقضاء عليه مطلقاً، وإن كان الأجود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عليه شهران متتابعان صام الوليّ شهراً، وتصدّق من مال الميّت عن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في الشهرين بين كونهما واجبين عليه عيناً كالمنذورين وكفّارة الظهار مع قدرته على الصوم، أو تخييراً ككفّارة رمضان على تقدير اختيار الوليّ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التخيير رواية الوشّاء عن الرضا علیه السلام </w:t>
      </w:r>
      <w:r>
        <w:rPr>
          <w:rStyle w:val="FootnoteAnchor"/>
          <w:rtl w:val="true"/>
        </w:rPr>
        <w:footnoteReference w:id="133"/>
      </w:r>
      <w:r>
        <w:rPr>
          <w:rFonts w:ascii="Amiri" w:hAnsi="Amiri" w:eastAsia="Amiri" w:cs="Amiri"/>
          <w:color w:val="111111"/>
          <w:sz w:val="28"/>
          <w:sz w:val="28"/>
          <w:szCs w:val="28"/>
          <w:rtl w:val="true"/>
          <w:lang w:bidi="ar-SA"/>
        </w:rPr>
        <w:t>، وهي ضعيفة السند، فالأقوى تعيين صوم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لشهر رمضان لا يحرم عليه الإفطار قبل الزوال، لعذر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كان الوقت متّسعاً، فلو تضيّق برمضان الثاني حرم عليه الإفطار مطلقاً، لكن لایجب به قبل الزوال الكفّارة، ومثله ما لو ظنّ الوفاة قبل فعله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أنّ كلّ مَن دخل في صوم متعيّن يجب عليه الاستمرار عليه، وغير المتعيّن يجوز الخروج منه اختياراً إلّا في قضاء رمضان بعد الزوال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غسل الجنابة ومرّ عليه أيّام أو الشهر كلّه،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والصوم،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حسب، وهو الأشبه</w:t>
      </w:r>
      <w:r>
        <w:rPr>
          <w:rFonts w:eastAsia="Amiri" w:cs="Amiri" w:ascii="Amiri" w:hAnsi="Amiri"/>
          <w:color w:val="111111"/>
          <w:sz w:val="28"/>
          <w:szCs w:val="28"/>
          <w:rtl w:val="true"/>
          <w:lang w:bidi="ar-SA"/>
        </w:rPr>
        <w:t xml:space="preserve">». </w:t>
      </w:r>
      <w:bookmarkStart w:id="506" w:name="pg10178_83663"/>
    </w:p>
    <w:p>
      <w:pPr>
        <w:pStyle w:val="BookText"/>
        <w:rPr/>
      </w:pPr>
      <w:bookmarkEnd w:id="506"/>
      <w:r>
        <w:rPr>
          <w:rFonts w:ascii="Amiri" w:hAnsi="Amiri" w:eastAsia="Amiri" w:cs="Amiri"/>
          <w:color w:val="111111"/>
          <w:sz w:val="28"/>
          <w:sz w:val="28"/>
          <w:szCs w:val="28"/>
          <w:rtl w:val="true"/>
          <w:lang w:bidi="ar-SA"/>
        </w:rPr>
        <w:t>الأقوى وجوب قضاء الصوم والصلاة، ولا فرق بين اليوم والأيّام وجميع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الجنابة الحيض والنفاس، وفي حكم رمضان المنذور المعيّن</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018704_1067777946"/>
      <w:bookmarkStart w:id="508" w:name="_Toc190"/>
      <w:bookmarkEnd w:id="507"/>
      <w:r>
        <w:rPr>
          <w:rtl w:val="true"/>
        </w:rPr>
        <w:t>[</w:t>
      </w:r>
      <w:r>
        <w:rPr>
          <w:rtl w:val="true"/>
        </w:rPr>
        <w:t>القول في صوم الكفّارات</w:t>
      </w:r>
      <w:r>
        <w:rPr>
          <w:rtl w:val="true"/>
        </w:rPr>
        <w:t>]</w:t>
      </w:r>
      <w:bookmarkEnd w:id="5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مع غيره، وهو كفارة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بذلك مَن أفطر على محرّم في شهر رمضان عامداً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الصوم فيه بعد العجز عن غيره، وهو ستّة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كفّارة جزاء الصيد تردّد، وتنزيلها على الترتيب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بالصيد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والبقرة الوحشيّة والظبي وما أُلحق بها، لا مطلق الصيد؛ لأنّ منه ما هو مرتّب قطعاً، والأقوى أنّ الكفّارة المذكورة 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بهذه كفّارة شقّ الرجل ثوبه على زوجته أو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المشهور من أنّ كفّارته كفّارة يمين، فيكون صومها مرتّباً على غيره، والمراد خدشها وشقّها في المصاب لا مطلق الأحوال، وإنّما أجمله لأنّ الكلام فيه يأتي في باب الكفّارات، والغرض هنا مجرّد ذكر الصوم وترتّبه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وأُلحق بذلك كفّارة جزّ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في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أنّها حينئذٍ كفّارة رمضان،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كفّارة ظهار </w:t>
      </w:r>
      <w:r>
        <w:rPr>
          <w:rStyle w:val="FootnoteAnchor"/>
          <w:rtl w:val="true"/>
        </w:rPr>
        <w:footnoteReference w:id="134"/>
      </w:r>
      <w:r>
        <w:rPr>
          <w:rFonts w:ascii="Amiri" w:hAnsi="Amiri" w:eastAsia="Amiri" w:cs="Amiri"/>
          <w:color w:val="111111"/>
          <w:sz w:val="28"/>
          <w:sz w:val="28"/>
          <w:szCs w:val="28"/>
          <w:rtl w:val="true"/>
          <w:lang w:bidi="ar-SA"/>
        </w:rPr>
        <w:t>، فتكون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في هذه المواضع بالإلحاق؛ لينبّه على الخلاف فيها، فإنّ مستند الأقوال روايات ضعيفة </w:t>
      </w:r>
      <w:r>
        <w:rPr>
          <w:rStyle w:val="FootnoteAnchor"/>
          <w:rtl w:val="true"/>
        </w:rPr>
        <w:footnoteReference w:id="135"/>
      </w:r>
      <w:r>
        <w:rPr>
          <w:rFonts w:ascii="Amiri" w:hAnsi="Amiri" w:eastAsia="Amiri" w:cs="Amiri"/>
          <w:color w:val="111111"/>
          <w:sz w:val="28"/>
          <w:sz w:val="28"/>
          <w:szCs w:val="28"/>
          <w:rtl w:val="true"/>
          <w:lang w:bidi="ar-SA"/>
        </w:rPr>
        <w:t>، أو شهرة بين الأصحاب مرجّحة، ولا يخفى ما فيه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مرتّباً على غيره مخيّراً بينه وبين غيره، وهو كفّارة الواطئ أمته المحرمة بإذنه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كفّارته بدنة أو بقرة أو شاة مخيّر في الثلاثة، فإن عجز عن الأوّلين فشاة أو صيام ثلاثة أيّام، فالصيام فيها مرتّب على غيره وهو البدنة والبقرة، مخيّر بينه وبين غيره وهو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يشترط فيه التتابع إذا أفطر في أثنائه لعذر بنى عند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الكلّيّة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كفّارة اليمين، وقضاء رمضان، وكفّارة الاعتكاف؛ فإنّ الإفطار فيها يوجب الاستئناف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أفطر يوم النحر جاز أن يبني بعد انقضاء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مَن يعلم دخول العيد قبل الإكمال وغيره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به مَن وجب عليه صوم شهر في كفّارة قتل الخطأ أو الظهار؛ لكونه مملوكاً،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الإلحاق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وجب عليه شهران متتابعان، لا يصوم شعبان إلّا أن يصوم قبله ولو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مقتضاه أنّ انكسار الشهر الأوّل لا يوجب عدّة ثلاثين ممّا بعده، وهذا هو الأقوى، ولو قيل بعده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مع ذلك تماميّة شعبان، وإلّا لم يجز مع اليوم السابق، وكذا القول في جميع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في ذي الحجّة مع يوم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يصحّ الاقتصار عليه، وظاهره أنّه لوضمّ إليه يومين صحّ كغيره، وليس كذلك؛ لانّ العيد هنا متوسّط فلا يسلم معه العدد، بل لا بدّ من تتابع شهر ويوم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في أشهر الحرم يصوم شهرين منها، ولو دخل فيهما العيد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يصوم شهرين من أشهر الحرم، وإن دخل بينهما العيد وأيّام التشريق صامها وأجزأت عنه وإن كان صومها محرّماً لو لا ذلك، وإن كانت العبارة لا تدلّ على هذا المعنى، وكيف كان فالأصحّ المنع</w:t>
      </w:r>
      <w:r>
        <w:rPr>
          <w:rFonts w:eastAsia="Amiri" w:cs="Amiri" w:ascii="Amiri" w:hAnsi="Amiri"/>
          <w:color w:val="111111"/>
          <w:sz w:val="28"/>
          <w:szCs w:val="28"/>
          <w:rtl w:val="true"/>
          <w:lang w:bidi="ar-SA"/>
        </w:rPr>
        <w:t xml:space="preserve">. </w:t>
      </w:r>
      <w:bookmarkStart w:id="509" w:name="pg10178_83665"/>
    </w:p>
    <w:p>
      <w:pPr>
        <w:pStyle w:val="Heading4"/>
        <w:numPr>
          <w:ilvl w:val="3"/>
          <w:numId w:val="1"/>
        </w:numPr>
        <w:rPr/>
      </w:pPr>
      <w:bookmarkStart w:id="510" w:name="__RefHeading___Toc2018706_1067777946"/>
      <w:bookmarkStart w:id="511" w:name="_Toc191"/>
      <w:bookmarkEnd w:id="509"/>
      <w:bookmarkEnd w:id="510"/>
      <w:r>
        <w:rPr>
          <w:rtl w:val="true"/>
        </w:rPr>
        <w:t>[</w:t>
      </w:r>
      <w:r>
        <w:rPr>
          <w:rtl w:val="true"/>
        </w:rPr>
        <w:t>الصوم المندوب والصوم المكروه</w:t>
      </w:r>
      <w:r>
        <w:rPr>
          <w:rtl w:val="true"/>
        </w:rPr>
        <w:t>]</w:t>
      </w:r>
      <w:bookmarkEnd w:id="5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والندب من الصوم قد لا يختصّ وقتاً، كصيام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المراد غير الواجب منها والمحرّم، ويجوز إدخال ماكره صومه؛ لأنّ مكروه العبادة راجح في الجملة لاينافي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السترة، قاله الجوهري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أيّام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حذف الموصوف، وتقديره أيّام الليالي البيض، سمّيت بذلك لبياضها أجمع بضوء القمر، هذا هو المعروف لغةً، وروي أنّها سمّيت بذلك لتوبة الله تعالى بسب صيامها على آدم، فابيضّ بكلّ يوم ثلثه بعد أن كان أسود بسبب أكله من الشجرة </w:t>
      </w:r>
      <w:r>
        <w:rPr>
          <w:rStyle w:val="FootnoteAnchor"/>
          <w:rtl w:val="true"/>
        </w:rPr>
        <w:footnoteReference w:id="137"/>
      </w:r>
      <w:r>
        <w:rPr>
          <w:rFonts w:ascii="Amiri" w:hAnsi="Amiri" w:eastAsia="Amiri" w:cs="Amiri"/>
          <w:color w:val="111111"/>
          <w:sz w:val="28"/>
          <w:sz w:val="28"/>
          <w:szCs w:val="28"/>
          <w:rtl w:val="true"/>
          <w:lang w:bidi="ar-SA"/>
        </w:rPr>
        <w:t>، وحينئذٍ فالكلام جار على إضافة الموصوف إلى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مولد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 سابع عشر ربيع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مبعثه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السابع والعشرون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دحو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بسطها من تحت الكعبة، وهو الخامس والعشرون من ذي القعدة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عاشوراء على وجه الحزن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بذلك إلى أنّه ليس بصوم شرعي، بل هو كإمساك الحزين عن الطعام بدون نيّة الصوم، وهو معنى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صمه من غير تبييت، وافطره من غير تشميت، وليكن فطرك بعد العصر</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512" w:name="pg10178_83666"/>
    </w:p>
    <w:p>
      <w:pPr>
        <w:pStyle w:val="BookText"/>
        <w:rPr/>
      </w:pPr>
      <w:bookmarkEnd w:id="51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الرابع والعشرون من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مولد إبراهيم الخليل علیه السلام، وكذا يستحبّ صوم بقيّة العشر إلى العيد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وتمسك الحائض والنفساء إذا طهرتا 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الطاهر إذا حاضت ونفست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ولایجب صوم النافلة بالدخول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بعد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لغير المدعوّ إلى طعام، وإلّا لم يكره كما سيأتي</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018708_1067777946"/>
      <w:bookmarkStart w:id="514" w:name="_Toc192"/>
      <w:bookmarkEnd w:id="513"/>
      <w:r>
        <w:rPr>
          <w:rtl w:val="true"/>
        </w:rPr>
        <w:t>[</w:t>
      </w:r>
      <w:r>
        <w:rPr>
          <w:rtl w:val="true"/>
        </w:rPr>
        <w:t>الصوم المكروه</w:t>
      </w:r>
      <w:r>
        <w:rPr>
          <w:rtl w:val="true"/>
        </w:rPr>
        <w:t>]</w:t>
      </w:r>
      <w:bookmarkEnd w:id="5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المكروهات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لا ينعقد مع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الكراهة مطلقاً،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والصوم ندباً لمن دعي إلى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بين دعائه قبل الزوال أو بعده، ولا بين من هيّئ لأجله وغيره، ولا بين من يشقّ عليه المخالفة وغيره ؛ لإطلاق النصّ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يشرط كونه مؤمناً، وأن يكون دعاؤه على وجه الميل القلبي، فلو اتّفق ذلك بالعرض على وجه لا يبالي الداعي بعدم إجابة المدعوّ كما يتّفق ذلك كثيراً لم يكره، والمرجع في ذلك إلى قرائن الأحوال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في كراهة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دعوة المؤمن وعدم ردّ قوله وقضاء حاجته، لا مجرّد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كراهته أنّه ناقص الثواب عنه لولا الدعوة،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إجابة الدعوة أفضل من الصوم سبعين ضعفاً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515" w:name="pg10178_83667"/>
    </w:p>
    <w:p>
      <w:pPr>
        <w:pStyle w:val="Heading4"/>
        <w:numPr>
          <w:ilvl w:val="3"/>
          <w:numId w:val="1"/>
        </w:numPr>
        <w:rPr/>
      </w:pPr>
      <w:bookmarkStart w:id="516" w:name="__RefHeading___Toc2018710_1067777946"/>
      <w:bookmarkStart w:id="517" w:name="_Toc193"/>
      <w:bookmarkEnd w:id="515"/>
      <w:bookmarkEnd w:id="516"/>
      <w:r>
        <w:rPr>
          <w:rtl w:val="true"/>
        </w:rPr>
        <w:t>[</w:t>
      </w:r>
      <w:r>
        <w:rPr>
          <w:rtl w:val="true"/>
        </w:rPr>
        <w:t>الصوم المحظور</w:t>
      </w:r>
      <w:r>
        <w:rPr>
          <w:rtl w:val="true"/>
        </w:rPr>
        <w:t>]</w:t>
      </w:r>
      <w:bookmarkEnd w:id="5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والمحظورات تسعة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وأيّام التشريق لمن كان بمنى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كون الخلاف إشارة إلى ما تقدّم من الخلاف في أنّ القاتل في أشهر الحرم لا يحرم عليه صوم العيدين وأيّام التشريق في كفّارته إلى عموم التحريم لمن كان بمنى، سواء كان ناسكاً أم لا، فإنّ فيه قولاً باختصاصه بالناسك، والأقوى التحريم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يوم الثلاثين من شعبان بنيّة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بتحريمه عدم انعقاده مجازاً، وأن يريد معناه المتعارف، وهو الإثم بفعله، نظراً إلى اعتقاد شرعيّته، فإنّه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نذر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ينذر الصوم عند فعله المحرّم شكراً، أو تركه زجراً، وبالعكس في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الصمت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 ينوي الصوم ساكتاً وإن كان ترك الكلام في مجموع النهار بغير ضمّه إلى نيّة الصوم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الوصال، وهو أن ينوي صوم يوم وليلة إلى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تحقّقه بالأمرين، وإنّما يحرم مع نيّة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أخّر الصائم عشاءه بغير نيّته ابتداءً جاعلاً له جزءاً من صوم لم يحرم، وكذا لو ترك الإفطار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 المرأة ندباً بغير إذن زوجها، أو مع نهيه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كون الزوج والمولى حاضرين أو غائبين، ولا بين أن يضعف المملوك عن حقّ مولاه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الواجب سفراً عدا ما استثني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المستثنى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المنذور سفراً وحضراً، والثلاثة في بدل الهدي، والثمانية عشر في بدل البدنة، وصوم كثير السفر، وناوي الإقامة عشراً، والعاصي به</w:t>
      </w:r>
      <w:r>
        <w:rPr>
          <w:rFonts w:eastAsia="Amiri" w:cs="Amiri" w:ascii="Amiri" w:hAnsi="Amiri"/>
          <w:color w:val="111111"/>
          <w:sz w:val="28"/>
          <w:szCs w:val="28"/>
          <w:rtl w:val="true"/>
          <w:lang w:bidi="ar-SA"/>
        </w:rPr>
        <w:t xml:space="preserve">. </w:t>
      </w:r>
      <w:bookmarkStart w:id="518" w:name="pg10178_83668"/>
    </w:p>
    <w:p>
      <w:pPr>
        <w:pStyle w:val="Heading3"/>
        <w:numPr>
          <w:ilvl w:val="2"/>
          <w:numId w:val="1"/>
        </w:numPr>
        <w:rPr/>
      </w:pPr>
      <w:bookmarkStart w:id="519" w:name="__RefHeading___Toc2018712_1067777946"/>
      <w:bookmarkStart w:id="520" w:name="_Toc194"/>
      <w:bookmarkEnd w:id="518"/>
      <w:bookmarkEnd w:id="519"/>
      <w:r>
        <w:rPr>
          <w:rtl w:val="true"/>
        </w:rPr>
        <w:t>[</w:t>
      </w:r>
      <w:r>
        <w:rPr>
          <w:rtl w:val="true"/>
        </w:rPr>
        <w:t>النظر الثالث في اللواحق</w:t>
      </w:r>
      <w:r>
        <w:rPr>
          <w:rtl w:val="true"/>
        </w:rPr>
        <w:t>]</w:t>
      </w:r>
      <w:bookmarkEnd w:id="5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الذي يجب معه الإفطار، ما يخاف به الزيادة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الزيادة بزيادة المرض، وزيادة مدّة بقائه، وهو بطء برئه،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اجتمعت فيه شرائط القصر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 عالماً بوجوبه قضاه، ولو كان جاهلاً لم يقض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الناسي بالعامد أو الجاهل وجهان، أجودهما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المعتبرة في قصر الصلاة، معتبرة في قصر الصوم ويزيد على ذلك 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بتبييت النيّة نيّة السفر ليلاً ولو قبل الفجر بلحظة، والأقوى اعتبار خروجه قبل الزوال مطلقاً بحيث يتجاوز موضع خفاء الأذان والجدران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على القول الأوّل لا منافاة بين نيّة السفر ليلاً ووجوب نيّة الصوم؛ لأنّ مجرّد نيّة السفر غير كاف في جواز الإفطار، وإنّما هو أحد جزئي السبب، وحينئذٍ فيجب الصوم إلى أن يخرج؛ إذ من الممكن عدم السفر وإن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سفر يجب قصر الصلاة فيه يجب قصر الصوم وبالعكس إلّا الصيد للتجارة على 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أنّه يقصر الصوم حينئذٍ دون الصلاة </w:t>
      </w:r>
      <w:r>
        <w:rPr>
          <w:rStyle w:val="FootnoteAnchor"/>
          <w:rtl w:val="true"/>
        </w:rPr>
        <w:footnoteReference w:id="141"/>
      </w:r>
      <w:r>
        <w:rPr>
          <w:rFonts w:ascii="Amiri" w:hAnsi="Amiri" w:eastAsia="Amiri" w:cs="Amiri"/>
          <w:color w:val="111111"/>
          <w:sz w:val="28"/>
          <w:sz w:val="28"/>
          <w:szCs w:val="28"/>
          <w:rtl w:val="true"/>
          <w:lang w:bidi="ar-SA"/>
        </w:rPr>
        <w:t>، والأقوى وجوب قصرهما كغيره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يلزمهم إتمام الصلاة سفراً يلزمهم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الإتمام مطلقاً عدا المكاري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عدم الفرق بين المكاري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المسافر حتّى تتوارى عنه جدران بلده، أو يخفى عليه أذان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خفائهما ذهاباً وإياباً، وحكم البلد الذي لزمه فيه الإتمام حكم بلده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أفطر قبل ذلك كان عليه مع القضاء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في وجوب الكفّارة بالإفطار قبل الخفاء مع العلم بتحريم الإفطار، ولا يؤثّر فيه ما يتعقّبه من السفر؛ لعدم وقوعه حال الإفساد، إذ من الممكن أن يرجع عنه قبل بلوغ حدّ الترخّص فتستقرّ الكفّارة، وإنّما الكلام في سقوطها بعد الخفاء ووجوب الإفطار، وقد تقدّم، وأنّ الأقوى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والكبيرة وذو العُطاش يفطرون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لا يروى صاحبه، ولا يتمكّن من ترك شرب الماء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في حكمه وحكم الشيخ والكبيرة أنّهم إن عجزوا عن الصوم أصلاً بحيث خرجوا عن حدّ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بمشقّة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عنهم أداء وقضاء ولا كفّارة، وإن أطاقوه بمشقّة شديدة لا يتحمّل مثلها عادة فعليهم الكفّارة للإفطار عن كلّ يوم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والمرضع القليلة اللبن يجوز لهما الإفطار في شهر رمضان، وتقضيان مع الصدقة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خافتا على الولد، أمّا لو خافتا على أنفسهما أفطرتا وقضتا من غير كفّارة كالمريض وغيره ممّن يخاف على نفسه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الجوع والعطش، ولا بين الولد النسبي والرضاعي، ولا بين المستأجرة والمتبرّعة، إلّا أن يقوم غيرها مقامها متبرّعاً، أو آخذاً مثلها، والفدية من مالها وإن كان لها زوج هو أبو الولد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نام في رمضان واستمرّ نومه فإن كان نوى الصوم فلا قضاء عليه، وإن </w:t>
      </w:r>
    </w:p>
    <w:p>
      <w:pPr>
        <w:pStyle w:val="BookText"/>
        <w:rPr/>
      </w:pPr>
      <w:r>
        <w:rPr>
          <w:rFonts w:ascii="Amiri" w:hAnsi="Amiri" w:eastAsia="Amiri" w:cs="Amiri"/>
          <w:color w:val="111111"/>
          <w:sz w:val="28"/>
          <w:sz w:val="28"/>
          <w:szCs w:val="28"/>
          <w:rtl w:val="true"/>
          <w:lang w:bidi="ar-SA"/>
        </w:rPr>
        <w:t>لم ينو فعليه القضاء، والمجنون والمغمى عليه لا يجب على أحدهما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عولج بما يفطر أو لم يعالج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 والمخالف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فأوجب القضاء بالإخلال بالنيّة من المجنون والمغمى عليه وبمعالجتهما بالمفطر إذا بلغ الحلق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يسوغ له الإفطار في شهر رمضان يكره له التملّي من الطعام والشراب، وكذا الجماع،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أشبه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والخلاف في الجماع خاصّة</w:t>
      </w:r>
      <w:r>
        <w:rPr>
          <w:rFonts w:eastAsia="Amiri" w:cs="Amiri" w:ascii="Amiri" w:hAnsi="Amiri"/>
          <w:color w:val="111111"/>
          <w:sz w:val="28"/>
          <w:szCs w:val="28"/>
          <w:rtl w:val="true"/>
          <w:lang w:bidi="ar-SA"/>
        </w:rPr>
        <w:t xml:space="preserve">. </w:t>
      </w:r>
      <w:bookmarkStart w:id="521" w:name="pg10178_83671"/>
    </w:p>
    <w:p>
      <w:pPr>
        <w:pStyle w:val="Heading2"/>
        <w:numPr>
          <w:ilvl w:val="1"/>
          <w:numId w:val="1"/>
        </w:numPr>
        <w:rPr/>
      </w:pPr>
      <w:bookmarkStart w:id="522" w:name="__RefHeading___Toc2018714_1067777946"/>
      <w:bookmarkStart w:id="523" w:name="_Toc195"/>
      <w:bookmarkEnd w:id="521"/>
      <w:bookmarkEnd w:id="522"/>
      <w:r>
        <w:rPr>
          <w:rtl w:val="true"/>
        </w:rPr>
        <w:t>كتاب الاعتكاف</w:t>
      </w:r>
      <w:bookmarkEnd w:id="523"/>
    </w:p>
    <w:p>
      <w:pPr>
        <w:pStyle w:val="Heading3"/>
        <w:numPr>
          <w:ilvl w:val="2"/>
          <w:numId w:val="1"/>
        </w:numPr>
        <w:rPr/>
      </w:pPr>
      <w:bookmarkStart w:id="524" w:name="__RefHeading___Toc2018716_1067777946"/>
      <w:bookmarkStart w:id="525" w:name="_Toc196"/>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اللبث المتطاول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التعريف لفظي لاصناعي؛ إذ يدخل فيه مطلق اللبث الطويل لأجلها ولو في غير المسجد من غير صيام، ولابنيّة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اللبث وما في معناه في مسجد جامع ثلاثة أيّام فصاعداً صائماً للعبادة على وجه مخصوص</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018718_1067777946"/>
      <w:bookmarkStart w:id="527" w:name="_Toc197"/>
      <w:bookmarkEnd w:id="526"/>
      <w:r>
        <w:rPr>
          <w:rtl w:val="true"/>
        </w:rPr>
        <w:t>[</w:t>
      </w:r>
      <w:r>
        <w:rPr>
          <w:rtl w:val="true"/>
        </w:rPr>
        <w:t>شرائط الاعتكاف</w:t>
      </w:r>
      <w:r>
        <w:rPr>
          <w:rtl w:val="true"/>
        </w:rPr>
        <w:t>]</w:t>
      </w:r>
      <w:bookmarkEnd w:id="5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ويجب فيه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مضى له يومان وجب الثالث على الأظهر، وجدّد 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الأشهر، ومحلّ التجديد بعد دخول ليلة الثالث عند الغروب، ووجوب تجديد النيّة يظهر حيث تعتبر نيّة الوجوب، وإلّا اتّجه الاكتفاء بنيّة القربة السابقة، وتكون فائدة الوجوب المتجدّد ترتّب أحكامه من تحريم قطعه ووجوب الكفّارة فيه على ما سيأتي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كون المعتكف صائماً، سواء كان الصوم لأجل الاعتكاف أم لا، فيجوز جعله في صوم مستحقّ وإن كان الاعتكاف واجباً بنذر وشبهه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الاعتكاف إلّا ثلاثة أيّام، فمن نذر اعتكافاً مطلقاً وجب </w:t>
      </w:r>
    </w:p>
    <w:p>
      <w:pPr>
        <w:pStyle w:val="BookText"/>
        <w:rPr/>
      </w:pPr>
      <w:r>
        <w:rPr>
          <w:rFonts w:ascii="Amiri" w:hAnsi="Amiri" w:eastAsia="Amiri" w:cs="Amiri"/>
          <w:color w:val="111111"/>
          <w:sz w:val="28"/>
          <w:sz w:val="28"/>
          <w:szCs w:val="28"/>
          <w:rtl w:val="true"/>
          <w:lang w:bidi="ar-SA"/>
        </w:rPr>
        <w:t>عليه أن يأتي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الثلاثة طلوع الفجر على الأقوى، فيكفي ثلاثة أيّام بينها ليلتان، والأحوط ابتداؤه من الغروب؛ لتكمل الليالي ثلاثاً كالأيّام، بناء على القول بدخولها في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وجب عليه قضاء يوم من اعتكافٍ، اعتكفَ ثلاثة ليصحّ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متى وجب عليه اعتكاف يوم ولو بنذر، إمّا لكونه لم ينذر سواه حيث لم ينفِ الزائد، أو لكونه قد نذر أربعة فاعتكف ثلاثة خاصّة وأخّر الرابع، فإنّه يضمّ إليه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وجب عليه يومان ضمّ إليهما ثالثاً، ويتخيّر بين تقديم الزائد على الواجب وتأخيره عنه وتوسيطه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اعتكف ثلاثاً ثمّ اعتكف يومين بعدها، وجب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وجوب الثالث، والأقوى وجوب ثالث كلّ ثلاثة فيتعدّى إلى التاسع والثاني عشر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اعتكاف ثلاثة من دون لياليها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بخروجه عن قيد الاعتكاف يبطل اعتكاف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الصحّة حيث يصرّح بإخراج الليالي، أمّا لونذر ثلاثة ولم يتعرّض لليالي بنفي ولا إثبات، دخلت الليلتان المتوسّطتان تبعاً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التوالي فيما نذره من الزيادة على الثلاثة بل لابدّ أن يعتكف ثلاثةً ثلاثةً فمازاد إلّا أن يشترط التتابع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التتابع لفظاً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أعتكف عشرة أيّام مثلاً متتابعة، واشتراطه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له زماناً مخصوصاً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يصرّح بالتتابع، فإنّ اعتكافه أجمع بمقتضى النذر لا يتحقّق إلّا مع متابعته؛ لأنّه مركّب من الأيّام المذكورة، فإذا أخلّ ببعضه لم يتحقّق المركّب، فيكون نذره كذلك في معنى اشتراط التتابع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يجتمع اشتراط التتابع لفظاً ومعنى بأن ينذره كذلك متتابعاً، ومن ذلك يظهر </w:t>
      </w:r>
    </w:p>
    <w:p>
      <w:pPr>
        <w:pStyle w:val="BookText"/>
        <w:rPr/>
      </w:pPr>
      <w:r>
        <w:rPr>
          <w:rFonts w:ascii="Amiri" w:hAnsi="Amiri" w:eastAsia="Amiri" w:cs="Amiri"/>
          <w:color w:val="111111"/>
          <w:sz w:val="28"/>
          <w:sz w:val="28"/>
          <w:szCs w:val="28"/>
          <w:rtl w:val="true"/>
          <w:lang w:bidi="ar-SA"/>
        </w:rPr>
        <w:t>مثال الخالي عن قيد التتابع لفظاً ومعنى، بأن ينذر اعتكاف عشرة أيّام مثلاً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هو الذي يجوز تعريفه ثلاثة ثلاثة، فإن فضل منه ما يقصر عن الثلاثة ضمّه إلى أحدها إن شاء، وإن أفرده افتقر إلى ضميمة ما يتمّ به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فلا يصحّ إلّا في مسجد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والمراد به ما صُلّي فيه في البلد جمعة أو جماعة وإن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إذا هاياه مولاه جاز له الاعتكاف في أيّامه، وإن لم يأذن له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المهاياة تفي بأقلّ مدّة الاعتكاف، ولم يضعفه عن الخدمة في نوبة المولى، ولم يكن الاعتكاف في صوم مندوب، وإلّا لم يجز إلّا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في أثناء الاعتكاف لم يلزمه المضيّ فيه إلّا أن يكون شرع فيه بإذن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يلزمه المضيّ فيه إلّا مع وجوبه بنذر وشبهه أو مضيّ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خرج لغير الأسباب المبيحة بطل اعتكافه، طوعاً خرج أوكرهاً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يبطل مع الخروج كرهاً مع طول الزمان بحيث يخرج عن كونه معتكفاً،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اعتكاف أيّام معيّنة ثمّ خرج قبل إكمالها بطل الجميع إن شرط التتابع ويستأنف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المتتابع لفظاً ومعنى، والأصحّ أنّه يأتي بما بقي من الأيّام، ويقضي ما أهمل وما مضى إن قصر عن ثلاثة، وإلّا فلا، وإنّما يستأنف مطلقاً لو كانت مشروطة التتابع لفظاً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الخروج للأُمور الضروريّة، كقضاء الحاجة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كون الحاجة له أو لغيره من المؤمنين، ويجب تحرّي أقرب الطرق إليها، والمبادرة إلى العود متى زالت، فإن توانى بطل، ولو خرج عن كونه معتكفاً لطول الحاجة بطل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عدم الفرق بين تعيّن أحكامها عليه وعدمه، خلافاً للتذكرة حيث اشترط تعينّها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وتشييع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يختصّ بالمؤمن كما ذكر، وكذا قضاء الحاجة، أمّا عيادة المريض فلا، والفارق النصّ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تعيّنت عليه أم لا، وسواء تحمّلها معتكفاً أم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يمكن إقامتها بدون الخروج، وإلّا لم يجز، وفي حكم الإقامة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خرج لشيء من ذلك لم يجزله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ولا المشي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الاختيار، فلو لم يكن له طريق سواه وإن بعد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الصلاة خارج المسجد إلّا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يضق الوقت عن فعلها فيه، وإلّا صلّاها حيث كان، ولا يبطل اعتكافه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من المسجد ساهياً لم يبطل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يطل الزمان بحيث يخرج عن كونه معتكفاً، وإلّا بطل، وحيث لا يبطل تجب عليه المبادرة إلى العود حين الذكر، فإن أخّر لحظة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نذر اعتكاف شهر معيّن ولم يشترط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تلفّظ فيه بالتتابع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إذالم يعيّنه بسنة خاصّة، وإلّا كفاه إتمامه، وقضى ما حكم ببطلانه خاصّة،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اعتكاف يوم لا أزيد لم ينعقد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جعل نفي الزيادة قيداً في اعتكاف اليوم بمعنى اعتكافه وحده، أمّا لو </w:t>
      </w:r>
      <w:bookmarkStart w:id="528" w:name="pg10178_83675"/>
    </w:p>
    <w:p>
      <w:pPr>
        <w:pStyle w:val="BookText"/>
        <w:rPr/>
      </w:pPr>
      <w:bookmarkEnd w:id="528"/>
      <w:r>
        <w:rPr>
          <w:rFonts w:ascii="Amiri" w:hAnsi="Amiri" w:eastAsia="Amiri" w:cs="Amiri"/>
          <w:color w:val="111111"/>
          <w:sz w:val="28"/>
          <w:sz w:val="28"/>
          <w:szCs w:val="28"/>
          <w:rtl w:val="true"/>
          <w:lang w:bidi="ar-SA"/>
        </w:rPr>
        <w:t>جعله قيداً في النذر خاصّة صحّ، وضمّ إليه يومين، كما مرّ</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2018720_1067777946"/>
      <w:bookmarkStart w:id="530" w:name="_Toc198"/>
      <w:bookmarkEnd w:id="529"/>
      <w:r>
        <w:rPr>
          <w:rtl w:val="true"/>
        </w:rPr>
        <w:t>[</w:t>
      </w:r>
      <w:r>
        <w:rPr>
          <w:rtl w:val="true"/>
        </w:rPr>
        <w:t>أقسام الاعتكاف</w:t>
      </w:r>
      <w:r>
        <w:rPr>
          <w:rtl w:val="true"/>
        </w:rPr>
        <w:t>]</w:t>
      </w:r>
      <w:bookmarkEnd w:id="5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ينقسم إلى واجب وندب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بالشروع،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المضيّ فيه حتّى يمضي يومان فيجب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حال نذره الرجوع إذا شاء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قضى محلّ الاشتراط حال النذر، وإنّما يسقط القضاء مع كونه مندوباً أو واجباً معيّناً، أمّا المطلق فالأقوى وجوب قضائه وفاقاً للمصنّف في المعتبر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يشترط وجب استئناف ما نذره إذا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مطلقاً مشروط التتابع، أمّا المعيّن والمطلق بعد مضيّ ثلاثة فلا يجب الاستئناف، بل يكمل باقي المعيّن ويقضي ما فات منه، والمطلق بعد الثلاثة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2018722_1067777946"/>
      <w:bookmarkStart w:id="532" w:name="_Toc199"/>
      <w:bookmarkEnd w:id="531"/>
      <w:r>
        <w:rPr>
          <w:rtl w:val="true"/>
        </w:rPr>
        <w:t>[</w:t>
      </w:r>
      <w:r>
        <w:rPr>
          <w:rtl w:val="true"/>
        </w:rPr>
        <w:t>أحكام الاعتكاف</w:t>
      </w:r>
      <w:r>
        <w:rPr>
          <w:rtl w:val="true"/>
        </w:rPr>
        <w:t>]</w:t>
      </w:r>
      <w:bookmarkEnd w:id="5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على المعتكف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 الطيب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غيرهما من العقود والإيقاعات، ويستثنى منه ما تمسّ الحاجة إليه، كشراء ما يضطرّ إليه من المأكول والملبوس ونحوهما، وبيع مايشتري به ذلك، ولو أمكن بالمعاطاة،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والمماراة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بها هنا المجادلة على أمر دنيوي أو ديني؛ لمجرّد إثبات الغلبة أو الفضيلة كما </w:t>
      </w:r>
    </w:p>
    <w:p>
      <w:pPr>
        <w:pStyle w:val="BookText"/>
        <w:rPr/>
      </w:pPr>
      <w:r>
        <w:rPr>
          <w:rFonts w:ascii="Amiri" w:hAnsi="Amiri" w:eastAsia="Amiri" w:cs="Amiri"/>
          <w:color w:val="111111"/>
          <w:sz w:val="28"/>
          <w:sz w:val="28"/>
          <w:szCs w:val="28"/>
          <w:rtl w:val="true"/>
          <w:lang w:bidi="ar-SA"/>
        </w:rPr>
        <w:t>يتّفق ذلك لجهلة طب العلم، وهي محرّمة في غير الاعتكاف، لكنّها فيه أفحش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ليس عامّاً كما أطلقه المصنّف، فقد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يحرم عليه لبس المخيط إجماعاً، ولا إزالة الشعر، ولا أكل الصيد، ولا عقد النكاح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يدافع تفريع المصنّف عليه، وكيف كان فالقول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قبل انقضاء اعتكافه الواجب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القيام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 مَن يقوم به،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نذر الصوم معتكفاً واستقرّ في ذمّته قبل ذلك، أو تمكّن من قضائه فلم يفعل كما هو المعتبر في الصوم، وإلّا لم يجب على الوليّ؛ إذ لانصّ على الاعتكاف بخصوصه، وإنّما هو تابع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يفسد الصوم يفسد الاعتكاف، كالجماع والأكل والشرب والاستمناء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أفطر في اليوم الأوّل أو الثاني لم يجب به كفّارة إلّا أن يكون واجباً، وإن أفطر في الثالث وجبت الكفّارة ومنهم من خصّ الكفّارة بالجماع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إفساد الواجب بالجماع يوجب كفّارة الاعتكاف، وأمّا إفساده بغيره فإن كان معيّناً بنذر وشبهه وجب سببه من نذر أو عهد أو يمين، لا من جهة كونه اعتكافاً، وإن كان غير متعيّن وجب قضاؤه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كفّارة واحدة إن جامع ليلاً، وكذا لو جامع نهاراً في غير رمضان، ولو كان فيه لزمه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تجب الواحدة في رمضان إذا لم يكن الصوم متعيّناً بنذر وشبهه، وإلّا وجب عليه كفّارتان كرمضان إحداهما للاعتكاف، والأُخرى للصوم، لكن كفّارة الصوم تجب بحسب سببها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تجب فيه كفّارتان مع وجوب الاعتكاف فيه بالنذر وشبهه، أو كونه ثالثاً، وإلّا </w:t>
      </w:r>
    </w:p>
    <w:p>
      <w:pPr>
        <w:pStyle w:val="BookText"/>
        <w:rPr/>
      </w:pPr>
      <w:r>
        <w:rPr>
          <w:rFonts w:ascii="Amiri" w:hAnsi="Amiri" w:eastAsia="Amiri" w:cs="Amiri"/>
          <w:color w:val="111111"/>
          <w:sz w:val="28"/>
          <w:sz w:val="28"/>
          <w:szCs w:val="28"/>
          <w:rtl w:val="true"/>
          <w:lang w:bidi="ar-SA"/>
        </w:rPr>
        <w:t>فواحدة لأجل الصوم خاصّة، وأمّا الإفساد ينافي مفسدات الصوم، فيجب بها نهاراً كفّارة واحدة، ولاشيء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الارتداد موجب للخروج من المسجد ويبطل الاعتكاف،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وإن عاد بنى،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ثمّ إن مضى ثلاثة بنى عليها، وإلّا بطل الجميع، وكذا لو كان مشروط التتابع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امرأته على الجماع وهما معتكفان نهاراً في شهر رمضان لزمه أربع كفّارات،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كفّارتان،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تحمّل كفّارة الاعتكاف كرمضان، وعلى ما اختاره من عدم تحملّها فاللازم وجوب ثلاث كفّارات، إحداها يتحملّها عن صومها واثنتان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 المعتكفة رجعيّةً خرجت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الاعتكاف مندوباً أو واجباً غير معيّن، أو مع شرطها الحلّ عند العارض، وإلّا اعتدّت في المسجد زمن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أو اشترى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اعتكافه،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ولا يبطل،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لا يبطل العقد أيضاً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ثلاثة متفرّقة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الأصحّ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بالتفريق هنا أن يعتكف النهار خاصّة في الثلاثة ويترك الليل، فإنّ الشيخ يجيزه مع الإطلاق </w:t>
      </w:r>
      <w:r>
        <w:rPr>
          <w:rStyle w:val="FootnoteAnchor"/>
          <w:rtl w:val="true"/>
        </w:rPr>
        <w:footnoteReference w:id="147"/>
      </w:r>
      <w:r>
        <w:rPr>
          <w:rFonts w:ascii="Amiri" w:hAnsi="Amiri" w:eastAsia="Amiri" w:cs="Amiri"/>
          <w:color w:val="111111"/>
          <w:sz w:val="28"/>
          <w:sz w:val="28"/>
          <w:szCs w:val="28"/>
          <w:rtl w:val="true"/>
          <w:lang w:bidi="ar-SA"/>
        </w:rPr>
        <w:t>، وقد تقدّم، والأقوى عدم الصحّة</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0178_83679"/>
      <w:bookmarkStart w:id="534" w:name="pg10178_83679"/>
      <w:bookmarkEnd w:id="534"/>
    </w:p>
    <w:p>
      <w:pPr>
        <w:pStyle w:val="Heading2"/>
        <w:numPr>
          <w:ilvl w:val="1"/>
          <w:numId w:val="1"/>
        </w:numPr>
        <w:rPr/>
      </w:pPr>
      <w:bookmarkStart w:id="535" w:name="pg10178_83679"/>
      <w:bookmarkStart w:id="536" w:name="__RefHeading___Toc2018724_1067777946"/>
      <w:bookmarkStart w:id="537" w:name="_Toc200"/>
      <w:bookmarkEnd w:id="535"/>
      <w:bookmarkEnd w:id="536"/>
      <w:r>
        <w:rPr>
          <w:rtl w:val="true"/>
        </w:rPr>
        <w:t>كتاب الحجّ</w:t>
      </w:r>
      <w:bookmarkEnd w:id="537"/>
    </w:p>
    <w:p>
      <w:pPr>
        <w:pStyle w:val="Heading3"/>
        <w:numPr>
          <w:ilvl w:val="2"/>
          <w:numId w:val="1"/>
        </w:numPr>
        <w:rPr/>
      </w:pPr>
      <w:bookmarkStart w:id="538" w:name="__RefHeading___Toc2018726_1067777946"/>
      <w:bookmarkStart w:id="539" w:name="_Toc201"/>
      <w:bookmarkEnd w:id="538"/>
      <w:r>
        <w:rPr>
          <w:rtl w:val="true"/>
        </w:rPr>
        <w:t>[</w:t>
      </w:r>
      <w:r>
        <w:rPr>
          <w:rtl w:val="true"/>
        </w:rPr>
        <w:t>الركن الأوّل في المقدّمات</w:t>
      </w:r>
      <w:r>
        <w:rPr>
          <w:rtl w:val="true"/>
        </w:rPr>
        <w:t>]</w:t>
      </w:r>
      <w:bookmarkEnd w:id="539"/>
    </w:p>
    <w:p>
      <w:pPr>
        <w:pStyle w:val="Heading4"/>
        <w:numPr>
          <w:ilvl w:val="3"/>
          <w:numId w:val="1"/>
        </w:numPr>
        <w:rPr/>
      </w:pPr>
      <w:bookmarkStart w:id="540" w:name="__RefHeading___Toc2018728_1067777946"/>
      <w:bookmarkStart w:id="541" w:name="_Toc202"/>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وإن كان في اللغة القصد، فقد صار في الشرع اسماً لمجموع المناسك المؤدّاة في المشاعر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الحجّ من المنقولات الشرعيّة عن معناه اللغوي، فإنّه كان في أصل اللغة اسماً لمطلق القصد، ثمّ نقل إلى المناسك المخصوصة على وجه لا يتبادر عند الإطلاق ،غيره، وهو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القائلون بنقله في تعريفه، فمنهم مَن جعله اسماً للقصد الخاصّ، وهو قصد مكّة ومشاعرها لأداء مناسك مخصوصة فيها لها؛ بناء على أنّ التخصيص خير من النقل، وأنّ النقل لمناسبة أولى منه؛ لأنّها وإن ثبت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اختياره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بما لا مناسبة بينه وبين المعنى المنقول عنه أصلاً؛ بناء على أنّ المتبادر من معناه شرعاً هو ذلك، كما أنّ المتبادر من باقي العبادات هو المعاني الشرعيّة دون اللغويّة، وأنّ التخصيص إنّما يكون خيراً من النقل حيث لا يثبت النقل، والحال أنّه ثابت بدليل مبادرة الذهن إلى معناه المنقول إليه، وهو من علامات الحقيقة، والنقل لمناسبة غير لازم، ولاتركه معيب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بالمناسك العبادات المخصوصة، وبالمشاعر محالّها، ومع ذلك ينتقض في </w:t>
      </w:r>
      <w:bookmarkStart w:id="542" w:name="pg10178_83680"/>
    </w:p>
    <w:p>
      <w:pPr>
        <w:pStyle w:val="BookText"/>
        <w:rPr/>
      </w:pPr>
      <w:bookmarkEnd w:id="542"/>
      <w:r>
        <w:rPr>
          <w:rFonts w:ascii="Amiri" w:hAnsi="Amiri" w:eastAsia="Amiri" w:cs="Amiri"/>
          <w:color w:val="111111"/>
          <w:sz w:val="28"/>
          <w:sz w:val="28"/>
          <w:szCs w:val="28"/>
          <w:rtl w:val="true"/>
          <w:lang w:bidi="ar-SA"/>
        </w:rPr>
        <w:t>طرده بالعمرة، بل بكلّ عبادات مقيّدة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اندفاعها بالمخصوصة، فإنّ هذا القيد يستعمل في التعريف لإخراج ما يناسب المعرّف، لا مشاعر العمرة وإن كانت أخصّ مطلقاً، لكنّ المغايرة حاصلة بينها وبين مشاعر الحجّ في الجملة، وفي عكسه بما لو أخلّ ببعض أفعاله على وجه لا يبطل الحجّ، فإن المجموع يفوت بفوات بعض أجزائه مع بقاء الحجّ شرعاً، والجواب بأنّ الكلام في الماهيّة المعرّفة لا المجزّأة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على الفور، والتأخير مع الشرائط كبيرة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مهلكة، وهو كناية عن شدّة العذاب على التأخير في الآخرة، أو المؤاخذة عليها في الدنيا، فيصير المؤخّر بمنزلة 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لفاقد الشروط، كمن عدم الزاد والراحلة إذا تسكّع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التسكّع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تكلّف الحجّ مع تحمّل المشقّة فيه؛ لعدم اجتماع شرائطه، كأنّه يصير بسبب ذلك متردّداً في أمره، متحيّراً في اكتساب قدر حاجته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018730_1067777946"/>
      <w:bookmarkStart w:id="544" w:name="_Toc203"/>
      <w:bookmarkEnd w:id="543"/>
      <w:r>
        <w:rPr>
          <w:rtl w:val="true"/>
        </w:rPr>
        <w:t>[</w:t>
      </w:r>
      <w:r>
        <w:rPr>
          <w:rtl w:val="true"/>
        </w:rPr>
        <w:t>القول في حجّة الإسلام</w:t>
      </w:r>
      <w:r>
        <w:rPr>
          <w:rtl w:val="true"/>
        </w:rPr>
        <w:t>]</w:t>
      </w:r>
      <w:bookmarkEnd w:id="544"/>
    </w:p>
    <w:p>
      <w:pPr>
        <w:pStyle w:val="Heading5"/>
        <w:numPr>
          <w:ilvl w:val="4"/>
          <w:numId w:val="1"/>
        </w:numPr>
        <w:rPr/>
      </w:pPr>
      <w:bookmarkStart w:id="545" w:name="__RefHeading___Toc2018732_1067777946"/>
      <w:bookmarkStart w:id="546" w:name="_Toc204"/>
      <w:bookmarkEnd w:id="545"/>
      <w:r>
        <w:rPr>
          <w:rtl w:val="true"/>
        </w:rPr>
        <w:t>[</w:t>
      </w:r>
      <w:r>
        <w:rPr>
          <w:rtl w:val="true"/>
        </w:rPr>
        <w:t>شرائط وجوبها</w:t>
      </w:r>
      <w:r>
        <w:rPr>
          <w:rtl w:val="true"/>
        </w:rPr>
        <w:t>]</w:t>
      </w:r>
      <w:bookmarkEnd w:id="5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لودخل الصبيّ المميّز والمجنون في الحجّ ندباً ثمّ كمل كلّ واحد منهما فأدرك المشعر أجزأ عن حجّة الإسلام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الأشهر، ولا بدّ من اعتبار اجتماع باقي الشرائط التي منها ملك الزاد والراحلة من بلده والمراد أنّ هذا الشرط يكفي وجوده في هذا الحالة، وغيره يبقى على أصل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أن يُحرِم عن غير المميّز وليّه ندباً، وكذا المجنون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بإحرامه عنهما أن يجعلهما محرمين بعقده لهما الإحرام، لا بمعنى كونه نائباً عنهما، سواء كان محلّاً أم محرماً،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أحرمت بابني هذا إلى آخر النيّة، </w:t>
      </w:r>
    </w:p>
    <w:p>
      <w:pPr>
        <w:pStyle w:val="BookText"/>
        <w:rPr/>
      </w:pPr>
      <w:r>
        <w:rPr>
          <w:rFonts w:ascii="Amiri" w:hAnsi="Amiri" w:eastAsia="Amiri" w:cs="Amiri"/>
          <w:color w:val="111111"/>
          <w:sz w:val="28"/>
          <w:sz w:val="28"/>
          <w:szCs w:val="28"/>
          <w:rtl w:val="true"/>
          <w:lang w:bidi="ar-SA"/>
        </w:rPr>
        <w:t>ويكون المولّى عليه حاضراً عنده، ويأمره بالتلبية إن أحسنها، وإلّا لبّى عنه، ويلبسه الثوبين، ويجنّبه تروك الإحرام، فإذا أراد الطواف فعل به صورة الوضوء، ثمّ طاف به ولو في حال طوافه إن لم يمكنه المشي، وكذا يأمره بإيقاع صورة الصلاة إن أمكن، وإلّا صلّى عنه، وهكذا القول في 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ولاية الإحرام بالطفل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ونفقته الزائدة تلزم الوليّ دون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ما يغرمه زائداً على ما يغرمه لو كان حاضراً في بلده، وكذا يغرم الوليّ كفّارات الإحرام اللاحقة له كالصيد؛ لوجوبها عمداً وسهواً دون اللازمة عمداً؛ لأنّه عمده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أدرك الوقوف بالمشعر معتقاً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بأنّه يملك، وكان مالكاً لما تحصل به الاستطاعة، وإنّما المتخلّف من شرائط الوجوب الحرّيّة، كما ذكرناه في كمال الصبيّ والمجنون، ولو قلنا بعدم ملكه أو لم يكن مالكاً أشكل الإجزاء من حيث تخلّف شرط الاستطاعة، وربما قيل باشتراط استطاعته من حين العتق إلى أداء المناسك؛ لأنّ ذلك هو الممكن هنا، وأطلق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الزاد والراحلة، وهما معتبران فيمن يفتقر إلى 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مثل أهل مكّة ممّن يمكنه السعي من غير راحلة بحيث لا يشقّ عليه عادة، فإنّ الراحلة غير معتبرة في حقّه، ولو لم يتمكّن بدونها اعتبرت كغيره، أمّا الزاد فيعتبر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تباع ثياب مهنته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48"/>
      </w:r>
      <w:r>
        <w:rPr>
          <w:rFonts w:ascii="Amiri" w:hAnsi="Amiri" w:eastAsia="Amiri" w:cs="Amiri"/>
          <w:color w:val="111111"/>
          <w:sz w:val="28"/>
          <w:sz w:val="28"/>
          <w:szCs w:val="28"/>
          <w:rtl w:val="true"/>
          <w:lang w:bidi="ar-SA"/>
        </w:rPr>
        <w:t>، والمراد بها ما يبتذل غالباً خلاف ثياب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استثناء ما يليق بحاله منهما معاً، والزائد ولو في وصفه يباع، والناقص يستثنى قدر ثمنه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خادمه ولادار سكناه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من أهل الخدمة لشرف أو زمانة، ويعتبر فيهما اللائق بحاله كالثياب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يستثنى له دابّة الركوب إن كان من أهلها، وأُلحق بها كتب علمه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وبالراحلة راحلة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مثله حاله في القوّة والضعف، لا في الشرف والضعة، ولا فرق في ذلك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شراؤها ولو كثر الثمن مع وجوده،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عن ثمن المثل لم يجب،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الوجوب مطلقاً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دين وهو قادر على اقتضائه وجب عليه فإن منع منه وليس له سواه يسقط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بسقوطه عدم تحقّقه على هذه الحالة إلى أن يقدر عليه؛ لأنّه كان واجباً فسقط، كما يدلّ عليه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الاقتراض للحجّ إلّا أن يكون له مال بقدر ما يحتاج إليه زيادة عمّا 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الاستثناء منقطع؛ لأنّه إذا كان له مال على هذا الوجه لا يجب الاقتراض أيضاً، بل يتخيّر بينه وبين بذل ماله، ولعلّ الاقتراض حينئذٍ أحد أفراد الواجب المخيّر، فيصدق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قدر ما يحجّ به فنازعته نفسه إلى النكاح لم يجز صرفه في النكاح وإن شقّ تركه وكان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يبلغ مشقّة لا تتحمّل عادةً، أو يخاف الوقوع في الزنى، فيقدّم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بذل له زاد وراحلة ونفقة، له ولعياله، وجب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بين وجوب البذل بنذر وشبهه وعدمه، ولا بين الوثوق بالباذل و عدمه؛ عملاً </w:t>
      </w:r>
    </w:p>
    <w:p>
      <w:pPr>
        <w:pStyle w:val="BookText"/>
        <w:rPr/>
      </w:pPr>
      <w:r>
        <w:rPr>
          <w:rFonts w:ascii="IRNazanin" w:hAnsi="IRNazanin" w:eastAsia="IRNazanin"/>
          <w:color w:val="111111"/>
          <w:sz w:val="28"/>
          <w:sz w:val="28"/>
          <w:szCs w:val="28"/>
          <w:rtl w:val="true"/>
          <w:lang w:bidi="fa-IR"/>
        </w:rPr>
        <w:t xml:space="preserve">بإطلاق النصّ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بذل عين الزاد والراحلة، فلو بذل أثمانها لم يجب القبول، وإنّما يتوقّف على بذل جميع ما ذكر إذا لم يملك المبذول له شيئاً زائداً على المستثنيات، وإلّا كفى بذل ما يحصل به الكفاية مضافاً إلى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الدين الوجوب بالبذل، وكذا لو وهبه مالاً بشرط الحجّ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 له مال لم يجب عليه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مال غير الزاد والراحلة، فإنّ قبوله غير واجب كما تقدّم، أمّا لو بذل له هبة عين الزاد والراحلة فهو في معنى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ما يموّن عياله حتّى يرجع فاضلاً عمّا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بالمؤونة هنا ما يشمل الكسوة، وما يجب على المنفق من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وجود ما يموّنهم قوّة وفعلاً، فلو حصلت إدراراً من غلّة ونحوها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يشتمل على الصحّة، وتخلية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والراء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عدم المانع من سلوكها من لصّ وعدوّ وغيرهما، والمرجع فيه إلى العلم والظنّ المستند إلى قرائن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منعه عدوٌّ أو كان معضوباً لا يستمسك على الراحلة، أو عدم المرافق مع اضطراره إليه، سقط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ثمّ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يسقط عنه مع عجزه عن الاستمساك عليها، وعجزه عن المحمل ونحوه، وإلّا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الشيخ الكبير، ومقطوع الأعضاء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تجب الاستنابة مع المانع من مرض أو عدوّ؟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المرويّ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قويٌّ، وموضع الخلاف ما إذا عرض المانع قبل استقرار الوجوب، أمّا لو استقرّ ثمّ </w:t>
      </w:r>
    </w:p>
    <w:p>
      <w:pPr>
        <w:pStyle w:val="BookText"/>
        <w:rPr/>
      </w:pPr>
      <w:r>
        <w:rPr>
          <w:rFonts w:ascii="Amiri" w:hAnsi="Amiri" w:eastAsia="Amiri" w:cs="Amiri"/>
          <w:color w:val="111111"/>
          <w:sz w:val="28"/>
          <w:sz w:val="28"/>
          <w:szCs w:val="28"/>
          <w:rtl w:val="true"/>
          <w:lang w:bidi="ar-SA"/>
        </w:rPr>
        <w:t>عرض المانع وجبت الاستنابة قولاً واحداً، وإنّما تجب الاستنابة مع اليأس من البرء، ومعه فالوجوب فوري كأصل الحجّ، ولو لم يحصل اليأس استحبّت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لا يستمسك خلقة،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الفرض عن نفسه وماله،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الاستنابة،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الاستنابة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طريقان فمنع من إحداهما سلك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سلوك الأُخرى مع وفاء استطاعته بمؤونتها، أمّا لو وفى بالأقرب خاصّة توقّف الوجوب على إمكان 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الطريق عدوّ لا يندفع إلّا بمال،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وإن قلّ،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التحمّل مع المكنة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الوجوب مع الإمكان، ولا فرق بين طلبه قبل إنشاء الإحرام وبعده، ولا بين المجحف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بذل له باذل وجب عليه الحجّ لزوال المانع، نعم،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وادفع أنت،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لم يكن مالكاً لما يحتاج إليه مع هذا المال، وإنّما لم يجب؛ لأنّ قبوله تحصيل للاستطاعة واكتساب؛ إذ لا يمكن إلّا بالقبول، والاكتساب غير واجب للحجّ، بخلاف المبذول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البحر كطريق البرّ، فإن غلب ظنّ السلامة،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تشبيهه البحر بالبرّ يقتضي وجوب سلوكه متى جوّز السلامة، أو لم يغلب على ظنّه العطب وإن لم يغلب على ظنّه السلامة، فما فرّعه عليه من الحكم غير جيّد فيهما، والأقوى الاكتفاء فيهما بعدم ترجيح العطب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مات بعد الإحرام ودخول الحرم برئت ذمّته،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يجتزئ بالإحرام، والأوّل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اشتراطه دخول الحرم، ولا فرق بين موته بعد ذلك في الحلّ أو الحرم محرماً ومحلّاً، كما لو مات بين الإحرامين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ويستقرّ الحجّ في الذمّة إذا استكملت الشرائط وأهمل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استقرار الحجّ لا يتحقّق إلّا بمضيّ زمان يتمكّن فيه من مباشرة الحجّ بجميع أفعاله بأقلّ الواجب مستجمعاً للشرائط ولم يفعل، ثمّ يموت، أو يزول عنه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واحترزنا بجميع الأفعال عن مضيّ زمان يمكن فيه البعض كالإحرام ودخول الحرم؛ فإنّه غير كافٍ وإن كان إدراكه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أحرم بالحجّ وأدرك الوقوف بالمشعر لم يجزه، إلّا أن يستأنف إحراماً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ضاق الوقت أحرم ولو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ولو بالمشعر؛ لأنّه أزيد ما يمكن فرض الإحرام منه للمضطرّ، فيحسن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ماسكت عنه أولى بالحكم من المنطوق بخلاف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حجّ المسلم ثمّ ارتدّ لم يعد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أحرم مسلماً ثمّ ارتدّ ثم تاب لم يبطل إحرامه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ويستفاد منه أنّ الاستدامة الحكميّة ليست معتبرة في صحّة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إذا استبصر لا يعيد الحجّ إلّا أن يخلّ بركن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ذلك بين من حكم بكفره من فِرَق المسلمين وغيرهم، والتقيّد بعدم إخلاله بركن هو المشهور بين المتأخّرين </w:t>
      </w:r>
      <w:r>
        <w:rPr>
          <w:rStyle w:val="FootnoteAnchor"/>
          <w:rtl w:val="true"/>
        </w:rPr>
        <w:footnoteReference w:id="151"/>
      </w:r>
      <w:r>
        <w:rPr>
          <w:rFonts w:ascii="Amiri" w:hAnsi="Amiri" w:eastAsia="Amiri" w:cs="Amiri"/>
          <w:color w:val="111111"/>
          <w:sz w:val="28"/>
          <w:sz w:val="28"/>
          <w:szCs w:val="28"/>
          <w:rtl w:val="true"/>
          <w:lang w:bidi="ar-SA"/>
        </w:rPr>
        <w:t xml:space="preserve">، والنصوص خالية عنه </w:t>
      </w:r>
      <w:r>
        <w:rPr>
          <w:rStyle w:val="FootnoteAnchor"/>
          <w:rtl w:val="true"/>
        </w:rPr>
        <w:footnoteReference w:id="152"/>
      </w:r>
      <w:r>
        <w:rPr>
          <w:rFonts w:ascii="Amiri" w:hAnsi="Amiri" w:eastAsia="Amiri" w:cs="Amiri"/>
          <w:color w:val="111111"/>
          <w:sz w:val="28"/>
          <w:sz w:val="28"/>
          <w:szCs w:val="28"/>
          <w:rtl w:val="true"/>
          <w:lang w:bidi="ar-SA"/>
        </w:rPr>
        <w:t xml:space="preserve">، وفسّره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وجماعة </w:t>
      </w:r>
      <w:r>
        <w:rPr>
          <w:rStyle w:val="FootnoteAnchor"/>
          <w:rtl w:val="true"/>
        </w:rPr>
        <w:footnoteReference w:id="154"/>
      </w:r>
      <w:r>
        <w:rPr>
          <w:rFonts w:ascii="Amiri" w:hAnsi="Amiri" w:eastAsia="Amiri" w:cs="Amiri"/>
          <w:color w:val="111111"/>
          <w:sz w:val="28"/>
          <w:sz w:val="28"/>
          <w:szCs w:val="28"/>
          <w:rtl w:val="true"/>
          <w:lang w:bidi="ar-SA"/>
        </w:rPr>
        <w:t>بما هو ركن عندنا لا عندهم، وأطلق الباقون</w:t>
      </w:r>
      <w:r>
        <w:rPr>
          <w:rFonts w:eastAsia="Amiri" w:cs="Amiri" w:ascii="Amiri" w:hAnsi="Amiri"/>
          <w:color w:val="111111"/>
          <w:sz w:val="28"/>
          <w:szCs w:val="28"/>
          <w:rtl w:val="true"/>
          <w:lang w:bidi="ar-SA"/>
        </w:rPr>
        <w:t xml:space="preserve">. </w:t>
      </w:r>
      <w:bookmarkStart w:id="547" w:name="pg10178_83686"/>
    </w:p>
    <w:p>
      <w:pPr>
        <w:pStyle w:val="BookText"/>
        <w:rPr/>
      </w:pPr>
      <w:bookmarkEnd w:id="54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الرجوع إلى الكفاية من صناعة أو مال أو حرفة شرط في وجوب الحجّ؟</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لرواية أبي الربيع،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عملاً بعموم الآية وهو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الاشتراط، وليس في الرواية ما يدلّ عليه مع ضعف سندها</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2018734_1067777946"/>
      <w:bookmarkStart w:id="549" w:name="_Toc205"/>
      <w:bookmarkEnd w:id="548"/>
      <w:r>
        <w:rPr>
          <w:rtl w:val="true"/>
        </w:rPr>
        <w:t>[</w:t>
      </w:r>
      <w:r>
        <w:rPr>
          <w:rtl w:val="true"/>
        </w:rPr>
        <w:t>مسائل أربع</w:t>
      </w:r>
      <w:r>
        <w:rPr>
          <w:rtl w:val="true"/>
        </w:rPr>
        <w:t>:]</w:t>
      </w:r>
      <w:bookmarkEnd w:id="5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 الحجّ في ذمّته ثمّ مات قضي عنه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عليه دين وضاقت التركة قسّمت على الدين وعلى أُجرة المثل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وجوب قضائه من أصل تركته بين أن يوصي به وعدمه، ثمّ إن قامت حصّة الحجّ من التوزيع أو من جميع التركة على تقدير عدم الدين بأُجرة الحجّ ولو بأقلّ ما يمكن تحصيله بها فواضح، وإن قصرت على الحجّ والعمرة معاً ووسعت لأحدهما وجب، ولو قصرت عن جميع ذلك صرف الجميع في الدين إن كان، وإلّا عاد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الحجّ من أقرب الأماكن،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 من بلد الميّت،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وموضع الخلاف ما إذا لم يوص به من البلد، أو تدلّ القرائن الحاليّة أو المقاليّة على إرادته، وكذا القول فيما لو أوصى بحجّ غير حجّ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حجّة الإسلام لا يحجّ عن غيره لافرضاً ولا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تمتنع حجّته عن غيره مع قدرته على الحجّ عن نفسه، أمّا مع عجزه وضيق الوقت بحيث لا يمكنه تحصيل المقدّمات عادة فيجوز له إيجار نفسه للحجّ عن غيره، بل قد يجب إذا أدّى إلى التكسّب للحجّ عن نفسه حيث يكون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وجود المحرم في النساء، بل يكفي غلبة ظنّها بالسلامة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المعتبر عدم خوفها على بضعها أو عرضها بتركه، ومعه يشترط سفره معها في الوجوب عليها، ولا يجب عليه إجابتها إليه تبرّعاً ولا بأُجرة، وله طلب الأُجرة والنفقة، فتكونان حينئذٍ جزءاً من استطاعتها</w:t>
      </w:r>
      <w:r>
        <w:rPr>
          <w:rFonts w:eastAsia="Amiri" w:cs="Amiri" w:ascii="Amiri" w:hAnsi="Amiri"/>
          <w:color w:val="111111"/>
          <w:sz w:val="28"/>
          <w:szCs w:val="28"/>
          <w:rtl w:val="true"/>
          <w:lang w:bidi="ar-SA"/>
        </w:rPr>
        <w:t xml:space="preserve">. </w:t>
      </w:r>
      <w:bookmarkStart w:id="550" w:name="pg10178_83687"/>
    </w:p>
    <w:p>
      <w:pPr>
        <w:pStyle w:val="BookText"/>
        <w:rPr/>
      </w:pPr>
      <w:bookmarkEnd w:id="550"/>
      <w:r>
        <w:rPr>
          <w:rFonts w:ascii="Amiri" w:hAnsi="Amiri" w:eastAsia="Amiri" w:cs="Amiri"/>
          <w:color w:val="111111"/>
          <w:sz w:val="28"/>
          <w:sz w:val="28"/>
          <w:szCs w:val="28"/>
          <w:rtl w:val="true"/>
          <w:lang w:bidi="ar-SA"/>
        </w:rPr>
        <w:t>والمراد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يحرم عليه نكاحها مؤبّداً بنسب أو رضاع أو مصاهرة، وفي معناه الزوج</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018736_1067777946"/>
      <w:bookmarkStart w:id="552" w:name="_Toc206"/>
      <w:bookmarkEnd w:id="551"/>
      <w:r>
        <w:rPr>
          <w:rtl w:val="true"/>
        </w:rPr>
        <w:t>[</w:t>
      </w:r>
      <w:r>
        <w:rPr>
          <w:rtl w:val="true"/>
        </w:rPr>
        <w:t>القول في ما يجب بالنذر، واليمين، والعهد</w:t>
      </w:r>
      <w:r>
        <w:rPr>
          <w:rtl w:val="true"/>
        </w:rPr>
        <w:t>]</w:t>
      </w:r>
      <w:bookmarkEnd w:id="5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الحجّ، أو أفسد حجّه وهو معضوب،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يستنيب،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في المعضوب، أمّا الناذر فكذلك إن لاحظ الاستئجار في نذره وإلّا توقّع المكنة، وبطل مع تعذّرها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نذر الحجّ فإن نوى حجّة الإسلام تداخلا،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غيرها لم يتداخلا، وإن أطلق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 ونوى النذر أجزأه عن حجّة الإسلام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نذرالحجّ ماشياً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بلد الناذر؛ لأنّ ذلك هو المتعارف من حجّ فلان ماشياً، إلّا أن يقصد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المشي بعد الفراغ من أفعاله الواجبة، لا بطواف النساء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في مواضع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يقف في السفينة لو اضطرّ إلى ركوبها؛ للرواية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ذلك مستحبّ؛ لضعف مستند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ركب طريقه قضى، وإن ركب بعضاً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ويمشي مواضع ركوبه،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يقضي ماشياً، لإخلاله بالصفة المشترطة،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مع تعيين السنة يقضي ماشياً ويكفّر، ومع الإطلاق يعيد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ويسوق بدنة،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ولا يسوق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مطلقاً توقّع المكنة من الصفة، وإن كان معيّناً بوقت سقط فرضه لعجزه، والمرويّ الأوّل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أنّه مع الإطلاق يتوقّع المكنة، ومع التعيين يحجّ راكباً، ويسوق استحباباً</w:t>
      </w:r>
      <w:r>
        <w:rPr>
          <w:rFonts w:eastAsia="Amiri" w:cs="Amiri" w:ascii="Amiri" w:hAnsi="Amiri"/>
          <w:color w:val="111111"/>
          <w:sz w:val="28"/>
          <w:szCs w:val="28"/>
          <w:rtl w:val="true"/>
          <w:lang w:bidi="ar-SA"/>
        </w:rPr>
        <w:t xml:space="preserve">. </w:t>
      </w:r>
      <w:bookmarkStart w:id="553" w:name="pg10178_83688"/>
    </w:p>
    <w:p>
      <w:pPr>
        <w:pStyle w:val="Heading4"/>
        <w:numPr>
          <w:ilvl w:val="3"/>
          <w:numId w:val="1"/>
        </w:numPr>
        <w:rPr/>
      </w:pPr>
      <w:bookmarkStart w:id="554" w:name="__RefHeading___Toc2018738_1067777946"/>
      <w:bookmarkStart w:id="555" w:name="_Toc207"/>
      <w:bookmarkEnd w:id="553"/>
      <w:bookmarkEnd w:id="554"/>
      <w:r>
        <w:rPr>
          <w:rtl w:val="true"/>
        </w:rPr>
        <w:t>[</w:t>
      </w:r>
      <w:r>
        <w:rPr>
          <w:rtl w:val="true"/>
        </w:rPr>
        <w:t>القول في النيابة</w:t>
      </w:r>
      <w:r>
        <w:rPr>
          <w:rtl w:val="true"/>
        </w:rPr>
        <w:t>]</w:t>
      </w:r>
      <w:bookmarkEnd w:id="5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تصحّ نيابة الكافر؛ لعجزه عن نيّة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لعجزه ما دام كافراً، فإنّ الفرض أنّ النائب كافر، وذلك لا ينافي قدرته عليها بتقديم الإسلام، فإنّه خروج عن الفرض، وحينئذٍ فليس في العبارة تساهل؛ بناء على أنّه قادر على الإسلام؛ لامتناع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عن المسلم المخالف إلّا أن يكون أبا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المنع من النيابة عن المخالف غير الأب مطلقاً، وجوازها عنه وإن كان ناصباً، وفي حكمه الجدّ للأب لا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تصحّ نيابة المميّز؟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لاتّصافه بما يوجب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قادر على الاستقلال بالحجّ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المنع مطلقاً، وجواز استقلاله بالمندوب لايدلّ عليه؛ لأنّه تمرين ولا فرق بين الواجب والندب، والمتبرّع به والمعوّض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نيّة النيابة وتعيين المنوب عنه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بنيّة النيابة قصد كون الحجّ نيابة لا أصالة، وذلك أعمّ من كونه عن شخص معيّن، فمن ثمّ احتيج إلى تعيين المنوب عنه مع ذلك، فينوي في كلّ فعل من أفعاله المفتقرة إلى النيّة كونه نيابة عن فلان، ولو اقتصر على تعيين المنوب ابتداء فينوي أنّه عن فلان أجزأ عن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نيابة مَن وجب عليه الحجّ واستقرّ إلّا مع العجز عن الحجّ ولو مشياً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استطاعة من استقرّ عليه الحجّ عقليّة لاشرعيّة، فيجب عليه ولو بالمشي مع الإمكان، ويمتنع حينئذٍ نيابة عن غيره، ومع عجزه عنه بكلّ وجه يجوز، لكن يراعى ضيق الوقت بحيث لا يحتمل تجدّد الاستطاعة عادة، فلو استؤجر حينئذٍ فاتّفقت الاستطاعة على خلاف العادة لم ينفسخ، وكذا لو تجددت الاستطاعة لحجّ الإسلام </w:t>
      </w:r>
    </w:p>
    <w:p>
      <w:pPr>
        <w:pStyle w:val="BookText"/>
        <w:rPr/>
      </w:pPr>
      <w:r>
        <w:rPr>
          <w:rFonts w:ascii="Amiri" w:hAnsi="Amiri" w:eastAsia="Amiri" w:cs="Amiri"/>
          <w:color w:val="111111"/>
          <w:sz w:val="28"/>
          <w:sz w:val="28"/>
          <w:szCs w:val="28"/>
          <w:rtl w:val="true"/>
          <w:lang w:bidi="ar-SA"/>
        </w:rPr>
        <w:t>بعدها، فيقدّم حجّ النيابة، ويراعى في وجوب حجّ الإسلام في الثاني بقاؤها إلى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تطوّع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عن حجّة الإسلام، وهو 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وقوعه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لمن حجّ أن يعتمر عن غيره إذا لم تجب عليه العمرة، وكذا لمن اعتمر أن يحجّ عن غيره إذا لم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يجب عليه الحجّ في وقت معيّن وجوباً مضيّقاً يجوز استئجاره له، وكذا العمرة سواء كان قد فعل ما استؤجر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لمن وجب عليه العمرة المفردة قبل الحجّ أن يستأجر للحجّ بعدها، وكذا لمن وجب عليه حجّ الإفراد أن يؤجر للعمرة بعده إذا لم تكن واجبة عليه، ويتصوّر ذلك في النذر وشبهه، ولو لم يكن فوريّاً جاز له أن يؤجر نفسه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نيابة من لم يستكمل الشرائط وإن كان حجّه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يحجّ، والمراد أنّ عدم الحجّ ليس مانعاً من جواز النيابة بشبهة أنّه لا يعلم تفاصيل الأفعال ومحالّ الحركات، فإنّ العلم الإجمالي كافٍ ابتداء، ثمّ يجب التعلّم ولو بمصاحبة مرشد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استؤجر فمات في الطريق، فإن أحرم ودخل الحرم فقد أجزأت عمّن حجّ عنه، ولو مات قبل ذلك لم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واستحقّ الأُجرة كلّها، هذا مع استئجاره على الحجّ مجملاً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لتحجّ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استأجره على الأفعال مفصّلاً،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لتحرم بكذا، وتطوف بكذا إلى آخره استحقّ أُجرة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استؤجر فمات في الطريق فإن أحرم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يعيد عن الأُجرة ما قابل المتخلّف من الطريق ذاهباً وعائداً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أنّ الطريق لا يوزّع عليه شيء من الأُجرة إلّا أن يدخل في الإجارة، وحينئذٍ فيوزّع على ما ذكر منه، فإن شرط الذهاب من البلد والعود إليه وزّع عليهما كما ذكر، </w:t>
      </w:r>
    </w:p>
    <w:p>
      <w:pPr>
        <w:pStyle w:val="BookText"/>
        <w:rPr/>
      </w:pPr>
      <w:r>
        <w:rPr>
          <w:rFonts w:ascii="Amiri" w:hAnsi="Amiri" w:eastAsia="Amiri" w:cs="Amiri"/>
          <w:color w:val="111111"/>
          <w:sz w:val="28"/>
          <w:sz w:val="28"/>
          <w:szCs w:val="28"/>
          <w:rtl w:val="true"/>
          <w:lang w:bidi="ar-SA"/>
        </w:rPr>
        <w:t>وإن عيّن أحدهما اختصّ به، وإن أطلق وزّع على أفعال الحجّ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الفقهاء مَن اجتزأ بالإحرام،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أن يحجّ مفرداً أو قارناً فحجّ متمتّعاً جاز؛ لعدوله إلى الأفضل، وهذا يصحّ إذا كان الحجّ مندوباً، أو قصد المستأجر الإتيان بالأفضل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العدول إلى الأفضل حيث يكون المستنيب مخيّراً في الأنواع، كالناذر مطلقاً، وذي المنزلين المتساويين، وإلّا لم يجز، ولا فرق في ذلك بين قصد المستأجر الإتيان بالأفضل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الحجّ على طريق معيّن لم يجز العدول إن تعلّق بذلك غرض،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أقوى، ثمّ على تقدير العدول فالأقوى صحّة الحجّ مطلقاً، ثمّ إن ظهر بين الطريقين تفاوت ردّ من الأُجرة ماقابله إن كان نقصه، وإن كان زاده استحقّ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استؤجر لحجّة لم يجز أن يؤجر نفسه لأُخرى حتّى يأتي بالأُولى، ويمكن أن يقال بالجواز إن كان لسنة غير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الإمكان قويٌّ، ويتصوّر استئجاره لسنة غير الأُولى من المتبرّع والناذر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صدّ قبل الإحرام ودخول الحرم استعيد من الأُجرة بنسبة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الأُجرة موزّعة على الطريق وأفعال الحجّ كما سبق من مختاره، وقد عرفت أنّ الأقوى عدم التوزيع للطريق إلّا مع إدخاله في الإجارة، ولو صدّ بعد الإحرام ودخول الحرم أو بينهما وزّع كذلك وإن أفهمت العبارة خلافه بخلاف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الحجّ في المستقبل لم يلزم إجابته،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لزوم إجابته، بل يتسلّط على الفسخ في المطلقة، وتنفسخ الإجارة في المقيّدة بتلك السنة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النيابة في الطواف الواجب للحاضر إلّا مع العذر، كالإغماء والبطن وما شابههما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البطن بالإسكان، والمراد البالغ حدّاً لا يمكنه التحفّظ أو الطواف بنفسه، وفي معناه المُستحاضة التي لا يمكنها التحفّظ، وكذلك السلس، ويدخل فى مشابههما المريض العاجز بنفسه ولو بالطواف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حمله حامل فطاف به أمكن أن يحتسب لكلّ منهما طوافه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الحامل متبرّعاً أو بجعالة أو مستأجراً للحمل في طوافه، وإلّا لم يحتسب للحامل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إنسان بالحجّ عن غيره بعد موته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المتبرّع بين كونه وليّاً وغيره، ولا بين كونه عدلاً وفاسقاً وإن لم تجز استنابة الفاسق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 هو الوارث وقعت عن مورّثه وبرئت ذمّته من استئجار غيره إن لم يكن الميّت قد أوصى إلى غيره به، فلا يقبل حينئذٍ خبر الفاسق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يلزم النائب من كفّارة ففي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أفسده حجّ من قابل وهل تعاد الأُجرة عليه؟ يبنى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المفسد إذا قضى هل تكون الأُولى فرضه والثانية عقوبة، أو بالعكس؟ فإن قلنا بالأوّل لم تُعد الأُجرة؛ لأنّه فعل ما استؤجر عليه في وقته، وإن قلنا بالثاني وهو الأقوى لم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السنة معيّنة أو مطلقة، وقلنا بعدم جواز التأخير فيها عن السنة الأُولى كما اختاره جماعة، وإلّا استحقّ الأُجرة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أن ينوب عن اثنين 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استأجراه لعام صحّ للأسبق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اقترن العقدان وزمان الإيقاع 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زمان الإيقاع صحّا إلّا مع فوريّة وجوب الحجّ المتأخّر وإمكان استنابة مَن يعجّله في ذلك العام، فيبطل العقد المؤخّر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يذكر النائب مَن ينوب عنه باسمه في المواطن كلّها، وعند كلّ فعل من أفعال الحجّ والعمرة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يستحبّ ذكره لفظاً وإن وجب نيّة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أصابني في سفري هذا من تعب أو شدّة أو بلاء أو شعث فآجر فلاناً فيه وآجرني في قضائي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ومحلّ هذا القول بعد نيّة الإحرام وكلّ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يعيد المخالف حجّه إذا استبصر وإن كانت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الإتيان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استحباب الإعادة لو كانت غير مجزئة بطريق أولى، وربما أشكل ذلك بأنّ شرط اجتزائه بالحجّة السابقة وقوعها مجزئه، فإذا لم تكن مجزئة كانت الإعادة واجبة لامستحبّة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بأن يريد بالإجزاء هنا التنبيه على الخلاف في أنّ عدم وجوب الإعادة هل هو لصحّة العبادة في نفسها، أو تخفيف وإسقاط تكليف كما في الكافر إذا أسلم؟ فعلى القول بفسادها وسقوط القضاء تخفيفاً تظهر فائدة الاستحباب، وعلى الأوّل قد يشكل استحباب إعادته كغيره ممّن صحّ حجّه، فنبّه على اختصاصه بذلك، وخصّ الفرد الأخفى، فإنّه على تقدير الإجزاء أخفى منه على 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أن يحجّ عنه ولم يعيّن الأُجرة انصرف ذلك إلى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يبذل في الغالب للفعل، وهو الحجّ هنا لمن استجمع شرائط النيابة في أدنى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ينصرف إلى أُجرة المثل إذا لم يوجد مَن يأخذ أقلّ منها، وإلّا اقتصر عليه ويعتبر الحجّ من أقرب الأماكن، إلّا مع إرادة خلافه صريحاً، أو بالقرينة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ويستحقّها الأجير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يملكها، حتّى لو نمت فنماؤها له، لكن لا يجب تسليمها إلّا بعد العمل، ولا يجوز ذلك للوصيّ ونحوه إلّا مع الإذن صريحاً أو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خالف ما شرط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أُجرة المثل، والوجه أنّه 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حسن، لكن يستثنى منه ما سبق من المخالفة في الطريق والنوع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أن يحجّ عنه ولم يعيّن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إرادة التكرار حجّ عنه </w:t>
      </w:r>
    </w:p>
    <w:p>
      <w:pPr>
        <w:pStyle w:val="BookText"/>
        <w:rPr/>
      </w:pPr>
      <w:r>
        <w:rPr>
          <w:rFonts w:ascii="Amiri" w:hAnsi="Amiri" w:eastAsia="Amiri" w:cs="Amiri"/>
          <w:color w:val="111111"/>
          <w:sz w:val="28"/>
          <w:sz w:val="28"/>
          <w:szCs w:val="28"/>
          <w:rtl w:val="true"/>
          <w:lang w:bidi="ar-SA"/>
        </w:rPr>
        <w:t>حتّى يستوفي الثلث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منه إرادة تكرار يسع الثلث فصاعداً، فلو علم منه إرادة تكرار يقصر عن الثلث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في الحجّ الموصى به واجب بالنذر أو الإسلام لم يحتسب من الثلث، بل يخرج من الأصل أوّلاً، ثمّ يكرّر الحجّ الباقي من الثلث حسب ما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عنه كلّ سنة بقدر معيّن فقصر، جمع نصيب سنتين واستؤجر به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حينئذٍ يجمع ممّا زاد على السنة ممّا يكمل به أُجرة المثل لسنة، ثمّ يضمّ الباقي إلى ما بعده، وهكذا، ولا يتقدّر بجمع سنتين ولا أزيد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عند إنسان وديعة، ومات صاحبها، وعليه حجّة الإسلام، وعرف أنّ الورثة لا يؤدّون ذلك، جاز أن يقتطع قدر أُجرة الحجّ فيستأجر به؛ لأنّه خارج عن ملك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الوديعة وغيرها من الحقوق الماليّة كالدين والغصب، ولافي الحجّة اللازمة للميّت بين كونها حجّة الإسلام وغيرها ممّا يجب إخراجه عن الميّت وإن لم يوص به كالنذر والعمرة والدين والزكاة والخمس والكفّارة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استئذان الحاكم إن أمكن إثبات ذلك عنده،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مَن يُخاطب بذلك بين فعل الحجّ ونحوه بنفسه،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مَن بيده المال وعلم بعضهم ببعض توازعوا الأُجرة إن شاؤوا، ولو استقلّ به بعضهم بإذن الباقين أجزأ، وإن لم يعلم بعضهم ببعض فأخرجوا جميعاً فلا ضمان مع الاجتهاد على الأقوى، وإلّا ضمنوا ما زاد على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 بعض الورثة يؤدّي دون بعض، فإن كان نصيبه يفي بالحقّ بحيث يحصل الغرض وجب الدفع إليه، وإلّا فلا، والمراد بالعلم هنا الظنّ الغالب المستند إلى قرائن الأحوال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عقد الإحرام عن المستأجر عنه، ثمّ نقل النيّة إلى نفسه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أكمل الحجّة وقعت عن المستأجر عنه ويستحقّ الأُجرة ويظهر لي أنّها لا تجزئ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556" w:name="pg10178_83694"/>
    </w:p>
    <w:p>
      <w:pPr>
        <w:pStyle w:val="BookText"/>
        <w:rPr/>
      </w:pPr>
      <w:bookmarkEnd w:id="55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أن يحجّ عنه وعيّن المبلغ فإن كان بقدر ثلث التركة أو أقلّ صحّ واجباً كان أو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أزيد وكان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ندباً حجّ عنه من بلده إن اتّسع الثلث، وإن قصر حجّ عنه من بعض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الحجّ من الميقات مطلقاً، إلّا أن يعيّن البلد ولو بالقرائن الحاليّة أو المقاليّة كالواجب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قصر عن الحجّ حتّى لا يرغب فيه أجير صرف في وجوه البرّ،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قصوره إن كان ابتداءً بحيث لم يمكن صرفه في الحجّ في وقت ما، عادَ ميراثاً، وإن كان ممكناً ثمّ طرأ القصور بعد ذلك صرف في وجوه البرّ، ولو أمكن استنماؤه وصرفه في الحجّ بعد مدّة فهو أولى، وكذا لو رجا إخراجه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في حجّ واجب وغيره قدّم الواجب، فإن كان الكلّ واجباً وقصرت التركة قسّمت على الجميع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الواجبات كلّها ماليّة كالدين والحجّ، أمّا لو كان بعضها بدنيّاً كالصلاة والصوم قدّم المالي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سوّى بين المنذورة وحجّة الإسلام في الإخراج من الأصل والقسمة مع قصور التركة،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نذر أن يُحِجّ رجلاً ومات وعليه حجّة الإسلام أُخرجت حجّة الإسلام من الأصل، وما نذره من الثلث، والوجه التسوية بينهما؛ لأنّهما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2018740_1067777946"/>
      <w:bookmarkStart w:id="558" w:name="_Toc208"/>
      <w:bookmarkEnd w:id="557"/>
      <w:r>
        <w:rPr>
          <w:rtl w:val="true"/>
        </w:rPr>
        <w:t>[</w:t>
      </w:r>
      <w:r>
        <w:rPr>
          <w:rtl w:val="true"/>
        </w:rPr>
        <w:t>في أقسام الحجّ</w:t>
      </w:r>
      <w:r>
        <w:rPr>
          <w:rtl w:val="true"/>
        </w:rPr>
        <w:t>]</w:t>
      </w:r>
      <w:bookmarkEnd w:id="558"/>
    </w:p>
    <w:p>
      <w:pPr>
        <w:pStyle w:val="Heading5"/>
        <w:numPr>
          <w:ilvl w:val="4"/>
          <w:numId w:val="1"/>
        </w:numPr>
        <w:rPr/>
      </w:pPr>
      <w:bookmarkStart w:id="559" w:name="__RefHeading___Toc2018742_1067777946"/>
      <w:bookmarkStart w:id="560" w:name="_Toc209"/>
      <w:bookmarkEnd w:id="559"/>
      <w:r>
        <w:rPr>
          <w:rtl w:val="true"/>
        </w:rPr>
        <w:t>[</w:t>
      </w:r>
      <w:r>
        <w:rPr>
          <w:rtl w:val="true"/>
        </w:rPr>
        <w:t>التمتّع</w:t>
      </w:r>
      <w:r>
        <w:rPr>
          <w:rtl w:val="true"/>
        </w:rPr>
        <w:t>]</w:t>
      </w:r>
      <w:bookmarkEnd w:id="5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التمتّع، فصورته أن يحرم من الميقات بالعمرة المتمتّع بها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المنتفع بها إلى الحجّ، أي الانتفاع بثوابها إلى وقت الحجّ، فيجتمع التقرّبان، أو </w:t>
      </w:r>
    </w:p>
    <w:p>
      <w:pPr>
        <w:pStyle w:val="BookText"/>
        <w:rPr/>
      </w:pPr>
      <w:r>
        <w:rPr>
          <w:rFonts w:ascii="Amiri" w:hAnsi="Amiri" w:eastAsia="Amiri" w:cs="Amiri"/>
          <w:color w:val="111111"/>
          <w:sz w:val="28"/>
          <w:sz w:val="28"/>
          <w:szCs w:val="28"/>
          <w:rtl w:val="true"/>
          <w:lang w:bidi="ar-SA"/>
        </w:rPr>
        <w:t>المنتفع بها إذا فرغ منها باستباحة ما كان محرّماً إلى وقت التلبّس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اختصّت مع حجّها بهذا الاسم؛ لأنّهما كالشيء الواحد، فإذا حصل بينهما تمتّع فكأنّه قد حصل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ينشئ إحراماً آخر للحجّ من مكّة يوم التروية على الأفضل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اليوم الثامن من ذي الحجّة، سمّي بذلك لأنّ الحجيج كانوا يتروّون فيه الماء، ويحملونه إلى عرفة؛ لأنّه لم يكن بعرفات ماء كاليوم، فكان بعضهم يقول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تروّيتم تروّيتم ليخرجوا، رواه الحلبي عن الصادق علیه السلام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أقام إلى النفر الثاني جاز أيضاً وعاد إلى مكّة للطوافين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وسيأتي بعد ذلك اختيار المصنّف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القسم فرض من كان بين منزله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اثناعشر ميلاً فما زاد من كلّ جانب،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عدل هؤلاء إلى القران، أو الإفراد في حجّة الإسلام اختياراً لم يجز، ويجوز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كخوف الحيض المتقدّم على طواف العمرة إذا خيف ضيق وقت الوقوف الاختياري بعرفة، أو خيف التخلّف عن الرفقة إليها حيث يحتاج إليها،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وشروطه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تكرّر ذكر النيّة هنا في كلامهم، وظاهرهم أنّ المراد بها نيّة الحجّ جملة، والأقوى عدم وجوبها كذلك ويمكن أن يريدوا بها نيّة الإحرام، ولا وجه لتخصيص نيّته من بين الأفعال المفتقرة إلى النيّة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ووقوعه في أشهر الحجّ، وهي شوّال وذو القعدة وذو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من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من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 من يوم النحر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المرويّ </w:t>
      </w:r>
      <w:r>
        <w:rPr>
          <w:rStyle w:val="FootnoteAnchor"/>
          <w:rtl w:val="true"/>
        </w:rPr>
        <w:footnoteReference w:id="157"/>
      </w:r>
      <w:r>
        <w:rPr>
          <w:rFonts w:ascii="Amiri" w:hAnsi="Amiri" w:eastAsia="Amiri" w:cs="Amiri"/>
          <w:color w:val="111111"/>
          <w:sz w:val="28"/>
          <w:sz w:val="28"/>
          <w:szCs w:val="28"/>
          <w:rtl w:val="true"/>
          <w:lang w:bidi="ar-SA"/>
        </w:rPr>
        <w:t>والأقوى هو الأوّل، وعند تحقيق الأقوال يظهر أنّ النزاع لفظي، فإنّ من أفعال الحجّ ما يقع في مجموع ذي الحجّة كالطوافين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بأشهره ما يمكن وقوع بعض أفعاله فيها فلاشكّ أنّها الثلاثة، ولكن لا يمكن إنشاؤه في جميع ذي الحجّة، بل لا بدّ في إجزائه من إدراك الوقوفين أو أحدهما على 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أُريد بأشهر الحجّ ما يمكن إنشاؤه فيها فلا إشكال في فواته بطلوع الشمس من يوم النحر أو بزواله، فالاعتبارات التي قد رتّبت عليها الأقوال لا مشاحّة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يحرم بالحجّ له من بطن مكّة وأفضلها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ببطن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عن شيء من بنائها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وأفضله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ويليه في الفضل الحجر، وأقلّه من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أحرم بالعمرة المتمتّع بها في غير أشهر الحجّ لم يجز له التمتّع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أنّها تنعقد مفردة، وبه صرّح العلّامة </w:t>
      </w:r>
      <w:r>
        <w:rPr>
          <w:rStyle w:val="FootnoteAnchor"/>
          <w:rtl w:val="true"/>
        </w:rPr>
        <w:footnoteReference w:id="158"/>
      </w:r>
      <w:r>
        <w:rPr>
          <w:rFonts w:ascii="Amiri" w:hAnsi="Amiri" w:eastAsia="Amiri" w:cs="Amiri"/>
          <w:color w:val="111111"/>
          <w:sz w:val="28"/>
          <w:sz w:val="28"/>
          <w:szCs w:val="28"/>
          <w:rtl w:val="true"/>
          <w:lang w:bidi="ar-SA"/>
        </w:rPr>
        <w:t>، ولا يخلو من إشكال؛ لعدم وقوع المقصود، وعدم قصد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أحرم بحجّ التمتّع من غير مكّة لم يجزئه ولو دخل مكّة بإحرامه علی الأشبه وجب استئنافه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المذهب، والمخالف في ذلك من أصحابنا غير معلوم، وإنّما الخلاف فيه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تعذّر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يجزئه، والوجه أنّه يستأنفه حيث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يتعمّد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قويٌّ مع الجهل أو النسيان، وأمّا المتعمّد فيجب عليه العود إلى مكّة، فإن </w:t>
      </w:r>
    </w:p>
    <w:p>
      <w:pPr>
        <w:pStyle w:val="BookText"/>
        <w:rPr/>
      </w:pPr>
      <w:r>
        <w:rPr>
          <w:rFonts w:ascii="Amiri" w:hAnsi="Amiri" w:eastAsia="Amiri" w:cs="Amiri"/>
          <w:color w:val="111111"/>
          <w:sz w:val="28"/>
          <w:sz w:val="28"/>
          <w:szCs w:val="28"/>
          <w:rtl w:val="true"/>
          <w:lang w:bidi="ar-SA"/>
        </w:rPr>
        <w:t>تعذّر فلاحجّ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يسقط الدم والحال هذه؟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بالدم هنا هدي التمتّع، ووجه التردّد في وجوبه من جهة الخلاف في أنّه جبران أو نسك، والصحيح عندنا الثاني، فيجب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إنّه جبران فمعناه أنّه جبران لما فات من الإحرام من أحد المواقيت، وعنده أنّه لو خرج من مكّة بعد الإحرام فمرّ بأحد المواقيت إلى عرفة يسقط عنه الدم؛ لدخول مسافة الإحرام في ضمن تلك المسافة، ومثله ما لو أحرم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المصنّف لا تفي بالدلالة على محلّ النزاع، وكيف كان، فالمذهب عدم سقوط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جدّد عمرة تمتّع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وتصير الأُولى مفردة فيكمّلها بطواف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 بعمرته إلى مكّة وخشي ضيق الوقت، جاز له نقل النيّة إلى الإفراد، وكان عليه 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ينتقل إلى الإفراد بمجرّد العذر، وحينئذٍ فينوي العدول من إحرام عمرة الإسلام عمرة التمتّع مثلاً إلى حجّ الإفراد حجّ الإسلام؛ لوجوبه قربة إلى الله، ويبني على إحرامه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تجدّد العذر وقد طافت أربعاً صحّت متعتها، وأتت بالسعي وبقيّة المناسك وقضت بعد طهرها ما بقي من 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غيرها من ذوي الأعذار، والمراد ببقيّة المناسك التقصير، ولو عبّر به كان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بقضاء ما بقي الإتيان به، لانيّة القضاء به؛ إذ لا تفتقر نيّة الطواف إلى الأداء والقضاء، ويجب تقديم ما بقي من طواف العمرة على طواف الحجّ عند زوال العذر، وكذا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صحّ التمتّع سقطت العمرة المفردة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سقوطها حقيقة إنّما يتحقّق مع وجوبها، وذلك في ذي الوطنين بمكّة وناءٍ، وفي ناذر </w:t>
      </w:r>
      <w:bookmarkStart w:id="561" w:name="pg10178_83698"/>
    </w:p>
    <w:p>
      <w:pPr>
        <w:pStyle w:val="BookText"/>
        <w:rPr/>
      </w:pPr>
      <w:bookmarkEnd w:id="561"/>
      <w:r>
        <w:rPr>
          <w:rFonts w:ascii="Amiri" w:hAnsi="Amiri" w:eastAsia="Amiri" w:cs="Amiri"/>
          <w:color w:val="111111"/>
          <w:sz w:val="28"/>
          <w:sz w:val="28"/>
          <w:szCs w:val="28"/>
          <w:rtl w:val="true"/>
          <w:lang w:bidi="ar-SA"/>
        </w:rPr>
        <w:t>الحجّ مطلقاً، ومجازاً فيمن فرضه التمتّع ابتداءً؛ إذ لم يجب عليه حينئذٍ حتّى يسقط</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018744_1067777946"/>
      <w:bookmarkStart w:id="563" w:name="_Toc210"/>
      <w:bookmarkEnd w:id="562"/>
      <w:r>
        <w:rPr>
          <w:rtl w:val="true"/>
        </w:rPr>
        <w:t>[</w:t>
      </w:r>
      <w:r>
        <w:rPr>
          <w:rtl w:val="true"/>
        </w:rPr>
        <w:t>الإفراد</w:t>
      </w:r>
      <w:r>
        <w:rPr>
          <w:rtl w:val="true"/>
        </w:rPr>
        <w:t>]</w:t>
      </w:r>
      <w:bookmarkEnd w:id="5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وصورة الإفراد أن يحرم من الميقات، أو من حيث يسوغ له الإحرام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دويرة أهله، وحيث أمكن في حقّ تارك الإحرام أو جاهله من الميقات حيث يتعذّر عليه العود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عمرة مفردة بعد الحجّ والإحلال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بها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خارج الحرم وإن لم يكن أدنى الحلّ حقيقةً، ولو خرج إلى أحد المواقيت أجزأ، بل ربما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القسم أو القران فرض أهل مكّة ومن بينه وبينها دون اثني عشر ميلاً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الأصحّ اعتبار ثمانية وأربعين ميلاً، ومبدأ التقدير من منتهى عمارة مكّة إلى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عدل هؤلاء إلى التمتّع اضطراراً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کخوف الحيض المتأخّر عن النفر، وخوف فوت الرفقة قبل أن تطهر، وخوف عدوّ بعد الحجّ،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اختياراً؟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تعيّن القران أو الإفراد عليهم، ومحلّ الخلاف حجّة الإسلام، أمّا الندب والمنذور المطلق فيتخيّر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لم يلزمهم هدي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الأقوى وجوب الهدي على المتمتّع مطلقاً ومنشأ الخلاف من قوله تعالى في حقّ مَن يلزمهم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حَاضِرِى الْمَسْجِدِ الْحَرَامِ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فمن </w:t>
      </w:r>
      <w:bookmarkStart w:id="564" w:name="pg10178_83699"/>
    </w:p>
    <w:p>
      <w:pPr>
        <w:pStyle w:val="BookText"/>
        <w:rPr/>
      </w:pPr>
      <w:bookmarkEnd w:id="564"/>
      <w:r>
        <w:rPr>
          <w:rFonts w:ascii="Amiri" w:hAnsi="Amiri" w:eastAsia="Amiri" w:cs="Amiri"/>
          <w:color w:val="111111"/>
          <w:sz w:val="28"/>
          <w:sz w:val="28"/>
          <w:szCs w:val="28"/>
          <w:rtl w:val="true"/>
          <w:lang w:bidi="ar-SA"/>
        </w:rPr>
        <w:t>أوجبه أعاد الإشارة إلى النوع، ومن لم يوجبه أعادها إلى الهدي</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018746_1067777946"/>
      <w:bookmarkStart w:id="566" w:name="_Toc211"/>
      <w:bookmarkEnd w:id="565"/>
      <w:r>
        <w:rPr>
          <w:rtl w:val="true"/>
        </w:rPr>
        <w:t>[</w:t>
      </w:r>
      <w:r>
        <w:rPr>
          <w:rtl w:val="true"/>
        </w:rPr>
        <w:t>القِران</w:t>
      </w:r>
      <w:r>
        <w:rPr>
          <w:rtl w:val="true"/>
        </w:rPr>
        <w:t>]</w:t>
      </w:r>
      <w:bookmarkEnd w:id="5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لبّى استحبّ له إشعار ما يسوقه من البدن، وهو أن يشقّ سنامه من الجانب الأيمن، ويلطّخ صفحته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صفحة سنامه من جانب الشقّ، لا صفحة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معه بُدنٌ دخل بينها وأشعرها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بمعنى أنّه يشعر هذه في يمينها وهذه في شمالها من غير أن يرتّبها ترتيباً يوجب الإشعار في اليمين للجميع، وهذا في قوّة الاستثناء ممّا قبله،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يشعرها في الأيمن إلّا أن يكون بدناً، وهو نوع 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والتقليد أن يعلّق في رقبة المسوق نعلاً قد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قد صلّى السائق في ذلك النعل، فلا يكفي صلاة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الصلاة مسمّاها، فيكفي الواحدة ولو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 القارن أو المفرد مكّة، وأراد الطواف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طواف الحجّ بأن يقدّماه على الوقوف، وكذا يجوز لهما تقديم صلاته دون طواف النساء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يجدّدان التلبية عند كلّ طواف؛ لئلّا يحلّا على قول،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 المفرد دون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توقف انعقاد الإحرام على تجديد التلبية بعد الطواف، وينبغي الفوريّة بها عقيبه، وبدونها يحلّان، ولا يفتقر إلى إعادة نيّة الإحرام قبلها، ولو أخلّا بالتلبية صار حجّهما عمرة، وانقلب تمتّعاً، ولا يجزئ عن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الطواف بين الواجب والندب، ولو قدّم المتمتّع طوافه اضطراراً وجب عليه تحديد التلبية كذلك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للمفرد إذا دخل مكّة أن يعدل إلى التمتّع، ولا يجوز ذلك للقارن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المشهور اختصاص الحكم بمن لم يتعيّن عليه الإفراد وقسيميه كالمندوب والمنذور المطلق، والنصّ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أقام من فرضه التمتّع بمكّة سنة أو سنتين لم ينتقل فرضه، وكان عليه الخروج إلى الميقات إذا أراد حجّ الإسلام، ولو لم يتمكّن من ذلك خرج إلى خارج الحرم فإن تعذّر أحرم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يتعيّن عليه الخروج إلى ميقات بلده بل يكفيه الخروج إلى أيّ ميقات شاء، والمراد بعدم التمكّن من الخروج حصول مشقّة لا تتحمّل عادة من فعل أو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دخل في الثالثة مقيماً ثمّ حجّ انتقل فرضه إلى القران أو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الإقامة الموجبة لانتقال الفرض بين كونها بنيّة الدوام وعدمه، والأقوى انتقال حكم الاستطاعة أيضاً، هذا إذا تجدّدت الاستطاعة في زمن الإقامة، فلو كانت سابقة في النائي لم ينتقل الفرض وإن طالت المدّة، والمعتبر في انتقال الفرض شرط إقامة</w:t>
      </w:r>
    </w:p>
    <w:p>
      <w:pPr>
        <w:pStyle w:val="BookText"/>
        <w:rPr/>
      </w:pPr>
      <w:r>
        <w:rPr>
          <w:rFonts w:ascii="Amiri" w:hAnsi="Amiri" w:eastAsia="Amiri" w:cs="Amiri"/>
          <w:color w:val="111111"/>
          <w:sz w:val="28"/>
          <w:sz w:val="28"/>
          <w:szCs w:val="28"/>
          <w:rtl w:val="true"/>
          <w:lang w:bidi="ar-SA"/>
        </w:rPr>
        <w:t>سنتين بمكّة وإن لم تدخل الثالثة، فلو أحرم بالحجّ بعد إكمال السنتين بلافصل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منزلان بمكّة وغيرها من البلاد لزمه فرض أغلبهما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بغير مكّة ماكان نائياً عنها بحيث يوجب مغايرة حكمه لحكمها في نوع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الإقامة بالمنزلين بين ما وقع منهما حال التكليف وغيره، ولا بين ما أتمّ الصلاة فيه منها وعدمه، ولا بين الإقامة الاختياريّة والاضطراريّة، ولابين المنزل المملوك والمغصوب، ولا بين أن يكون بين المنزلين مسافة القصر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ومسافة السفر إلى كلّ منهما لا تحتسب منهما، ومتى حكم باللحوق بأحد المنزلين اعتبرت الاستطاعة منه، ولو اشتبه الحال فلم يدر أيّهما أغلب واحتمل التساوي تخيّر، والأولى حينئذٍ تقديم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الهدي عن القارن والمفرد وجوباً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لا يجب عليهما هدي، لا أنّه كان واجباً فسقط والتقييد بالوجوب يخرج هدي القران؛ فإنّه مستحبّ للقارن</w:t>
      </w:r>
      <w:r>
        <w:rPr>
          <w:rFonts w:eastAsia="Amiri" w:cs="Amiri" w:ascii="Amiri" w:hAnsi="Amiri"/>
          <w:color w:val="111111"/>
          <w:sz w:val="28"/>
          <w:szCs w:val="28"/>
          <w:rtl w:val="true"/>
          <w:lang w:bidi="ar-SA"/>
        </w:rPr>
        <w:t xml:space="preserve">. </w:t>
      </w:r>
      <w:bookmarkStart w:id="567" w:name="pg10178_83701"/>
    </w:p>
    <w:p>
      <w:pPr>
        <w:pStyle w:val="BookText"/>
        <w:rPr/>
      </w:pPr>
      <w:bookmarkEnd w:id="56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القران بين الحجّ والعمرة بنيّة واحدة، ولا إدخال أحدهما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ينوي الإحرام بأحدهما قبل التحليل من الآخر، وحينئذٍ فيقع الثاني باطلاً؛ للنهي، إلّا أن يحرم بالحجّ بعد السعي وقبل التقصير منها، فإنّه یصحّ في المشهور، وتصير الحجّة مفردة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بنيّة حجّتين ولا عمرتين على سنة واحدة ولو فعل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واحدة، 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بطلانهما معاً</w:t>
      </w:r>
      <w:r>
        <w:rPr>
          <w:rFonts w:eastAsia="IRNazanin" w:cs="IRNazanin"/>
          <w:color w:val="111111"/>
          <w:sz w:val="28"/>
          <w:szCs w:val="28"/>
          <w:rtl w:val="true"/>
          <w:lang w:bidi="fa-IR"/>
        </w:rPr>
        <w:t>.</w:t>
      </w:r>
    </w:p>
    <w:p>
      <w:pPr>
        <w:pStyle w:val="Heading4"/>
        <w:numPr>
          <w:ilvl w:val="3"/>
          <w:numId w:val="1"/>
        </w:numPr>
        <w:rPr/>
      </w:pPr>
      <w:bookmarkStart w:id="568" w:name="__RefHeading___Toc2018748_1067777946"/>
      <w:bookmarkStart w:id="569" w:name="_Toc212"/>
      <w:bookmarkEnd w:id="568"/>
      <w:r>
        <w:rPr>
          <w:rtl w:val="true"/>
        </w:rPr>
        <w:t>[</w:t>
      </w:r>
      <w:r>
        <w:rPr>
          <w:rtl w:val="true"/>
        </w:rPr>
        <w:t>المقدّمة الرابعة في المواقيت</w:t>
      </w:r>
      <w:r>
        <w:rPr>
          <w:rtl w:val="true"/>
        </w:rPr>
        <w:t>]</w:t>
      </w:r>
      <w:bookmarkEnd w:id="569"/>
    </w:p>
    <w:p>
      <w:pPr>
        <w:pStyle w:val="Heading5"/>
        <w:numPr>
          <w:ilvl w:val="4"/>
          <w:numId w:val="1"/>
        </w:numPr>
        <w:rPr/>
      </w:pPr>
      <w:bookmarkStart w:id="570" w:name="__RefHeading___Toc2018750_1067777946"/>
      <w:bookmarkStart w:id="571" w:name="_Toc213"/>
      <w:bookmarkEnd w:id="570"/>
      <w:r>
        <w:rPr>
          <w:rtl w:val="true"/>
        </w:rPr>
        <w:t>[</w:t>
      </w:r>
      <w:r>
        <w:rPr>
          <w:rtl w:val="true"/>
        </w:rPr>
        <w:t>أقسامها</w:t>
      </w:r>
      <w:r>
        <w:rPr>
          <w:rtl w:val="true"/>
        </w:rPr>
        <w:t>]</w:t>
      </w:r>
      <w:bookmarkEnd w:id="5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المواقيت ستّة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وأفضله المسلخ، ويليه غمرة، وآخره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 جميع الوادي ميقات، فيجوز الإحرام من جميعه، وكلّما بعدت مسافة الإحرام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المدينة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فيحرم من داخله مع الإمكان، والجنب والحائض يحرمان مجتازين به، فإن تعذّر أحرما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الشام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مدينة خَرِبَتْ، فيجب الإحرام من محلّها إن مرّ بها، وإلّا فعند محاذاتها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ولأهل اليمن يلملم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جبل على مرحلتين من مكّة، وكذلك قَرْن المنازل،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صغير،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بفتح الراء </w:t>
      </w:r>
      <w:r>
        <w:rPr>
          <w:rStyle w:val="FootnoteAnchor"/>
          <w:rtl w:val="true"/>
        </w:rPr>
        <w:footnoteReference w:id="160"/>
      </w:r>
      <w:r>
        <w:rPr>
          <w:rFonts w:ascii="Amiri" w:hAnsi="Amiri" w:eastAsia="Amiri" w:cs="Amiri"/>
          <w:color w:val="111111"/>
          <w:sz w:val="28"/>
          <w:sz w:val="28"/>
          <w:szCs w:val="28"/>
          <w:rtl w:val="true"/>
          <w:lang w:bidi="ar-SA"/>
        </w:rPr>
        <w:t xml:space="preserve">، وأنّ أُويساً منسوب إليه، وهما معاً </w:t>
      </w:r>
      <w:bookmarkStart w:id="572" w:name="pg10178_83702"/>
    </w:p>
    <w:p>
      <w:pPr>
        <w:pStyle w:val="BookText"/>
        <w:rPr/>
      </w:pPr>
      <w:bookmarkEnd w:id="572"/>
      <w:r>
        <w:rPr>
          <w:rFonts w:ascii="Amiri" w:hAnsi="Amiri" w:eastAsia="Amiri" w:cs="Amiri"/>
          <w:color w:val="111111"/>
          <w:sz w:val="28"/>
          <w:sz w:val="28"/>
          <w:szCs w:val="28"/>
          <w:rtl w:val="true"/>
          <w:lang w:bidi="ar-SA"/>
        </w:rPr>
        <w:t xml:space="preserve">خطأ، وإنّما أُويس منسوب إلى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مراد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وميقات مَن منزله أقرب من الميقات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أقرب إلى مكّة من المواقيت، سواء في ذلك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حجّ على طريق لا يفضي إلى أحد المواقيت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إذا غلب على ظنّه محاذاة أقرب المواقيت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الخلاف ما إذا لم يحاذ ميقاتاً، وإلّا أحرم عند محاذاته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غلبة الظنّ بمحاذاة أقرب المواقيت حينئذٍ بلوغ محلّ بينه وبين مكّة بقدر ما بين مكّة وأقرب المواقيت إليها، وهو مرحلتان علماً أو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حجّ على ميقات لزمه الإحرام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وتجرّد الصبيان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بئر على نحو فرسخ من مكّة، والأولى إحرامهم من الميقات، وتأخير التجريد إلى فخّ، ولو أخّروا الإحرام أيضاً جاز على 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مخصوص بمن مرّ على تلك الطريق، وإلّا كانوا كغيرهم</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018752_1067777946"/>
      <w:bookmarkStart w:id="574" w:name="_Toc214"/>
      <w:bookmarkEnd w:id="573"/>
      <w:r>
        <w:rPr>
          <w:rtl w:val="true"/>
        </w:rPr>
        <w:t>[</w:t>
      </w:r>
      <w:r>
        <w:rPr>
          <w:rtl w:val="true"/>
        </w:rPr>
        <w:t>أحكامها</w:t>
      </w:r>
      <w:r>
        <w:rPr>
          <w:rtl w:val="true"/>
        </w:rPr>
        <w:t>]</w:t>
      </w:r>
      <w:bookmarkEnd w:id="5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قبل هذه المواقيت لم ينعقد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لناذر بشرط أن يقع إحرام الحجّ في أشهره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ولا فرق بين النذر وأخويه، ولا يجب حينئذٍ تجديد الإحرام عند بلوغ الميقات ومافي حكمه وإن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أخّره عن الميقات لمانع ثمّ زال المانع عاد إلى الميقات، فإن تعذّر جدّد الإحرام حيث زال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يجب العود إليه إذا لم يكن في طريقه ميقات آخر، وإلّا أجزأه الإحرام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تأخيره عن الميقات مع العذر إذا لم يتمكّن من نيّته فيه أصلاً وإن كان </w:t>
      </w:r>
    </w:p>
    <w:p>
      <w:pPr>
        <w:pStyle w:val="BookText"/>
        <w:rPr/>
      </w:pPr>
      <w:r>
        <w:rPr>
          <w:rFonts w:ascii="Amiri" w:hAnsi="Amiri" w:eastAsia="Amiri" w:cs="Amiri"/>
          <w:color w:val="111111"/>
          <w:sz w:val="28"/>
          <w:sz w:val="28"/>
          <w:szCs w:val="28"/>
          <w:rtl w:val="true"/>
          <w:lang w:bidi="ar-SA"/>
        </w:rPr>
        <w:t>الفرض بعيداً، فلو تمكّن منها وجب أن يأتي بها، وأخّر ما يتعذّر إلى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أحرم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ترك الإحرام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الجاهل بوجوب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يرد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المقيم بمكّة إذا كان فرضه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وجوب الإحرام عليه، كالمتكرّر، ومن دخل مكّة لقتال، أو لم يكن قاصداً مكّة عند مروره على الميقات ثمّ تجدّد له قصدها،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نسي الإحرام ولم يذكر حتّى أكمل مناسكه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إن كان واجباً،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وهو المرويّ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نسيان الإحرام بنسيان النيّة لابنسيان التلبية، ولا لُبْس ثوبي الإحرام على الأقوى، والأقوى إلحاق الجاهل بالناسي</w:t>
      </w:r>
      <w:r>
        <w:rPr>
          <w:rFonts w:eastAsia="Amiri" w:cs="Amiri" w:ascii="Amiri" w:hAnsi="Amiri"/>
          <w:color w:val="111111"/>
          <w:sz w:val="28"/>
          <w:szCs w:val="28"/>
          <w:rtl w:val="true"/>
          <w:lang w:bidi="ar-SA"/>
        </w:rPr>
        <w:t xml:space="preserve">. </w:t>
      </w:r>
      <w:bookmarkStart w:id="575" w:name="pg10178_83704"/>
    </w:p>
    <w:p>
      <w:pPr>
        <w:pStyle w:val="Heading3"/>
        <w:numPr>
          <w:ilvl w:val="2"/>
          <w:numId w:val="1"/>
        </w:numPr>
        <w:rPr/>
      </w:pPr>
      <w:bookmarkStart w:id="576" w:name="__RefHeading___Toc2018754_1067777946"/>
      <w:bookmarkStart w:id="577" w:name="_Toc215"/>
      <w:bookmarkEnd w:id="575"/>
      <w:bookmarkEnd w:id="576"/>
      <w:r>
        <w:rPr>
          <w:rtl w:val="true"/>
        </w:rPr>
        <w:t>[</w:t>
      </w:r>
      <w:r>
        <w:rPr>
          <w:rtl w:val="true"/>
        </w:rPr>
        <w:t>الركن الثاني في أفعال الحجّ</w:t>
      </w:r>
      <w:r>
        <w:rPr>
          <w:rtl w:val="true"/>
        </w:rPr>
        <w:t>]</w:t>
      </w:r>
      <w:bookmarkEnd w:id="577"/>
    </w:p>
    <w:p>
      <w:pPr>
        <w:pStyle w:val="Heading4"/>
        <w:numPr>
          <w:ilvl w:val="3"/>
          <w:numId w:val="1"/>
        </w:numPr>
        <w:rPr/>
      </w:pPr>
      <w:bookmarkStart w:id="578" w:name="__RefHeading___Toc2018756_1067777946"/>
      <w:bookmarkStart w:id="579" w:name="_Toc216"/>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أمام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وصلاة ركعتين، وأن يقف على باب داره ويقرأ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مستقبلاً بوجهه الوجه الذي يتوجّه إليه، وهو الطريق</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018758_1067777946"/>
      <w:bookmarkStart w:id="581" w:name="_Toc217"/>
      <w:bookmarkEnd w:id="580"/>
      <w:r>
        <w:rPr>
          <w:rtl w:val="true"/>
        </w:rPr>
        <w:t>[</w:t>
      </w:r>
      <w:r>
        <w:rPr>
          <w:rtl w:val="true"/>
        </w:rPr>
        <w:t>الإحرام</w:t>
      </w:r>
      <w:r>
        <w:rPr>
          <w:rtl w:val="true"/>
        </w:rPr>
        <w:t>]</w:t>
      </w:r>
      <w:bookmarkEnd w:id="581"/>
    </w:p>
    <w:p>
      <w:pPr>
        <w:pStyle w:val="Heading5"/>
        <w:numPr>
          <w:ilvl w:val="4"/>
          <w:numId w:val="1"/>
        </w:numPr>
        <w:rPr/>
      </w:pPr>
      <w:bookmarkStart w:id="582" w:name="__RefHeading___Toc2018760_1067777946"/>
      <w:bookmarkStart w:id="583" w:name="_Toc218"/>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توفير شعر رأسه من أوّل ذي القعدة إذا أراد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التمتّع وغيره من الأنواع، ولو أراد العمرة المفردة استحبّ توفيره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ويزيل الشعر عن جسده وإبطيه مطّلياً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اطَّلى أجزأه ما لم يمض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الاطّلاء أفضل مطلقاً، لكن لو قصرت المدّة عن خمسة عشر يوماً لم يتأكّد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للإحرام،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ماء تيمّم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استحباب التيمّم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له تقديمه على الميقات إذا خاف عوز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في التقديم الاقتصار على موضع الحاجة، ومتى قدّمه لبسَ ثوبي الإحرام بعده إلى الميقات، فلو لبس المخيط اختياراً بطل حكمه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 الغسل في أوّل النهار ليومه، وفي أوّل الليل لليلته ما لم ينم</w:t>
      </w:r>
      <w:r>
        <w:rPr>
          <w:rFonts w:eastAsia="Amiri" w:cs="Amiri" w:ascii="Amiri" w:hAnsi="Amiri"/>
          <w:color w:val="111111"/>
          <w:sz w:val="28"/>
          <w:szCs w:val="28"/>
          <w:rtl w:val="true"/>
          <w:lang w:bidi="ar-SA"/>
        </w:rPr>
        <w:t xml:space="preserve">». </w:t>
      </w:r>
      <w:bookmarkStart w:id="584" w:name="pg10178_83705"/>
    </w:p>
    <w:p>
      <w:pPr>
        <w:pStyle w:val="BookText"/>
        <w:rPr/>
      </w:pPr>
      <w:bookmarkEnd w:id="584"/>
      <w:r>
        <w:rPr>
          <w:rFonts w:ascii="Amiri" w:hAnsi="Amiri" w:eastAsia="Amiri" w:cs="Amiri"/>
          <w:color w:val="111111"/>
          <w:sz w:val="28"/>
          <w:sz w:val="28"/>
          <w:szCs w:val="28"/>
          <w:rtl w:val="true"/>
          <w:lang w:bidi="ar-SA"/>
        </w:rPr>
        <w:t>أو يحدث حدثاً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أحرم بغير غسل أو صلاة، ثمّ ذكر تدارك ماتركه، وأعاد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الاستحباب، والمعتبر هو الأوّل على الأقوى، فتجب الكفّارة في المتخلّل بينهما من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يحرم عقيب فريضة الظهر، أو فريضة غيرها، وإن لم يتّفق صلّى للإحرام ستّ ركعات، وأقلّه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ذلك أن يصلّي ستّة الإحرام أوّلاً، ثمّ يصلّي الظهر أو غيرها من الفرائض، ثمّ يحرم، فإن لم يتّفق ثَمَّ فريضة اقتصر على ستّة الإحرام، وأحرم عقيبها، والعبارة قاصرة عن إفادة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أنّه يقرأ في الأُولى من ستّة الإحرام التوحيد، وفي الثانية الجحد </w:t>
      </w:r>
      <w:r>
        <w:rPr>
          <w:rStyle w:val="FootnoteAnchor"/>
          <w:rtl w:val="true"/>
        </w:rPr>
        <w:footnoteReference w:id="162"/>
      </w:r>
      <w:r>
        <w:rPr>
          <w:rFonts w:ascii="Amiri" w:hAnsi="Amiri" w:eastAsia="Amiri" w:cs="Amiri"/>
          <w:color w:val="111111"/>
          <w:sz w:val="28"/>
          <w:sz w:val="28"/>
          <w:szCs w:val="28"/>
          <w:rtl w:val="true"/>
          <w:lang w:bidi="ar-SA"/>
        </w:rPr>
        <w:t>عكس الأوّل، وكلاهما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ويوقع نافلة الإحرام تبعاً له وإن كان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تابعة للإحرام، فلا يكره ولا يحرم فعلها في وقت الفريضة قبل أن يصلّيها، كما لا يحرم ولا يكره فعل النوافل التابعة للفرائض كذلك</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2018762_1067777946"/>
      <w:bookmarkStart w:id="586" w:name="_Toc219"/>
      <w:bookmarkEnd w:id="585"/>
      <w:r>
        <w:rPr>
          <w:rtl w:val="true"/>
        </w:rPr>
        <w:t>[</w:t>
      </w:r>
      <w:r>
        <w:rPr>
          <w:rtl w:val="true"/>
        </w:rPr>
        <w:t>نيّة الإحرام</w:t>
      </w:r>
      <w:r>
        <w:rPr>
          <w:rtl w:val="true"/>
        </w:rPr>
        <w:t>]</w:t>
      </w:r>
      <w:bookmarkEnd w:id="58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أخلّ بالنيّة عمداً أو سهواً لم يصحّ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أنّ الإحرام أمر آخر غير النيّة، كما هو المعلوم في غيره من العبادات، وكأنّه يريد به حينئذٍ ترك الأُمور الآتية، أو إيجاد نقيضها، ونحو ذلك، وهو في معنى نسيان الإحرام فيما سبق، إلّا أن يجعل الإحرام مركّباً من النيّة والتلبية واللبس كما ذهب إليه </w:t>
      </w:r>
      <w:bookmarkStart w:id="587" w:name="pg10178_83706"/>
    </w:p>
    <w:p>
      <w:pPr>
        <w:pStyle w:val="BookText"/>
        <w:rPr/>
      </w:pPr>
      <w:bookmarkEnd w:id="587"/>
      <w:r>
        <w:rPr>
          <w:rFonts w:ascii="IRNazanin" w:hAnsi="IRNazanin" w:eastAsia="IRNazanin"/>
          <w:color w:val="111111"/>
          <w:sz w:val="28"/>
          <w:sz w:val="28"/>
          <w:szCs w:val="28"/>
          <w:rtl w:val="true"/>
          <w:lang w:bidi="fa-IR"/>
        </w:rPr>
        <w:t>بعضهم وإن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أحرم بالحجّ والعمرة، وكان في أشهر الحجّ كان مخيّراً بين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غير أشهر الحجّ تعيّن للعمرة، ولو قيل بالبطلان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بطلانهما معاً في أشهر 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كإحرام فلان وكان عالماً بماذا أحرم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احتياطاً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الأشهر بطلان الإحرام</w:t>
      </w:r>
      <w:r>
        <w:rPr>
          <w:rFonts w:eastAsia="IRNazanin" w:cs="IRNazanin"/>
          <w:color w:val="111111"/>
          <w:sz w:val="28"/>
          <w:szCs w:val="28"/>
          <w:rtl w:val="true"/>
          <w:lang w:bidi="fa-IR"/>
        </w:rPr>
        <w:t>.</w:t>
      </w:r>
    </w:p>
    <w:p>
      <w:pPr>
        <w:pStyle w:val="Heading5"/>
        <w:numPr>
          <w:ilvl w:val="4"/>
          <w:numId w:val="1"/>
        </w:numPr>
        <w:rPr/>
      </w:pPr>
      <w:bookmarkStart w:id="588" w:name="__RefHeading___Toc2018764_1067777946"/>
      <w:bookmarkStart w:id="589" w:name="_Toc220"/>
      <w:bookmarkEnd w:id="588"/>
      <w:r>
        <w:rPr>
          <w:rtl w:val="true"/>
        </w:rPr>
        <w:t>[</w:t>
      </w:r>
      <w:r>
        <w:rPr>
          <w:rtl w:val="true"/>
        </w:rPr>
        <w:t>التلبيات الأربع</w:t>
      </w:r>
      <w:r>
        <w:rPr>
          <w:rtl w:val="true"/>
        </w:rPr>
        <w:t>]</w:t>
      </w:r>
      <w:bookmarkEnd w:id="5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والقارن بالخيار، إن شاء عقد إحرامه بها، وإن شاء أشعر أو قلّد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وبأیّهما بدأ كان الآخر مستحبّاً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أنّه إن بدأ بالتلبية كان الإشعار أو التقليد مستحبّاً، وإن بدأ بأحدهما كانت التلبية مستحبّة، ففي إطلاق أنّ البدأة بأحد الثلاثة توجب استحباب الآخر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وصورتها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والنعمة لك، 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لواجب هو التلبيات الأربع بالعبارة الأُولى، وإضافة الباقي أحوط</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2018766_1067777946"/>
      <w:bookmarkStart w:id="591" w:name="_Toc221"/>
      <w:bookmarkEnd w:id="590"/>
      <w:r>
        <w:rPr>
          <w:rtl w:val="true"/>
        </w:rPr>
        <w:t>[</w:t>
      </w:r>
      <w:r>
        <w:rPr>
          <w:rtl w:val="true"/>
        </w:rPr>
        <w:t>لبس ثوبي الإحرام</w:t>
      </w:r>
      <w:r>
        <w:rPr>
          <w:rtl w:val="true"/>
        </w:rPr>
        <w:t>]</w:t>
      </w:r>
      <w:bookmarkEnd w:id="5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الإحرام فيما لا يجوز لُبسه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كجلد ما لا يؤكل لحمه وإن ذكّي ودبغ، والحرير للرجال، وما يحكي العورة، ويدخل فيه النجس بما لا يعفى عنه في الصلاة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الإحرام في الحرير للنساء؟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أحوط</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الكراهة</w:t>
      </w:r>
      <w:r>
        <w:rPr>
          <w:rFonts w:eastAsia="Amiri" w:cs="Amiri" w:ascii="Amiri" w:hAnsi="Amiri"/>
          <w:color w:val="111111"/>
          <w:sz w:val="28"/>
          <w:szCs w:val="28"/>
          <w:rtl w:val="true"/>
          <w:lang w:bidi="ar-SA"/>
        </w:rPr>
        <w:t xml:space="preserve">. </w:t>
      </w:r>
      <w:bookmarkStart w:id="592" w:name="pg10178_83707"/>
    </w:p>
    <w:p>
      <w:pPr>
        <w:pStyle w:val="BookText"/>
        <w:rPr/>
      </w:pPr>
      <w:bookmarkEnd w:id="59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يكن مع الإنسان ثوبا الإحرام وكان معه قباء جاز لُبسه مقلوباً، بأن يجعل ذيله على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للقلب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ذيله على الكتفين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باطنه ظاهره، ولا يخرج يديه من كمّيه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الاجتزاء بكلّ واحد منهما وإن كان الأوّل أولى، وأكمل منه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لبسه كذلك لفاقدهما يجوز لفاقد أحدهما، خصوصاً الرداء، أو كما يجوز لبسه يجب؛ لأنّه بدل عن الواجب، ولو أخلّ بالقلب أو أدخل يده في كمّه لزمه كفّارة لبس المخيط</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2018768_1067777946"/>
      <w:bookmarkStart w:id="594" w:name="_Toc222"/>
      <w:bookmarkEnd w:id="593"/>
      <w:r>
        <w:rPr>
          <w:rtl w:val="true"/>
        </w:rPr>
        <w:t>[</w:t>
      </w:r>
      <w:r>
        <w:rPr>
          <w:rtl w:val="true"/>
        </w:rPr>
        <w:t>أحكام الإحرام</w:t>
      </w:r>
      <w:r>
        <w:rPr>
          <w:rtl w:val="true"/>
        </w:rPr>
        <w:t>]</w:t>
      </w:r>
      <w:bookmarkEnd w:id="5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أحرم متمتّعاً ودخل مكّة وأحرم بالحجّ قبل التقصير ناسياً لم يكن عليه 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وحمله على الاستحباب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فعل ذلك عامداً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عمرته وصارت حجّة مبتولة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العمل بالمرويّ، وحينئذٍ فيكمل حجّ الإفراد ويأتي بعمرة مفردة بعده، ولا يجزئه عن فرضه، والجاهل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الإفراد ثمّ دخل مكّة جاز أن يطوف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لبّي انعقد إحرامه،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بالتلبية وإنّما هو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القصد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أنّ الاعتبار بقصده أوّلاً إلى المتعة، ولا عبرة بالتلبية الواقعة بعد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بقصد الإهلال بالتلبية لا بالتلبية وحدها، فإذا لبّي قاصداً إلى عقد الإحرام بالتلبية بطلت المتعة حينئذٍ، لا بدون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وفيهما معاً تحكّم ومصادرة للنصّ الصحيح، والأقوى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فعل الصبيّ ما يجب به الكفّارة لزم ذلك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فعل ما يجب به الكفّارة على المكلّف، كما لو قتل صيداً مطلقاً، وتعمّد لبس المخيط ونحوه، وجبت الكفّارة على الوليّ، ولو فعل ذلك سهواً أو جهلاً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إذا كان الصبيّ مميّزاً جاز أمره بالصيام عن الهدي، ولو لم يقدر على الصيام صام الوليّ عنه مع العجز عن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على الوليّ الهدي مع قدرته عليه، نعم، لو عجز عنه جازالصوم عنه، وفي جواز أمره به حينئذٍ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يسقط الهدي؟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اشترط في إحرامه أن يحلّه حيث حبسه ثمّ أحصر 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يسقط الهدي؟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الاشتراط جواز التحلّل عند الإحصار،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التحلّل من غير شرط،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سؤال مقدّر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هدي التحلّل إذا كان يجب على المعذور وإن اشترط على ربّه أن يحلّه حيث حبسه، فأيّ فائدة للاشتراط مع أنّها مشروعة بالنصّ </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وأجاب بأنّ فائدته جواز التحلّل، أي تعجيله للمحصر عند الإحصار من غير تربّص إلى أن يبلغ الهدي محلّه، فإنّه لو لم يشترط لم يجز له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التفسير صرّح المصنّف في النافع </w:t>
      </w:r>
      <w:r>
        <w:rPr>
          <w:rStyle w:val="FootnoteAnchor"/>
          <w:rtl w:val="true"/>
        </w:rPr>
        <w:footnoteReference w:id="164"/>
      </w:r>
      <w:r>
        <w:rPr>
          <w:rFonts w:ascii="Amiri" w:hAnsi="Amiri" w:eastAsia="Amiri" w:cs="Amiri"/>
          <w:color w:val="111111"/>
          <w:sz w:val="28"/>
          <w:sz w:val="28"/>
          <w:szCs w:val="28"/>
          <w:rtl w:val="true"/>
          <w:lang w:bidi="ar-SA"/>
        </w:rPr>
        <w:t>، ويدلّ عليه من العبارة تخصيصه الحكم بالمحصر، فإنّ المصدود يجوز له التعجيل من غير شرط اتّفاقاً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بالفائدة ثبوت أصل التحلّل، بمعنى أنّه كان مع العذر بدون الشرط </w:t>
      </w:r>
      <w:bookmarkStart w:id="595" w:name="pg10178_83709"/>
    </w:p>
    <w:p>
      <w:pPr>
        <w:pStyle w:val="BookText"/>
        <w:rPr/>
      </w:pPr>
      <w:bookmarkEnd w:id="595"/>
      <w:r>
        <w:rPr>
          <w:rFonts w:ascii="Amiri" w:hAnsi="Amiri" w:eastAsia="Amiri" w:cs="Amiri"/>
          <w:color w:val="111111"/>
          <w:sz w:val="28"/>
          <w:sz w:val="28"/>
          <w:szCs w:val="28"/>
          <w:rtl w:val="true"/>
          <w:lang w:bidi="ar-SA"/>
        </w:rPr>
        <w:t xml:space="preserve">رخصة على خلاف الأصل، وبالشرط صار ثابتاً بالأصل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تخصيص الحصر يدلّ على خلافه، فإنّ ما ذكروه آت فيهما، وبأنّه جعل الفائدة نفس التحلّل لاثبوته أصالة، ومع ذلك فثبوت التحلّل بالأصل أو بالعارض لا مدخل له في الحكم، ويبقى في الفائدة الأُولى أنّها مخصوصة بالمحصر، والاشتراط مستحبّ له ولغيره، وفي الثانية ما ذكرناه، ومن الجائز كونه تعبّداً ودعاءً مأموراً به يترتّب على فعله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تحلّل المحصور لا يسقط الحجّ عنه في القابل إن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واجباً مستقرّاً قبل عام الحصر، وإلّا تبيّن انتفاء الوجوب بالحصر</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2018770_1067777946"/>
      <w:bookmarkStart w:id="597" w:name="_Toc223"/>
      <w:bookmarkEnd w:id="596"/>
      <w:r>
        <w:rPr>
          <w:rtl w:val="true"/>
        </w:rPr>
        <w:t>[</w:t>
      </w:r>
      <w:r>
        <w:rPr>
          <w:rtl w:val="true"/>
        </w:rPr>
        <w:t>مندوبات الإحرام</w:t>
      </w:r>
      <w:r>
        <w:rPr>
          <w:rtl w:val="true"/>
        </w:rPr>
        <w:t>]</w:t>
      </w:r>
      <w:bookmarkEnd w:id="5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والمندوبات رفع الصوت بالتلبية للرجال، وتكرارها عند نومه واستيقاظه، وعند علوّ الآكام ونزول الأهضام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التلول والجبال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والأهضام، جمع 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المطمئن من الأرض وبطن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بعمرة مفردة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مخيّراً في قطع التلبية عند دخول الحرم،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ويرفع صوته بالتلبية إذا حجّ على طريق المدينة إذا علت راحلته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البيداء على ميل من مسجد الشجرة عن يسار الطريق، وهي الأرض التي تخسف بجيش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حجّ على غير طريق المدينة رفع صوته من موضع إحرامه كالراجل، ولو أخّره يمشي خطوات كان أفضل للنصّ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ويرفع صوته بالتلبية إذا حجّ على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التلفّظ بما يعزم عليه</w:t>
      </w:r>
      <w:r>
        <w:rPr>
          <w:rFonts w:eastAsia="Amiri" w:cs="Amiri" w:ascii="Amiri" w:hAnsi="Amiri"/>
          <w:color w:val="111111"/>
          <w:sz w:val="28"/>
          <w:szCs w:val="28"/>
          <w:rtl w:val="true"/>
          <w:lang w:bidi="ar-SA"/>
        </w:rPr>
        <w:t xml:space="preserve">». </w:t>
      </w:r>
      <w:bookmarkStart w:id="598" w:name="pg10178_83710"/>
    </w:p>
    <w:p>
      <w:pPr>
        <w:pStyle w:val="BookText"/>
        <w:rPr/>
      </w:pPr>
      <w:bookmarkEnd w:id="598"/>
      <w:r>
        <w:rPr>
          <w:rFonts w:ascii="Amiri" w:hAnsi="Amiri" w:eastAsia="Amiri" w:cs="Amiri"/>
          <w:color w:val="111111"/>
          <w:sz w:val="28"/>
          <w:sz w:val="28"/>
          <w:szCs w:val="28"/>
          <w:rtl w:val="true"/>
          <w:lang w:bidi="ar-SA"/>
        </w:rPr>
        <w:t>أي التلفّظ به في التلبية، فيقول من جمله التلبيات 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بالعمرة المتمتّع بها إلى الحجّ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غيرها ذكره بلفظه أيضاً استحباباً، والواجب القصد إليه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والاشتراط أن يحلّه حيث حبسه، وإن لم يكن حجّة فعمرة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محلّه قبل النيّة متّصلاً بها، ولفظه المرويّ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أُريد التمتّع بالعمرة إلى الحجّ على كتابك وسنّة نبيّك صلی الله علیه و آله و سلم فإن عرض لي شيء يحبسني فحلّني حيث حبستني لقدرك الذي قدّرت عليّ، اللهمّ إن لم تكن حجّة فعمرة أحرمَ لك شعري وبشري ولحمي ودمي وعظامي ومخّي وعصبي من النساء والثياب والطيب، أبتغي بذلك وجهك والدار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قُم فامش هنيئة ثمّ لبّ</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2018772_1067777946"/>
      <w:bookmarkStart w:id="600" w:name="_Toc224"/>
      <w:bookmarkEnd w:id="599"/>
      <w:r>
        <w:rPr>
          <w:rtl w:val="true"/>
        </w:rPr>
        <w:t>[</w:t>
      </w:r>
      <w:r>
        <w:rPr>
          <w:rtl w:val="true"/>
        </w:rPr>
        <w:t>تروك الإحرام</w:t>
      </w:r>
      <w:r>
        <w:rPr>
          <w:rtl w:val="true"/>
        </w:rPr>
        <w:t>]</w:t>
      </w:r>
      <w:bookmarkEnd w:id="6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فالمحرّمات عشرون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مصيد البرّ اصطياداً أو أكلاً ولو صاده مُحلّ، وإشارة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أعمّ من الإشارة مطلقاً؛ لتحقّقها بالإشارة والكتابة والقول وغيرها، واختصاص الإشارة بأجزاء البدن كاليد والرأس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تحريم الدلالة على المحرم بين كون المدلول محرماً أو محلّاً، ولا بين الدلالة الواضحة والخفيّة، وإنّما تؤثّر مع جهالة المدلول بالصيد، فلو لم تفده زيادة انبعاث فلا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وشهادة على العقد وإقامة ولو تحمّلها محلّاً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إقامة للشهادة على النكاح وإن كان العقد لمحلّ، وإنّما يحرم عليه إقامتها إذا لم يترتّب على تركها محرّم، فلو خاف الوقوع في الزنى وجب عليه تنبيه الحاكم أنّ عنده شهادة؛ ليوقف الحكم إلى إحلاله، فإن لم يندفع إلّا بالشهادة جازت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الزوجان في العقد فادّعى أحدهما وقوعه في الإحرام وأنكر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كان المنكر المرأة كان لها نصف المهر لاعترافه بما يمنع من الوطء،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كلّه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حسّنه المصنّف حسن؛ لثبوت المهر بالعقد، وتنصيفه بالطلاق على خلاف الأصل، فيقتصر فيه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تثبت لها النفقة وإن حكم بتحريمها عليه بالنسبة إلى دعواه، ويلزمها أيضاً من الأحكام ما يختصّ بها ممّا يترتّب على دعواها قبل الطلاق من التزوّج بغيره، وتوقّف الأفعال المتوقّفة على إذن الزوج على إذنه، ويجوز له التزوّج بأُختها وبخامسة، هذا بحسب الظاهر، وأمّا فيما بينهما وبين الله تعالى فيلزمهما حكم ما هو الواقع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مراجعة المطلّقة الرجعيّة، وشراء الإماء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قصد بشرائهنّ الخدمة أم التسرّي، لأنّ المحرّم هو نفس النكاح وعقده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والطيب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للشمّ غالباً غير الرياحين، والمراد بالعموم هنا الإطلاق مجازاً، فإنّ لفظ الطيب مطلق لا عامّ، وما اختاره من تحريمه مطلقاً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 خَلوق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خاصّة من الطيب منها الزعفران، فلو كان طيب الكعبة غيره حرم أيضاً، لكن لا يحرم الجلوس فيها وعندها، وإنّما يحرم الشمّ، بخلاف الجلوس عند المتطيّب فإنّه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بقاء كيفيّته، من لون وطعم ورائحة، فلو استهلكت فيه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اضطرّ إلى أكل ما فيه طيب، أولمس الطيب قبض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وجوباً، ولو لم يقبض فكالمتطيّب في وجوب الكفّارة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المسك والعنبر والزعفران والعود والكافور والوَرس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أحمر يوجد على قشور شجر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المخيط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مسمّاها وإن لم يحط بالبدن، ويلحق به ما أشبهه كالدرع المنسوج كذلك، وجبّة اللبد ونحوهما، وبالخياطة ما أشبهها من العقد والزرّ والخلال للرداء، ويجوز عقد الإزار والهميان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النساء خلاف، والأظهر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الغِلالة للحائض فجائزة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رقيق يلبس تحت الثياب يجوز لبسه للحائض وإن منعناها من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لبس طيلسان له أزرار، لكن لايزرّه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منسوج محيط بالبدن مستثنى من جواز لبس المخيط، لكن لا يجوز زرّه، فلو زرّه أو عقد الثوب فكلبس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والاكتحال بالسواد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ولكن لا فدية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النظر في المرآة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ولا فدية له، والمرآة بكسر الميم وبعد الهمزة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الخفّين، وما يستر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اضطرّ جاز،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يشقّهما،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شقّهما مع الإمكان، ولا فدية في لبس الخفّ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والفسوق وهو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سباب المسلم، وذلك محرّم على المحرم وغيره، لكن فيه آكد، ولا فدية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يحرم مع الغنى عنه، فلو اضطرّ إليه لإثبات حقّ أو نفي باطل فالأقوى جوازه ولا كفّارة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هوامّ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 ولا فرق في تحريم قتلها بين المباشرة والتسبيب كوضع الزئبق لقتل 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إلقاء القراد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حَلمة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ويجوز إلقاؤه عن نفسه وبعيره، وكذا القراد، لاقتلهما، بخلاف القملة فإنّه لا يجوز إلقاؤها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لبس الخاتم للزينة، ويجوز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كونه للزينة أو السنّة إلى قصد الفاعل، وكذا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المرأة الحليّ للزينة، وما لم يعتد لبسه منه على الأولى، ولا بأس بما كان معتاداً لها، لكن يحرم عليها إظهاره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 من المحارم، ولا كفّارة في المحرّم منه سوى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واستعمال دهن فيه طيب محرّم بعد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إذا كان ريحه يبقى إلى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ببعديّة الإحرام ما بعد نيّته قبل الإحلال منه، وإنّما يتحقّق التحريم قبله مع وجوبه على الفور، أو تصميم العزم على فعله قبل زوال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وإزالة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وكثيره، ومع الضرورة لا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الضرورة إزالة النابت في عينه، فإنّه جائز ولا فدية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التأذّي لكثرته في الحرّ أو كثرة القمّل فيه، لكن يجب الفدية في الأخير؛ لأنّه ليس نفس المؤذي بل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وتغطية الرأس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كونه بقلنسوة وثوب وغيرهما حتّى بالحنّاء والطين وحمل متاع يستره أو بعضه، ويستثنى وضع عصام القربة لحملها، والعصابة للصداع، والتوسّد بوسادة، وحكّ رأسه بيده ودلكه، والمراد بالرأس هنا منابت الشعر المخصوصة حقيقة أو 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معناه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هنا إصابة الماء للرأس دفعة عرفيّة وإن بقي البدن، ويجوز غسله بغيره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غطّى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الغطاء واجباً، وجدّد التلبية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ذلك للمرأة، لكن عليها أن تُسفر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منه ما يتوقّف ستر الرأس عليه من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التظليل محرّم عليه سائراً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التظليل بكون ذي الظلّ فوق رأسه كالمحمل، فلا يحرم المشي في ظلّه عند ميل الشمس إلى أحد جانبيه، وإنّما يحرم حال الركوب، فلو مشى تحت المحمل أو الحمل جاز مع الاختيار، فلو اضطرّ إليه جاز أيضاً لكن مع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الذكر البالغ، فلا يحرم على المرأة ولا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وإخراج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الضرورة،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وكذا قيل في حكّ الجلد المفضي إلى إدمائه، وكذا في السواك والكراهيّة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تحريم إخراج الدم مطلقاً وإن كان بحكّ الجسد والسواك، ولا فدية له على الأقوى، ومع الضرورة كبطّ الجرح وشقّ الدمّل لا فدية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 الأظفار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قصّها أي قطعها بالمقصّ، وليس الحكم مقصوراً عليه، بل يحرم مطلق إزالتها ولو بالكسر، ولا فرق بين الجزء والكلّ كالشعر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وقطع الشجر والحشيش إلّا أن ينبت في ملكه، ويجوز قلع شجر الفواکه، ،والإذخر، والنخل، وعودي المحالة على رواية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يحرم قطع الأخضر من الحرمين مباشرة لا تسبيباً، فيجوز ترك إبله ترعاه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معروف، والمحالة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البكرة العظيمة، وعوداها اللذان تجعل عليهما ليستقى بها، والمشهور العمل بالرواية</w:t>
      </w:r>
      <w:r>
        <w:rPr>
          <w:rFonts w:eastAsia="Amiri" w:cs="Amiri" w:ascii="Amiri" w:hAnsi="Amiri"/>
          <w:color w:val="111111"/>
          <w:sz w:val="28"/>
          <w:szCs w:val="28"/>
          <w:rtl w:val="true"/>
          <w:lang w:bidi="ar-SA"/>
        </w:rPr>
        <w:t xml:space="preserve">. </w:t>
      </w:r>
      <w:bookmarkStart w:id="601" w:name="pg10178_83715"/>
    </w:p>
    <w:p>
      <w:pPr>
        <w:pStyle w:val="BookText"/>
        <w:rPr/>
      </w:pPr>
      <w:bookmarkEnd w:id="60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وتغسيل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يغسل مرّة بالسدر ومرّتين بالقراح، وكذا لايجوز تحنيطه به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السلاح لغير الضرورة،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والمكروهات،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الثياب الوسخة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الوسخ قبل الإحرام، أمّا لو عرض بعد لبسهما لم يغسل ما داما 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الثياب 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 المعلَم المشتمل على علم، وهو لون يخالف لونه، ولا فرق بين علمه مع الثوب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والنقاب للمرأة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وتلبية من يناديه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بل يجب بغيرها، ويخصّها حينئذٍ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واستعمال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التحريم عدا الشيح والخزامى والإذخر والقيصوم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018774_1067777946"/>
      <w:bookmarkStart w:id="603" w:name="_Toc225"/>
      <w:bookmarkEnd w:id="602"/>
      <w:r>
        <w:rPr>
          <w:rtl w:val="true"/>
        </w:rPr>
        <w:t>[</w:t>
      </w:r>
      <w:r>
        <w:rPr>
          <w:rtl w:val="true"/>
        </w:rPr>
        <w:t>خاتمة</w:t>
      </w:r>
      <w:r>
        <w:rPr>
          <w:rtl w:val="true"/>
        </w:rPr>
        <w:t>]</w:t>
      </w:r>
      <w:bookmarkEnd w:id="6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دخل مكّة وجب أن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منه العبد فإنّ إحرامه موقوف على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دخوله بعد إحرام قبل مضيّ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حين الإحلال، لا الإهلال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لقتال جاز أن يدخل مُحلّاً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 xml:space="preserve">. </w:t>
      </w:r>
      <w:bookmarkStart w:id="604" w:name="pg10178_83716"/>
    </w:p>
    <w:p>
      <w:pPr>
        <w:pStyle w:val="BookText"/>
        <w:rPr/>
      </w:pPr>
      <w:bookmarkEnd w:id="60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المرأة كإحرام الرجل إلّا فيما استثنيناه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استثني من ذلك جواز لبس المخيط والحرير لها على أحد القولين، وستر الرأس والقدم والتظليل، ووجوب كشف الوجه، وسقوط استحباب رفع الصوت بالتلبية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2018776_1067777946"/>
      <w:bookmarkStart w:id="606" w:name="_Toc226"/>
      <w:bookmarkEnd w:id="605"/>
      <w:r>
        <w:rPr>
          <w:rtl w:val="true"/>
        </w:rPr>
        <w:t>[</w:t>
      </w:r>
      <w:r>
        <w:rPr>
          <w:rtl w:val="true"/>
        </w:rPr>
        <w:t>القول في الوقوف بعرفات</w:t>
      </w:r>
      <w:r>
        <w:rPr>
          <w:rtl w:val="true"/>
        </w:rPr>
        <w:t>]</w:t>
      </w:r>
      <w:bookmarkEnd w:id="606"/>
    </w:p>
    <w:p>
      <w:pPr>
        <w:pStyle w:val="Heading5"/>
        <w:numPr>
          <w:ilvl w:val="4"/>
          <w:numId w:val="1"/>
        </w:numPr>
        <w:rPr/>
      </w:pPr>
      <w:bookmarkStart w:id="607" w:name="__RefHeading___Toc2018778_1067777946"/>
      <w:bookmarkStart w:id="608" w:name="_Toc227"/>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بالوقوف هنا الكون بها كما سيأتي، وإنّما عبّر بالوقوف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للقرآن العزيز </w:t>
      </w:r>
      <w:r>
        <w:rPr>
          <w:rStyle w:val="FootnoteAnchor"/>
          <w:rtl w:val="true"/>
        </w:rPr>
        <w:footnoteReference w:id="168"/>
      </w:r>
      <w:r>
        <w:rPr>
          <w:rFonts w:ascii="Amiri" w:hAnsi="Amiri" w:eastAsia="Amiri" w:cs="Amiri"/>
          <w:color w:val="111111"/>
          <w:sz w:val="28"/>
          <w:sz w:val="28"/>
          <w:szCs w:val="28"/>
          <w:rtl w:val="true"/>
          <w:lang w:bidi="ar-SA"/>
        </w:rPr>
        <w:t>، وإطلاقاً لأشرف أفراد الكون وأفضلها هناك، وهو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فيستحبّ للمتمتّع أن يخرج إلى عرفات يوم التروية بعد أن يصلّي الظهرين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 المتمتّع؛ لأنّ استحباب خروجه يومئذٍ موضع وفاق بخلاف قسیمیه، فلا تصريح من الأكثر بحكمهما في ذلك،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يلحقان به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التروية هو ثامن ذي الحجّة، وكما يستحبّ الخروج فيه يستحبّ الإحرام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النيّة، والكون بها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ووقتها بعد الزوال في أوّل أوقات تحقّقه؛ ليقع الوقوف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الزوال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 بعد النيّة، ولو تأخّرت عنه أثم وأجزأ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وقف بنَمِرَة أو عُرَنَة أو ثَوِيّة أو ذي المجاز أو تحت الأراك لم يجزه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الأماكن الخمسة حدود عرفة، وهي راجعة إلى أربعة؛ لأنّ نمرة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ونَمِرَة بفتح النون وكسر الميم وفتح الراء، وعُرَنَة بضمّ العين المهملة وفتح الراء والنون، وثَوِيّة بفتح الثاء المثلّثة وكسر الواو وتشديد الياء المثنّاة من تحت المفتوحة، والأَراك بفتح الهمزة</w:t>
      </w:r>
      <w:r>
        <w:rPr>
          <w:rFonts w:eastAsia="Amiri" w:cs="Amiri" w:ascii="Amiri" w:hAnsi="Amiri"/>
          <w:color w:val="111111"/>
          <w:sz w:val="28"/>
          <w:szCs w:val="28"/>
          <w:rtl w:val="true"/>
          <w:lang w:bidi="ar-SA"/>
        </w:rPr>
        <w:t xml:space="preserve">. </w:t>
      </w:r>
      <w:bookmarkStart w:id="609" w:name="pg10178_83717"/>
    </w:p>
    <w:p>
      <w:pPr>
        <w:pStyle w:val="Heading5"/>
        <w:numPr>
          <w:ilvl w:val="4"/>
          <w:numId w:val="1"/>
        </w:numPr>
        <w:rPr/>
      </w:pPr>
      <w:bookmarkStart w:id="610" w:name="__RefHeading___Toc2018780_1067777946"/>
      <w:bookmarkStart w:id="611" w:name="_Toc228"/>
      <w:bookmarkEnd w:id="609"/>
      <w:bookmarkEnd w:id="610"/>
      <w:r>
        <w:rPr>
          <w:rtl w:val="true"/>
        </w:rPr>
        <w:t>[</w:t>
      </w:r>
      <w:r>
        <w:rPr>
          <w:rtl w:val="true"/>
        </w:rPr>
        <w:t>واجباته</w:t>
      </w:r>
      <w:r>
        <w:rPr>
          <w:rtl w:val="true"/>
        </w:rPr>
        <w:t>]</w:t>
      </w:r>
      <w:bookmarkEnd w:id="6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النيّة والكون بها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أفاض قبل الغروب جاهلاً أو ناسياً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يعلم بالحكم قبل الغروب، فلو علم وجب العود مع الإمكان، فإن أخلّ به فهو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عامداً جبره ببدنة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يعد إلى عرفة قبل الغروب، وإلّا فالأقوى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بعرفات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منه هو مسمّى الوقوف في الوقت، وأمّا استيعابه فهو واجب غير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بعرفات ركن، فمن تركه عامداً فلا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ترك الركن في الحجّ، ويستثنى منه الوقوفان، فإنّ الإخلال بهما معاً مبطل وإن لم يكن عمداً، والجاهل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الاختيار لعرفة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الاضطرار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من هذا الأمر مسمّى الكون بها فيه، ولا يجب الاستيعاب، بخلاف الوقوف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الليلة أيضاً وقت اضطراري للوقوف بالمشعر، بل فيه شائبة من الوقوف الاختياري، لجواز الإفاضة قبل الفجر للمرأة والراعى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الوقوف بعرفة رجع فوقف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أنّه يدرك المشعر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بالعلم هنا الظنّ الغالب المستند إلى قرائن الأحوال، وقد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غلب ظنّه الفوات اقتصر على إدراك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يتّفق له الوقوف بعرفات نهاراً فوقف ليلاً ثمّ لم يدرك المشعر حتّى تطلع الشمس فقد فاته الحجّ</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أقسام الوقوفين بالنسبة إلى الاختياري والاضطراري ثمانية، أربعة مفردة وهي كلّ واحد من الاختياريين والاضطراريين، وأربعة مركّبة وهي الاختياريّان </w:t>
      </w:r>
      <w:bookmarkStart w:id="612" w:name="pg10178_83718"/>
    </w:p>
    <w:p>
      <w:pPr>
        <w:pStyle w:val="BookText"/>
        <w:rPr/>
      </w:pPr>
      <w:bookmarkEnd w:id="612"/>
      <w:r>
        <w:rPr>
          <w:rFonts w:ascii="Amiri" w:hAnsi="Amiri" w:eastAsia="Amiri" w:cs="Amiri"/>
          <w:color w:val="111111"/>
          <w:sz w:val="28"/>
          <w:sz w:val="28"/>
          <w:szCs w:val="28"/>
          <w:rtl w:val="true"/>
          <w:lang w:bidi="ar-SA"/>
        </w:rPr>
        <w:t>والاضطراريّان، واختياري عرفة مع اضطراري المشعر، وبالعكس، والصور كلّها مجزئة على الأقوى إلّا اضطراري عرفة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 ولو قبل الزوال،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018782_1067777946"/>
      <w:bookmarkStart w:id="614" w:name="_Toc229"/>
      <w:bookmarkEnd w:id="613"/>
      <w:r>
        <w:rPr>
          <w:rtl w:val="true"/>
        </w:rPr>
        <w:t>[</w:t>
      </w:r>
      <w:r>
        <w:rPr>
          <w:rtl w:val="true"/>
        </w:rPr>
        <w:t>مندوباته</w:t>
      </w:r>
      <w:r>
        <w:rPr>
          <w:rtl w:val="true"/>
        </w:rPr>
        <w:t>]</w:t>
      </w:r>
      <w:bookmarkEnd w:id="6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ميسرة الجبل في السفح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ميسرته بالإضافة إلى القادم إليه من مكّة، وسفح الجبل أسفله، حيث يسفح فيه الماء، وهو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يضرب خِباءه بنمرة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أوّله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الخيمة ونحوها، وقد تقدّم أنّ نمرة من حدود عرفة خارجة عنها، فيضربه بها قبل الزوال، ثمّ ينتقل عنده إلى عرفة تأسّياً بالنبيّ صلی الله علیه و آله و سلم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يقف على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هنا ما يقابل الجبل، فيكون هو الوقوف بالسفح،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يجمع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يضمّ أمتعته بعضها إلى بعض ليأمن عليها الذهاب، ويتوجّه بقلبه إلى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ويسدّ الخلل به وبنفسه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بسدّ الخلل أن لا يدع بينه وبين أصحابه فرجة ولا بين متاعه، بستر الأرض التي يقفون عليها،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سدّ الخلل الكائن بنفسه وبرحله بأن يأكل إن كان جائعاً، ويشرب إن كان عطشاناً، وهكذا يصنع ببعيره، ويزيل الشواغل المانعة عن الإقبال على الله تعالى، والتفسير الأوّل هو المرويّ </w:t>
      </w:r>
      <w:r>
        <w:rPr>
          <w:rStyle w:val="FootnoteAnchor"/>
          <w:rtl w:val="true"/>
        </w:rPr>
        <w:footnoteReference w:id="170"/>
      </w:r>
      <w:r>
        <w:rPr>
          <w:rFonts w:ascii="Amiri" w:hAnsi="Amiri" w:eastAsia="Amiri" w:cs="Amiri"/>
          <w:color w:val="111111"/>
          <w:sz w:val="28"/>
          <w:sz w:val="28"/>
          <w:szCs w:val="28"/>
          <w:rtl w:val="true"/>
          <w:lang w:bidi="ar-SA"/>
        </w:rPr>
        <w:t>، والثاني مستحبّ أيضاً وإن لم يدخل في العبارة</w:t>
      </w:r>
      <w:r>
        <w:rPr>
          <w:rFonts w:eastAsia="Amiri" w:cs="Amiri" w:ascii="Amiri" w:hAnsi="Amiri"/>
          <w:color w:val="111111"/>
          <w:sz w:val="28"/>
          <w:szCs w:val="28"/>
          <w:rtl w:val="true"/>
          <w:lang w:bidi="ar-SA"/>
        </w:rPr>
        <w:t xml:space="preserve">. </w:t>
      </w:r>
      <w:bookmarkStart w:id="615" w:name="pg10178_83719"/>
    </w:p>
    <w:p>
      <w:pPr>
        <w:pStyle w:val="Heading4"/>
        <w:numPr>
          <w:ilvl w:val="3"/>
          <w:numId w:val="1"/>
        </w:numPr>
        <w:rPr/>
      </w:pPr>
      <w:bookmarkStart w:id="616" w:name="__RefHeading___Toc2018784_1067777946"/>
      <w:bookmarkStart w:id="617" w:name="_Toc230"/>
      <w:bookmarkEnd w:id="615"/>
      <w:bookmarkEnd w:id="616"/>
      <w:r>
        <w:rPr>
          <w:rtl w:val="true"/>
        </w:rPr>
        <w:t>[</w:t>
      </w:r>
      <w:r>
        <w:rPr>
          <w:rtl w:val="true"/>
        </w:rPr>
        <w:t>القول في الوقوف بالمشعر</w:t>
      </w:r>
      <w:r>
        <w:rPr>
          <w:rtl w:val="true"/>
        </w:rPr>
        <w:t>]</w:t>
      </w:r>
      <w:bookmarkEnd w:id="617"/>
    </w:p>
    <w:p>
      <w:pPr>
        <w:pStyle w:val="Heading5"/>
        <w:numPr>
          <w:ilvl w:val="4"/>
          <w:numId w:val="1"/>
        </w:numPr>
        <w:rPr/>
      </w:pPr>
      <w:bookmarkStart w:id="618" w:name="__RefHeading___Toc2018786_1067777946"/>
      <w:bookmarkStart w:id="619" w:name="_Toc231"/>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فيستحبّ الاقتصاد في سيره إلى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افتعال من القصد، وهو التوسّط في السير بين السرعة والبطء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يقول إذا بلغ الكثيب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تلّ من رمل عن يمين الطريق للمفيض من عرفة إلى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يؤخّر المغرب والعشاء إلى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الزاء وفتح الدالّ وكسر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الازدلاف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التقدّم، سميّت بذلك لأنّ الناس يزدلفون إليها من عرفات، وتسمّى أيضاً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فيها بين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صار إلى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ثلثه، وينبغي أن يصلّي قبل حطّ الرحل للتأسّي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2018788_1067777946"/>
      <w:bookmarkStart w:id="621" w:name="_Toc232"/>
      <w:bookmarkEnd w:id="620"/>
      <w:r>
        <w:rPr>
          <w:rtl w:val="true"/>
        </w:rPr>
        <w:t>[</w:t>
      </w:r>
      <w:r>
        <w:rPr>
          <w:rtl w:val="true"/>
        </w:rPr>
        <w:t>كيفيّة الوقوف بالمشعر</w:t>
      </w:r>
      <w:r>
        <w:rPr>
          <w:rtl w:val="true"/>
        </w:rPr>
        <w:t>]</w:t>
      </w:r>
      <w:bookmarkEnd w:id="6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والوقوف بالمشعر وحدّه ما بين 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الساكنة والزاء المعجمة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الضيّق بين جبلين، ومنه يسمّى الموضع المخصوص بالمأزمين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الوقوف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النيّة عند تحقّق طلوعه، وكذا تجب النيّة عند الوصول إليه ليلاً للمبيت، ولو نوى حينئذٍ الكون به إلى طلوع الشمس أجزأ 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مع الزحام الارتفاع إلى الجبل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للمرأة والخائف، بل يجوز لكلّ مضطرّ إليها كالراعي والمريض الذي يخاف الزحام، </w:t>
      </w:r>
    </w:p>
    <w:p>
      <w:pPr>
        <w:pStyle w:val="BookText"/>
        <w:rPr/>
      </w:pPr>
      <w:r>
        <w:rPr>
          <w:rFonts w:ascii="Amiri" w:hAnsi="Amiri" w:eastAsia="Amiri" w:cs="Amiri"/>
          <w:color w:val="111111"/>
          <w:sz w:val="28"/>
          <w:sz w:val="28"/>
          <w:szCs w:val="28"/>
          <w:rtl w:val="true"/>
          <w:lang w:bidi="ar-SA"/>
        </w:rPr>
        <w:t>وللمرأة والصبيّ مطلقاً، ولرفيق المرأة الذي تضطرّ إلى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أفاض قبله عامداً بعد أن كان به ليلاً ولو قليلاً لم يبطل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قد نوى الوقوف ليلاً، وإلّا كان كتارك الوقوف بالمشعر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الوقوف بعد أن يصلّي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بهذا الوقوف القيام للدعاء والذكر، أمّا الوقوف بمعنى الكون فيجب من أوّل الفجر، ولا يجوز تأخير نيّته إلى أن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يطأ الصرورة المشعر برجله، وقيل يستحبّ الصعود على قزح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يعلو عليه بنفسه، فإن لم يكن فبغيره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وفتح الزاي المعجمة والحاء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المشعر الحرام، وهو جبل هناك يستحبّ الصعود عليه وذكر الله عنده </w:t>
      </w:r>
      <w:r>
        <w:rPr>
          <w:rStyle w:val="FootnoteAnchor"/>
          <w:rtl w:val="true"/>
        </w:rPr>
        <w:footnoteReference w:id="172"/>
      </w:r>
      <w:r>
        <w:rPr>
          <w:rFonts w:ascii="Amiri" w:hAnsi="Amiri" w:eastAsia="Amiri" w:cs="Amiri"/>
          <w:color w:val="111111"/>
          <w:sz w:val="28"/>
          <w:sz w:val="28"/>
          <w:szCs w:val="28"/>
          <w:rtl w:val="true"/>
          <w:lang w:bidi="ar-SA"/>
        </w:rPr>
        <w:t xml:space="preserve">فعلى هذا تكون المزدلفة أعمّ من المشعر </w:t>
      </w:r>
      <w:r>
        <w:rPr>
          <w:rStyle w:val="FootnoteAnchor"/>
          <w:rtl w:val="true"/>
        </w:rPr>
        <w:footnoteReference w:id="173"/>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المسجد الموجود الآن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الحجّ تحلّل بعمرة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ينقل إحرامه بالنيّة من الحجّ إلى العمرة المفردة ثمّ يأتي ببقيّة أفعالها، وكذا القول في المنتقل من المتمتّع إلى قسميه عند ضيق الوقت كالحائض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يقضيه إن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قضاؤه إذا كان وجوبه مستقرّاً قبل عامه أو مع تفريطه فيه، فلو حجّ عام الوجوب ففاته الحجّ بغير تفريط لم يجب القضاء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المشعر استحبّ له التقاط الحصى منه، وهو سبعون حصاةً، ولو أخذه من غيره جاز لكن من الحرم عدا المساجد،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المسجد الحرام ومسجد الخيف</w:t>
      </w:r>
      <w:r>
        <w:rPr>
          <w:rFonts w:eastAsia="Amiri" w:cs="Amiri" w:ascii="Amiri" w:hAnsi="Amiri"/>
          <w:color w:val="111111"/>
          <w:sz w:val="28"/>
          <w:szCs w:val="28"/>
          <w:rtl w:val="true"/>
          <w:lang w:bidi="ar-SA"/>
        </w:rPr>
        <w:t xml:space="preserve">». </w:t>
      </w:r>
      <w:bookmarkStart w:id="622" w:name="pg10178_83721"/>
    </w:p>
    <w:p>
      <w:pPr>
        <w:pStyle w:val="BookText"/>
        <w:rPr/>
      </w:pPr>
      <w:bookmarkEnd w:id="622"/>
      <w:r>
        <w:rPr>
          <w:rFonts w:ascii="Amiri" w:hAnsi="Amiri" w:eastAsia="Amiri" w:cs="Amiri"/>
          <w:color w:val="111111"/>
          <w:sz w:val="28"/>
          <w:sz w:val="28"/>
          <w:szCs w:val="28"/>
          <w:rtl w:val="true"/>
          <w:lang w:bidi="ar-SA"/>
        </w:rPr>
        <w:t>الأقوى تحريم أخذها من جميع المساجد، حيث يكون فرشاً لها أو جزءاً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فيه 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ممّا يسمّى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يرم بها قبل ذلك رمياً صحيحاً، فلو رُميَ بها بغير نيّة أو لم تصب الجمرة لم تخرج عن كونها بكراً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ثانياً مع استفادته ممّا سبق؛ لينبّه على شرطيّته بخصوصها، إذ الأوّل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أن تكون بُرشاً 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كُحليَّةً مُنقَّطةً ملتقَطَةَ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بالبَرَش في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ألوانها، وبالمنقّطة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اللون المخالف في نفس الحصاة بأن تشتمل على لونين فصاعداً، وبالكُحليَّة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بيضاً ولا حمراً، وبالملتقطة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 واحدة مأخوذة على حِدّتها من الأرض، واحترزبها عن المكسّرة بأن يأخذ حجراً فيكسره 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والسعي بوادي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الهرولة للماشي، والراكب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بتحريك الدابّة، وروي أنّ قدرها مائة ذراع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2018790_1067777946"/>
      <w:bookmarkStart w:id="624" w:name="_Toc233"/>
      <w:bookmarkEnd w:id="623"/>
      <w:r>
        <w:rPr>
          <w:rtl w:val="true"/>
        </w:rPr>
        <w:t>[</w:t>
      </w:r>
      <w:r>
        <w:rPr>
          <w:rtl w:val="true"/>
        </w:rPr>
        <w:t>القول في نزول مِنى ومابها من المناسك</w:t>
      </w:r>
      <w:r>
        <w:rPr>
          <w:rtl w:val="true"/>
        </w:rPr>
        <w:t>]</w:t>
      </w:r>
      <w:bookmarkEnd w:id="624"/>
    </w:p>
    <w:p>
      <w:pPr>
        <w:pStyle w:val="Heading5"/>
        <w:numPr>
          <w:ilvl w:val="4"/>
          <w:numId w:val="1"/>
        </w:numPr>
        <w:rPr/>
      </w:pPr>
      <w:bookmarkStart w:id="625" w:name="__RefHeading___Toc2018792_1067777946"/>
      <w:bookmarkStart w:id="626" w:name="_Toc234"/>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بكسر الميم والقصر، سمّي به المكان المخصوص؛ لأنّ جبرئيل علیه السلام قال هناك لإبراهيم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على ربّك ما شئت</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والمستحبّ فيه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المشهور، والمرويّ صحيحاً اشتراط الطهارة </w:t>
      </w:r>
      <w:r>
        <w:rPr>
          <w:rStyle w:val="FootnoteAnchor"/>
          <w:rtl w:val="true"/>
        </w:rPr>
        <w:footnoteReference w:id="177"/>
      </w:r>
      <w:r>
        <w:rPr>
          <w:rFonts w:ascii="IRNazanin" w:hAnsi="IRNazanin" w:eastAsia="IRNazanin"/>
          <w:color w:val="111111"/>
          <w:sz w:val="28"/>
          <w:sz w:val="28"/>
          <w:szCs w:val="28"/>
          <w:rtl w:val="true"/>
          <w:lang w:bidi="fa-IR"/>
        </w:rPr>
        <w:t>، وهو أولى</w:t>
      </w:r>
      <w:r>
        <w:rPr>
          <w:rFonts w:eastAsia="IRNazanin" w:cs="IRNazanin"/>
          <w:color w:val="111111"/>
          <w:sz w:val="28"/>
          <w:szCs w:val="28"/>
          <w:rtl w:val="true"/>
          <w:lang w:bidi="fa-IR"/>
        </w:rPr>
        <w:t xml:space="preserve">. </w:t>
      </w:r>
      <w:bookmarkStart w:id="627" w:name="pg10178_83722"/>
    </w:p>
    <w:p>
      <w:pPr>
        <w:pStyle w:val="Heading5"/>
        <w:numPr>
          <w:ilvl w:val="4"/>
          <w:numId w:val="1"/>
        </w:numPr>
        <w:rPr/>
      </w:pPr>
      <w:bookmarkStart w:id="628" w:name="__RefHeading___Toc2018794_1067777946"/>
      <w:bookmarkStart w:id="629" w:name="_Toc235"/>
      <w:bookmarkEnd w:id="627"/>
      <w:bookmarkEnd w:id="628"/>
      <w:r>
        <w:rPr>
          <w:rtl w:val="true"/>
        </w:rPr>
        <w:t>[</w:t>
      </w:r>
      <w:r>
        <w:rPr>
          <w:rtl w:val="true"/>
        </w:rPr>
        <w:t>رمي جمرة العقبة</w:t>
      </w:r>
      <w:r>
        <w:rPr>
          <w:rtl w:val="true"/>
        </w:rPr>
        <w:t>]</w:t>
      </w:r>
      <w:bookmarkEnd w:id="6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يرميها خذفاً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وضع الحصاة على بطن إبهام اليد اليمنى ودفعها بظفر السبابة،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به بالأصابع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2018796_1067777946"/>
      <w:bookmarkStart w:id="631" w:name="_Toc236"/>
      <w:bookmarkEnd w:id="630"/>
      <w:r>
        <w:rPr>
          <w:rtl w:val="true"/>
        </w:rPr>
        <w:t>[</w:t>
      </w:r>
      <w:r>
        <w:rPr>
          <w:rtl w:val="true"/>
        </w:rPr>
        <w:t>الهدي</w:t>
      </w:r>
      <w:r>
        <w:rPr>
          <w:rtl w:val="true"/>
        </w:rPr>
        <w:t>]</w:t>
      </w:r>
      <w:bookmarkEnd w:id="6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واحد في الواجب إلّا عن 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مع الضرورة عن خمسة وعن سبعة إذا كانوا أهل خِوانٍ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ككتاب وبضمّها 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عليه الطعام، والمراد بكونهم أهل خوانٍ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رفقة مختلطين في المأكل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عدم إجزاء الواحد عن غير الواحد مطلقاً في الواجب، نعم لو كان مندوباً كالأُضحية، والمبعوث من الآفاق، والمتبرّع به في السياق إذا لم يتعيّن بالإشعار أو التقليد أجزأ عن أهل الخوان، وهو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ذلك 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الهدي في الحجّ المندوب؛ لأنّه يجب بالشروع فيه، فيكون الهدي واجباً فلايجزي إلّا عن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بيع ثياب التجمّل، بل يقتصر على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الصوم حينئذٍ واجباً عينيّاً، بل يتخيّر بينه وبين الهدي بأن يبيع الثياب فيه وإن لم يجب عليه ذلك، وكذا لو استدان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ضلّ الهدي فذبحه غير صاحبه لم يجزِ عنه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الإجزاء إذا ذبحه عن صاحبه؛ لدلالة الأخبار الصحيحة عليه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من الضأن الجذع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الضأن ما كمل له سبعة أشهر ودخل في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تامّاً، فلا تجزئ العوراء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العور بيّناً كمنخسفة العين، وغير بيّن كالبياض غير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التي انكسر قرنها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الأبيض الذي في وسط الخارج، أمّا الخارج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المقطوعة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بعضها، بخلاف مثقوبتها ومشقوقتها إذا لم يذهب منها شيء، وكذا المكويّة عليها أو على غيرها وفاقدتها وصغيرتها وفاقدة القرن، فإنّها مجزئة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العیب الجرب والمرض وإن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الخصيّ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مسلول الخصيتين، بخلاف الموجوء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مرضوض عروقهما، فإنّه يجزئ على كراهية في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المهزولة، وهي التي ليس على كليتيها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ذلك إلى ظنّ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يشترط السلامة مع الإمكان، فلو تعذّر إلّا المعيب ففي إجزائه أو الانتقال إلى الصوم قولان، أجودهما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اشتراها على أنّها مهزولة فخرجت كذلك لم تجزه، ولو خرجت سمينة أجزأت، وكذا لو اشتراها على أنّها سمينة فخرجت مهزولة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المسألة ثمان؛ لأنّه إمّا أن يشتريها على أنّها سمينة أو مهزولة، ثمّ إمّا أن تظهر الموافقة أو المخالفة قبل الذبح أو بعده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اشتراها على أنّها سمينة فخرجت كذلك أجزأت مطلقاً، وكذا لو خرجت مهزولة بعد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اشتراها مهزولة فخرجت كذلك لم تجزه مطلقاً، وإن خرجت سمينة قبل الذبح أجزأت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ظهرت سمينة بعد الذبح، أو السمينة مهزولة قبله، ففي إجزائها قولان، أجودهما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اشتراها على أنّها تامّة فظهرت ناقصة لم يجزه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هنا بين ظهورالمخالفة قبل الذبح وبعده، والفرق بین العیب و الهزال ظهور الأوّل وخفاء الثاني، فإنّه مبنيّ على الظنّ والتخمين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والمستحبّ أن تكون سمينة، تنظر في سواد، وتبرك في سواد، وتمشي في مثله، أي يكون لها ظلّ تمشي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سمناً زائداً على القدر المعتبر فيها، أو يريد به السمن الخاصّ وهو كونها بحيث تنظر في سواد، وتمشي في سواد، وتبرك في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لها ظلّ تمشي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 عظيم باعتبار عظم جنّتها وسمنها، لا مطلق الظلّ فإنّه لازم للجسم الكثيف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ممّا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حضر عرفات في وقت الوقوف، ويكفي قول بائعه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ينحر الإبل قائمة، قد ربطت بين الخفّ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تفسيره وجهان مرويّان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يربط يداها معاً مجتمعتين من الخفّ إلى الركبة ليمتنع من الاضطراب </w:t>
      </w:r>
      <w:r>
        <w:rPr>
          <w:rStyle w:val="FootnoteAnchor"/>
          <w:rtl w:val="true"/>
        </w:rPr>
        <w:footnoteReference w:id="180"/>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يعقل يدها اليسرى من الخفّ إلى الركبة ويوقفها على اليمين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ويطعنها 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يقف الذابح من جانبها الأيمن ويطعنها في موضع النحر، فإنّه متّحد لا أيمن له إلّا بتكلّف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يده مع يد الذابح</w:t>
      </w:r>
      <w:r>
        <w:rPr>
          <w:rFonts w:eastAsia="Amiri" w:cs="Amiri" w:ascii="Amiri" w:hAnsi="Amiri"/>
          <w:color w:val="111111"/>
          <w:sz w:val="28"/>
          <w:szCs w:val="28"/>
          <w:rtl w:val="true"/>
          <w:lang w:bidi="ar-SA"/>
        </w:rPr>
        <w:t xml:space="preserve">». </w:t>
      </w:r>
      <w:bookmarkStart w:id="632" w:name="pg10178_83725"/>
    </w:p>
    <w:p>
      <w:pPr>
        <w:pStyle w:val="BookText"/>
        <w:rPr/>
      </w:pPr>
      <w:bookmarkEnd w:id="632"/>
      <w:r>
        <w:rPr>
          <w:rFonts w:ascii="Amiri" w:hAnsi="Amiri" w:eastAsia="Amiri" w:cs="Amiri"/>
          <w:color w:val="111111"/>
          <w:sz w:val="28"/>
          <w:sz w:val="28"/>
          <w:szCs w:val="28"/>
          <w:rtl w:val="true"/>
          <w:lang w:bidi="ar-SA"/>
        </w:rPr>
        <w:t>وينويان معاً استحباباً، ولو نوى الذابح وحده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يقسِّمه ثلاثاً يأكل ثُلثُه، ويتصدّق بثُلثه، ويهدي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وجوب الأُمور الثلاثة، والاكتفاء بمسمّى الأكل، وإهداء الثلث، والصدقة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المهدى إليه الإيمان، وفي المتصدّق عليه الفقر معه، ويكفي دفعهما إلى الواحد الجامع للوصفين</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2018798_1067777946"/>
      <w:bookmarkStart w:id="634" w:name="_Toc237"/>
      <w:bookmarkEnd w:id="633"/>
      <w:r>
        <w:rPr>
          <w:rtl w:val="true"/>
        </w:rPr>
        <w:t>[</w:t>
      </w:r>
      <w:r>
        <w:rPr>
          <w:rtl w:val="true"/>
        </w:rPr>
        <w:t>البدل</w:t>
      </w:r>
      <w:r>
        <w:rPr>
          <w:rtl w:val="true"/>
        </w:rPr>
        <w:t>]</w:t>
      </w:r>
      <w:bookmarkEnd w:id="6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فقد الهدي ووجد ثمنه،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يخلفه عند مَن يشتريه طول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فقدهما صام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الهدي وثمنه، ويتحقّق العجز عن الثمن بأن لا يقدر على تحصيله بتكسّب يليق بحاله، أو ببيع مازاد على المستثنى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تقديمها من أوّل ذي الحجّة بعد أن يتلبّس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التلبّس بها بالشروع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ذو الحجّة ولم يصمها تعيّن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استقرّ في ذمّته إلى حين التمكّن منه، سواء كان تأخير الصوم عن ذي الحجّة لعذر أم غيره،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السبعة بعد وصوله إلى أهله ولا يشترط فيها الموالاة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أقام بمكّة انتظر قدر وصوله إلى أهله مالم يزد على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بقدر وصوله مضيّ مدّة يمكن فيها وصوله إليهم عادةً، وإنّما يكفي الشهر إذا كانت إقامته بمكّة، وإلّا تعيّن الانتظار مقدار الوصول إلى أهله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من وجب عليه الصوم ولم يصم وجب أن يصوم عنه وليّه الثلاثة دون السبعة، وقيل بوجوب قضاء الجميع، وهو الأشبه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لكن لا يجب قضاء إلّا ما تمكّن من فعله فلم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التمكّن بوصوله </w:t>
      </w:r>
      <w:bookmarkStart w:id="635" w:name="pg10178_83726"/>
    </w:p>
    <w:p>
      <w:pPr>
        <w:pStyle w:val="BookText"/>
        <w:rPr/>
      </w:pPr>
      <w:bookmarkEnd w:id="635"/>
      <w:r>
        <w:rPr>
          <w:rFonts w:ascii="Amiri" w:hAnsi="Amiri" w:eastAsia="Amiri" w:cs="Amiri"/>
          <w:color w:val="111111"/>
          <w:sz w:val="28"/>
          <w:sz w:val="28"/>
          <w:szCs w:val="28"/>
          <w:rtl w:val="true"/>
          <w:lang w:bidi="ar-SA"/>
        </w:rPr>
        <w:t>إلى أهله، أو مضيّ المدّة المشترطة إن أقام بغير بلده، ومضيّ زمان يمكنه فيه الصوم، ولو تمكّن من البعض وجب قضاؤه خاصّة</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2018800_1067777946"/>
      <w:bookmarkStart w:id="637" w:name="_Toc238"/>
      <w:bookmarkEnd w:id="636"/>
      <w:r>
        <w:rPr>
          <w:rtl w:val="true"/>
        </w:rPr>
        <w:t>هدي القِران</w:t>
      </w:r>
      <w:bookmarkEnd w:id="6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هدي القران عن ملك سائقه، وله إبداله والتصرّف فيه وإن أشعره أو قلّده، ولكن متى ساقه فلابدّ من نحره بمنى إن كان لإحرام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لا يخرج عن ملك سائقه بمجرّد إعداده للسوق، وتسميته سائقاً مجازاً باعتبار ما يؤول إليه، وحينئذٍ له إبداله والتصرّف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أشعره أو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إبداله والتصرّف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معترض، والتقدير أنّه لا يخرج عن ملكه وإن أشعره أو قلّده، وتعيّن ذبحه، وتظهر الفائدة في جواز ركوبه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لتعبيره كذلك محاولة الجمع بين الحكمين المختلفين أعني جواز التصرّف فيه قبل الإشعار، وعدم الخروج عن ملكه بعده، فاتّفق تعقيد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متى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عيّنه للسياق بالإشعار أو التقليد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تعيّن لذلك وإن لم يخرج عن ملكه،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للعمرة فبفناء الكعبة بالحَزْوَرَة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امتدّ من جوانب الدار، والحزورة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التلّ، خارج المسجد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هلك لم تجب إقامة بدله؛ لأنّه ليس بمضمون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تلفه بغير تفريط، وإلّا ضمنه ووجب إقامة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هدي السياق عن الوصول، جاز أن ينحر أو يذبح ويُعلِم بما يدلّ على أنّه هدي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بالجواز هنا الوجوب، فإنّ هدي السياق إذا تعيّن للذبح يجب التوصّل إلى ما يجب، وهو ذبحه في مكانه، فإذا تعذّر بقي مطلق الذبح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والعلامة بما يدلّ على أنّه هدي بأن يغمس نعله في دمه ويضرب بها صفحة سنامه، أو يكتب رقعة ويضعها عنده يؤذن بحاله، وذلك عند تعذّر المستحقّ عنده، ويجوز التعويل عليها في الحكم بالتذكية وإباحة الأكل، ولا تجب الإقامة عنده وإن أمكنت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أصابه كسر جاز بيعه والأفضل أن يتصدّق بثمنه أو يقيم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مضموناً كالكفّارات والمنذور، وإلّا وجب إقامة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بيعه حينئذٍ؛ لأنّ الواجب كان ذبحه لمحلّه لاغير، والصدقة به أو فعل ما يفعل بهدي التمتّع مستحبّ عند المصنّف، فإذا تعذّر فِعْلُ ما وجب سقط، فيجوز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 الصدقة بثمنه، كما يستحبّ الصدقة بلحمه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يتعيّن هدي السياق للصدقة إلّا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العبارة وكلام الأكثر أنّ الواجب في هدي السياق هو النحر أو الذبح خاصّة، فإذا فعل ذلك صنع به ما شاء إن لم يكن منذور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ما يجب في هدي التمتّع </w:t>
      </w:r>
      <w:r>
        <w:rPr>
          <w:rStyle w:val="FootnoteAnchor"/>
          <w:rtl w:val="true"/>
        </w:rPr>
        <w:footnoteReference w:id="182"/>
      </w:r>
      <w:r>
        <w:rPr>
          <w:rFonts w:ascii="IRNazanin" w:hAnsi="IRNazanin" w:eastAsia="IRNazanin"/>
          <w:color w:val="111111"/>
          <w:sz w:val="28"/>
          <w:sz w:val="28"/>
          <w:szCs w:val="28"/>
          <w:rtl w:val="true"/>
          <w:lang w:bidi="fa-IR"/>
        </w:rPr>
        <w:t>، وهو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سُرق من غير تفريط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مضموناً في الذمّة، وقد خصّصه بالمعيّن، فإنّه بتلفه يرجع الواجب إلى الذمّة، ولو كان المنذور هو المعيّن 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ضلّ فذبحه الواجد عن صاحبه أجزأ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فرق في ذلك بين المتبرّع به والمضمون بالنذر وشبهه والكفّارة؛ لإطلاق النصّ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بذبح الواجد له عن صاحبه عمّا لو ذبحه لا عنه، إمّا عن نفسه أو لا، فإنّه لا يجزئ عنهما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ضاع فأقام بدله ثمّ وجد الأوّل ذبحه، ولم يجب ذبح الأخير، ولو ذبح </w:t>
      </w:r>
      <w:bookmarkStart w:id="638" w:name="pg10178_83728"/>
    </w:p>
    <w:p>
      <w:pPr>
        <w:pStyle w:val="BookText"/>
        <w:rPr/>
      </w:pPr>
      <w:bookmarkEnd w:id="638"/>
      <w:r>
        <w:rPr>
          <w:rFonts w:ascii="Amiri" w:hAnsi="Amiri" w:eastAsia="Amiri" w:cs="Amiri"/>
          <w:color w:val="111111"/>
          <w:sz w:val="28"/>
          <w:sz w:val="28"/>
          <w:szCs w:val="28"/>
          <w:rtl w:val="true"/>
          <w:lang w:bidi="ar-SA"/>
        </w:rPr>
        <w:t>الأخير ذبح الأوّل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ضياعه بتفريط ليجب إقامة بدله؛ لكونه حينئذٍ مضموناً عليه، وإلّا فقد تقدّم أنّ هدي السياق إذا هلك لا تجب إقامة بدله، إلّا أن يفرّق بين الضياع والهلاك، كما يظهر من إطلاق العبارة، وليس ببعيد بعد ورود النصّ </w:t>
      </w:r>
      <w:r>
        <w:rPr>
          <w:rStyle w:val="FootnoteAnchor"/>
          <w:rtl w:val="true"/>
        </w:rPr>
        <w:footnoteReference w:id="184"/>
      </w:r>
      <w:r>
        <w:rPr>
          <w:rFonts w:ascii="Amiri" w:hAnsi="Amiri" w:eastAsia="Amiri" w:cs="Amiri"/>
          <w:color w:val="111111"/>
          <w:sz w:val="28"/>
          <w:sz w:val="28"/>
          <w:szCs w:val="28"/>
          <w:rtl w:val="true"/>
          <w:lang w:bidi="ar-SA"/>
        </w:rPr>
        <w:t>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ركوب الهدي ما لم يضرّ به وشرب لبنه ما لم يضرّ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الهدي المتبرّع به بعد تعيينه بالسياق؛ لعدم خروجه عن ملكه، فيجوز له الانتفاع بما لا ينافي الذبح، ولا ينقصه ولا يضرّ به ولا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الهدي مضموناً كالكفّارات والنذور لم يجز تناول شيء منه، ولا الانتفاع به مطلقاً، فإن فعل ضمن قيمته أو مثله لمستحقّ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هدي واجب كالكفّارات لا يجوز أن يعطى الجزّار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الهدي الذي تعيّن وجوبه كالكفّارات بأن يكون خارجاً عن الملك، فإنّه يتعيّن الصدقة بجميعه كما ذكر، وإلّا فقد تقدّم أنّ هدي السياق الواجب المتعيّن بالإشعار أو التقليد لا يجب فيه سوى الذبح أو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المراد بإعطاء الجزّار الممنوع منه ما كان على وجه الأُجرة أو التبرّع، أمّا إعطاؤه صدقة إذا كان مستحقّاً،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يأكل من هدي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تقدّم من أنّ الواجب الذبح خاصّة، والأقوى وجوب ذلك كهدي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بهدي السياق المتبرّع به، أمّا الواجب بكفّارةٍ أو بنذرٍ إذا جعله سياقاً، فلا يجوز تناول شيء منه</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2018802_1067777946"/>
      <w:bookmarkStart w:id="640" w:name="_Toc239"/>
      <w:bookmarkEnd w:id="639"/>
      <w:r>
        <w:rPr>
          <w:rtl w:val="true"/>
        </w:rPr>
        <w:t>[</w:t>
      </w:r>
      <w:r>
        <w:rPr>
          <w:rtl w:val="true"/>
        </w:rPr>
        <w:t>في الأُضحيّة</w:t>
      </w:r>
      <w:r>
        <w:rPr>
          <w:rtl w:val="true"/>
        </w:rPr>
        <w:t>]</w:t>
      </w:r>
      <w:bookmarkEnd w:id="6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الأُضحيّة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وكسرها وتشديد الياء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يذبح يوم عيد الأضحى </w:t>
      </w:r>
      <w:bookmarkStart w:id="641" w:name="pg10178_83729"/>
    </w:p>
    <w:p>
      <w:pPr>
        <w:pStyle w:val="BookText"/>
        <w:rPr/>
      </w:pPr>
      <w:bookmarkEnd w:id="641"/>
      <w:r>
        <w:rPr>
          <w:rFonts w:ascii="Amiri" w:hAnsi="Amiri" w:eastAsia="Amiri" w:cs="Amiri"/>
          <w:color w:val="111111"/>
          <w:sz w:val="28"/>
          <w:sz w:val="28"/>
          <w:szCs w:val="28"/>
          <w:rtl w:val="true"/>
          <w:lang w:bidi="ar-SA"/>
        </w:rPr>
        <w:t xml:space="preserve">تبرّعاً، وهي مستحبّة مؤكّداً، بل قيل بوجوبها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بمنى أربعة أيّام، أوّلها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العبارة تجوّز، فإنّ أوّل وقتها يوم النحر بعد طلوع الشمس بقدر صلاة العيد والخطبتين، سواء صلّاها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يجد الأُضحيّة تصدّق بثمنها، ولو اختلفت أثمانها جمع الأعلى والأوسط والأدنى، وتصدّق بثلث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القيم ثلاثاً، وإلّا لم تنحصر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الشامل لجميع أفراد الاختلاف أن تجمع القيمتين أو القيم المختلفة، ويتصدّق بقيمة نسبتها إليها نسبة الواحد إلى عددها، فمن الاثنين النصف، ومن الثلاث الثلث، ومن الأربع الربع،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يأخذ شيئاً من جلود الأضاحي، وأن يعطيها الجزّار والأفضل أن 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عود الضمير إلى الجلود، فإنّ الصدقة بها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الأُضحيّة،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بجميعها أفضل </w:t>
      </w:r>
      <w:r>
        <w:rPr>
          <w:rStyle w:val="FootnoteAnchor"/>
          <w:rtl w:val="true"/>
        </w:rPr>
        <w:footnoteReference w:id="186"/>
      </w:r>
      <w:r>
        <w:rPr>
          <w:rFonts w:ascii="Amiri" w:hAnsi="Amiri" w:eastAsia="Amiri" w:cs="Amiri"/>
          <w:color w:val="111111"/>
          <w:sz w:val="28"/>
          <w:sz w:val="28"/>
          <w:szCs w:val="28"/>
          <w:rtl w:val="true"/>
          <w:lang w:bidi="ar-SA"/>
        </w:rPr>
        <w:t xml:space="preserve">، والأجود استحباب الأكل منها؛ للآية </w:t>
      </w:r>
      <w:r>
        <w:rPr>
          <w:rStyle w:val="FootnoteAnchor"/>
          <w:rtl w:val="true"/>
        </w:rPr>
        <w:footnoteReference w:id="187"/>
      </w:r>
      <w:r>
        <w:rPr>
          <w:rFonts w:ascii="Amiri" w:hAnsi="Amiri" w:eastAsia="Amiri" w:cs="Amiri"/>
          <w:color w:val="111111"/>
          <w:sz w:val="28"/>
          <w:sz w:val="28"/>
          <w:szCs w:val="28"/>
          <w:rtl w:val="true"/>
          <w:lang w:bidi="ar-SA"/>
        </w:rPr>
        <w:t xml:space="preserve">، والتأسّي </w:t>
      </w:r>
      <w:r>
        <w:rPr>
          <w:rStyle w:val="FootnoteAnchor"/>
          <w:rtl w:val="true"/>
        </w:rPr>
        <w:footnoteReference w:id="188"/>
      </w:r>
    </w:p>
    <w:p>
      <w:pPr>
        <w:pStyle w:val="Heading4"/>
        <w:numPr>
          <w:ilvl w:val="3"/>
          <w:numId w:val="1"/>
        </w:numPr>
        <w:rPr/>
      </w:pPr>
      <w:bookmarkStart w:id="642" w:name="__RefHeading___Toc2018804_1067777946"/>
      <w:bookmarkStart w:id="643" w:name="_Toc240"/>
      <w:bookmarkEnd w:id="642"/>
      <w:r>
        <w:rPr>
          <w:rtl w:val="true"/>
        </w:rPr>
        <w:t>[</w:t>
      </w:r>
      <w:r>
        <w:rPr>
          <w:rtl w:val="true"/>
        </w:rPr>
        <w:t>الحلق والتقصير</w:t>
      </w:r>
      <w:r>
        <w:rPr>
          <w:rtl w:val="true"/>
        </w:rPr>
        <w:t>]</w:t>
      </w:r>
      <w:bookmarkEnd w:id="6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الذبح فهو 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حلق، وإن شاء قصّر، والحلق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في حقّ الصرورة ومَن لبّد شعره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تلبيد الشعر أن يأخذ عسلاً وصمغاً، ويجعله في رأسه؛ لئلّا يقمل أو يتّسخ بسبب الإحرام، والأقوى تخييرهما كغيرهما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النساء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يحرم عليهنّ، ولا يجزئهنّ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ويجزئهنّ ولو قدر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شرائع الإسلام</w:t>
      </w:r>
    </w:p>
    <w:p>
      <w:pPr>
        <w:pStyle w:val="BookText"/>
        <w:rPr/>
      </w:pPr>
      <w:r>
        <w:rPr>
          <w:rFonts w:ascii="Amiri" w:hAnsi="Amiri" w:eastAsia="Amiri" w:cs="Amiri"/>
          <w:color w:val="111111"/>
          <w:sz w:val="28"/>
          <w:sz w:val="28"/>
          <w:szCs w:val="28"/>
          <w:rtl w:val="true"/>
          <w:lang w:bidi="ar-SA"/>
        </w:rPr>
        <w:t xml:space="preserve">لا فرق في ذلك بين الرجال والنساء، وإنّما خصّ النساء؛ لأنّهنّ مورد النصّ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ما يقع عليه اسمه عرفاً، والتقدير بالأنملة 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بالتقصير إبانة مسمّى الشعر أو الظفر، بحلق أو نتف أو قرض بما اتّفق من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تقديم التقصير على زيارة البيت لطواف الحجّ والسعي ولو قدّم ذلك على التقصير عامداً جبره بشاة، ولو كان ناسياً لم يكن عليه شيء، وعليه إعادة الطواف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الطواف والسعي، وتجب إعاده السعي حيث تجب إعاده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يحلق بمنى، فلو رحل رجع فحلق بها، فإن لم يتمكّن حلقَ أو قصَّرَ مكانه، وبعثَ شعره ليُدفن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 أو التقصير واجب، وبعث الشعر ليدفن بها مستحبّ، وهو في قوّة مستحبّين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البعث والدفن، فلو اقتصر على أحدهما تأدّت سنّته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ليس على رأسه شعر أجزأه إمرار الموسى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التقصير من غيره؛ لأنّه واجب اختياري قسيم للحلق، والإمرار بدل اضطراري، ولا يجزئ الاضطراري مع القدرة على الاختياري، والأولى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مواطن التحليل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الحلق أو التقصير يحلّ من كلّ شيء، إلّا الطيب والنساء والصيد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وقع أحدهما عقيب الرمي والذبح، أمّا إذا وقع قبلهما أو بينهما توقّف على فعل الثلاثة على الأقوى</w:t>
      </w:r>
      <w:r>
        <w:rPr>
          <w:rFonts w:eastAsia="Amiri" w:cs="Amiri" w:ascii="Amiri" w:hAnsi="Amiri"/>
          <w:color w:val="111111"/>
          <w:sz w:val="28"/>
          <w:szCs w:val="28"/>
          <w:rtl w:val="true"/>
          <w:lang w:bidi="ar-SA"/>
        </w:rPr>
        <w:t xml:space="preserve">. </w:t>
      </w:r>
      <w:bookmarkStart w:id="644" w:name="pg10178_83731"/>
    </w:p>
    <w:p>
      <w:pPr>
        <w:pStyle w:val="BookText"/>
        <w:rPr/>
      </w:pPr>
      <w:bookmarkEnd w:id="64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طواف الزيارة حلّ له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توقّف حلّ الطيب على السعي بعد طواف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مناسكه يوم النحر فالأفضل المضيّ إلى مكّة للطواف والسعي ليومه فإن أخّره فمن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ذلك في حقّ المتمتّع، فإن أخّره أثم ويجزئه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أخّره عن الغد، وهو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كلام المصنّف جواز تأخيره إلى النفر الثاني، وأنّ الأقوى جواز تأخيره طول ذي الحجّة على كراهة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018806_1067777946"/>
      <w:bookmarkStart w:id="646" w:name="_Toc241"/>
      <w:bookmarkEnd w:id="645"/>
      <w:r>
        <w:rPr>
          <w:rtl w:val="true"/>
        </w:rPr>
        <w:t>[</w:t>
      </w:r>
      <w:r>
        <w:rPr>
          <w:rtl w:val="true"/>
        </w:rPr>
        <w:t>القول في الطواف</w:t>
      </w:r>
      <w:r>
        <w:rPr>
          <w:rtl w:val="true"/>
        </w:rPr>
        <w:t>]</w:t>
      </w:r>
      <w:bookmarkEnd w:id="646"/>
    </w:p>
    <w:p>
      <w:pPr>
        <w:pStyle w:val="Heading5"/>
        <w:numPr>
          <w:ilvl w:val="4"/>
          <w:numId w:val="1"/>
        </w:numPr>
        <w:rPr/>
      </w:pPr>
      <w:bookmarkStart w:id="647" w:name="__RefHeading___Toc2018808_1067777946"/>
      <w:bookmarkStart w:id="648" w:name="_Toc242"/>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وإزالة النجاسة عن الثوب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هنا بين الواجب 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الطهارة الحدثيّة، فإنّها من كمال المندوب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النجاسة ممّا يُعفى عنها في الصلاة، عفي عنها هنا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مختوناً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إمكانه، فلو تعذّر ولو بضيق الوقت 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المندوبات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يغتسل من بئر ميمون أو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ميمون بالأبطح، وفخّ على رأس فرسخ من مكّة للقادم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يدخل مكّة من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للتأسّي </w:t>
      </w:r>
      <w:r>
        <w:rPr>
          <w:rStyle w:val="FootnoteAnchor"/>
          <w:rtl w:val="true"/>
        </w:rPr>
        <w:footnoteReference w:id="190"/>
      </w:r>
      <w:r>
        <w:rPr>
          <w:rFonts w:ascii="Amiri" w:hAnsi="Amiri" w:eastAsia="Amiri" w:cs="Amiri"/>
          <w:color w:val="111111"/>
          <w:sz w:val="28"/>
          <w:sz w:val="28"/>
          <w:szCs w:val="28"/>
          <w:rtl w:val="true"/>
          <w:lang w:bidi="ar-SA"/>
        </w:rPr>
        <w:t>، ولا فرق في ذلك بين المدني وغيره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ونعله بيده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من باب بني شيبة</w:t>
      </w:r>
      <w:r>
        <w:rPr>
          <w:rFonts w:eastAsia="Amiri" w:cs="Amiri" w:ascii="Amiri" w:hAnsi="Amiri"/>
          <w:color w:val="111111"/>
          <w:sz w:val="28"/>
          <w:szCs w:val="28"/>
          <w:rtl w:val="true"/>
          <w:lang w:bidi="ar-SA"/>
        </w:rPr>
        <w:t xml:space="preserve">». </w:t>
      </w:r>
      <w:bookmarkStart w:id="649" w:name="pg10178_83732"/>
    </w:p>
    <w:p>
      <w:pPr>
        <w:pStyle w:val="BookText"/>
        <w:rPr/>
      </w:pPr>
      <w:bookmarkEnd w:id="649"/>
      <w:r>
        <w:rPr>
          <w:rFonts w:ascii="Amiri" w:hAnsi="Amiri" w:eastAsia="Amiri" w:cs="Amiri"/>
          <w:color w:val="111111"/>
          <w:sz w:val="28"/>
          <w:sz w:val="28"/>
          <w:szCs w:val="28"/>
          <w:rtl w:val="true"/>
          <w:lang w:bidi="ar-SA"/>
        </w:rPr>
        <w:t>هو الآن داخل في المسجد بإزاء باب السلام، فليدخل من باب السلام على الاستقامة إلى أن يجاوز الأساطين ليصادفه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استحباب الدخول منه بأنّ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تحت عتبته، فإذا دخل منه وطأه برجله</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2018810_1067777946"/>
      <w:bookmarkStart w:id="651" w:name="_Toc243"/>
      <w:bookmarkEnd w:id="650"/>
      <w:r>
        <w:rPr>
          <w:rtl w:val="true"/>
        </w:rPr>
        <w:t>[</w:t>
      </w:r>
      <w:r>
        <w:rPr>
          <w:rtl w:val="true"/>
        </w:rPr>
        <w:t>واجبات الطواف</w:t>
      </w:r>
      <w:r>
        <w:rPr>
          <w:rtl w:val="true"/>
        </w:rPr>
        <w:t>]</w:t>
      </w:r>
      <w:bookmarkEnd w:id="6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والبدأة بالحَجَر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يكون أوّل جزء منه محاذياً لأوّل جزء من مقاديم بدنه، بحيث يمرّ عليه بعد النيّة بجميع بدنه علماً 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يستقبله حال النيّة بوجهه، ثمّ يأخذ في الحركة على يساره بعدها بغير فصلٍ، ولو جعله على يساره ابتداءً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يحاذيه في آخر شوط كما ابتدأ أوّلاً؛ ليكمل الشوط من غير زيادة ولا نقصان، ولا فرق في الختم بين كونه على المحلّ الذي ابتدأ به وغيره ممّا شاركه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يُدخل الحِجر في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للتأسّي، لا لكونه 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في بعض الأخبار بكون أُمّ إسماعيل علیه السلام مدفونة فيه، وفيه قبور أنبياء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بين البيت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مراعاة النسبة من جميع الجهات، ومن جهة الحِجر يحتسب المسافة من خارجه كغيره وإن كان خارجاً عن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شقّ قضاهما حيث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المشقّة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التعذّر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يصلّي ركعتي الطواف في المقام حيث هو الآن، ولا يجوز في غيره فإن منعه زحام صلّى وراءه، أو إلى أحد جانبيه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الأصل في المقام أنّه العمود من الصخر الذي كان إبراهيم علیه السلام يقوم عليه حين بنائه البيت، وأثر قدميه فيه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يصلح ظرفاً مكانيّاً للصلاة حقيقة؛ لعدم إمكان الصلاة عليه، وأنّما يصلّى خلفه أو إلى أحد جانبيه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يصلّي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وكذا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خلفه وعن أحد جانبيه جائزة، بل متعيّنه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تجب الصلاة خلف المقام أو إلى أحد جانبيه بحيث يكون قريباً منه عرفاً، فإن منعه زحام جاز التباعد عنه مع مراعاة الجانبين والوراء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في ثوب نجس مع العلم لم يصحّ طوافه وإن لم يعلم ثمّ علم في أثناء طوافه أزاله وتمّم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إلى النجاسة كان على خلاف القياس الفصيح، وإن عاد إلى الثوب بمعنى نزعه وجب تقييده بما إذا كان عليه ساتر غيره، ولم يحتج إلى فعل يستدعي قطع الطواف، ولمّا يكمل أربعة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نقص من طوافه، فإن جاوز النصف رجع فأتمّ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موضع القطع، ولو شكّ فيه أخذ بالاحتياط، وليس له البدأة من الركن لو كان النقص بعده، والمراد بمجاوزة النصف أن يكمل أربعة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رجعَ إلى أهله أمر من يطوف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يطوف ما بقي، وتجوز الاستنابة هنا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أحدث في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يبني مع بلوغ الأربعة بعد الطهارة، ومثله ما لو عرض له حاجة، ويجب الاقتصار على قدر الحاجة، ولا يجب التخفيف زيادة على المعتاد، فلو زاد فكالقطع لغير عذر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 في السعي فذكر أنّه لم يتمّ طوافه رجع فأتمّ طوافه إن كان تجاوز النصف، ثمّ تمّم السعي</w:t>
      </w:r>
      <w:r>
        <w:rPr>
          <w:rFonts w:eastAsia="Amiri" w:cs="Amiri" w:ascii="Amiri" w:hAnsi="Amiri"/>
          <w:color w:val="111111"/>
          <w:sz w:val="28"/>
          <w:szCs w:val="28"/>
          <w:rtl w:val="true"/>
          <w:lang w:bidi="ar-SA"/>
        </w:rPr>
        <w:t xml:space="preserve">». </w:t>
      </w:r>
      <w:bookmarkStart w:id="652" w:name="pg10178_83734"/>
    </w:p>
    <w:p>
      <w:pPr>
        <w:pStyle w:val="BookText"/>
        <w:rPr/>
      </w:pPr>
      <w:bookmarkEnd w:id="652"/>
      <w:r>
        <w:rPr>
          <w:rFonts w:ascii="Amiri" w:hAnsi="Amiri" w:eastAsia="Amiri" w:cs="Amiri"/>
          <w:color w:val="111111"/>
          <w:sz w:val="28"/>
          <w:sz w:val="28"/>
          <w:szCs w:val="28"/>
          <w:rtl w:val="true"/>
          <w:lang w:bidi="ar-SA"/>
        </w:rPr>
        <w:t>ولو لم يكن تجاوز النصف أعاد الطواف والسعي وإن كان قد تجاوز نصف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أنّه يبني على السعي حيث يبني على الطواف، ويستأنفه حيث يستأنفه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2018812_1067777946"/>
      <w:bookmarkStart w:id="654" w:name="_Toc244"/>
      <w:bookmarkEnd w:id="653"/>
      <w:r>
        <w:rPr>
          <w:rtl w:val="true"/>
        </w:rPr>
        <w:t>[</w:t>
      </w:r>
      <w:r>
        <w:rPr>
          <w:rtl w:val="true"/>
        </w:rPr>
        <w:t>مندوبات الطواف</w:t>
      </w:r>
      <w:r>
        <w:rPr>
          <w:rtl w:val="true"/>
        </w:rPr>
        <w:t>]</w:t>
      </w:r>
      <w:bookmarkEnd w:id="6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الندب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واستلام الحجر على الأصحّ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قويٌّ، والاستلام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من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الحجر بيده ومسحه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استلمه، أي مسَّ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بالهمز من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الدرع، كأنّه اتّخذه جُنّة وسلاحاً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في طوافه داعياً ذاكراً لله سبحانه على سكينة ووقار مقتصداً في مشيه،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 بين الإسراع والبطء، 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الإسراع في المشي مع تقارب الخطى، دون الوثوب والعدو، ويسمّى الخبب، والأشهر القصد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يلتزم المستجار في الشوط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المستجار جزء من حائط الكعبة بحذاء الباب، دون الركن اليماني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بسط اليدين عليه، وإلصاق البطن والخدّ به، والإقرار لله بالذنوب مفصّله ليغفرها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استلم أو التزم حفظ الموضع الذي انتهى إليه طوافه بأن يثبت رجليه فيه؛ لئلّا يتقدّم بهما حالتهما أو يتأخّر، حذراً من الزيادة والنقصان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زاد على السبعة سهواً أكملها أُسبوعين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يذكر حتّى بلغ الحجر، وإلّا قطع وجوباً، فلو زاد حينئذٍ بطل</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2018814_1067777946"/>
      <w:bookmarkStart w:id="656" w:name="_Toc245"/>
      <w:bookmarkEnd w:id="655"/>
      <w:r>
        <w:rPr>
          <w:rtl w:val="true"/>
        </w:rPr>
        <w:t>[</w:t>
      </w:r>
      <w:r>
        <w:rPr>
          <w:rtl w:val="true"/>
        </w:rPr>
        <w:t>أحكام الطواف</w:t>
      </w:r>
      <w:r>
        <w:rPr>
          <w:rtl w:val="true"/>
        </w:rPr>
        <w:t>]</w:t>
      </w:r>
      <w:bookmarkEnd w:id="65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ركن، مَن تركه عامداً بطل حجّه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به غير طواف النساء فإنّه ليس بركن إجماعاً، وترك الطواف بخروج ذي الحجّة قبل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تركه ناسياً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بالقضاء هنا الإتيان بالفعل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مَّنَسِكَكُمْ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لا القضاء المتعارف؛ إذ لا توقيت هنا للطواف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تعذّر العود 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بالتعذّر هنا المشقّة الكثيرة التي لا تحتمل عادة، ويحتمل العجز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أثنائه وكان شكّاً في الزيادة قطعَ ولاشيء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يقطع مع الشكّ في الزيادة إذا كان على منتهى الشوط، أمّا لو كان في أثنائه بطل طوافه؛ لتردّده بين محذورين في القطع المحتمل للنقيصة، والإكمال المحتمل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نسي 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 إلى أهله وواقع،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والرجوع إلى مكّة للطواف،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لاكفّارة عليه، 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القول الأوّل على من واقع بعد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تسامح؛ لأنّ الذي ينبغي حمله على ذلك الرواية الواردة بالحكم مطلقاً </w:t>
      </w:r>
      <w:r>
        <w:rPr>
          <w:rStyle w:val="FootnoteAnchor"/>
          <w:rtl w:val="true"/>
        </w:rPr>
        <w:footnoteReference w:id="194"/>
      </w:r>
      <w:r>
        <w:rPr>
          <w:rFonts w:ascii="Amiri" w:hAnsi="Amiri" w:eastAsia="Amiri" w:cs="Amiri"/>
          <w:color w:val="111111"/>
          <w:sz w:val="28"/>
          <w:sz w:val="28"/>
          <w:szCs w:val="28"/>
          <w:rtl w:val="true"/>
          <w:lang w:bidi="ar-SA"/>
        </w:rPr>
        <w:t>، لا القول، فإنّ قائله إنّما يريد الإطلاق نظراً إلى ما فهمه من إطلاق الرواية، وحمل الرواية على ما ذكر من الموافقة بعد العلم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طواف النساء جاز أن يستنيب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العود بغير مشقّة بشرط أن لا يتّفق عوده، وإلّا تعيّن عليه المباشرة، ولو تعمّد تركه وجب العود مع الإمكان كغيره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كان بالخيار في تأخير السعي إلى الغد، ثمّ لا يجوز مع القدرة</w:t>
      </w:r>
      <w:r>
        <w:rPr>
          <w:rFonts w:eastAsia="Amiri" w:cs="Amiri" w:ascii="Amiri" w:hAnsi="Amiri"/>
          <w:color w:val="111111"/>
          <w:sz w:val="28"/>
          <w:szCs w:val="28"/>
          <w:rtl w:val="true"/>
          <w:lang w:bidi="ar-SA"/>
        </w:rPr>
        <w:t xml:space="preserve">». </w:t>
      </w:r>
      <w:bookmarkStart w:id="657" w:name="pg10178_83736"/>
    </w:p>
    <w:p>
      <w:pPr>
        <w:pStyle w:val="BookText"/>
        <w:rPr/>
      </w:pPr>
      <w:bookmarkEnd w:id="657"/>
      <w:r>
        <w:rPr>
          <w:rFonts w:ascii="Amiri" w:hAnsi="Amiri" w:eastAsia="Amiri" w:cs="Amiri"/>
          <w:color w:val="111111"/>
          <w:sz w:val="28"/>
          <w:sz w:val="28"/>
          <w:szCs w:val="28"/>
          <w:rtl w:val="true"/>
          <w:lang w:bidi="ar-SA"/>
        </w:rPr>
        <w:t>الأقوى عدم جواز تأخير السعي إلى الغد أيضاً، نعم يجوز تأخيره ساعة وساعتين للراحة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المتمتّع تأخير الطواف والسعي حتّى يقف بالموقفين ويقضي مناسكه يوم النحر، ولا يجوز التعجيل إلّا للمريض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لكلّ 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الطواف وعلى الطائف بُرْطُلَّة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والطاء وإسكان الراء وتشديد اللام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طويلة، والأقوى كراهة لبسها في غير طوافٍ يحرم ستر الرأس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خصّ ذلك بطواف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يطوف على أربع،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طوافان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بطلان النذر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يعوِّل الرجل على غيره في تعداد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المعوَّل عليه البلوغ والعقل، لا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 طائفاً وعدمه، ولا بين الرجل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النساء واجب في الحجّ والعمرة المفردة دون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خصّه بالذكر مع أنّ غيره كذلك؛ لدفع توهّم اختصاصه بمن يباشر النساء، بخلاف غيره فإنّه ليس موضع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عدل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ليشمل الواجب وغيره؛ لأنّ الصبيان لا يخاطبون به على وجه الوجوب، بل يلزمون به تمريناً، فلو أخلّوا به حرمت عليهم النساء بعد البلوغ</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018816_1067777946"/>
      <w:bookmarkStart w:id="659" w:name="_Toc246"/>
      <w:bookmarkEnd w:id="658"/>
      <w:r>
        <w:rPr>
          <w:rtl w:val="true"/>
        </w:rPr>
        <w:t>[</w:t>
      </w:r>
      <w:r>
        <w:rPr>
          <w:rtl w:val="true"/>
        </w:rPr>
        <w:t>القول في السعي</w:t>
      </w:r>
      <w:r>
        <w:rPr>
          <w:rtl w:val="true"/>
        </w:rPr>
        <w:t>]</w:t>
      </w:r>
      <w:bookmarkEnd w:id="659"/>
    </w:p>
    <w:p>
      <w:pPr>
        <w:pStyle w:val="Heading5"/>
        <w:numPr>
          <w:ilvl w:val="4"/>
          <w:numId w:val="1"/>
        </w:numPr>
        <w:rPr/>
      </w:pPr>
      <w:bookmarkStart w:id="660" w:name="__RefHeading___Toc2018818_1067777946"/>
      <w:bookmarkStart w:id="661" w:name="_Toc247"/>
      <w:bookmarkEnd w:id="660"/>
      <w:r>
        <w:rPr>
          <w:rtl w:val="true"/>
        </w:rPr>
        <w:t>[</w:t>
      </w:r>
      <w:r>
        <w:rPr>
          <w:rtl w:val="true"/>
        </w:rPr>
        <w:t>مقدّماته</w:t>
      </w:r>
      <w:r>
        <w:rPr>
          <w:rtl w:val="true"/>
        </w:rPr>
        <w:t>]</w:t>
      </w:r>
      <w:bookmarkEnd w:id="66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مقدّماته عشرة، كلّها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يخرج من الباب المحاذي للحجر</w:t>
      </w:r>
      <w:r>
        <w:rPr>
          <w:rFonts w:eastAsia="Amiri" w:cs="Amiri" w:ascii="Amiri" w:hAnsi="Amiri"/>
          <w:color w:val="111111"/>
          <w:sz w:val="28"/>
          <w:szCs w:val="28"/>
          <w:rtl w:val="true"/>
          <w:lang w:bidi="ar-SA"/>
        </w:rPr>
        <w:t xml:space="preserve">». </w:t>
      </w:r>
      <w:bookmarkStart w:id="662" w:name="pg10178_83737"/>
    </w:p>
    <w:p>
      <w:pPr>
        <w:pStyle w:val="BookText"/>
        <w:rPr/>
      </w:pPr>
      <w:bookmarkEnd w:id="662"/>
      <w:r>
        <w:rPr>
          <w:rFonts w:ascii="Amiri" w:hAnsi="Amiri" w:eastAsia="Amiri" w:cs="Amiri"/>
          <w:color w:val="111111"/>
          <w:sz w:val="28"/>
          <w:sz w:val="28"/>
          <w:szCs w:val="28"/>
          <w:rtl w:val="true"/>
          <w:lang w:bidi="ar-SA"/>
        </w:rPr>
        <w:t xml:space="preserve">هو الآن في داخل المسجد بسبب توسعته، إلّا أنّه معلّم بأُسطوانتين، فليخرج من بينهما؛ للتأسّي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يصعد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يرى البيت من بابه، ويحصل ذلك بالدرجة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يطيل الوقوف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بقدر قراءة سورة البقرة مترسّلاً؛ للتأسّي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2018820_1067777946"/>
      <w:bookmarkStart w:id="664" w:name="_Toc248"/>
      <w:bookmarkEnd w:id="663"/>
      <w:r>
        <w:rPr>
          <w:rtl w:val="true"/>
        </w:rPr>
        <w:t>[</w:t>
      </w:r>
      <w:r>
        <w:rPr>
          <w:rtl w:val="true"/>
        </w:rPr>
        <w:t>کیفیّته</w:t>
      </w:r>
      <w:r>
        <w:rPr>
          <w:rtl w:val="true"/>
        </w:rPr>
        <w:t>]</w:t>
      </w:r>
      <w:bookmarkEnd w:id="6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مقارنتها للصفا بأن يصعد إلى بعض درجاته، فيجزئ أيّ جزء كان منه، أو يلصق عقبه به إن لم يصعد، فإذا وصل إلى المروة ألصق أصابع رجليه بها، أو دخلها كذلك ليستوعب المسافة التي بينهما، فإذا عاد إلى الصفا ألصق عقبه بالمروة إن لم يكن في داخلها، وهكذا القول في كلّ شَوْطٍ ذهاباً وعوداً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والهرولة ما بين المنارة وزقاق العطّارين ماشياً كان أو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بالهرولة السرعة في المشي، وعلّل استحبابها ثَمَّ بأنّ مكانها شعبة من وادي محسّر، فاستحبّ قطعه بالهرولة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مختصّ بالرجل، وفي حكمه الصبيّ دون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الهرولة رجع القَهْقَرى وهرول موضعها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القافين والراء وإسكان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إلى خلف من غير التفات بالوجه</w:t>
      </w:r>
      <w:r>
        <w:rPr>
          <w:rFonts w:eastAsia="Amiri" w:cs="Amiri" w:ascii="Amiri" w:hAnsi="Amiri"/>
          <w:color w:val="111111"/>
          <w:sz w:val="28"/>
          <w:szCs w:val="28"/>
          <w:rtl w:val="true"/>
          <w:lang w:bidi="ar-SA"/>
        </w:rPr>
        <w:t xml:space="preserve">. </w:t>
      </w:r>
      <w:bookmarkStart w:id="665" w:name="pg10178_83738"/>
    </w:p>
    <w:p>
      <w:pPr>
        <w:pStyle w:val="Heading5"/>
        <w:numPr>
          <w:ilvl w:val="4"/>
          <w:numId w:val="1"/>
        </w:numPr>
        <w:rPr/>
      </w:pPr>
      <w:bookmarkStart w:id="666" w:name="__RefHeading___Toc2018822_1067777946"/>
      <w:bookmarkStart w:id="667" w:name="_Toc249"/>
      <w:bookmarkEnd w:id="665"/>
      <w:bookmarkEnd w:id="666"/>
      <w:r>
        <w:rPr>
          <w:rtl w:val="true"/>
        </w:rPr>
        <w:t>[</w:t>
      </w:r>
      <w:r>
        <w:rPr>
          <w:rtl w:val="true"/>
        </w:rPr>
        <w:t>أحكام السعي</w:t>
      </w:r>
      <w:r>
        <w:rPr>
          <w:rtl w:val="true"/>
        </w:rPr>
        <w:t>]</w:t>
      </w:r>
      <w:bookmarkEnd w:id="6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ركن، من تركه عامداً بطل حجّه ولو كان ناسياً وجب عليه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عاد ليأتي به، فإن تعذّر عليه 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بالتعذّر المشقّة البالغة، كما تقدّم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بالزيادة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تذكّر قبل إكمال الشوط الثامن وجب القطع حينئذٍ، فإن لم يقطع بطل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يذكر حتّى أكمل الثامن تخيّر بين القطع وإهدار الثامن، وبين إكمال أُسبوعين، ويكون الثاني مستحبّاً، ولم يشرع استحباب السعي إلّا هنا، ولا يشرع ابتداؤه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تيقّن عدد الأشواط وشكّ فيما به بدأ، فإن كان على المُزْدَوج على الصفا فقد صحّ سعيه لأنّه بدأ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إنّما يكون شكّاً في ابتداء الأمر، وإلّا فبعد العلم بكون عدده زوجاً وهوعلی الصفا تتحقّق البدأة به، فلا يكون من الشكّ في شيء إلّا بالاعتبار الذي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وينعكس الحكم مع انعكاس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بانعكاس الفرض والحكم أنّه إن كان في المفرد على الصفا أعاد، وإن كان على المروة صحّ سعيه؛ لأنّه يكون قد بدأ بالمروة في الأوّل، وبالصفا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يحصّل عدد سعيه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شكّ في عدده، سواء علم ما به بدأ أم لا، فإنّه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ما لو شكّ بين الإكمال والزيادة على وجه لا ينافي ابتداءه بالصفا، كما لوشكّ بين السبعة والتسعة وهو على المروة فإنّه لا يعيد، ولو كان على الصفا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تيقّن النقيصة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ذكرها في الحال أم بعد حين، فإنّه يقتصر على إعادتها وإن كانت أكثر من نصفه؛ لعدم اشتراط الموالاة فيه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متمتّعاً بالعمرة وظنّ أنّه أتمَّ فأحلّ وواقع النساء</w:t>
      </w:r>
      <w:r>
        <w:rPr>
          <w:rFonts w:eastAsia="Amiri" w:cs="Amiri" w:ascii="Amiri" w:hAnsi="Amiri"/>
          <w:color w:val="111111"/>
          <w:sz w:val="28"/>
          <w:szCs w:val="28"/>
          <w:rtl w:val="true"/>
          <w:lang w:bidi="ar-SA"/>
        </w:rPr>
        <w:t xml:space="preserve">». </w:t>
      </w:r>
      <w:bookmarkStart w:id="668" w:name="pg10178_83739"/>
    </w:p>
    <w:p>
      <w:pPr>
        <w:pStyle w:val="BookText"/>
        <w:rPr/>
      </w:pPr>
      <w:bookmarkEnd w:id="668"/>
      <w:r>
        <w:rPr>
          <w:rFonts w:ascii="IRNazanin" w:hAnsi="IRNazanin" w:eastAsia="IRNazanin"/>
          <w:color w:val="111111"/>
          <w:sz w:val="28"/>
          <w:sz w:val="28"/>
          <w:szCs w:val="28"/>
          <w:rtl w:val="true"/>
          <w:lang w:bidi="fa-IR"/>
        </w:rPr>
        <w:t xml:space="preserve">هذا الحكم مستنده روايات عن الصادق علیه السلام </w:t>
      </w:r>
      <w:r>
        <w:rPr>
          <w:rStyle w:val="FootnoteAnchor"/>
          <w:rtl w:val="true"/>
        </w:rPr>
        <w:footnoteReference w:id="199"/>
      </w:r>
      <w:r>
        <w:rPr>
          <w:rFonts w:ascii="Amiri" w:hAnsi="Amiri" w:eastAsia="Amiri" w:cs="Amiri"/>
          <w:color w:val="111111"/>
          <w:sz w:val="28"/>
          <w:sz w:val="28"/>
          <w:szCs w:val="28"/>
          <w:rtl w:val="true"/>
          <w:lang w:bidi="ar-SA"/>
        </w:rPr>
        <w:t>، وهو مخالف للأُصول الشرعيّة من حيث وجوب كفّارة غير الصيد على الناسي، ووجوب البقرة في تقليم الأظفار، وبالجماع؛ ولذلك حملها بعضهم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الحكم إشكال، وإن كان ما اختاره المصنّف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 في أثناء السعي نقصاناً من طوافه، قطع السعي وأتمّ الطواف ثمّ أتمّ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يتمّ الطواف مع تجاوز نصفه بأن يكون قد طاف أربعة أشواط، فحينئذٍ يتمّه ثمّ يبني على ما مضى من السعي وإن كان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يبلغ الطواف الأربعة أعاده، ثمّ استأنف السعي وإن أكمله</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2018824_1067777946"/>
      <w:bookmarkStart w:id="670" w:name="_Toc250"/>
      <w:bookmarkEnd w:id="669"/>
      <w:r>
        <w:rPr>
          <w:rtl w:val="true"/>
        </w:rPr>
        <w:t>[</w:t>
      </w:r>
      <w:r>
        <w:rPr>
          <w:rtl w:val="true"/>
        </w:rPr>
        <w:t>القول في الأحكام المتعلّقة بمنى بعد العَود</w:t>
      </w:r>
      <w:r>
        <w:rPr>
          <w:rtl w:val="true"/>
        </w:rPr>
        <w:t>]</w:t>
      </w:r>
      <w:bookmarkEnd w:id="6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فيجب عليه أن يبيت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 الحادي عشر 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بات بغيرها كان عليه عن كلّ ليلة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الاختيار، أمّا لو اضطرّ إلى الخروج منها لمانع خاصّ أو عامّ أو حاجة سقط وجوب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يبيت بمكّة مشتغلاً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الواجبة والمندوبة، ويجب استيعاب الليلة بها، إلّا ما يضطرّ إليه من أكلٍ وشربٍ وقضاء حاجةٍ ونومٍ يغلب عليه، ومنه الاشتغال بالطواف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لا يدخل مكّة إلّا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لم يتّق الصيد والنساء</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باتّقاء الصيد عدم قتله، وباتّقاء النساء عدم جماعهنّ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باقي المحرّمات المتعلّقة بهما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الاتّقاء في عمرة التمتّع أيضاً؛ لارتباطها بحجّها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حصل له رمي أربع حُصيات، ثمّ رمى على الجمرة الأُخرى، حصل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الجهل أو النسيان، أمّا مع العمد فيجب إعادة ما بعد التي لم تكمل؛ لتحريم الانتقال عن الجمرة قبل إكمال رميها، فيفسد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على الأوّلين أنّه متى رمى واحدة أربعاً وانتقل منها إلى الأُخرى كفاه إكمال الناقصة، وإن كان أقلّ استأنف التالية، وكذا لو رمى الأخيرة أربعاً ثمّ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رمي يومٍ قضاه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كون القضاء في وقت أداء الرمي، وينوي فيه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ما يرميه لأمسِهِ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بالغدوة هنا بعد طلوع الشمس، وبعنديّة </w:t>
      </w:r>
      <w:r>
        <w:rPr>
          <w:rStyle w:val="FootnoteAnchor"/>
          <w:rtl w:val="true"/>
        </w:rPr>
        <w:footnoteReference w:id="200"/>
      </w:r>
      <w:r>
        <w:rPr>
          <w:rFonts w:ascii="IRNazanin" w:hAnsi="IRNazanin" w:eastAsia="IRNazanin"/>
          <w:color w:val="111111"/>
          <w:sz w:val="28"/>
          <w:sz w:val="28"/>
          <w:szCs w:val="28"/>
          <w:rtl w:val="true"/>
          <w:lang w:bidi="fa-IR"/>
        </w:rPr>
        <w:t>الزوال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 مكّة لم يكن عليه شيء إذا انقضى زمان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بزمان الرمي أيّام التشريق، والأقوى وجوب القضاء في القابل في أيّامه، لكن إن اتّفق حضوره وجبت عليه المباشرة، وإلّا جازت الاستنابة وإن أمكن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يقيم الإنسان بمنى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استحباب الإقامة في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الإقامة فيها ليلاً وزمن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محمول على مازاد على ذلك بتقدير حذف المضاف أي بقيّة أيّام التشريق، أو إطلاق اسم الجزء على الكلّ مجازاً، أو يكون الاستحباب متعلّقاً بالمجموع من حيث هو مجموع، وذلك لا ينافي وجوب بعض أجزائه، ويمكن إخراج الليالي بحمل الأيّام على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يرمي الجمرة الأُولى عن يمينه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يمين الرامي، وليكن على يسارها في بطن المسيل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بیسارها جانبها </w:t>
      </w:r>
      <w:bookmarkStart w:id="671" w:name="pg10178_83741"/>
    </w:p>
    <w:p>
      <w:pPr>
        <w:pStyle w:val="BookText"/>
        <w:rPr/>
      </w:pPr>
      <w:bookmarkEnd w:id="671"/>
      <w:r>
        <w:rPr>
          <w:rFonts w:ascii="Amiri" w:hAnsi="Amiri" w:eastAsia="Amiri" w:cs="Amiri"/>
          <w:color w:val="111111"/>
          <w:sz w:val="28"/>
          <w:sz w:val="28"/>
          <w:szCs w:val="28"/>
          <w:rtl w:val="true"/>
          <w:lang w:bidi="ar-SA"/>
        </w:rPr>
        <w:t>اليسار بالإضافة إلى المتوجّه إلى القبلة، فيجعلها حينئذٍ عن يمينه، فيكون ببطن المسيل؛ لأنّه عن يسارها، ويرميها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والتكبير بمنى مستحبّ،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الاستحباب</w:t>
      </w:r>
      <w:r>
        <w:rPr>
          <w:rFonts w:eastAsia="IRNazanin" w:cs="IRNazanin"/>
          <w:color w:val="111111"/>
          <w:sz w:val="28"/>
          <w:szCs w:val="28"/>
          <w:rtl w:val="true"/>
          <w:lang w:bidi="fa-IR"/>
        </w:rPr>
        <w:t>.</w:t>
      </w:r>
    </w:p>
    <w:p>
      <w:pPr>
        <w:pStyle w:val="Heading4"/>
        <w:numPr>
          <w:ilvl w:val="3"/>
          <w:numId w:val="1"/>
        </w:numPr>
        <w:rPr/>
      </w:pPr>
      <w:bookmarkStart w:id="672" w:name="__RefHeading___Toc2018826_1067777946"/>
      <w:bookmarkStart w:id="673" w:name="_Toc251"/>
      <w:bookmarkEnd w:id="672"/>
      <w:r>
        <w:rPr>
          <w:rtl w:val="true"/>
        </w:rPr>
        <w:t>[</w:t>
      </w:r>
      <w:r>
        <w:rPr>
          <w:rtl w:val="true"/>
        </w:rPr>
        <w:t>مسائل</w:t>
      </w:r>
      <w:r>
        <w:rPr>
          <w:rtl w:val="true"/>
        </w:rPr>
        <w:t>:]</w:t>
      </w:r>
      <w:bookmarkEnd w:id="6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ما يوجب حدّاً أو تعزيراً أو قصاصاً ولجأ إلى الحرم، ضُيّق عليه في المطعم والمشرب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التضييق فيهما بأن يطعم ويسقى ما لا يتحمّله مثله عادة، بأن لا يباع الزائد إن أراد الشراء، ولا يمكّن من ماله إن كان له مال كذلك، ولا يتبرّع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يمنع أحد من سكنى دور مكّة،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الكراهة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أن يرفع أحدٌ بناءً فوق الكعبة،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لقطة الحرم قليلة كانت أو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الكراهة مطلقاً أقوى، ولا بأس بتملّك ما نقص عن الدرهم، وبضمان ما زاد لو تصدّق به فكره المالك كغيرها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ترك الناس زيارة النبيّ صلی الله علیه و آله و سلم أُجبروا عليها؛ لما يتضمّن من الجفاء المحرّم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بالتعليل إلى ما روي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ولم يزرني فقد جفاني</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وجفاؤه محرّم، فيكون ترك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الأصل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 بالتحريم بسبب استلزامه الجفاء، كذا قيل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 لأنّ ترك زيارته إذا كان يتضمّن الجفاء يقتضي التحريم فتجب الزيارة، وهم لا يقولون به فاللازم إمّا القول بوجوبها، أوترك التعليل بالجفاء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ذهب بعضهم إلى عدم الإجبار </w:t>
      </w:r>
      <w:r>
        <w:rPr>
          <w:rStyle w:val="FootnoteAnchor"/>
          <w:rtl w:val="true"/>
        </w:rPr>
        <w:footnoteReference w:id="203"/>
      </w:r>
      <w:r>
        <w:rPr>
          <w:rFonts w:ascii="Amiri" w:hAnsi="Amiri" w:eastAsia="Amiri" w:cs="Amiri"/>
          <w:color w:val="111111"/>
          <w:sz w:val="28"/>
          <w:sz w:val="28"/>
          <w:szCs w:val="28"/>
          <w:rtl w:val="true"/>
          <w:lang w:bidi="ar-SA"/>
        </w:rPr>
        <w:t>لأنّ المندوب لا يُجبر على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أنّ المندوب إذا آذن بالاستهانة يجبر على فعله كما يُجبر أهل البلد على الأذان، بل يقاتلون مع أنّه سنّة، فلتكن زيارته صلی الله علیه و آله و سلم كذلك، وحديث الجفاء يحتاج إلى تحقیق 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التحصيب لمن نفر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النزول في مسجد الحصباء بالأبطح؛ للتأسّي </w:t>
      </w:r>
      <w:r>
        <w:rPr>
          <w:rStyle w:val="FootnoteAnchor"/>
          <w:rtl w:val="true"/>
        </w:rPr>
        <w:footnoteReference w:id="204"/>
      </w:r>
      <w:r>
        <w:rPr>
          <w:rFonts w:ascii="Amiri" w:hAnsi="Amiri" w:eastAsia="Amiri" w:cs="Amiri"/>
          <w:color w:val="111111"/>
          <w:sz w:val="28"/>
          <w:sz w:val="28"/>
          <w:szCs w:val="28"/>
          <w:rtl w:val="true"/>
          <w:lang w:bidi="ar-SA"/>
        </w:rPr>
        <w:t>، وليس لهذا المسجد أثر الآن، فتتأدّى السنّة بالنزول بالمحصب، وهو ما بين العقبة ومكّة، أو ما بين الجبل الذي عنده المقابر والجبل الذي يقابله، وليست المقبرة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الحصباء وهي الحصى المحمولة بالسيل، وإنّما يستحبّ التحصيب لمن نفر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خروجه من باب الحنّاطين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بإزاء الركن الشامي، سمّي بذلك لبيع الحنطة أو الحنوط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ويشتري بدرهم تمراً ويتصدّق به احتياطاً لإحرامه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وليتصدّق به قبضة قبضة؛ ليكون كفّارة لما لعلّه لحقه في إحرامه من حكّ أو قملة سقطت أو نحو ذلك، ولو ظهر له موجب يتأدّى بالصدقة فالوجه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حجّ أن يعزم على العود، والطواف أفضل للمجاور من الصلاة وللمقيم بالعكس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السنة الأُولى، وفي الثانية يتساويان في الفضيلة، وفي الثالثة تصير الصلاة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المجاورة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الإقامة بها بعد قضاء المناسك وإن لم يكن سَنَة، وعلّل بأنّ المقام بها يقسي القلب، وبمضاعفة العذاب بسبب ملابسة الذنب فيها؛ ولخروج النبيّ صلى الله عليه و آله و سلم منها قهراً، وعدم عوده إليها إلّا للنسك، وإسراعه الخروج منها حين عاد؛ ولخوف الملالة وقلّة الاحترام؛ وليدوم شوقه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التعليلات مرويّة </w:t>
      </w:r>
      <w:r>
        <w:rPr>
          <w:rStyle w:val="FootnoteAnchor"/>
          <w:rtl w:val="true"/>
        </w:rPr>
        <w:footnoteReference w:id="205"/>
      </w:r>
      <w:r>
        <w:rPr>
          <w:rFonts w:ascii="Amiri" w:hAnsi="Amiri" w:eastAsia="Amiri" w:cs="Amiri"/>
          <w:color w:val="111111"/>
          <w:sz w:val="28"/>
          <w:sz w:val="28"/>
          <w:szCs w:val="28"/>
          <w:rtl w:val="true"/>
          <w:lang w:bidi="ar-SA"/>
        </w:rPr>
        <w:t xml:space="preserve">، وروي أيضاً استحباب المجاورة بها </w:t>
      </w:r>
      <w:r>
        <w:rPr>
          <w:rStyle w:val="FootnoteAnchor"/>
          <w:rtl w:val="true"/>
        </w:rPr>
        <w:footnoteReference w:id="206"/>
      </w:r>
      <w:r>
        <w:rPr>
          <w:rFonts w:ascii="Amiri" w:hAnsi="Amiri" w:eastAsia="Amiri" w:cs="Amiri"/>
          <w:color w:val="111111"/>
          <w:sz w:val="28"/>
          <w:sz w:val="28"/>
          <w:szCs w:val="28"/>
          <w:rtl w:val="true"/>
          <w:lang w:bidi="ar-SA"/>
        </w:rPr>
        <w:t>، وهو حسن مع الوثوق بالسلامة من تلك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النزول بالمُعَرَّس على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العين المهملة وتشديد الراء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التعريس، وهو النزول في آخر الليل للاستراحة إذا كان سائراً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العين وتخفيف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بذي الحليفة مسجد بقرب مسجد الشجرة بإزائه ممّا يلي القبلة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النزول به والصلاة فيه والاضطجاع؛ للتاسّي </w:t>
      </w:r>
      <w:r>
        <w:rPr>
          <w:rStyle w:val="FootnoteAnchor"/>
          <w:rtl w:val="true"/>
        </w:rPr>
        <w:footnoteReference w:id="208"/>
      </w:r>
      <w:r>
        <w:rPr>
          <w:rFonts w:ascii="Amiri" w:hAnsi="Amiri" w:eastAsia="Amiri" w:cs="Amiri"/>
          <w:color w:val="111111"/>
          <w:sz w:val="28"/>
          <w:sz w:val="28"/>
          <w:szCs w:val="28"/>
          <w:rtl w:val="true"/>
          <w:lang w:bidi="ar-SA"/>
        </w:rPr>
        <w:t>ولا فرق فيه بين الليل والنهار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للمدينة حرم، وحدّه من عاير إلى وَعير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جبلان يكتنفان المدينة من المشرق والمغرب، ووَعير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مع فتح العين المهملة، والحرّتان موضعان أدخل منهما نحو المدينة، وهما حرّة ليلى وحرّة واقِم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الحرم بريد في بريد، والأقوى تحريم قطع شجره وصيد ما بين الحرّتين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أن تزار فاطمة علیها السلام من عند الروضة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 جزء من مسجده صلى الله عليه و آله و سلم، بل هي أشرفه، وهي ما بين قبره الشريف ومنبره إلى طرف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بكون قبرها بها في غاية الضعف، والأقوى أنّه في بيتها خلف أبيها حيث هو مشخص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يصلّي ليلة الأربعاء عند أُسطوانة 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ما بين القبر والمنبر تلي رأس رسول الله صلى الله عليه و آله و سلم، وهي أُسطوانة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يأتي المساجد بالمدينة، كمسجد الأحزاب ومسجد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صحيحة معاوية بن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مسجد الأحزاب هو مسجد الفتح</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وكذلك ذكره جماعة </w:t>
      </w:r>
      <w:r>
        <w:rPr>
          <w:rStyle w:val="FootnoteAnchor"/>
          <w:rtl w:val="true"/>
        </w:rPr>
        <w:footnoteReference w:id="210"/>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مسجد الأحزاب؛ لأنّ النبيّ صلى الله عليه و آله و سلم دعا فيه يوم الأحزاب، فاستجاب الله له وفتح عليه بقتل عمرو وانهزام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ومسجد الفضيخ</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والخاء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لنخل يسمّى الفضيخ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لأنّهم كانوا يفضخون فيه التمر قبل الإسلام أي يشدخونه</w:t>
      </w:r>
      <w:r>
        <w:rPr>
          <w:rFonts w:eastAsia="Amiri" w:cs="Amiri" w:ascii="Amiri" w:hAnsi="Amiri"/>
          <w:color w:val="111111"/>
          <w:sz w:val="28"/>
          <w:szCs w:val="28"/>
          <w:rtl w:val="true"/>
          <w:lang w:bidi="ar-SA"/>
        </w:rPr>
        <w:t xml:space="preserve">. </w:t>
      </w:r>
      <w:bookmarkStart w:id="674" w:name="pg10178_83745"/>
    </w:p>
    <w:p>
      <w:pPr>
        <w:pStyle w:val="Heading3"/>
        <w:numPr>
          <w:ilvl w:val="2"/>
          <w:numId w:val="1"/>
        </w:numPr>
        <w:rPr/>
      </w:pPr>
      <w:bookmarkStart w:id="675" w:name="__RefHeading___Toc2018828_1067777946"/>
      <w:bookmarkStart w:id="676" w:name="_Toc252"/>
      <w:bookmarkEnd w:id="674"/>
      <w:bookmarkEnd w:id="675"/>
      <w:r>
        <w:rPr>
          <w:rtl w:val="true"/>
        </w:rPr>
        <w:t>[</w:t>
      </w:r>
      <w:r>
        <w:rPr>
          <w:rtl w:val="true"/>
        </w:rPr>
        <w:t>الركن الثالث في اللواحق</w:t>
      </w:r>
      <w:r>
        <w:rPr>
          <w:rtl w:val="true"/>
        </w:rPr>
        <w:t>]</w:t>
      </w:r>
      <w:bookmarkEnd w:id="676"/>
    </w:p>
    <w:p>
      <w:pPr>
        <w:pStyle w:val="Heading4"/>
        <w:numPr>
          <w:ilvl w:val="3"/>
          <w:numId w:val="1"/>
        </w:numPr>
        <w:rPr/>
      </w:pPr>
      <w:bookmarkStart w:id="677" w:name="__RefHeading___Toc2018830_1067777946"/>
      <w:bookmarkStart w:id="678" w:name="_Toc253"/>
      <w:bookmarkEnd w:id="677"/>
      <w:r>
        <w:rPr>
          <w:rtl w:val="true"/>
        </w:rPr>
        <w:t>[</w:t>
      </w:r>
      <w:r>
        <w:rPr>
          <w:rtl w:val="true"/>
        </w:rPr>
        <w:t>المقصد الأوّل في الإحصار والصدّ</w:t>
      </w:r>
      <w:r>
        <w:rPr>
          <w:rtl w:val="true"/>
        </w:rPr>
        <w:t>]</w:t>
      </w:r>
      <w:bookmarkEnd w:id="6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الإحصار والصدّ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الحصر والصدّ اشتركا في ثبوت أصل التحلّل عند المنع من إكمال النسك في الجملة، وافترقا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التحلّل وعدمه، فإنّ المصدود يحلّ له بالمحلّل كلّ شيء حرّمه الإحرام، والمحصر ما عدا النساء، بل يتوقّف حلّهنّ على طوافهنّ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الهدي وعدمه، فإنّ المحصر يجب عليه الهدي إجماعاً، وفي المصدود قولان، وإن كان الأقوى مساواته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الهدي، فإنّ المصدود يذبحه أو ينحره حيث وجد المانع، والمحصر يختصّ مكانه بمكّة إن كان في إحرام العمرة، وبمنى إن كان في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التحلّل، فإن المحصر لا يحلّ إلّا بالهدي والحلق أو التقصير، وفي افتقار المصدود إلى أحدهما قولان، وإن كان الأقوى 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تحلّل المصدود يقينِي لفعله في مكانه، والمحصر تحلّله بالمواعدة الممكن غلطها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الاشتراط بأنّها في المحصر تعجيل التحلّل، وفي المصدود ما تقدّم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خشي الفوات لم يتحلّل، وصبر حتّى يتحقّق، ثمّ يتحلّل بعمرة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لو أمكن سلوك طريق بعيدة لم يجز أن يتحلّل بالهدي، وإن خشي فوات </w:t>
      </w:r>
    </w:p>
    <w:p>
      <w:pPr>
        <w:pStyle w:val="BookText"/>
        <w:rPr/>
      </w:pPr>
      <w:r>
        <w:rPr>
          <w:rFonts w:ascii="Amiri" w:hAnsi="Amiri" w:eastAsia="Amiri" w:cs="Amiri"/>
          <w:color w:val="111111"/>
          <w:sz w:val="28"/>
          <w:sz w:val="28"/>
          <w:szCs w:val="28"/>
          <w:rtl w:val="true"/>
          <w:lang w:bidi="ar-SA"/>
        </w:rPr>
        <w:t>الحجّ بسلوكه، لفقد الصدّ حينئذٍ، بل يجب عليه سلوكه إلى أن يتحقّق الفوات ثمّ يتحلّل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قصرت نفقته بسلوكه جاز له التحلّل؛ لأنّه حينئذٍ مصدود، ولا طريق له سوى موضع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يقضي في القابل إن كان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وجوباً مستقرّاً قبل عام الفوات، أو بتقصيره في السفر بحيث لولاه لما فاته الحجّ، وإلّا لم يجب القضاء وإن كان الحجّ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إلّا بعد الهدي ونيّة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الحلق أو التقصير بعد ذلك فلا يحلّ بدونه، وموضعه مكان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بذلك من كلّ ما أحرم منه حتّى النساء من غير توقّف على طوافهنّ، بخلاف المحصر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البحث في المعتمر إذا منع عن الوصول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هدي التحلّل،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ما ساقه،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التداخل إن كان السياق واجباً بنذرٍ وشبهه، أو بالإشعار وما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لم يتعيّن ذبحه؛ لأنّه لم يشعره ولم يقلّده ولا وجد منه ما اقتضى وجوبه، بل ساقه بنيّة أنّه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بدل لهدي التحلّل، فلو عجز عنه وعن ثمنه بقي على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يتحقّق الفوات، فيتحلّل حينئذٍ بعمرة إن أمكن، وإلّا بقي على إحرامه إلى أن يجد الهدي، أو يقدر على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حُبس بدين، فإن كان قادراً عليه لم يتحلّل، وإن عجز تحلّل، وكذا لو حُبس ظلماً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كون المشبّه به مجموع حكم المحبوس بدَين بقسميه، وكونه القسم الأخير منه،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حينئذٍ جواز تحلّل المحبوس ظلماً، سواءً قدر على دفع المطلوب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موضع خلاف؛ فلذلك احتملت العبارة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 وجوب دفعه مع الإمكان مطلقاً، فيكون الحكم فيه كالحقّ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صابر ففات الحجّ لم يجز له التحلّل بالهدي، وتتحلّل بالعمرة ولا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رجاء زوال العذر قبل خروج الوقت مع المصابرة وعدمه، بل يجوز الصبر إلى أن يفوت الوقت مطلقاً، ويتحلّل حينئذٍ بعمرة لأجل الفوات مع الإمكان، لانتفاء الصدّ حينئذٍ، ويسقط عنه دم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استمرّ المنع عن مكّة بعد الفوات تحلّل من العمرة بالهدي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القضاء إن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وجوباً أصليّاً مستقرّاً كما تقدّم في نظيره، أو مع التفريط في السفر بحيث لو بادر لم يحصل المانع، فلا يجب قضاء ما وجب في عامه وفات بغير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أفسد حجّه فصدّ كان عليه بدنة ودم التحلّل والحجّ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وجوب الحجّ من قابل؛ لأنّ الإفساد موجب لذلك، وإنّما الكلام في وجوب حجّة أُخرى بعد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فرضه والثانية عقوبة، لم يكف الحجّ الواحد، بل يجب عليه حجّتان؛ لأنّ حجّ الإسلام إذا تحلّل منه بسبب الصدّ وجب الإتيان به بعد ذلك إذا كان وجوبه مستقرّاً كما مرّ، وحجّ العقوبة بعد ذلك بسبب الإفساد، وإن لم يكن مستقرّاً لم يجب سوى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عقوبة، والحال أنّه قد تحلّل منها، فيبني على أنّ حجّ العقوبة إذا تحلّل منه بالصدّ هل يجب قضاؤه أم لا؟ وفيه خلاف، فإن قلنا بوجوب قضائه وجب عليه حجّان آخران أيضاً، أحدهما حجّ الإسلام، والآخر قضاء العقوبة، ويجب تقديم حجّ الإسلام على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قضائه كفاه حجّ الإسلام، ولعلّه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لم يكن الوجوب مستقرّاً لم يكن عليه قضاء أصلاً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انكشف العدوّ في وقت يتّسع لاستئناف القضاء وجب، وهو حجّ يُقضى لسَنَتِهِ وعلى ما قلناه فحجّة العقوبة 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تتمّة المسألة السابقة، وحاصله أنّه لو أفسد حجّه ثمّ تحلّل للصدّ، فانكشف العدوّ وفي الوقت سعة بحيث يمكنه أن يأتي بأفعال الحجّ المعتبرة في صحّته، وجب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إكمال الأُولى التي قد فسدت عقوبة، استأنف عند زوال العذر حجّة الإسلام؛ وإن قلنا بعدم وجوب قضاء حجّة العقوبة، فهو حجّ يقضى لسَنَتِهِ، بمعنى أنّه لا يجب عليه حجّ آخر غيره، وليس معنى حجّ يقضى لسنته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الفاسدة حجّة الإسلام، أوقلنا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 العقوبة يقضى إذا أفسد، وجب عليه حجّ الإسلام في الوقت الذي تبيّن سعته، ويبقى حجّ العقوبة واجباً عليه في القابل، ولم يكن حجّاً يقضى لسنته بالمعنى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يندفع العدوّ إلّا بالقتال لم يجب، سواء غلب على ظنّه السلامة أو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كون العدوّ مسلماً أو كافراً على الأقوى، ولو بدأ العدوّ بالقتال وجب دفاعهم مع المكنة، فإن لبس جُنّةً للقتال ساترةً للرأس أو محيطة فعليه فدية، كما لو لبس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نفساً أو أتلف مالاً لم يضمن، ولو قتل صيد الكفّارة كان عليه الجزاء لله، ولا قيمة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 مالاً لم يجب بذله، ولو قيل بوجوبه إذا كان غير مجحف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الأقوى وجوبه مع الإمكان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يبعث ما ساقه، ولو لم يسق بعث هدياً أو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الاكتفاء بالهدي المسوق، أو عدمه، أو التفصيل الأقوى بكونه واجباً فلا يجزئ أو مندوباً فيجزئ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قصّر وأحلّ إلّا من النساء خاصّة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ببلوغ محلّه حضور الوقت الذي وافق أصحابه للذبح أو النحر فيه في المكان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ذلك الوقت أحلّ بالتقصير أو بالحلق في غير عمرة التمتّع، وتوقّف حلّ النساء على طوافهنّ يتمّ مع وجوب طوافهنّ في النسك، فلو كان عمرة التمتّع فالأقوى الإحلال منهنّ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بالواجب المستقرّ كما مرّ، فلو لم يكن مستقرّاً لم يجب العود للحجّ، وجازت الاستنابة في الطواف كما لو لم يكن واجباً، وكذا لو تعذّر عليه العود في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والمعتمر إذا تحلّل يقضي عمرته عند زوال العذر،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مرجع الخلاف إلى الخلاف في الزمان الذي يجب أن يكون بين العمرتين مطلقاً،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تحديده، وإنّما يجب قضاؤها مع استقرارها أو التفريط،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والقارن إذا أُحصر فتحلّل لم يحجّ في القابل إلّا قارناً،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بما كان واجباً، وإن كان ندباً حجّ بما شاء من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القضاء يساوي الأداء، فإن كان متعيّناً بنوع فَعَله، وإن كان مخيّراً، تخيّر، وكذا المندوب لو أراد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باعث الهدي تطوّعاً يواعد أصحابه وقتاً لذبحه أو نحره، ثمّ يجتنب جميع ما يجتنبه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وقت المواعدة أحلّ، لكن هذا لايُلبّي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الكيفيّة وردت بها روايات صحيحة،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أن يحجّ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ذلك أموالنا،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يقدر أحدكم إذا خرج أخوه أن يبعث معه بثمن أُضحيّة ويأمره أن يطوف عنه أُسبوعاً بالبيت ويذبح عنه، فإذا كان يوم عرفة لبس ثيابه وتهيّأ وأتى المسجد فلايزال في الدعاء حتّى تغرب الشمس</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هذه العبارة أنّ من أراد ذلك وهو في أُفق من الآفاق أن يبعث هدياً أو ثمنه مع بعض أصحابه، ويواعده يوماً لإشعاره أو تقليده، فإذا حضر ذلك الوقت اجتنب ما يجتنبه المحرم، فيكون ذلك بمنزلة إحرامه، لكن لا يلبّي، فإذا كان يوم عرفة اشتغل بالدعاء من الزوال إلى الغروب، كما يفعله مَن حضرها، ويبقى على إحرامه إلى يوم النحر حين المواعدة لذبحه، فيحلّ ويكون ذلك له بمنزلة الحجّ</w:t>
      </w:r>
      <w:r>
        <w:rPr>
          <w:rFonts w:eastAsia="Amiri" w:cs="Amiri" w:ascii="Amiri" w:hAnsi="Amiri"/>
          <w:color w:val="111111"/>
          <w:sz w:val="28"/>
          <w:szCs w:val="28"/>
          <w:rtl w:val="true"/>
          <w:lang w:bidi="ar-SA"/>
        </w:rPr>
        <w:t xml:space="preserve">. </w:t>
      </w:r>
      <w:bookmarkStart w:id="679" w:name="pg10178_83750"/>
    </w:p>
    <w:p>
      <w:pPr>
        <w:pStyle w:val="Heading4"/>
        <w:numPr>
          <w:ilvl w:val="3"/>
          <w:numId w:val="1"/>
        </w:numPr>
        <w:rPr/>
      </w:pPr>
      <w:bookmarkStart w:id="680" w:name="__RefHeading___Toc2018832_1067777946"/>
      <w:bookmarkStart w:id="681" w:name="_Toc254"/>
      <w:bookmarkEnd w:id="679"/>
      <w:bookmarkEnd w:id="680"/>
      <w:r>
        <w:rPr>
          <w:rtl w:val="true"/>
        </w:rPr>
        <w:t>[</w:t>
      </w:r>
      <w:r>
        <w:rPr>
          <w:rtl w:val="true"/>
        </w:rPr>
        <w:t>المقصد الثاني في أحكام الصيد</w:t>
      </w:r>
      <w:r>
        <w:rPr>
          <w:rtl w:val="true"/>
        </w:rPr>
        <w:t>]</w:t>
      </w:r>
      <w:bookmarkEnd w:id="681"/>
    </w:p>
    <w:p>
      <w:pPr>
        <w:pStyle w:val="Heading5"/>
        <w:numPr>
          <w:ilvl w:val="4"/>
          <w:numId w:val="1"/>
        </w:numPr>
        <w:rPr/>
      </w:pPr>
      <w:bookmarkStart w:id="682" w:name="__RefHeading___Toc2018834_1067777946"/>
      <w:bookmarkStart w:id="683" w:name="_Toc255"/>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هو الحيوان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التعريف غير جامع ولا مانع، والتعريف الجامع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الصيد المحلّل الممتنع بالأصالة، ومن المحرّم الثعلب والأرنب والضبّ واليربوع والقنفذ والزنبور والقمّل والأسد والعضاية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لما تقدّم من تحريم تلك المحرّمات</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018836_1067777946"/>
      <w:bookmarkStart w:id="685" w:name="_Toc256"/>
      <w:bookmarkEnd w:id="684"/>
      <w:r>
        <w:rPr>
          <w:rtl w:val="true"/>
        </w:rPr>
        <w:t>[</w:t>
      </w:r>
      <w:r>
        <w:rPr>
          <w:rtl w:val="true"/>
        </w:rPr>
        <w:t>ما لا يتعلّق به كفّارة</w:t>
      </w:r>
      <w:r>
        <w:rPr>
          <w:rtl w:val="true"/>
        </w:rPr>
        <w:t>]</w:t>
      </w:r>
      <w:bookmarkEnd w:id="6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يبيض ويُفرخ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وكسر الراء، وبفتح الفاء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أفرخ الطائر وفرّخ، المراد أنّ الماء محلّ </w:t>
      </w:r>
      <w:r>
        <w:rPr>
          <w:rStyle w:val="FootnoteAnchor"/>
          <w:rtl w:val="true"/>
        </w:rPr>
        <w:footnoteReference w:id="212"/>
      </w:r>
      <w:r>
        <w:rPr>
          <w:rFonts w:ascii="Amiri" w:hAnsi="Amiri" w:eastAsia="Amiri" w:cs="Amiri"/>
          <w:color w:val="111111"/>
          <w:sz w:val="28"/>
          <w:sz w:val="28"/>
          <w:szCs w:val="28"/>
          <w:rtl w:val="true"/>
          <w:lang w:bidi="ar-SA"/>
        </w:rPr>
        <w:t>بيضه وإفراخه معاً كالسمك، فما يلازم الماء ولا يبيض فيه كالبطّ ليس ببحري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الدجاج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مثل صيد البحر في عدم تحريم صيده، وهو طائر أغبر اللون في قدر الدجاج الأهلي أصله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كفّارة في قتل السباع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عدم الكفّارة في قتلها عدم تحريم صيدها، والأقوى أنّه لا شيء في قتلها </w:t>
      </w:r>
      <w:bookmarkStart w:id="686" w:name="pg10178_83751"/>
    </w:p>
    <w:p>
      <w:pPr>
        <w:pStyle w:val="BookText"/>
        <w:rPr/>
      </w:pPr>
      <w:bookmarkEnd w:id="686"/>
      <w:r>
        <w:rPr>
          <w:rFonts w:ascii="Amiri" w:hAnsi="Amiri" w:eastAsia="Amiri" w:cs="Amiri"/>
          <w:color w:val="111111"/>
          <w:sz w:val="28"/>
          <w:sz w:val="28"/>
          <w:szCs w:val="28"/>
          <w:rtl w:val="true"/>
          <w:lang w:bidi="ar-SA"/>
        </w:rPr>
        <w:t xml:space="preserve">مطلقاً، والرواية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لا كفّارة فيما تولّد بين وحشي وإنسي، أو بين ما يحلّ للمحرم وما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الاسم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ولابأس بقتل الأفعى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وبرمي الحدأة والغراب 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قتلهما، ولا فرق في الغراب بين المحلّل منه على قول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وفتح الدال مع الهمز المتحرّك، مثال 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الزنبور تردّد، والوجه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شراء القَماري والدباسي وإخراجها من مكّة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مطوّق منسوب إلى طيرٍ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والدباسي جمع دبسي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طيرٍ 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يسيل من الرطب، وهما مستثنيان من الصيد باعتبار جواز شرائهما وإخراجهما من الحرم لا مطلقاً</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2018838_1067777946"/>
      <w:bookmarkStart w:id="688" w:name="_Toc257"/>
      <w:bookmarkEnd w:id="687"/>
      <w:r>
        <w:rPr>
          <w:rtl w:val="true"/>
        </w:rPr>
        <w:t>[</w:t>
      </w:r>
      <w:r>
        <w:rPr>
          <w:rtl w:val="true"/>
        </w:rPr>
        <w:t>ما لكفّارته بدل على الخصوص</w:t>
      </w:r>
      <w:r>
        <w:rPr>
          <w:rtl w:val="true"/>
        </w:rPr>
        <w:t>]</w:t>
      </w:r>
      <w:bookmarkEnd w:id="6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لكفّارته بدل على الخصوص، وهو كلّ ما له مِثْل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المماثلة باعتبار الصورة، فإنّ النعامة تشابه البدنة، وبقرة الوحش تشابه الأهليّة، والظبي يشابه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في الثلاثة، لا في غيرها من ذوات الأمثال كالبيوض، فإنّها ليست مماثلة لفدائها صورة ولا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يراد بالمثل ما نصّ الشارع على مثليّته، سواء وافق صورة أم لا، وإنّما عبّر بالمثل تبعاً للآية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وفي قتلها بدنة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البدنة من الإبل الناقة، وهي ما كمل لها خمس سنين ودخلت في السادسة، ولا يجزئ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كبير نعامة وصغيرها، ذكرها وأنثاها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العجز تقوّم البدنة، ويُفضّ ثمنها على البرّ، ويتصدّق به لكلّ مسكين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إجزاء الطعام مطلقاً والاكتفاء بمدٍّ لكلّ مسكين، ولا تجب الزيادة على إطعام الستّين ولو فضل، ولا إكمالها لونقصت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صام عن كلّ مدّين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فيه كالإطعام، فلا يجب صوم الستّين لو نقصت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فضل ما لا يبلغ المدّ تصدّق به على مسكين، وصام بدله يوماً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فراخ النعامة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مثل ما في النعامة، والأُخرى من صغار الإبل،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بقرة أهليّة، ومع العجز تقوّم الأهليّة، ويفضّ ثمنها على البرّ، ويتصدّق به لكلّ مسكين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ما زاد على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هنا في البدل، كما تقدّم في النعامة، فلا يجب الزائد عن ثلاثين، ولا إكمال ما نقص عنها، وكذا القول في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الثعلب والأرنب شاة، وهو المرويّ،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في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على المرويّ، ويجب مع العجز عن الشاة إطعام عشرة مساكين، فإن لم يجد صام ثلاثة أيّام، كما في كلّ شاة لا نصّ على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حينئذٍ بينه وبين إلحاقهما بالظبي يظهر فيما لو نقصت قيمة الشاة عن إطعام عشرة مساكين، فعلى الإلحاق يقتصر على القيمة، وعلى الرواية يجب إطعام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والأبدال في الأقسام الثلاثة على التخيير،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أقوى، وموضع الخلاف من الثلاثة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الأخير في الثلاثة، وهو الثانية عشر والتسعة والثلاثة، فلا خلاف في أنّها مرتّبة على المتقدّم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كسر بيض النعام إذا تحرّك فيها الفرخ بِكارة من الإبل، لكلّ واحدة واحد</w:t>
      </w:r>
      <w:r>
        <w:rPr>
          <w:rFonts w:eastAsia="Amiri" w:cs="Amiri" w:ascii="Amiri" w:hAnsi="Amiri"/>
          <w:color w:val="111111"/>
          <w:sz w:val="28"/>
          <w:szCs w:val="28"/>
          <w:rtl w:val="true"/>
          <w:lang w:bidi="ar-SA"/>
        </w:rPr>
        <w:t xml:space="preserve">». </w:t>
      </w:r>
      <w:bookmarkStart w:id="689" w:name="pg10178_83753"/>
    </w:p>
    <w:p>
      <w:pPr>
        <w:pStyle w:val="BookText"/>
        <w:rPr/>
      </w:pPr>
      <w:bookmarkEnd w:id="689"/>
      <w:r>
        <w:rPr>
          <w:rFonts w:ascii="Amiri" w:hAnsi="Amiri" w:eastAsia="Amiri" w:cs="Amiri"/>
          <w:color w:val="111111"/>
          <w:sz w:val="28"/>
          <w:sz w:val="28"/>
          <w:szCs w:val="28"/>
          <w:rtl w:val="true"/>
          <w:lang w:bidi="ar-SA"/>
        </w:rPr>
        <w:t xml:space="preserve">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بَكر وبَكرة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الفتي من الإبل، ذكراً كان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التحرّك إرسال فحولة الابل في إناث منها بعدد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الإناث بعدد البيض، أمّا الذكر فيعتبر منه ما احتاجت إليه الإناث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مع الإرسال من مشاهدة كلّ واحدة قد طرقت من الفحل، وصلاحيّة الإناث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كسر بيض القطا والقَبْج إذا تحرّك الفرخ من صغار الغنم،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البيضة مخاض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الحَجَل، والمخاض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الحوامل من النوق، والأقوى مع التحرّك وجوب بكارة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كان كمن كسر 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لفظ الشيخ </w:t>
      </w:r>
      <w:r>
        <w:rPr>
          <w:rStyle w:val="FootnoteAnchor"/>
          <w:rtl w:val="true"/>
        </w:rPr>
        <w:footnoteReference w:id="215"/>
      </w:r>
      <w:r>
        <w:rPr>
          <w:rFonts w:ascii="Amiri" w:hAnsi="Amiri" w:eastAsia="Amiri" w:cs="Amiri"/>
          <w:color w:val="111111"/>
          <w:sz w:val="28"/>
          <w:sz w:val="28"/>
          <w:szCs w:val="28"/>
          <w:rtl w:val="true"/>
          <w:lang w:bidi="ar-SA"/>
        </w:rPr>
        <w:t xml:space="preserve">، وقد اختلف في تفسيره، 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فسّره به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أنّه يجب عن كلّ بيضة شاة </w:t>
      </w:r>
      <w:r>
        <w:rPr>
          <w:rStyle w:val="FootnoteAnchor"/>
          <w:rtl w:val="true"/>
        </w:rPr>
        <w:footnoteReference w:id="216"/>
      </w:r>
      <w:r>
        <w:rPr>
          <w:rFonts w:ascii="Amiri" w:hAnsi="Amiri" w:eastAsia="Amiri" w:cs="Amiri"/>
          <w:color w:val="111111"/>
          <w:sz w:val="28"/>
          <w:sz w:val="28"/>
          <w:szCs w:val="28"/>
          <w:rtl w:val="true"/>
          <w:lang w:bidi="ar-SA"/>
        </w:rPr>
        <w:t>، فإن عجز عنها أطعم عشرة مساكين،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يطعم عشرة مساكين، فإن عجز صام ثلاثة أيّام </w:t>
      </w:r>
      <w:r>
        <w:rPr>
          <w:rStyle w:val="FootnoteAnchor"/>
          <w:rtl w:val="true"/>
        </w:rPr>
        <w:footnoteReference w:id="217"/>
      </w:r>
      <w:r>
        <w:rPr>
          <w:rFonts w:ascii="Amiri" w:hAnsi="Amiri" w:eastAsia="Amiri" w:cs="Amiri"/>
          <w:color w:val="111111"/>
          <w:sz w:val="28"/>
          <w:sz w:val="28"/>
          <w:szCs w:val="28"/>
          <w:rtl w:val="true"/>
          <w:lang w:bidi="ar-SA"/>
        </w:rPr>
        <w:t>وإنّما لم يعتبر الشاة هنا؛ لأنّها لاتجب مع إمكان الإرسال، وإنّما الواجب نتاجها حين يولد إن اتّفق، وهو أقلّ قيمة منها وأخفّ مؤونةً، فكيف يجب مع الحالة الاضطراريّة، ولم نقف على نصّ يكون سنداً للحكم لنعتبر منه ما يوافق الأمرين</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2018840_1067777946"/>
      <w:bookmarkStart w:id="691" w:name="_Toc258"/>
      <w:bookmarkEnd w:id="690"/>
      <w:r>
        <w:rPr>
          <w:rtl w:val="true"/>
        </w:rPr>
        <w:t>[</w:t>
      </w:r>
      <w:r>
        <w:rPr>
          <w:rtl w:val="true"/>
        </w:rPr>
        <w:t>ما لا بدل له على الخصوص</w:t>
      </w:r>
      <w:r>
        <w:rPr>
          <w:rtl w:val="true"/>
        </w:rPr>
        <w:t>]</w:t>
      </w:r>
      <w:bookmarkEnd w:id="69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بدل له على الخصوص، وهو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طائر </w:t>
      </w:r>
    </w:p>
    <w:p>
      <w:pPr>
        <w:pStyle w:val="BookText"/>
        <w:rPr/>
      </w:pPr>
      <w:r>
        <w:rPr>
          <w:rFonts w:ascii="Amiri" w:hAnsi="Amiri" w:eastAsia="Amiri" w:cs="Amiri"/>
          <w:color w:val="111111"/>
          <w:sz w:val="28"/>
          <w:sz w:val="28"/>
          <w:szCs w:val="28"/>
          <w:rtl w:val="true"/>
          <w:lang w:bidi="ar-SA"/>
        </w:rPr>
        <w:t>يهدر ويعبّ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يهدر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غير مصّ كما تعبّ الدوابّ، ولا يأخذه بمنقاره قطرة قطرة كالدجاج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التعريفين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إخراج القطا والحجل من التعريف؛ لأنّ لها كفّارة معيّنة غير كفّارة الحمام، مع مشاركتها لها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قتلها شاة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المحرم في الحلّ بقرينة قسيميه، لا مطلق المحرم، فإنّه لو كان في الحرم اجتمع عليه الأمران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فرخها للمحرم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الضأن ما له أربعة أشهر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أَسَأْتُمْ فَلَهَا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أي فعليها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محرماً في الحرم اجتمع عليه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عائد إلى الفعل المتقدّم المشتمل على الأقسام كلّها، فيجب عن الحمامة فيه شاة ودرهم، وعن الفرخ حمل ونصف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بيضها إذا تحرّك الفرخ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التحرّك على المحرم درهم، وعلى المحلّ ربع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محرماً في الحرم لزمه درهم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تفصيله حكم البيض قبل تحرّك الفرخ بالحرم وغيره، وإطلاقه حكمه بعد التحرّك يقتضي استواء الأقسام الثلاثة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حكم المحرم في الحلّ، فلو كان محلّاً في الحرم فنصف درهم، ويجتمع الأمران على المحرم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الأهلي وحمام الحرم في القيمة إذا قتل في الحرم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قتل كلّ واحد منهما، فالجارّ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ويتصوّر الحمام الأهلي في </w:t>
      </w:r>
    </w:p>
    <w:p>
      <w:pPr>
        <w:pStyle w:val="BookText"/>
        <w:rPr/>
      </w:pPr>
      <w:r>
        <w:rPr>
          <w:rFonts w:ascii="Amiri" w:hAnsi="Amiri" w:eastAsia="Amiri" w:cs="Amiri"/>
          <w:color w:val="111111"/>
          <w:sz w:val="28"/>
          <w:sz w:val="28"/>
          <w:szCs w:val="28"/>
          <w:rtl w:val="true"/>
          <w:lang w:bidi="ar-SA"/>
        </w:rPr>
        <w:t>الحرم في القماري والدباسي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بالقيمة ما يعمّ الدرهم والفداء؛ ليدخل حكم بيضه وفرخه وغيرهما، وإنّما يستويان في ذلك مع إذن المالك في إتلاف الأهلي، أو كان المتلف هو المالك، وإلّا افترق الحكم؛ اذ يجتمع على المتلف الأهلي القيمة للمالك والفداء لله،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يُشترى بقيمة الحرمي عَلَف لحمامه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 الحيوان، وليكن قمحاً؛ للرواية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واحد من القطا والحجل والدرّاج حَمَلٌ قد فُطِم ورعى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المراد به ما سنّه من الغنم أربعة أشهر، وظاهر ما يجب في فرخها وفيها التنافي؛ فإنّ وجوب المخاض في فرخها أو بكرة يقتضي وجوب ذلك فيها بطريق أولى، فكيف يجب فيه أقلّ ما يجب في فرخها؟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الدروس بإمكان حمل المخاض هنا على بنت المخاض، أو أنّ فيه دليلاً على أنّ في القطاة أيضاً مخاضاً بطريق أولى، أو يجمع بين الأخبار بالتخيير </w:t>
      </w:r>
      <w:r>
        <w:rPr>
          <w:rStyle w:val="FootnoteAnchor"/>
          <w:rtl w:val="true"/>
        </w:rPr>
        <w:footnoteReference w:id="220"/>
      </w:r>
      <w:r>
        <w:rPr>
          <w:rFonts w:ascii="Amiri" w:hAnsi="Amiri" w:eastAsia="Amiri" w:cs="Amiri"/>
          <w:color w:val="111111"/>
          <w:sz w:val="28"/>
          <w:sz w:val="28"/>
          <w:szCs w:val="28"/>
          <w:rtl w:val="true"/>
          <w:lang w:bidi="ar-SA"/>
        </w:rPr>
        <w:t>، وفي الكلّ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أيضاً بأنّ مبنى شرعنا على اختلاف المتماثلات واتّفاق المختلفات، فجاز أن يثبت في الصغير أزيد ممّا يثبت في الكبير وإن كان ذلك خلاف الغالب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وأجود ما هنا ما أسلفناه من أنّ الواجب في الفرخ إنّما هو بكارة من صغار الغنم؛ لأنّ ذلك هو مدلول النصّ الصحيح، وهي غير منافية للحمل، وغايتها المساواة له، وهو أمر سائغ عقلاً، فإنّ مساواة الصغير للكبير في الحكم أمر واقع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كلّ واحد من القنفذ والضبّ واليربوع 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الجدي فيها هو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حمل فطيم </w:t>
      </w:r>
      <w:r>
        <w:rPr>
          <w:rStyle w:val="FootnoteAnchor"/>
          <w:rtl w:val="true"/>
        </w:rPr>
        <w:footnoteReference w:id="222"/>
      </w:r>
      <w:r>
        <w:rPr>
          <w:rFonts w:ascii="IRNazanin" w:hAnsi="IRNazanin" w:eastAsia="IRNazanin"/>
          <w:color w:val="111111"/>
          <w:sz w:val="28"/>
          <w:sz w:val="28"/>
          <w:szCs w:val="28"/>
          <w:rtl w:val="true"/>
          <w:lang w:bidi="fa-IR"/>
        </w:rPr>
        <w:t>، والظاهر إجزاؤهما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واحد من العصفور والقبّرة والصعوة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الطهارة أنّ العصفور ما دون الحمامة، ويظهر منه ومن غيره أنّ هنا صنف خاصّ منه، لأنّ القبّرة والصعوة ممّا دون الحمامة، فجعلهما قسيمين له يؤذن بالمغايرة، إلّا أن يكون من باب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المضمومة والباء المشدّدة بغير نون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القنبرة بالنون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 صغير له ذنب طويل يرمح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الجرادة تمرة، والأظهر 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إجزاء تمرة، وتمرة خير من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القملة يلقيها عن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به هو الحكم بالكفّ من الطعام، وحكم قتلها حكم إلقائها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البرغوث فلا شيء فيه وإن منعنا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قتل الكثير من الجراد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الكثرة إلى العرف، ويجب لما دونه لكلّ واحدة تمرة أوكفّ طعام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يمكنه التحرّز من قتله بأن كان على طريقه فلا إثم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بعدم الإمكان هنا المشقّة البالغة في تركه، بحيث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جميع ما ذكر من الفداء هو حكم المحرم في الحلّ، أمّا المحلّ في الحرم فعليه القيمة فيما لم ينصّ على غيرها، ويجتمع الأمران على المحرم في الحرم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لا تقدير لفديته ففي قتله قيمته</w:t>
      </w:r>
      <w:r>
        <w:rPr>
          <w:rFonts w:eastAsia="Amiri" w:cs="Amiri" w:ascii="Amiri" w:hAnsi="Amiri"/>
          <w:color w:val="111111"/>
          <w:sz w:val="28"/>
          <w:szCs w:val="28"/>
          <w:rtl w:val="true"/>
          <w:lang w:bidi="ar-SA"/>
        </w:rPr>
        <w:t xml:space="preserve">». </w:t>
      </w:r>
      <w:bookmarkStart w:id="692" w:name="pg10178_83757"/>
    </w:p>
    <w:p>
      <w:pPr>
        <w:pStyle w:val="BookText"/>
        <w:rPr/>
      </w:pPr>
      <w:bookmarkEnd w:id="692"/>
      <w:r>
        <w:rPr>
          <w:rFonts w:ascii="Amiri" w:hAnsi="Amiri" w:eastAsia="Amiri" w:cs="Amiri"/>
          <w:color w:val="111111"/>
          <w:sz w:val="28"/>
          <w:sz w:val="28"/>
          <w:szCs w:val="28"/>
          <w:rtl w:val="true"/>
          <w:lang w:bidi="ar-SA"/>
        </w:rPr>
        <w:t>إن كان محرماً في الحلّ أو محلّاً في الحرم، ولو اجتمع الوصفان تضاعفت القيمة ما لم تبلغ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البطّة والأوزّة والكُركي شاة،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القيمة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صيداً معيباً كالمكسور والأعور فداه بصحيح، ولو فداه بمثله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يجزئ مثله مع تساويهما في نوع العيب، بأن يفدي الأعور بالأعور والأعرج بالأعرج مع تساويهما في مقداره أيضاً، أمّا مع الاختلاف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 بتقويم الجزاء وقت الإخراج، وفيما لاقيمة لفديته وقت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أنّ الواجب في الأوّل هو المثل ما دام لا يريد الإخراج فلا حاجة إلى العدول إلى القيمة، وإنّما ينظر إليها عند إرادة الإخراج كسائر المثليّات؛ وفي الثاني ابتداءً هو القيمة، وهي تثبت في الذمّة وقت الجناية، فحينئذٍ يعتبر قدرها</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018842_1067777946"/>
      <w:bookmarkStart w:id="694" w:name="_Toc259"/>
      <w:bookmarkEnd w:id="693"/>
      <w:r>
        <w:rPr>
          <w:rtl w:val="true"/>
        </w:rPr>
        <w:t>[</w:t>
      </w:r>
      <w:r>
        <w:rPr>
          <w:rtl w:val="true"/>
        </w:rPr>
        <w:t>الفصل الثاني في موجبات الضمان</w:t>
      </w:r>
      <w:r>
        <w:rPr>
          <w:rtl w:val="true"/>
        </w:rPr>
        <w:t>]</w:t>
      </w:r>
      <w:bookmarkEnd w:id="694"/>
    </w:p>
    <w:p>
      <w:pPr>
        <w:pStyle w:val="Heading6"/>
        <w:numPr>
          <w:ilvl w:val="5"/>
          <w:numId w:val="1"/>
        </w:numPr>
        <w:rPr/>
      </w:pPr>
      <w:bookmarkStart w:id="695" w:name="__RefHeading___Toc2018844_1067777946"/>
      <w:bookmarkStart w:id="696" w:name="_Toc260"/>
      <w:bookmarkEnd w:id="695"/>
      <w:r>
        <w:rPr>
          <w:rtl w:val="true"/>
        </w:rPr>
        <w:t>[</w:t>
      </w:r>
      <w:r>
        <w:rPr/>
        <w:t>1</w:t>
      </w:r>
      <w:r>
        <w:rPr>
          <w:rtl w:val="true"/>
        </w:rPr>
        <w:t xml:space="preserve">- </w:t>
      </w:r>
      <w:r>
        <w:rPr>
          <w:rtl w:val="true"/>
        </w:rPr>
        <w:t>مباشرة الإتلاف</w:t>
      </w:r>
      <w:r>
        <w:rPr>
          <w:rtl w:val="true"/>
        </w:rPr>
        <w:t>]</w:t>
      </w:r>
      <w:bookmarkEnd w:id="6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الصيد موجب لفديته، فإن أكله لزمه فداء 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ماقتل ويلزمه قيمة ما أكل، وهو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الوجه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رمى صيداً فأصابه ولم يؤثّر فيه فلا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جرحه ثمّ رآه سويّاً ضمن أرشه،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كسر قرني الغزال نصف قيمته، وفي كلّ واحد ربع، وفي عينيه كمال قيمته، وفي كسر إحدى يديه نصف قيمته، وكذا في إحدى رجليه، وفي الرواية ضعف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الأرش في الجميع</w:t>
      </w:r>
      <w:r>
        <w:rPr>
          <w:rFonts w:eastAsia="Amiri" w:cs="Amiri" w:ascii="Amiri" w:hAnsi="Amiri"/>
          <w:color w:val="111111"/>
          <w:sz w:val="28"/>
          <w:szCs w:val="28"/>
          <w:rtl w:val="true"/>
          <w:lang w:bidi="ar-SA"/>
        </w:rPr>
        <w:t xml:space="preserve">. </w:t>
      </w:r>
      <w:bookmarkStart w:id="697" w:name="pg10178_83758"/>
    </w:p>
    <w:p>
      <w:pPr>
        <w:pStyle w:val="BookText"/>
        <w:rPr/>
      </w:pPr>
      <w:bookmarkEnd w:id="69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 جماعة في قتل صيد ضَمِن كلّ واحد منهم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كونهم مُحرمين ومُحلّين وبالتفريق، فيلزم كلّ منهم حكمه، ويجتمع على المحرم في الحرم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اشتركا فيه في الحلّ فلا شيء على المحلّ، وعلى المحرم تمام الفداء إن أصاباه دفعة أو تقدّم المحرم، ولو تقدّم المحلّ فعلى المحرم جزاء 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ضرب بطير على الأرض كان عليه دم وقيمة للحرم وأُخرى لاستصغاره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ومستنده غير واضح، وحكمه على الإطلاق مشكل، فإنّ من الطير ما يوجب أزيد من الدم كالنعامة، ومنه ما يوجب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ثلاث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لإحرامه، وقيمة للحرم، وقيمة لاستصغاره إيّاه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شرب لبن ظبية في الحرم لزمه دم وقيمة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لو كان محرماً في الحرم، فلو كان في الحلّ أو محلّاً في الحرم فعليه القيمة؛ لأنّه ممّا لا نصّ على فدائه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ولورمى الصيد وهو محلّ، فأصابه وهو محرم 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جعل في رأسه ما يقتل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أحرم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يتمكّن من إزالته حالة الإحرام، وإلّا ضمن على الأقوى</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2018846_1067777946"/>
      <w:bookmarkStart w:id="699" w:name="_Toc261"/>
      <w:bookmarkEnd w:id="698"/>
      <w:r>
        <w:rPr>
          <w:rtl w:val="true"/>
        </w:rPr>
        <w:t>[</w:t>
      </w:r>
      <w:r>
        <w:rPr/>
        <w:t>2</w:t>
      </w:r>
      <w:r>
        <w:rPr>
          <w:rtl w:val="true"/>
        </w:rPr>
        <w:t xml:space="preserve">- </w:t>
      </w:r>
      <w:r>
        <w:rPr>
          <w:rtl w:val="true"/>
        </w:rPr>
        <w:t>اليد</w:t>
      </w:r>
      <w:r>
        <w:rPr>
          <w:rtl w:val="true"/>
        </w:rPr>
        <w:t>]</w:t>
      </w:r>
      <w:bookmarkEnd w:id="6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معه صيد فأحرم زال ملكه عنه، ووجب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قبل إرساله لزمه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تقصيره في الإرسال بأن تمكّن منه وترك، وإلّا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يرسله حتّى أحلّ أثم، ولا يجب إرساله بعد ذلك على الأقوى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أمسك المحرم صيداً فذبحه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محلّين في الحرم لم يتضاعف</w:t>
      </w:r>
      <w:r>
        <w:rPr>
          <w:rFonts w:eastAsia="Amiri" w:cs="Amiri" w:ascii="Amiri" w:hAnsi="Amiri"/>
          <w:color w:val="111111"/>
          <w:sz w:val="28"/>
          <w:szCs w:val="28"/>
          <w:rtl w:val="true"/>
          <w:lang w:bidi="ar-SA"/>
        </w:rPr>
        <w:t xml:space="preserve">. </w:t>
      </w:r>
      <w:bookmarkStart w:id="700" w:name="pg10178_83759"/>
    </w:p>
    <w:p>
      <w:pPr>
        <w:pStyle w:val="BookText"/>
        <w:rPr/>
      </w:pPr>
      <w:bookmarkEnd w:id="700"/>
      <w:r>
        <w:rPr>
          <w:rFonts w:ascii="Amiri" w:hAnsi="Amiri" w:eastAsia="Amiri" w:cs="Amiri"/>
          <w:color w:val="111111"/>
          <w:sz w:val="28"/>
          <w:sz w:val="28"/>
          <w:szCs w:val="28"/>
          <w:rtl w:val="true"/>
          <w:lang w:bidi="ar-SA"/>
        </w:rPr>
        <w:t>ولو كان أحدهما مُحرماً تضاعف الفداء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تضاعف الفداء في الحرم وجوب المثل المنصوص والقيمة، وإطلاق التضاعف عليه مجاز؛ إذ لم يتكرّر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كانا محلّين في الحرم لم يتضاعف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نقل بيض صيد عن موضعه ففسد،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ضمانه ما لم يتحقّق خروج الفرخ منه سليماً</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2018848_1067777946"/>
      <w:bookmarkStart w:id="702" w:name="_Toc262"/>
      <w:bookmarkEnd w:id="701"/>
      <w:r>
        <w:rPr>
          <w:rtl w:val="true"/>
        </w:rPr>
        <w:t>[</w:t>
      </w:r>
      <w:r>
        <w:rPr/>
        <w:t>3</w:t>
      </w:r>
      <w:r>
        <w:rPr>
          <w:rtl w:val="true"/>
        </w:rPr>
        <w:t xml:space="preserve">- </w:t>
      </w:r>
      <w:r>
        <w:rPr>
          <w:rtl w:val="true"/>
        </w:rPr>
        <w:t>السبب</w:t>
      </w:r>
      <w:r>
        <w:rPr>
          <w:rtl w:val="true"/>
        </w:rPr>
        <w:t>]</w:t>
      </w:r>
      <w:bookmarkEnd w:id="7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أغلق على حمام من حمام الحرم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وبيض ضمن بالإغلاق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جماعة من الأصحاب كذلك مطلقاً </w:t>
      </w:r>
      <w:r>
        <w:rPr>
          <w:rStyle w:val="FootnoteAnchor"/>
          <w:rtl w:val="true"/>
        </w:rPr>
        <w:footnoteReference w:id="225"/>
      </w:r>
      <w:r>
        <w:rPr>
          <w:rFonts w:ascii="IRNazanin" w:hAnsi="IRNazanin" w:eastAsia="IRNazanin"/>
          <w:color w:val="111111"/>
          <w:sz w:val="28"/>
          <w:sz w:val="28"/>
          <w:szCs w:val="28"/>
          <w:rtl w:val="true"/>
          <w:lang w:bidi="fa-IR"/>
        </w:rPr>
        <w:t xml:space="preserve">، ومستنده رواية يونس بن يعقوب عن الصادق علیه السلام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تسليم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لما تقدّم من وجوب الجمع بین الفداء والقيمة على المحرم في الحرم، حيث إنّ الظاهر كون ذلك في الحرم، لأنّ حمام الحرم فيه غالباً، إلّا أن يحلّ ذلك على المحلّ في الحرم والمحرم في الحلّ، ويحكم على المحرم في الحرم بالأمرين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 حمام الحرم، فإن عاد فعليه شاة واحدة، وإن لم يعد فعن كلّ حمامة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نسب ذلك إلى القيل؛ لعدم ظهور مستنده، مع عدم مناسبته للقواعد الماضية من وجوب الفداء على المحرم في الحلّ، والقيمة على المحلّ في الحرم، والأمرين على جامع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يطابقها منه أن يحمل الحكم المذكور على ما لو نفّرها المحرم في الحلّ، فلو كان محلّاً في الحرم وجبت القيمة، أو محرماً في الحرم وجبت القيمة والشاة، خصوصاً إذا لم يعد، فإنّه منزّل منزلة الإتلاف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المنفَّر حمامة واحدة ولم تعد لزم مساواة حكمها عائدة لعدمه، وهو بعيد، </w:t>
      </w:r>
    </w:p>
    <w:p>
      <w:pPr>
        <w:pStyle w:val="BookText"/>
        <w:rPr/>
      </w:pPr>
      <w:r>
        <w:rPr>
          <w:rFonts w:ascii="Amiri" w:hAnsi="Amiri" w:eastAsia="Amiri" w:cs="Amiri"/>
          <w:color w:val="111111"/>
          <w:sz w:val="28"/>
          <w:sz w:val="28"/>
          <w:szCs w:val="28"/>
          <w:rtl w:val="true"/>
          <w:lang w:bidi="ar-SA"/>
        </w:rPr>
        <w:t>وكذا لو كان اثنتان فعادت واحدة وبقي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أوقد جماعة ناراً فوقع فيها صيد، لزم كلّ واحد منهم فداء إذا قصدوا الاصطياد، وإلّا ففداء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إطلاقه كغيره يشمل المحلّين والمحرمين في الحرم وفي الحلّ، والذي دلّت عليه الرواية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مستند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محرمين في غير الحرم، وعلی هذا فيتضاعف الواجب لو كانوا محرمين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اختلفوا في القصد وعدمه تعدّد الجزاء على من قصد، وعلى من لم يقصد فداء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 مع اتّحاده؛ لاستلزام مساواة القاصد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الموقد واحداً وقصد فعليه الجزاء، ولو لم يقصد فإشكال كالسابق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السائق يضمن ما تجنيه دابّته، وكذا الراكب إذا وقف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سار ضمن ما تجنيه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غير مختصّ بالصيد، بل ضمان جناية الدابّة كذلك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أمسك صيداً له طفل فتلف بإمساكه ضمن، وكذا لو أمسك المحلّ صيداً له طفل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المحكوم بضمانه هو الطفل؛ لأنّ المفروض تلفه بالسببيّة، وأمّا الممسك فإن تلف ضمن أيضاً،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كون الممسك مُحرماً، سواء كان في الحلّ أو الحرم، والمضمون بحسب حاله، وإطلاقه الضمان كذلك يشمل ما لو أمسكه في الحرم فتلف الولد في الحلّ، والحكم فيه كذلك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الصيد في شبكة فأراد تخليصه فهلك أو عاب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التعدّي أو التفريط، أمّا مع عدمهما وقصد الإحسان بتخليصه، ففي الضمان نظر من حيث إنّه محسن، ومثله ما لو خلّصه من فم المفترس ونحوه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 على صيدٍ فقُتل ضمنه</w:t>
      </w:r>
      <w:r>
        <w:rPr>
          <w:rFonts w:eastAsia="Amiri" w:cs="Amiri" w:ascii="Amiri" w:hAnsi="Amiri"/>
          <w:color w:val="111111"/>
          <w:sz w:val="28"/>
          <w:szCs w:val="28"/>
          <w:rtl w:val="true"/>
          <w:lang w:bidi="ar-SA"/>
        </w:rPr>
        <w:t xml:space="preserve">». </w:t>
      </w:r>
      <w:bookmarkStart w:id="703" w:name="pg10178_83761"/>
    </w:p>
    <w:p>
      <w:pPr>
        <w:pStyle w:val="BookText"/>
        <w:rPr/>
      </w:pPr>
      <w:bookmarkEnd w:id="703"/>
      <w:r>
        <w:rPr>
          <w:rFonts w:ascii="Amiri" w:hAnsi="Amiri" w:eastAsia="Amiri" w:cs="Amiri"/>
          <w:color w:val="111111"/>
          <w:sz w:val="28"/>
          <w:sz w:val="28"/>
          <w:szCs w:val="28"/>
          <w:rtl w:val="true"/>
          <w:lang w:bidi="ar-SA"/>
        </w:rPr>
        <w:t>المراد بالدالّ هنا المحرم، سواء كان في الحلّ أم الحرم، ومثله المحلّ في الحرم، أمّا لو كان محلّاً في الحلّ فدلّ محرماً ضمن المحرم خاصّة، وأثم المحلّ على الأقوى</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2018850_1067777946"/>
      <w:bookmarkStart w:id="705" w:name="_Toc263"/>
      <w:bookmarkEnd w:id="704"/>
      <w:r>
        <w:rPr>
          <w:rtl w:val="true"/>
        </w:rPr>
        <w:t>[</w:t>
      </w:r>
      <w:r>
        <w:rPr>
          <w:rtl w:val="true"/>
        </w:rPr>
        <w:t>الفصل الثالث في صيد الحرم</w:t>
      </w:r>
      <w:r>
        <w:rPr>
          <w:rtl w:val="true"/>
        </w:rPr>
        <w:t>]</w:t>
      </w:r>
      <w:bookmarkEnd w:id="7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الصيد على المحلّ في الحرم ما يحرم على المحرم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استثني من ذلك القمّل والبراغيث، فإنّ قتلهما لا يحرم على المحلّ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قتل صيداً في الحرم كان عليه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بالقاتل هنا المحلّ بقرينة المقام، والمراد بالفداء هنا القيمة؛ لأنّها هي الواجب على المحلّ في صيد الحرم، وإن كان الغالب إطلاقه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 جماعة في قتله فعلى كلّ واحد فداء،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الأقرب وجوبه على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يحرم وهو يؤمّ الحرم؟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بما يؤمّ الحرم الخارج عنه في الحلّ مع كونه قاصداً ومتوجّهاً إليه بحيث تدلّ</w:t>
      </w:r>
    </w:p>
    <w:p>
      <w:pPr>
        <w:pStyle w:val="BookText"/>
        <w:rPr/>
      </w:pPr>
      <w:r>
        <w:rPr>
          <w:rFonts w:ascii="Amiri" w:hAnsi="Amiri" w:eastAsia="Amiri" w:cs="Amiri"/>
          <w:color w:val="111111"/>
          <w:sz w:val="28"/>
          <w:sz w:val="28"/>
          <w:szCs w:val="28"/>
          <w:rtl w:val="true"/>
          <w:lang w:bidi="ar-SA"/>
        </w:rPr>
        <w:t>القرائن على إرادته دخوله، والأقوى كراهة قتله واستحباب الكفّارة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لو أصابه ودخل الحرم فمات ضمنه،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كالمستثنى ممّا تقدّم، بمعنى أنّ ما يؤمّ الحرم لا يضمن إلّا أن يموت في الحرم، والأقوى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لو رمى في الحلّ فمات في الحرم، سواء كان، آمّاً للحرم أم لا، فكان الأولى التعميم؛ لئلّا يوهم اختصاصه بالإثم حيث فرّعه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الاصطياد بين البريد والحرم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البريد خارج الحرم محیط به من كلّ جانب، وهو حرم الحرم، والمراد بالاصطياد بينه وبين الحرم الاصطياد في نفس البريد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صيد حمام الحرم وهو في الحلّ؟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الأحوط</w:t>
      </w:r>
      <w:r>
        <w:rPr>
          <w:rFonts w:eastAsia="Amiri" w:cs="Amiri" w:ascii="Amiri" w:hAnsi="Amiri"/>
          <w:color w:val="111111"/>
          <w:sz w:val="28"/>
          <w:szCs w:val="28"/>
          <w:rtl w:val="true"/>
          <w:lang w:bidi="ar-SA"/>
        </w:rPr>
        <w:t xml:space="preserve">». </w:t>
      </w:r>
      <w:bookmarkStart w:id="706" w:name="pg10178_83762"/>
    </w:p>
    <w:p>
      <w:pPr>
        <w:pStyle w:val="BookText"/>
        <w:rPr/>
      </w:pPr>
      <w:bookmarkEnd w:id="706"/>
      <w:r>
        <w:rPr>
          <w:rFonts w:ascii="IRNazanin" w:hAnsi="IRNazanin" w:eastAsia="IRNazanin"/>
          <w:color w:val="111111"/>
          <w:sz w:val="28"/>
          <w:sz w:val="28"/>
          <w:szCs w:val="28"/>
          <w:rtl w:val="true"/>
          <w:lang w:bidi="fa-IR"/>
        </w:rPr>
        <w:t>الأقوى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نتف ريشةً من حمام الحرم كان عليه صدقة، ويجب أن يسلّمها بتلك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العبارة مايدلّ على أنّه نتفها بيده حتّى يشير إليها، بل هي أعمّ، فلو اتّفق النتف بغير اليد تصدّق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النصّ الريشة </w:t>
      </w:r>
      <w:r>
        <w:rPr>
          <w:rStyle w:val="FootnoteAnchor"/>
          <w:rtl w:val="true"/>
        </w:rPr>
        <w:footnoteReference w:id="228"/>
      </w:r>
      <w:r>
        <w:rPr>
          <w:rFonts w:ascii="Amiri" w:hAnsi="Amiri" w:eastAsia="Amiri" w:cs="Amiri"/>
          <w:color w:val="111111"/>
          <w:sz w:val="28"/>
          <w:sz w:val="28"/>
          <w:szCs w:val="28"/>
          <w:rtl w:val="true"/>
          <w:lang w:bidi="ar-SA"/>
        </w:rPr>
        <w:t>، فلو نتف أكثر منها فالأرش على الأقوى إن كان النتف دفعة، وإلّا تعدّدت الصدقة بتعدّده، ولو لم يوجب نقصاً تصدّق بشيء كالواحدة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أحدثت الريشة نقصاً ضمن أرشه أيضاً، ولا يجب تسليمه باليد الجانية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ذبح المحلّ في الحرم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في ملكه شيء من الصيد على الأشبه،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وعليه إرساله إن كان حاضراً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شرط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في ملكه 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لمجموع ما سبق ليكون مخصّصاً لمحلّ الخلاف؛ إذ لا إشكال في عدم خروج الثاني عن ملكه، وما اختاره المصنِّف قويٌّ</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2018852_1067777946"/>
      <w:bookmarkStart w:id="708" w:name="_Toc264"/>
      <w:bookmarkEnd w:id="707"/>
      <w:r>
        <w:rPr>
          <w:rtl w:val="true"/>
        </w:rPr>
        <w:t>[</w:t>
      </w:r>
      <w:r>
        <w:rPr>
          <w:rtl w:val="true"/>
        </w:rPr>
        <w:t>الفصل الرابع في التوابع</w:t>
      </w:r>
      <w:r>
        <w:rPr>
          <w:rtl w:val="true"/>
        </w:rPr>
        <w:t>]</w:t>
      </w:r>
      <w:bookmarkEnd w:id="7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يتكرّر الصيد من المحرم نسياناً وجب عليه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تعمّد وجبت الكفّارة أوّلاً، ثمّ لا يتكرّر، وهو ممّن ينتقم الله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الخلاف تكرّر الصيد عمداً في الجميع، فلو كان الثاني خطأً لم يتكرّر وإن كان بعد عمد، وإن كانت العبارة تشعر بخلافه، والأقوى عدم التكرّر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مُحلّ بيض نعام لمحرمٍ فأكله، كان على المحرم عن كلّ بيضة شاة، وعلى المحلّ عن كلّ بيضة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الحكم مشهور بين الأصحاب، وهو مخالف للقواعد السالفة من عدم ضمان المحلّ في غير الحرم ما يحرم على المحرم وإن أعانه، ووجوب الإرسال لكسر بيض النعام قبل التحرّك، لا الشاة، وإنّما يتمّ وجوب الشاة إذا اشتراه المحلّ مكسوراً أو كسره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انتقل إلى المحلّ بدون الشراء، أو كان المشترى غير البيض ففي لحوق الأحكام للمحلّ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النصّ، والمشاركة في الغاية، ولو قيل بالاقتصار على مورد النصّ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الصيد في ملك المحرم باصطياد، ولا ابتياع، ولا هبة، ولا ميراث، هذا إذا كان عنده، ولو كان في بلده فيه تردّد، والأشبه أنّه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اضطرّ المحرم إلى أكل الصيد أكله وفداه، ولو كان عنده ميتة أكل الصيد إن أمكنه الفداء، وإلّا 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يأكل الصيد مطلقاً، ثمّ إن قدر على الفداء وإلّا انتقل إلى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الصيد مذكّى، أو أمكن تذكيته بأن يذبحه مُحلّ في الحلّ، وإلّا تعيّن أكل الميتة، ويجب الاقتصار في التناول منهما على ما تندفع به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الصيد مملوكاً ففداؤه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فداء المملوك لله تعالى وعليه القيمة لمالكه، ولو كان سبباً والمباشر غيره كالدالّ ضمن الفداء لله تعالى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مملوكاً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حيواناً، وإلّا وجب ذبحه أوّلاً بنيّة الكفّارة، ثمّ يتصدّق به على الفقراء والمساكين بالحرم، ولا يجب التعدّد وتجب الصدقة بجميع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كلّ مَن وجب عليه شاة في كفّارة الصيد وعجز عنها كان عليه إطعام عشرة مساكين، فإن عجز صام ثلاثة أيّام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على الرواية</w:t>
      </w:r>
      <w:r>
        <w:rPr>
          <w:rFonts w:eastAsia="Amiri" w:cs="Amiri" w:ascii="Amiri" w:hAnsi="Amiri"/>
          <w:color w:val="111111"/>
          <w:sz w:val="28"/>
          <w:szCs w:val="28"/>
          <w:rtl w:val="true"/>
          <w:lang w:bidi="ar-SA"/>
        </w:rPr>
        <w:t xml:space="preserve">. </w:t>
      </w:r>
      <w:bookmarkStart w:id="709" w:name="pg10178_83764"/>
    </w:p>
    <w:p>
      <w:pPr>
        <w:pStyle w:val="Heading4"/>
        <w:numPr>
          <w:ilvl w:val="3"/>
          <w:numId w:val="1"/>
        </w:numPr>
        <w:rPr/>
      </w:pPr>
      <w:bookmarkStart w:id="710" w:name="__RefHeading___Toc2018854_1067777946"/>
      <w:bookmarkStart w:id="711" w:name="_Toc265"/>
      <w:bookmarkEnd w:id="709"/>
      <w:bookmarkEnd w:id="710"/>
      <w:r>
        <w:rPr>
          <w:rtl w:val="true"/>
        </w:rPr>
        <w:t>[</w:t>
      </w:r>
      <w:r>
        <w:rPr>
          <w:rtl w:val="true"/>
        </w:rPr>
        <w:t>المقصد الثالث في باقي المحظورات</w:t>
      </w:r>
      <w:r>
        <w:rPr>
          <w:rtl w:val="true"/>
        </w:rPr>
        <w:t>]</w:t>
      </w:r>
      <w:bookmarkEnd w:id="711"/>
    </w:p>
    <w:p>
      <w:pPr>
        <w:pStyle w:val="Heading5"/>
        <w:numPr>
          <w:ilvl w:val="4"/>
          <w:numId w:val="1"/>
        </w:numPr>
        <w:rPr/>
      </w:pPr>
      <w:bookmarkStart w:id="712" w:name="__RefHeading___Toc2018856_1067777946"/>
      <w:bookmarkStart w:id="713" w:name="_Toc266"/>
      <w:bookmarkEnd w:id="712"/>
      <w:r>
        <w:rPr>
          <w:rtl w:val="true"/>
        </w:rPr>
        <w:t>[</w:t>
      </w:r>
      <w:r>
        <w:rPr>
          <w:rtl w:val="true"/>
        </w:rPr>
        <w:t>الاستمتاع بالنساء</w:t>
      </w:r>
      <w:r>
        <w:rPr>
          <w:rtl w:val="true"/>
        </w:rPr>
        <w:t>]</w:t>
      </w:r>
      <w:bookmarkEnd w:id="7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الاستمتاع بالنساء فمن جامع زوجته في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عامداً بالتحريم فسد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بالقيدين عن الجاهل والناسي، فلايجب عليهما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الزوجة بين الدائم والمستمتع بها، ولا بين الحرّة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 الحجّ يحصل بوقوع الفعل قبل المشعر وإن وقف بعرفة على الأصحّ، وإنّما أطلقه لما سيأتي من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امرأته محرمة مطاوعة لزمها مثل ذلك، وعليهما أن يفترقا إذا بلغا ذلك المكان حتّى يقضيا المناسك إذا حجّا على تلك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أوقعا فيه الخطيئة، والمراد بالافتراق في حجّ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عليهما الافتراق في بقيّة الحجّ الفاسد، ويعتبر في الثالث أن يكون محترماً، ولو توقّفت صحبته على عوض وجب عليهما، ولو حجّا على غير تلك الطريق فلا 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جامع بعد الوقوف بالمشعر ولو قبل أن يطوف طواف النساء، أو طاف منه ثلاثة أشواط فما دونه، أو جامع في غير الفرج قبل الوقوف كان حجّه صحيحاً، وعليه بدنة لا غير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تقتضي أنّه لو طاف طواف النساء تجب عليه البدنة، وليس كذلك، بل إنّما تجب لو وقع قبل طواف النساء، فإنّهن يحللن به، فكان الأولى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لتفيد تخصيص محلّ البدنة، والمراد بالجماع في غير الفرج نحو التفخيذ 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الاستمناء بدنة، وهل يفسد به الحجّ ويجب القضاء؟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بالاستمناء استدعاء المنيّ بالعبث أو بيده ونحوه، والفرق بينه وبين الاستمتاع بغير الجماع تجرّد الاستمتاع عن قصد الاستمناء، والاستمناء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جامع أمته محلّاً وهي محرمة بإذنه، تحمّل عنها الكفّارة بدنة، أو 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جامعها مكرهاً لها؛ بقرينة التحمّل عنها، فلو كانت مطاوعة وجبت عليها الكفّارة، وصامت عوض البدنة ثمانية عشر يوماً، ووجب عليها القضاء، وعليه مؤونته والتمكين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العلم بالتحريم والتعمّد، فلو كانت هي خاصّة جاهلة، فلا شيء عليها ووجبت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بإعساره هنا إعساره عن البدنة والبقرة، وبالصيام ثلاثة أيّام، كما هو الواقع في أبدال الشاة، والمرجع في الموسر والمعسر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طاف المحرم من طواف النساء خمسة أشواط ثمّ واقع، لم تلزمه الكفّارة، وبنى على طوافه،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مجاوزة النصف، والأوّل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البدنة وإن اكتفى ببلوغ الأربعة في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عقد المحرم لمحرم على امرأة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فعلى كلّ منهما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العاقد محلّاً على رواية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بدخول المحرم عمّا لو لم يدخل، فإنّه لا شيء عليهم سوى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بالكفّارة البدنة، ووجوبها على المحلّ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المستند نظر، ومن ثَمَّ نسبه إلى الرواية، وقد تضمّنت وجوب الكفّارة على المرأة المحلّة أيضاً مع علمها بإحرام الزوج</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الثلاثة مُحرمين وجبت على الجميع، ولو كانت المرأة والعاقد محرمين والزوج محلّاً وجبت الكفّارة على المرأة مع الدخول والعلم بسبب الدخول، لا بسبب العقد</w:t>
      </w:r>
      <w:r>
        <w:rPr>
          <w:rFonts w:eastAsia="Amiri" w:cs="Amiri" w:ascii="Amiri" w:hAnsi="Amiri"/>
          <w:color w:val="111111"/>
          <w:sz w:val="28"/>
          <w:szCs w:val="28"/>
          <w:rtl w:val="true"/>
          <w:lang w:bidi="ar-SA"/>
        </w:rPr>
        <w:t xml:space="preserve">. </w:t>
      </w:r>
      <w:bookmarkStart w:id="714" w:name="pg10178_83766"/>
    </w:p>
    <w:p>
      <w:pPr>
        <w:pStyle w:val="BookText"/>
        <w:rPr/>
      </w:pPr>
      <w:bookmarkEnd w:id="714"/>
      <w:r>
        <w:rPr>
          <w:rFonts w:ascii="Amiri" w:hAnsi="Amiri" w:eastAsia="Amiri" w:cs="Amiri"/>
          <w:color w:val="111111"/>
          <w:sz w:val="28"/>
          <w:sz w:val="28"/>
          <w:szCs w:val="28"/>
          <w:rtl w:val="true"/>
          <w:lang w:bidi="ar-SA"/>
        </w:rPr>
        <w:t>والضابط أنّ الزوجين لا يجب عليهما إلّا مع إحرامهما والدخول والعلم، والعاقد لا يجب عليه شيء إلّا مع إحرام الزوج ودخوله، وفيه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جامع في إحرام العمرة قبل السعي فسدت عمرته وعليه بدنة وقضاؤها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علمه وعمده، وتلحق بها الأجنبيّة، ويجب إتمامها أيضاً، ولو كانت عمرة التمتّع وجب إكمال الحجّ أيضاً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طاوعته المحرمة وجب عليها مثله، ولو أكرهها تحمّل عنها البدنة، ولا 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الجماع بعد السعي لم يفسد، وعليه البدنة ما لم يكملها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نظر إلى غير أهله فأمنى، كان 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المفهومات الثلاثة إلى العرف بالنسبة إلى الفاعل في حاله ومحلّه، وهذا الحكم إذا لم يكن معتاداً للإمناء عند النظر فقصده أو قصد الإمناء به، وإلّا كان حكمه حكم مستدعي المنيّ، وكذا الحكم فيما سيأتي</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2018858_1067777946"/>
      <w:bookmarkStart w:id="716" w:name="_Toc267"/>
      <w:bookmarkEnd w:id="715"/>
      <w:r>
        <w:rPr>
          <w:rtl w:val="true"/>
        </w:rPr>
        <w:t>[</w:t>
      </w:r>
      <w:r>
        <w:rPr>
          <w:rtl w:val="true"/>
        </w:rPr>
        <w:t>الطيب</w:t>
      </w:r>
      <w:r>
        <w:rPr>
          <w:rtl w:val="true"/>
        </w:rPr>
        <w:t>]</w:t>
      </w:r>
      <w:bookmarkEnd w:id="7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المحظور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فمن تطيّب كان عليه دم شاة سواء استعمله صبغاً أو إطلاءً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الصبغ ما يصطبغ به من الإدام، قاله الجوهري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بخلوق الكعبة ولو كان فيه زعفران، وكذا الفواكه كالأُترجّ والتفّاح، والرياحين كالورد والنيلوفر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معطوف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فيفيد جواز شمّه، ويمكن كونه معطوفاً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الأقوى تحريمه أيضاً، لكن يستثنى منه الشيح والخزامی والإذخر والقيصوم</w:t>
      </w:r>
      <w:r>
        <w:rPr>
          <w:rFonts w:eastAsia="IRNazanin" w:cs="IRNazanin"/>
          <w:color w:val="111111"/>
          <w:sz w:val="28"/>
          <w:szCs w:val="28"/>
          <w:rtl w:val="true"/>
          <w:lang w:bidi="fa-IR"/>
        </w:rPr>
        <w:t xml:space="preserve">. </w:t>
      </w:r>
      <w:bookmarkStart w:id="717" w:name="pg10178_83767"/>
    </w:p>
    <w:p>
      <w:pPr>
        <w:pStyle w:val="Heading5"/>
        <w:numPr>
          <w:ilvl w:val="4"/>
          <w:numId w:val="1"/>
        </w:numPr>
        <w:rPr/>
      </w:pPr>
      <w:bookmarkStart w:id="718" w:name="__RefHeading___Toc2018860_1067777946"/>
      <w:bookmarkStart w:id="719" w:name="_Toc268"/>
      <w:bookmarkEnd w:id="717"/>
      <w:bookmarkEnd w:id="718"/>
      <w:r>
        <w:rPr>
          <w:rtl w:val="true"/>
        </w:rPr>
        <w:t>[</w:t>
      </w:r>
      <w:r>
        <w:rPr>
          <w:rtl w:val="true"/>
        </w:rPr>
        <w:t>قلم الأظفار</w:t>
      </w:r>
      <w:r>
        <w:rPr>
          <w:rtl w:val="true"/>
        </w:rPr>
        <w:t>]</w:t>
      </w:r>
      <w:bookmarkEnd w:id="7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ظفر مدّ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 الدم والدمان إذا لم يتخلّل التكفير عن السابق قبل البلوغ إلى حدّ يوجب الشاة، وإلّا تعدّد المدّ خاصّة بحسب تعدّد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أفتى بتقليم ظفر فأدماه لزم المفتي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المفتي بين كونه محلّاً ومحرماً، ولا يشترط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صلاحيته للإفتاء بزعم المستفتي، ولو تعمّد المستفتي الإدماء فلا شيء</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2018862_1067777946"/>
      <w:bookmarkStart w:id="721" w:name="_Toc269"/>
      <w:bookmarkEnd w:id="720"/>
      <w:r>
        <w:rPr>
          <w:rtl w:val="true"/>
        </w:rPr>
        <w:t>[</w:t>
      </w:r>
      <w:r>
        <w:rPr>
          <w:rtl w:val="true"/>
        </w:rPr>
        <w:t>حلق الشعر</w:t>
      </w:r>
      <w:r>
        <w:rPr>
          <w:rtl w:val="true"/>
        </w:rPr>
        <w:t>]</w:t>
      </w:r>
      <w:bookmarkEnd w:id="7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شاة، أو إطعام عشرة مساكين، لكلّ مسكين 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لكلّ منهم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التخيير</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2018864_1067777946"/>
      <w:bookmarkStart w:id="723" w:name="_Toc270"/>
      <w:bookmarkEnd w:id="722"/>
      <w:r>
        <w:rPr>
          <w:rtl w:val="true"/>
        </w:rPr>
        <w:t>[</w:t>
      </w:r>
      <w:r>
        <w:rPr>
          <w:rtl w:val="true"/>
        </w:rPr>
        <w:t>الجدال</w:t>
      </w:r>
      <w:r>
        <w:rPr>
          <w:rtl w:val="true"/>
        </w:rPr>
        <w:t>]</w:t>
      </w:r>
      <w:bookmarkEnd w:id="7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وفي الكذب منه مرّة شاة، ومرّتين بقرة، وثلاثاً بدنة، وفي الصدق ثلاثاً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تجب البقرة عن الاثنتين كذباً إذا لم يسبق بالتكفير عن الواحدة، وإلّا وجبت الشاة للثانية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البدنة إنّما تجب للثلاثة إذا لم يسبق التكفير عن الأُولى، فيجب للأخيرتين بقرة، أو عن الثانية بالبقرة، فيجب عن الثالثة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ينظر عند التكفير إلى العدد السابق الذي لم يكفّر عنه بحسب عدده، وكذا القول في اليمين صادقاً بمعنى أنّه إن كفّر على كلّ ثلاث تعدّدت الشاة، وإن لم يكفّر حتّى زاد عنها فشاة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bookmarkStart w:id="724" w:name="pg10178_83768"/>
    </w:p>
    <w:p>
      <w:pPr>
        <w:pStyle w:val="Heading5"/>
        <w:numPr>
          <w:ilvl w:val="4"/>
          <w:numId w:val="1"/>
        </w:numPr>
        <w:rPr/>
      </w:pPr>
      <w:bookmarkStart w:id="725" w:name="__RefHeading___Toc2018866_1067777946"/>
      <w:bookmarkStart w:id="726" w:name="_Toc271"/>
      <w:bookmarkEnd w:id="724"/>
      <w:bookmarkEnd w:id="725"/>
      <w:r>
        <w:rPr>
          <w:rtl w:val="true"/>
        </w:rPr>
        <w:t>[</w:t>
      </w:r>
      <w:r>
        <w:rPr>
          <w:rtl w:val="true"/>
        </w:rPr>
        <w:t>قلع شجرة الحرم</w:t>
      </w:r>
      <w:r>
        <w:rPr>
          <w:rtl w:val="true"/>
        </w:rPr>
        <w:t>]</w:t>
      </w:r>
      <w:bookmarkEnd w:id="7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في قلع شجرة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الكبيرة بقرة ولو كان مُحِلّاً، وفي الصغيرة شاة، وفي أبعاضهما قيمته، وعندي في الجميع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المذكور هو المشهور بين الأصحاب، ومستنده غير صالح، فمن ثَمَّ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الكبيرة والصغيرة إلى العرف، ويستثنى منها شجر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استعمل دهناً طيِّباً في إحرامه ولو في حال الضرورة كان عليه شاة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كفّارته كفّارة الطيب، أمّا الدهن الذي لاطيب فيه فلا 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قيل فيمن قلع ضرسه، وفي الجميع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الكفّارة، ولا يلحق السنّ بالضرس على القول بالوجوب على الأقوى</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2018868_1067777946"/>
      <w:bookmarkStart w:id="728" w:name="_Toc272"/>
      <w:bookmarkEnd w:id="727"/>
      <w:r>
        <w:rPr>
          <w:rtl w:val="true"/>
        </w:rPr>
        <w:t>[</w:t>
      </w:r>
      <w:r>
        <w:rPr>
          <w:rtl w:val="true"/>
        </w:rPr>
        <w:t>خاتمة</w:t>
      </w:r>
      <w:r>
        <w:rPr>
          <w:rtl w:val="true"/>
        </w:rPr>
        <w:t>]</w:t>
      </w:r>
      <w:bookmarkEnd w:id="7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كرّر الحلق، فإن كان في وقت واحد لم تتكرّر الكفّارة، وإن كان في وقتين تكرّرت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اختلاف الوقتين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تكرّر منه اللبس أو الطيب، فإن اتّحد المجلس لم يتكرّر، وإن اختلف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تعدّد الفعل فيهما دون المجلس، فإن لبس المتعدّد وتطيّب به دفعة، بأن جمع الثياب جملة ووضعها على بدنه لم تتعدّد الكفّارة، وإن لبسها مترتّبة تعدّدت مطلقاً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مُحرم لبس أو أكل مالا يحلّ له أكله أو لبسه كان 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فيما لا نصّ في فديته كلبس الخُفّ وأكل لحم البطّة والإوزّة، وإلّا وجب مقدّره</w:t>
      </w:r>
      <w:r>
        <w:rPr>
          <w:rFonts w:eastAsia="Amiri" w:cs="Amiri" w:ascii="Amiri" w:hAnsi="Amiri"/>
          <w:color w:val="111111"/>
          <w:sz w:val="28"/>
          <w:szCs w:val="28"/>
          <w:rtl w:val="true"/>
          <w:lang w:bidi="ar-SA"/>
        </w:rPr>
        <w:t xml:space="preserve">. </w:t>
      </w:r>
      <w:bookmarkStart w:id="729" w:name="pg10178_83769"/>
    </w:p>
    <w:p>
      <w:pPr>
        <w:pStyle w:val="Heading2"/>
        <w:numPr>
          <w:ilvl w:val="1"/>
          <w:numId w:val="1"/>
        </w:numPr>
        <w:rPr/>
      </w:pPr>
      <w:bookmarkStart w:id="730" w:name="__RefHeading___Toc2018870_1067777946"/>
      <w:bookmarkStart w:id="731" w:name="_Toc273"/>
      <w:bookmarkEnd w:id="729"/>
      <w:bookmarkEnd w:id="730"/>
      <w:r>
        <w:rPr>
          <w:rtl w:val="true"/>
        </w:rPr>
        <w:t>كتاب العمرة</w:t>
      </w:r>
      <w:bookmarkEnd w:id="731"/>
    </w:p>
    <w:p>
      <w:pPr>
        <w:pStyle w:val="Heading3"/>
        <w:numPr>
          <w:ilvl w:val="2"/>
          <w:numId w:val="1"/>
        </w:numPr>
        <w:rPr/>
      </w:pPr>
      <w:bookmarkStart w:id="732" w:name="__RefHeading___Toc2018872_1067777946"/>
      <w:bookmarkStart w:id="733" w:name="_Toc274"/>
      <w:bookmarkEnd w:id="732"/>
      <w:r>
        <w:rPr>
          <w:rtl w:val="true"/>
        </w:rPr>
        <w:t>[</w:t>
      </w:r>
      <w:r>
        <w:rPr>
          <w:rtl w:val="true"/>
        </w:rPr>
        <w:t>صورتها</w:t>
      </w:r>
      <w:r>
        <w:rPr>
          <w:rtl w:val="true"/>
        </w:rPr>
        <w:t>]</w:t>
      </w:r>
      <w:bookmarkEnd w:id="7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وصورتها أن يحرم من الميقات الذي يسوغ له الإحرام منه، ثمّ يدخل مكّة فيطوف ويصلّي ركعتيه، ثمّ يسعى بين الصفا والمروة ويقصّر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التباس؛ لأنّه إن عاد إلى مطلق العمرة الشامل للمفردة والمتمتّع بها، كما يشعر به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تنقسم إلى متمتّع بها ومفردة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لاختلاف صورتهما، وإن اشتركا في أكثر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عاد إلى المتمتّع بها،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يدخل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الأفعال التي عدّدها، ولم يذكر فيها طواف النساء المختصّ بالمفردة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للضمير مرجع صالح، ثمّ ينافيه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وأفعالها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 طواف النساء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عاد إلى المفردة حصل التنافي أيضاً بين العبارتين المقدّرة فيهما الأفعال، لكن الأولى إرادة المفردة، ويكون الاقتصار في العبارة الأُولى على ما عدا طواف النساء؛ لملاحظة الأفعال المشتركة بين العمرتين، ثمّ أكمل المراد من المفردة بعد ذلك معيداً للضمير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المقام إلى التصريح بها؛ لأنّها هي الواجبة بأصل الشرع، والإطلاق منزّل عليها</w:t>
      </w:r>
      <w:r>
        <w:rPr>
          <w:rFonts w:eastAsia="Amiri" w:cs="Amiri" w:ascii="Amiri" w:hAnsi="Amiri"/>
          <w:color w:val="111111"/>
          <w:sz w:val="28"/>
          <w:szCs w:val="28"/>
          <w:rtl w:val="true"/>
          <w:lang w:bidi="ar-SA"/>
        </w:rPr>
        <w:t xml:space="preserve">. </w:t>
      </w:r>
      <w:bookmarkStart w:id="734" w:name="pg10178_83770"/>
    </w:p>
    <w:p>
      <w:pPr>
        <w:pStyle w:val="Heading3"/>
        <w:numPr>
          <w:ilvl w:val="2"/>
          <w:numId w:val="1"/>
        </w:numPr>
        <w:rPr/>
      </w:pPr>
      <w:bookmarkStart w:id="735" w:name="__RefHeading___Toc2018874_1067777946"/>
      <w:bookmarkStart w:id="736" w:name="_Toc275"/>
      <w:bookmarkEnd w:id="734"/>
      <w:bookmarkEnd w:id="735"/>
      <w:r>
        <w:rPr>
          <w:rtl w:val="true"/>
        </w:rPr>
        <w:t>[</w:t>
      </w:r>
      <w:r>
        <w:rPr>
          <w:rtl w:val="true"/>
        </w:rPr>
        <w:t>أقسامها</w:t>
      </w:r>
      <w:r>
        <w:rPr>
          <w:rtl w:val="true"/>
        </w:rPr>
        <w:t>]</w:t>
      </w:r>
      <w:bookmarkEnd w:id="7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وتنقسم إلى متمتّع بها، ومفردة، فالأُولى تجب على مَن ليس من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بَعُد عنه بثمانية وأربعين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أحرم بالمفردة ودخل مكّة جاز أن ينوي التمتّع ويلزمه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المفردة متعيّنة عليه، وإلّا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 مكّة متمتّعاً لم يجز له الخروج حتّى يأتي بالحجّ؛ لأنّه مرتبط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يحتاج إلى استئناف إحرام،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يرجع قبل شهر من حين إحلاله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فاستأنف عمرةً، تمتّع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وتصير الأُولى عمرة مفردة، فيكملها بطواف النساء وركعتيه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يأتي بعمرتين بينهما أقلّ من عشرة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لا تحديد للوقت بينهما مطلقاً، وما ذكر من التحديد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أتى بطواف النساء حلّ له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المعتمر رجلاً، ولو كان امرأة فالأقوى أنّها كذلك بالنسبة 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 المميّز بحكم الرجل يحرمن عليه إلى أن يطوف طوافهنّ، بمعنى منعه منهنّ قبل البلوغ تمريناً، وبعده تحريماً لو أخلّ به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معتمر من امرأة وخصيّ وصبيّ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بالوجوب الثبوت؛ ليناسب إدخال الصبيّ في الحكم، والمراد بثبوته عليه ما قدّمناه</w:t>
      </w:r>
      <w:r>
        <w:rPr>
          <w:rFonts w:eastAsia="Amiri" w:cs="Amiri" w:ascii="Amiri" w:hAnsi="Amiri"/>
          <w:color w:val="111111"/>
          <w:sz w:val="28"/>
          <w:szCs w:val="28"/>
          <w:rtl w:val="true"/>
          <w:lang w:bidi="ar-SA"/>
        </w:rPr>
        <w:t xml:space="preserve">. </w:t>
      </w:r>
      <w:bookmarkStart w:id="737" w:name="pg10178_83771"/>
    </w:p>
    <w:p>
      <w:pPr>
        <w:pStyle w:val="Heading2"/>
        <w:numPr>
          <w:ilvl w:val="1"/>
          <w:numId w:val="1"/>
        </w:numPr>
        <w:rPr/>
      </w:pPr>
      <w:bookmarkStart w:id="738" w:name="__RefHeading___Toc2018876_1067777946"/>
      <w:bookmarkStart w:id="739" w:name="_Toc276"/>
      <w:bookmarkEnd w:id="737"/>
      <w:bookmarkEnd w:id="738"/>
      <w:r>
        <w:rPr>
          <w:rtl w:val="true"/>
        </w:rPr>
        <w:t>كتاب الجهاد</w:t>
      </w:r>
      <w:bookmarkEnd w:id="739"/>
    </w:p>
    <w:p>
      <w:pPr>
        <w:pStyle w:val="Heading3"/>
        <w:numPr>
          <w:ilvl w:val="2"/>
          <w:numId w:val="1"/>
        </w:numPr>
        <w:rPr/>
      </w:pPr>
      <w:bookmarkStart w:id="740" w:name="__RefHeading___Toc2018878_1067777946"/>
      <w:bookmarkStart w:id="741" w:name="_Toc277"/>
      <w:bookmarkEnd w:id="740"/>
      <w:r>
        <w:rPr>
          <w:rtl w:val="true"/>
        </w:rPr>
        <w:t>[</w:t>
      </w:r>
      <w:r>
        <w:rPr>
          <w:rtl w:val="true"/>
        </w:rPr>
        <w:t>من يجب عليه الجهاد</w:t>
      </w:r>
      <w:r>
        <w:rPr>
          <w:rtl w:val="true"/>
        </w:rPr>
        <w:t>]</w:t>
      </w:r>
      <w:bookmarkEnd w:id="741"/>
    </w:p>
    <w:p>
      <w:pPr>
        <w:pStyle w:val="Heading4"/>
        <w:numPr>
          <w:ilvl w:val="3"/>
          <w:numId w:val="1"/>
        </w:numPr>
        <w:rPr/>
      </w:pPr>
      <w:bookmarkStart w:id="742" w:name="__RefHeading___Toc2018880_1067777946"/>
      <w:bookmarkStart w:id="743" w:name="_Toc278"/>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وفرضه على الكفاية بشرط وجود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بوجوده كونه ظاهراً مبسوط اليد، متمكّناً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كلّ مَن خشي على نفسه مطلقاً، أو ماله إذا غلّب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غلّب السلامة أم لا؛ لأنّ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المال، فإنّما تجب المدافعة عنه مع ظنّ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ظنّ، وهو قيد للمال، ولا فرق فيه بين المضطرّ إليه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بأعذار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والمرض المانع من الركوب والعَدْو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المانع من مجموعهما، فيسقط عنه وإن قدر على أحدهما، كما يسقط عمّن تقدّم مع إمكان الركوب، فإنّ الراكب قد يحتاج إلى العَدْو بأن يصير ماشياً بقتل فرسه ونحوه، ومن يقدر على العَدْو قد يحتاج إلى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وثمن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بحسب الأحوال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بحسب أحوال الشخص بالنسبة إلى ما يحتاج إليه من النفقة والسلاح، فإنّ من الناس من يحسن الرمي خاصّة، ومنهم من يحسن الضرب بالسيف فيعتبر في حقّه ما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عليه دين مؤجّل فليس لصاحبه منعه، ولو كان حالّاً وهو معسر،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منعه،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المؤجّل يشمل ما لو كان يحلّ قبل رجوعه من الجهاد بحسب العادة وعدمه، وما لو كان به رهن، أو ترك مالاً في بلده مقابله وعدمه، والأمر فيه كذلك، وأمّا المعسر فالأقوى أنّه ليس له منعه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للأبوين منعه من الغزو ما لم يتعيّن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بالأبوين الأب والأُمّ المسلمين العاقلين، فلو كانا كافرين أو مجنونين لم يعتبر 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الأجداد بهما قول قويٌّ، ولو كانا مع الأبوين اعتبر إذن الجميع، ولا يشترط حرّيتهما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بتعيّنه عليه أن يأمره الإمام به، أو يكون في المسلمين ضعف بحيث يتوقّف الأمر عليه، فيسقط اعتبارهما، وفي معنى الجهاد سائر الأسفار المباحة والمندوبة الموجبة للتغرير بالنفس أو وحشة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تجدّد العذر بعد التحام الحرب لم يسقط فرضه على تردّد، إلّا مع العجز عن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السقوط، حيث لا يوجب تخاذل غيره وانكسار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بُذل للمعسر ما يحتاج إليه وجب، ولو كان على سبيل الأُجرة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الأمرين أنّ الإجارة لا تتمّ إلّا بالقبول، وهو نوع اكتساب لا يجب تحصيله، بخلاف البذل، فإنّه يتحقّق بالإيجاب خاصّة، وهو من فعل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عجز عنه بنفسه وكان موسراً وجب إقامة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قويٌّ مع عدم تعيّنه عليه بالحاجة إليه، أو أمر الإمام علیه السلام 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القتال في الحرم، وقد كان محرّماً فنُسخ</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محرّماً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تُقَتِلُوهُمْ عِندَ الْمَسْجِدِ الْحَرَامِ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فنسخ بقوله تعالى</w:t>
      </w:r>
      <w:r>
        <w:rPr>
          <w:rFonts w:eastAsia="IRNazanin" w:cs="IRNazanin"/>
          <w:color w:val="111111"/>
          <w:sz w:val="28"/>
          <w:szCs w:val="28"/>
          <w:rtl w:val="true"/>
          <w:lang w:bidi="fa-IR"/>
        </w:rPr>
        <w:t xml:space="preserve">: </w:t>
      </w:r>
      <w:bookmarkStart w:id="744" w:name="pg10178_83773"/>
    </w:p>
    <w:p>
      <w:pPr>
        <w:pStyle w:val="BookText"/>
        <w:rPr/>
      </w:pPr>
      <w:bookmarkEnd w:id="7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تنسخ، وأنّ الثانية مخصوصة بما عدا الحرم جمعاً،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المهاجرة عن بلد الشرك على مَن يضعف على إظهار شعائر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بشعائر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تختصّ بشرعه كالأذان والصلاة وصوم شهر رمضان، ونحوه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018882_1067777946"/>
      <w:bookmarkStart w:id="746" w:name="_Toc279"/>
      <w:bookmarkEnd w:id="745"/>
      <w:r>
        <w:rPr>
          <w:rtl w:val="true"/>
        </w:rPr>
        <w:t>[</w:t>
      </w:r>
      <w:r>
        <w:rPr>
          <w:rtl w:val="true"/>
        </w:rPr>
        <w:t>المرابطة</w:t>
      </w:r>
      <w:r>
        <w:rPr>
          <w:rtl w:val="true"/>
        </w:rPr>
        <w:t>]</w:t>
      </w:r>
      <w:bookmarkEnd w:id="7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الإرصاد لحفظ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الثغر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الذي يكون بأطراف بلاد الإسلام بحيث يخاف هجوم المشركين منه، كسواحل بحر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نذر أن يصرف شيئاً في المرابطين وجب على الأصحّ،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ويصرفه في وجوه البرّ، إلّا مع خوف الشنعة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للشيخ </w:t>
      </w:r>
      <w:r>
        <w:rPr>
          <w:rStyle w:val="FootnoteAnchor"/>
          <w:rtl w:val="true"/>
        </w:rPr>
        <w:footnoteReference w:id="232"/>
      </w:r>
      <w:r>
        <w:rPr>
          <w:rFonts w:ascii="Amiri" w:hAnsi="Amiri" w:eastAsia="Amiri" w:cs="Amiri"/>
          <w:color w:val="111111"/>
          <w:sz w:val="28"/>
          <w:sz w:val="28"/>
          <w:szCs w:val="28"/>
          <w:rtl w:val="true"/>
          <w:lang w:bidi="ar-SA"/>
        </w:rPr>
        <w:t>، وحاصله أنّ مَن نذر شيئاً للمرابطين حال عدم تمكّن الإمام، وجب صرف النذر في وجوه البرّ إن لم يكن سمع نذره أحد من المخالفين بحيث يشنّع عليه بعدم الوفاء به، أو بأنّه لا يرى صحّة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القول ضعف، والأقوى وجوب الوفاء به كما 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آجر نفسه وجب عليه القيام بها، ولو كان الإمام مستوراً،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المستأجر أو ورثته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2018884_1067777946"/>
      <w:bookmarkStart w:id="748" w:name="_Toc280"/>
      <w:bookmarkEnd w:id="747"/>
      <w:r>
        <w:rPr>
          <w:rtl w:val="true"/>
        </w:rPr>
        <w:t>[</w:t>
      </w:r>
      <w:r>
        <w:rPr>
          <w:rtl w:val="true"/>
        </w:rPr>
        <w:t>من يجب جهاده</w:t>
      </w:r>
      <w:r>
        <w:rPr>
          <w:rtl w:val="true"/>
        </w:rPr>
        <w:t>]</w:t>
      </w:r>
      <w:bookmarkEnd w:id="748"/>
    </w:p>
    <w:p>
      <w:pPr>
        <w:pStyle w:val="Heading4"/>
        <w:numPr>
          <w:ilvl w:val="3"/>
          <w:numId w:val="1"/>
        </w:numPr>
        <w:rPr/>
      </w:pPr>
      <w:bookmarkStart w:id="749" w:name="__RefHeading___Toc2018886_1067777946"/>
      <w:bookmarkStart w:id="750" w:name="_Toc281"/>
      <w:bookmarkEnd w:id="749"/>
      <w:r>
        <w:rPr>
          <w:rtl w:val="true"/>
        </w:rPr>
        <w:t>اشارة</w:t>
      </w:r>
      <w:bookmarkEnd w:id="75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يجب جهاده، فالواجب على المسلمين النفور إليهم إمّا لكفّهم، </w:t>
      </w:r>
      <w:bookmarkStart w:id="751" w:name="pg10178_83774"/>
    </w:p>
    <w:p>
      <w:pPr>
        <w:pStyle w:val="BookText"/>
        <w:rPr/>
      </w:pPr>
      <w:bookmarkEnd w:id="751"/>
      <w:r>
        <w:rPr>
          <w:rFonts w:ascii="IRNazanin" w:hAnsi="IRNazanin" w:eastAsia="IRNazanin"/>
          <w:color w:val="111111"/>
          <w:sz w:val="28"/>
          <w:sz w:val="28"/>
          <w:szCs w:val="28"/>
          <w:rtl w:val="true"/>
          <w:lang w:bidi="fa-IR"/>
        </w:rPr>
        <w:t>وإمّا لنقلهم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الكفّ تتحقّق في البغاة مطلقاً؛ لأنّهم مسلمون، وفي باقي الكفّار تتحقّق الغايتان، فالأُولى بتقدير هجومهم على دار الإسلام ولم يكن في المسلمين قوّة لنقلهم إليه، والثانية مع وجود القوّة بحيث قصدوا الكفّار في دارهم، وحينئذٍ فتتحقّق غاية ثالثة، وهي التزامهم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بدأوا فالواجب محاربتهم، وإن كفّوا وجب بحسب المكنة، وأقلّه في كلّ عام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وجود المصلحة وأمر الإمام بالنفور، فقد يكون في العام أزيد من مرّة، وقد لا يجب في الأعوام للضرورة</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2018888_1067777946"/>
      <w:bookmarkStart w:id="753" w:name="_Toc282"/>
      <w:bookmarkEnd w:id="752"/>
      <w:r>
        <w:rPr>
          <w:rtl w:val="true"/>
        </w:rPr>
        <w:t>[</w:t>
      </w:r>
      <w:r>
        <w:rPr>
          <w:rtl w:val="true"/>
        </w:rPr>
        <w:t>كيفيّة قتال أهل الحرب</w:t>
      </w:r>
      <w:r>
        <w:rPr>
          <w:rtl w:val="true"/>
        </w:rPr>
        <w:t>]</w:t>
      </w:r>
      <w:bookmarkEnd w:id="7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يُبدؤون إلّا بعد الدعاء إلى محاسن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محاسن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 والتوحيد، والعدل، والنبوّة، والإمامة، وجميع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الفرار إذا كان العدوّ على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 إلّا لمتحرّف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لقتالٍ، أي منتقل إلى حالة هي أدخل في تمكّنه منه ممّا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متحيّزاً إلى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منضمّ إليها يستنجد بها، مع صلاحيتها له بحيث لا يخرج ببعدها عن كونه مقاتلاً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غلب عنده الهلاك لم يجز له الفرار،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وجوب الثبات، ومنع كونه على هذا الوجه إلقاء باليد إلى التهلكة، بل إلى الحياة المخلّدة</w:t>
      </w:r>
      <w:r>
        <w:rPr>
          <w:rFonts w:eastAsia="Amiri" w:cs="Amiri" w:ascii="Amiri" w:hAnsi="Amiri"/>
          <w:color w:val="111111"/>
          <w:sz w:val="28"/>
          <w:szCs w:val="28"/>
          <w:rtl w:val="true"/>
          <w:lang w:bidi="ar-SA"/>
        </w:rPr>
        <w:t xml:space="preserve">. </w:t>
      </w:r>
      <w:bookmarkStart w:id="754" w:name="pg10178_83775"/>
    </w:p>
    <w:p>
      <w:pPr>
        <w:pStyle w:val="BookText"/>
        <w:rPr/>
      </w:pPr>
      <w:bookmarkEnd w:id="75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غلب العطب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الانصراف،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انفرد اثنان بواحد من المسلمين لم يجب الثبات،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بإلقاء السمّ،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يلزم القاتل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تجب الكفّارة، وهي كفّارة قتل العمد على الأقوى، وينبغي أن يكون من بيت المال؛ لأنّه للمصالح، وهي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التمثيل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بقطع أُنوفهم وآذانهم ونحو ذلك وإن فعلوا ذلك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قتالهم بغتةً بعد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يُعرقب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يُعرقب المسلم دابّته إذا وقفت به أو أشرف على القتل، وأمّا دابّة الكافر فيجوز أن تُعرقب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والمبارزة بغير إذن الإمام،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المشرك إذا طلب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يطلبه لم يجز محاربته،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مالم يشترط الأمان حتّى يعود إلى فئته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الجواز قويٌّ، أي أن يرجع عن تلك الحالة</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2018890_1067777946"/>
      <w:bookmarkStart w:id="756" w:name="_Toc283"/>
      <w:bookmarkEnd w:id="755"/>
      <w:r>
        <w:rPr>
          <w:rtl w:val="true"/>
        </w:rPr>
        <w:t>[</w:t>
      </w:r>
      <w:r>
        <w:rPr>
          <w:rtl w:val="true"/>
        </w:rPr>
        <w:t>الذمام</w:t>
      </w:r>
      <w:r>
        <w:rPr>
          <w:rtl w:val="true"/>
        </w:rPr>
        <w:t>]</w:t>
      </w:r>
      <w:bookmarkEnd w:id="7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يذمّ الواحد من المسلمين لآحاد من أهل الحرب، فلايذمّ عامّاً ولا لأهل 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يذمّ أهل قرية أو حصن؟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العبارة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كناية علم منها ذلك من قصد العاقد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اللفظ الدالّ على الذمام بفحواه دون صريحه، ويجوز </w:t>
      </w:r>
      <w:bookmarkStart w:id="757" w:name="pg10178_83776"/>
    </w:p>
    <w:p>
      <w:pPr>
        <w:pStyle w:val="BookText"/>
        <w:rPr/>
      </w:pPr>
      <w:bookmarkEnd w:id="757"/>
      <w:r>
        <w:rPr>
          <w:rFonts w:ascii="Amiri" w:hAnsi="Amiri" w:eastAsia="Amiri" w:cs="Amiri"/>
          <w:color w:val="111111"/>
          <w:sz w:val="28"/>
          <w:sz w:val="28"/>
          <w:szCs w:val="28"/>
          <w:rtl w:val="true"/>
          <w:lang w:bidi="ar-SA"/>
        </w:rPr>
        <w:t>كونها بالتاء، فإنّها كافية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عقد الحربي لنفسه الأمان ليسكن في دار الإسلام، دخل ماله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أسره المسلمون فاستُرِقّ، مُلك ماله تبعاً لرقبته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بالتبعيّة في الملك لا في المالك، فلا يستحقّه مسترقّه؛ لأنّه مال لم يوجف عليه، فيكون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بعد ذلك لم يعد إليه، أمّا لومُنّ عليه عاد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الحربي وفي ذمّته مهر، لم يكن للزوجة مطالبته، ولا لوارثها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وارثها بين المسلم والكافر؛ لأنّ إسلامه اقتضى جواز استيلائه على ما أمكنه من مالها الذي من جملته المهر، وما في ذمّته بمنزلة المقبوض في يده، فيملكه بإسلامه مع بقائها على الحرب، فلا يزيله إسلامها بعده، ولا موتها مع كون وارثها مسلماً</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2018892_1067777946"/>
      <w:bookmarkStart w:id="759" w:name="_Toc284"/>
      <w:bookmarkEnd w:id="758"/>
      <w:r>
        <w:rPr>
          <w:rtl w:val="true"/>
        </w:rPr>
        <w:t>[</w:t>
      </w:r>
      <w:r>
        <w:rPr>
          <w:rtl w:val="true"/>
        </w:rPr>
        <w:t>خاتمة</w:t>
      </w:r>
      <w:r>
        <w:rPr>
          <w:rtl w:val="true"/>
        </w:rPr>
        <w:t>]</w:t>
      </w:r>
      <w:bookmarkEnd w:id="7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ويراعى في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والإسلام،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يراعى الذكورة والحرّية؟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الأجود 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اتّفق المجعول له وأربابها على بذلها، أو إمساكها بالعوض،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تعاسر فسخت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مراعاة مصلحة المسلمين، فإن اقتضت بقاء الصلح عوّض المجعول له عنها ولم يفسخ الصلح، وإلّا جاز فسخه</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2018894_1067777946"/>
      <w:bookmarkStart w:id="761" w:name="_Toc285"/>
      <w:bookmarkEnd w:id="760"/>
      <w:r>
        <w:rPr>
          <w:rtl w:val="true"/>
        </w:rPr>
        <w:t>[</w:t>
      </w:r>
      <w:r>
        <w:rPr>
          <w:rtl w:val="true"/>
        </w:rPr>
        <w:t>الأسارى</w:t>
      </w:r>
      <w:r>
        <w:rPr>
          <w:rtl w:val="true"/>
        </w:rPr>
        <w:t>]</w:t>
      </w:r>
      <w:bookmarkEnd w:id="7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الأسير عن المشي لم يجب قتله، لأنّه لا يدرى ما حكم الإمام فيه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الأقوى عدم الجواز، وفي التعليل إشارة إليه، وفي الخبر </w:t>
      </w:r>
      <w:r>
        <w:rPr>
          <w:rStyle w:val="FootnoteAnchor"/>
          <w:rtl w:val="true"/>
        </w:rPr>
        <w:footnoteReference w:id="234"/>
      </w:r>
      <w:r>
        <w:rPr>
          <w:rFonts w:ascii="Amiri" w:hAnsi="Amiri" w:eastAsia="Amiri" w:cs="Amiri"/>
          <w:color w:val="111111"/>
          <w:sz w:val="28"/>
          <w:sz w:val="28"/>
          <w:szCs w:val="28"/>
          <w:rtl w:val="true"/>
          <w:lang w:bidi="ar-SA"/>
        </w:rPr>
        <w:t>تصريح به</w:t>
      </w:r>
      <w:r>
        <w:rPr>
          <w:rFonts w:eastAsia="Amiri" w:cs="Amiri" w:ascii="Amiri" w:hAnsi="Amiri"/>
          <w:color w:val="111111"/>
          <w:sz w:val="28"/>
          <w:szCs w:val="28"/>
          <w:rtl w:val="true"/>
          <w:lang w:bidi="ar-SA"/>
        </w:rPr>
        <w:t xml:space="preserve">. </w:t>
      </w:r>
      <w:bookmarkStart w:id="762" w:name="pg10178_83777"/>
    </w:p>
    <w:p>
      <w:pPr>
        <w:pStyle w:val="BookText"/>
        <w:rPr/>
      </w:pPr>
      <w:bookmarkEnd w:id="762"/>
      <w:r>
        <w:rPr>
          <w:rFonts w:ascii="Amiri" w:hAnsi="Amiri" w:eastAsia="Amiri" w:cs="Amiri"/>
          <w:color w:val="111111"/>
          <w:sz w:val="28"/>
          <w:sz w:val="28"/>
          <w:szCs w:val="28"/>
          <w:rtl w:val="true"/>
          <w:lang w:bidi="ar-SA"/>
        </w:rPr>
        <w:t>وكما يأثم قاتله حينئذٍ، يأثم لو قتله من غير عجز، ولادية له، ولا كفّارة فيهما، لأنّه كافر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قتله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قتله جهراً بين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للقتل </w:t>
      </w:r>
      <w:r>
        <w:rPr>
          <w:rStyle w:val="FootnoteAnchor"/>
          <w:rtl w:val="true"/>
        </w:rPr>
        <w:footnoteReference w:id="23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يهدّد به ثمّ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 الطفل المسبي حكم أبويه فإن أسلما أو أسلم أحدهما تبعه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سُبي منفرداً،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السابي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الطهارة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بتخيّر الغانم في الفسخ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وفي حكمه ما لو سباهما واحد وملكهما حال الغيبة، كما لو ملكهما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أعتق مسلم عبداً ذمّيّاً بالنذر، فلحق بدار الحرب، فأسره المسلمون جاز استرقاقه،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لتعلّق ولاء المسلم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الجمع بين العتق بالنذر وثبوت الولاء منع يأتي، ويمكن حمله على ولاء تضمّن الجريرة بأن يتعاقد المولى والمعتق بعد العتق على ضمانها فيثبت ولاؤها وإن كان بعيداً، وأصحّ القولين أنّه يسترقّ ولا يمنعه تعلّق الولاء، فإن مات سابيه ثبت الولاء،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اسلم عبد الحربي في دار الحرب قبلَ مولاه ملك نفسه بشرط أن يخرج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لم يشترط خروجه،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018896_1067777946"/>
      <w:bookmarkStart w:id="764" w:name="_Toc286"/>
      <w:bookmarkEnd w:id="763"/>
      <w:r>
        <w:rPr>
          <w:rtl w:val="true"/>
        </w:rPr>
        <w:t>[</w:t>
      </w:r>
      <w:r>
        <w:rPr>
          <w:rtl w:val="true"/>
        </w:rPr>
        <w:t>أحكام الغنيمة</w:t>
      </w:r>
      <w:r>
        <w:rPr>
          <w:rtl w:val="true"/>
        </w:rPr>
        <w:t>]</w:t>
      </w:r>
      <w:bookmarkEnd w:id="764"/>
    </w:p>
    <w:p>
      <w:pPr>
        <w:pStyle w:val="Heading5"/>
        <w:numPr>
          <w:ilvl w:val="4"/>
          <w:numId w:val="1"/>
        </w:numPr>
        <w:rPr/>
      </w:pPr>
      <w:bookmarkStart w:id="765" w:name="__RefHeading___Toc2018898_1067777946"/>
      <w:bookmarkStart w:id="766" w:name="_Toc287"/>
      <w:bookmarkEnd w:id="765"/>
      <w:r>
        <w:rPr>
          <w:rtl w:val="true"/>
        </w:rPr>
        <w:t>اشارة</w:t>
      </w:r>
      <w:bookmarkEnd w:id="76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القسم يختصّ به الغانمون بعد الخمس والجعائل، ولايجوز لهم التصرّف في شيء منه إلّا بعد القسمة 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 تناول مالا بدّ منه، كعلف </w:t>
      </w:r>
      <w:r>
        <w:rPr>
          <w:rStyle w:val="FootnoteAnchor"/>
          <w:rtl w:val="true"/>
        </w:rPr>
        <w:footnoteReference w:id="236"/>
      </w:r>
      <w:bookmarkStart w:id="767" w:name="pg10178_83778"/>
    </w:p>
    <w:p>
      <w:pPr>
        <w:pStyle w:val="BookText"/>
        <w:rPr/>
      </w:pPr>
      <w:bookmarkEnd w:id="767"/>
      <w:r>
        <w:rPr>
          <w:rFonts w:ascii="Amiri" w:hAnsi="Amiri" w:eastAsia="Amiri" w:cs="Amiri"/>
          <w:color w:val="111111"/>
          <w:sz w:val="28"/>
          <w:sz w:val="28"/>
          <w:szCs w:val="28"/>
          <w:rtl w:val="true"/>
          <w:lang w:bidi="ar-SA"/>
        </w:rPr>
        <w:t>الدابّة وأكل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بل ادّعى عليه في التذكرة الإجماع </w:t>
      </w:r>
      <w:r>
        <w:rPr>
          <w:rStyle w:val="FootnoteAnchor"/>
          <w:rtl w:val="true"/>
        </w:rPr>
        <w:footnoteReference w:id="237"/>
      </w:r>
      <w:r>
        <w:rPr>
          <w:rFonts w:ascii="Amiri" w:hAnsi="Amiri" w:eastAsia="Amiri" w:cs="Amiri"/>
          <w:color w:val="111111"/>
          <w:sz w:val="28"/>
          <w:sz w:val="28"/>
          <w:szCs w:val="28"/>
          <w:rtl w:val="true"/>
          <w:lang w:bidi="ar-SA"/>
        </w:rPr>
        <w:t>، ولا يشترط في تناول الطعام كونه مأكولاً بالفعل، بل كلّ ما يصلح له كالغنم فيجوز لهم ذبحه وردّ ما لا يؤكل منه إلى الغنيمة كالجلد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الاقتصار فيه على دارالحرب أو المفازة التي في الطريق دون عمران دار الإسلام، فلو فضل منه فضلة وجب ردّها إلى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أحد الغانمين غانماً شيئاً، أو وهبه لم يصحّ،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قدر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الاحتمال ضعيف؛ لأنّ حصّته على تقدير القول بملكه بالاستيلاء مجهولة، فلا يصحّ بيعها، وأيضاً فلا يعلم تعلّق حقّه بعين المبيع؛ لجواز أن يخرج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شيء في دار الحرب يحتمل أن يكون للمسلمين ولأهل الحرب، كالخيمة والسلاح فحكمه حكم اللقطة،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سنةً ثمّ يلحق بالغنيمة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الغنيمة مَن ينعتق على بعض الغانمين،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ينعتق نصيبه، ولا يجب أن يشتري حصص الباقين،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ينعتق إلّا أن يجعله الإمام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مبنى القولين على أنّ الغانم هل يملك حصّته بالاستيلاء، أو بالقسمة؟ وفي الأوّل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بالعتق لا يسري عليه على الأقوى؛ لأنّ الملك قهري</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2018900_1067777946"/>
      <w:bookmarkStart w:id="769" w:name="_Toc288"/>
      <w:bookmarkEnd w:id="768"/>
      <w:r>
        <w:rPr>
          <w:rtl w:val="true"/>
        </w:rPr>
        <w:t>[</w:t>
      </w:r>
      <w:r>
        <w:rPr>
          <w:rtl w:val="true"/>
        </w:rPr>
        <w:t>أحكام الأرضين</w:t>
      </w:r>
      <w:r>
        <w:rPr>
          <w:rtl w:val="true"/>
        </w:rPr>
        <w:t>]</w:t>
      </w:r>
      <w:bookmarkEnd w:id="7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فتحت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وإسكان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والذلّ،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لِلْحَیِّ الْقَيُّوم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والمراد هنا فتحها بالقهر والغلبة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محياةً فهي للمسلمين قاطبةً</w:t>
      </w:r>
      <w:r>
        <w:rPr>
          <w:rFonts w:eastAsia="Amiri" w:cs="Amiri" w:ascii="Amiri" w:hAnsi="Amiri"/>
          <w:color w:val="111111"/>
          <w:sz w:val="28"/>
          <w:szCs w:val="28"/>
          <w:rtl w:val="true"/>
          <w:lang w:bidi="ar-SA"/>
        </w:rPr>
        <w:t xml:space="preserve">». </w:t>
      </w:r>
      <w:bookmarkStart w:id="770" w:name="pg10178_83779"/>
    </w:p>
    <w:p>
      <w:pPr>
        <w:pStyle w:val="BookText"/>
        <w:rPr/>
      </w:pPr>
      <w:bookmarkEnd w:id="770"/>
      <w:r>
        <w:rPr>
          <w:rFonts w:ascii="Amiri" w:hAnsi="Amiri" w:eastAsia="Amiri" w:cs="Amiri"/>
          <w:color w:val="111111"/>
          <w:sz w:val="28"/>
          <w:sz w:val="28"/>
          <w:szCs w:val="28"/>
          <w:rtl w:val="true"/>
          <w:lang w:bidi="ar-SA"/>
        </w:rPr>
        <w:t>المراد كونها محياة وقت الفتح، ومرجع ذلك إلى القرائن الحاليّة المفيدة للظنّ المتاخم للعلم، كتقادم عهد البلد بحيث يتقدّم على الفتح، وتكون الأرض ممّا يُقطع بكونها محياة لها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بيعها ولاهبتها ولا 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حضور الإمام مطلقاً، أمّا مع غيبته فجائز تبعاً لآثار المتصرّف من بناء وغرس، وهذا كلّه في غير ما هو في يد مَن يدّعي الملك، حيث لا يعلم فساد دعواه، وإلّا حكم له بها كسائر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تصرّف فيها من غير إذنه كان على المتصرّف طسقها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الطسق فارسي معرّب، والمراد به أُجرتها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ويملكها المحيي عند عدمه من 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حال غيبته، ولا فرق في المحيي بين المؤمن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أرض موات سبق إليها سابق فأحياها كان أحقّ بها، وإن كان لها مالك معروف فعليه طسقها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الأرض الميتة بعد أن كانت مملوكة، إن كان ملك الأوّل لها بالشراء ونحوه لا يزول ملكه عنها بالموت، ولايصحّ التصرّف فيها إلّا بإذنه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ملكه لها بالإحياء زال بالموت، وصار المحيي لها نائباً أحقّ بها ما دام محييها</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2018902_1067777946"/>
      <w:bookmarkStart w:id="772" w:name="_Toc289"/>
      <w:bookmarkEnd w:id="771"/>
      <w:r>
        <w:rPr>
          <w:rtl w:val="true"/>
        </w:rPr>
        <w:t>[</w:t>
      </w:r>
      <w:r>
        <w:rPr>
          <w:rtl w:val="true"/>
        </w:rPr>
        <w:t>قسمة الغنيمة</w:t>
      </w:r>
      <w:r>
        <w:rPr>
          <w:rtl w:val="true"/>
        </w:rPr>
        <w:t>]</w:t>
      </w:r>
      <w:bookmarkEnd w:id="7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يبدأ بما شرطه الإمام، كالجعائل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المتّصل بالمقتول كالثياب، والقلنسوة، والدرع والمغفر، والسلاح، والدابة المركوبة،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وبما يرضخه للنساء، والعبيد، والكفّار إن قاتلوا بإذن الإمام، فإنّه لا سهم للثلاثة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الذي ليس بالكثير، والمراد هنا العطاء الذي لا يبلغ سهم الفارس إن </w:t>
      </w:r>
    </w:p>
    <w:p>
      <w:pPr>
        <w:pStyle w:val="BookText"/>
        <w:rPr/>
      </w:pPr>
      <w:r>
        <w:rPr>
          <w:rFonts w:ascii="Amiri" w:hAnsi="Amiri" w:eastAsia="Amiri" w:cs="Amiri"/>
          <w:color w:val="111111"/>
          <w:sz w:val="28"/>
          <w:sz w:val="28"/>
          <w:szCs w:val="28"/>
          <w:rtl w:val="true"/>
          <w:lang w:bidi="ar-SA"/>
        </w:rPr>
        <w:t>كان المرضخ له فارساً، ولا الراجل إن كان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الخمس مقدّماً؛ عملاً بالآية،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تقديمه على الرضخ دون السَلَب والجعائل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وللفارس سهمين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يسهم من الخيل للقَحْم والرازح والضَرَع؛ لعدم الانتفاع بها في الحرب،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مراعاة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ثمّ الزاي بعد الألف، ثمّ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 الذي لا يقوى بصاحبه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المعجمة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الذي لا يُركب،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والأجود الإسهام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يسهم للمغصوب إذا كان صاحبه غائباً، ولو كان صاحبه حاضراً كان لصاحبه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مع ذلك الأُجرة على الغاصب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السهم للمقاتل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بكونه فارساً عند حيازة الغنيمة، لا بدخوله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والجيش يُشارك السَرِيّة في غنيمتها إذا صدرت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تشاركه السريّة في غنيمته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دخل </w:t>
      </w:r>
      <w:r>
        <w:rPr>
          <w:rStyle w:val="FootnoteAnchor"/>
          <w:rtl w:val="true"/>
        </w:rPr>
        <w:footnoteReference w:id="240"/>
      </w:r>
      <w:r>
        <w:rPr>
          <w:rFonts w:ascii="Amiri" w:hAnsi="Amiri" w:eastAsia="Amiri" w:cs="Amiri"/>
          <w:color w:val="111111"/>
          <w:sz w:val="28"/>
          <w:sz w:val="28"/>
          <w:szCs w:val="28"/>
          <w:rtl w:val="true"/>
          <w:lang w:bidi="ar-SA"/>
        </w:rPr>
        <w:t>وقت العطاء ثمّ مات، كان لوارثه المطالبة به،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أقوى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للأعراب من الغنيمة شيء</w:t>
      </w:r>
      <w:r>
        <w:rPr>
          <w:rFonts w:eastAsia="Amiri" w:cs="Amiri" w:ascii="Amiri" w:hAnsi="Amiri"/>
          <w:color w:val="111111"/>
          <w:sz w:val="28"/>
          <w:szCs w:val="28"/>
          <w:rtl w:val="true"/>
          <w:lang w:bidi="ar-SA"/>
        </w:rPr>
        <w:t xml:space="preserve">». </w:t>
      </w:r>
      <w:bookmarkStart w:id="773" w:name="pg10178_83781"/>
    </w:p>
    <w:p>
      <w:pPr>
        <w:pStyle w:val="BookText"/>
        <w:rPr/>
      </w:pPr>
      <w:bookmarkEnd w:id="773"/>
      <w:r>
        <w:rPr>
          <w:rFonts w:ascii="Amiri" w:hAnsi="Amiri" w:eastAsia="Amiri" w:cs="Amiri"/>
          <w:color w:val="111111"/>
          <w:sz w:val="28"/>
          <w:sz w:val="28"/>
          <w:szCs w:val="28"/>
          <w:rtl w:val="true"/>
          <w:lang w:bidi="ar-SA"/>
        </w:rPr>
        <w:t>المراد بالأعراب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البادية وقد أظهر الشهادتين على وجه حكم بإسلامه ظاهراً، ولا يعرف من معنى الإسلام ومقاصده وأحكامه سوى ذلك، والأقوى عدم استحقاقهم من الغنيمة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يستحقّ أحد سلباً ولا نَفلاً، في بدأةٍ ولا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معنى السَلَب، وأمّا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يجعله الإمام لبعض المجاهدين من الغنيمة بشرطٍ، كمن حَمَل الراية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وسكون الدال ثمّ الهمزة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الأُولى، أو عند دخول الجيش إلى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أو عند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الحربي لا يملك مال المسلم بالاستغنام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عرّفت بعد القسمة فلأربابها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 على أربابها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إعادتها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جيّد مع تفرّق الغانمين وعسر جمعهم، وإلّا ارتجعت العين ونقصت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الحقّ معهم بالسويّة، كالمال الممتزج بمتساوي الأجزاء رجع على كلّ واحد بالنسبة، ولم ينقض مطلقاً</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018904_1067777946"/>
      <w:bookmarkStart w:id="775" w:name="_Toc290"/>
      <w:bookmarkEnd w:id="774"/>
      <w:r>
        <w:rPr>
          <w:rtl w:val="true"/>
        </w:rPr>
        <w:t>[</w:t>
      </w:r>
      <w:r>
        <w:rPr>
          <w:rtl w:val="true"/>
        </w:rPr>
        <w:t>أحكام أهل الذمّة</w:t>
      </w:r>
      <w:r>
        <w:rPr>
          <w:rtl w:val="true"/>
        </w:rPr>
        <w:t>]</w:t>
      </w:r>
      <w:bookmarkEnd w:id="775"/>
    </w:p>
    <w:p>
      <w:pPr>
        <w:pStyle w:val="Heading5"/>
        <w:numPr>
          <w:ilvl w:val="4"/>
          <w:numId w:val="1"/>
        </w:numPr>
        <w:rPr/>
      </w:pPr>
      <w:bookmarkStart w:id="776" w:name="__RefHeading___Toc2018906_1067777946"/>
      <w:bookmarkStart w:id="777" w:name="_Toc291"/>
      <w:bookmarkEnd w:id="776"/>
      <w:r>
        <w:rPr>
          <w:rtl w:val="true"/>
        </w:rPr>
        <w:t>[</w:t>
      </w:r>
      <w:r>
        <w:rPr>
          <w:rtl w:val="true"/>
        </w:rPr>
        <w:t>من تؤخذ منه الجزية</w:t>
      </w:r>
      <w:r>
        <w:rPr>
          <w:rtl w:val="true"/>
        </w:rPr>
        <w:t>]</w:t>
      </w:r>
      <w:bookmarkEnd w:id="7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 ممّن يقرّ على دينه، وهم اليهود والنصارى، ومَن لهم شبهة كتاب وهم المجوس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بأيدي المجوس غير معلوم كونه كتابهم؛ لماورد من أنّهم قتلوا نبيّهم وأحرقوا كتابهم، وفي أيديهم صحف يزعمون أنّها من ذلك الكتاب </w:t>
      </w:r>
      <w:r>
        <w:rPr>
          <w:rStyle w:val="FootnoteAnchor"/>
          <w:rtl w:val="true"/>
        </w:rPr>
        <w:footnoteReference w:id="241"/>
      </w:r>
      <w:r>
        <w:rPr>
          <w:rFonts w:ascii="Amiri" w:hAnsi="Amiri" w:eastAsia="Amiri" w:cs="Amiri"/>
          <w:color w:val="111111"/>
          <w:sz w:val="28"/>
          <w:sz w:val="28"/>
          <w:szCs w:val="28"/>
          <w:rtl w:val="true"/>
          <w:lang w:bidi="ar-SA"/>
        </w:rPr>
        <w:t>، فأقرّوا على دينهم لهذه الشبهة</w:t>
      </w:r>
      <w:r>
        <w:rPr>
          <w:rFonts w:eastAsia="Amiri" w:cs="Amiri" w:ascii="Amiri" w:hAnsi="Amiri"/>
          <w:color w:val="111111"/>
          <w:sz w:val="28"/>
          <w:szCs w:val="28"/>
          <w:rtl w:val="true"/>
          <w:lang w:bidi="ar-SA"/>
        </w:rPr>
        <w:t xml:space="preserve">. </w:t>
      </w:r>
      <w:bookmarkStart w:id="778" w:name="pg10178_83782"/>
    </w:p>
    <w:p>
      <w:pPr>
        <w:pStyle w:val="BookText"/>
        <w:rPr/>
      </w:pPr>
      <w:bookmarkEnd w:id="7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 الجزية من الصبيان والمجانين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تسقط عن الهمّ؟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المرويّ،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عن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الرجال قبل عقد الجزية فسأل النساء إقرارهنّ ببذل الجزية،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بعد عقد الجزية، كان الاستصحاب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والمجنون المطبق لاجزية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يفيق وقتاً،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المجنون لا جزية عليه مطلقاً إلّا أن يتّفق له إفاقة سنة متوالية فيؤخذ عنها</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2018908_1067777946"/>
      <w:bookmarkStart w:id="780" w:name="_Toc292"/>
      <w:bookmarkEnd w:id="779"/>
      <w:r>
        <w:rPr>
          <w:rtl w:val="true"/>
        </w:rPr>
        <w:t>[</w:t>
      </w:r>
      <w:r>
        <w:rPr>
          <w:rtl w:val="true"/>
        </w:rPr>
        <w:t>كميّة الجزية</w:t>
      </w:r>
      <w:r>
        <w:rPr>
          <w:rtl w:val="true"/>
        </w:rPr>
        <w:t>]</w:t>
      </w:r>
      <w:bookmarkEnd w:id="7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انتفاء ما يقتضي التقدير، يكون الأولى اطّراحه تحقيقاً للصغار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المشهور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التزامه الجزية على ما يحكم به الإمام من غير أن تكون مقدّرة، وحينئذٍ فترك التقدير أنسب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مافسّره به بعضهم من أنّه أخذ الجزية منه قائماً والمسلم جالس ونحو ذلك </w:t>
      </w:r>
      <w:r>
        <w:rPr>
          <w:rStyle w:val="FootnoteAnchor"/>
          <w:rtl w:val="true"/>
        </w:rPr>
        <w:footnoteReference w:id="242"/>
      </w:r>
      <w:r>
        <w:rPr>
          <w:rFonts w:ascii="Amiri" w:hAnsi="Amiri" w:eastAsia="Amiri" w:cs="Amiri"/>
          <w:color w:val="111111"/>
          <w:sz w:val="28"/>
          <w:sz w:val="28"/>
          <w:szCs w:val="28"/>
          <w:rtl w:val="true"/>
          <w:lang w:bidi="ar-SA"/>
        </w:rPr>
        <w:t>، فلا ينافي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وضعها على الرؤوس، أو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ابتداءً،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عدم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يشترط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ضيافة مارّة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الشرط، وجب أن يكون زائداً عن أقلّ مراتب الجزية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اقتصر على شرط الضيافة من غير أن يصرّح بكونها مضافة إلى الجزية، كما </w:t>
      </w:r>
      <w:bookmarkStart w:id="781" w:name="pg10178_83783"/>
    </w:p>
    <w:p>
      <w:pPr>
        <w:pStyle w:val="BookText"/>
        <w:rPr/>
      </w:pPr>
      <w:bookmarkEnd w:id="781"/>
      <w:r>
        <w:rPr>
          <w:rFonts w:ascii="IRNazanin" w:hAnsi="IRNazanin" w:eastAsia="IRNazanin"/>
          <w:color w:val="111111"/>
          <w:sz w:val="28"/>
          <w:sz w:val="28"/>
          <w:szCs w:val="28"/>
          <w:rtl w:val="true"/>
          <w:lang w:bidi="fa-IR"/>
        </w:rPr>
        <w:t>صرّح في القسم الأوّل، فإنّ الإطلاق أيضاً يقتضي المغايرة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جعلناها مقدّرة، كانت زائدة عن المقدّر، وإلّا فعن أقلّ ما يقتضي المصلحة وضعه عليهم؛ تأسّياً بالنبيّ صلی الله علیه و آله و سلم، فإنّه شرط على نصارى نجران الضيافة زيادة على ما رتّبه عليهم </w:t>
      </w:r>
      <w:r>
        <w:rPr>
          <w:rStyle w:val="FootnoteAnchor"/>
          <w:rtl w:val="true"/>
        </w:rPr>
        <w:footnoteReference w:id="243"/>
      </w:r>
      <w:r>
        <w:rPr>
          <w:rFonts w:ascii="Amiri" w:hAnsi="Amiri" w:eastAsia="Amiri" w:cs="Amiri"/>
          <w:color w:val="111111"/>
          <w:sz w:val="28"/>
          <w:sz w:val="28"/>
          <w:szCs w:val="28"/>
          <w:rtl w:val="true"/>
          <w:lang w:bidi="ar-SA"/>
        </w:rPr>
        <w:t>ولأنّه لو شرط الضيافة من الجزية إذا كان الإطلاق يقتضيه ولم يمرّ بهم أحد، خرج الحول بغير 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قبل الحول أو بعده قبل الأداء، سقطت الجزية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الثاني خاصّة، والقول بالسقوط أقوى</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2018910_1067777946"/>
      <w:bookmarkStart w:id="783" w:name="_Toc293"/>
      <w:bookmarkEnd w:id="782"/>
      <w:r>
        <w:rPr>
          <w:rtl w:val="true"/>
        </w:rPr>
        <w:t>[</w:t>
      </w:r>
      <w:r>
        <w:rPr>
          <w:rtl w:val="true"/>
        </w:rPr>
        <w:t>شرائط الذمّة</w:t>
      </w:r>
      <w:r>
        <w:rPr>
          <w:rtl w:val="true"/>
        </w:rPr>
        <w:t>]</w:t>
      </w:r>
      <w:bookmarkEnd w:id="7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يتظاهروا بالمناكير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تظاهروا بذلك نقض العهد،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لا ينقض إلّا مع شرطه في العقد والإخلال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خرقوا الذمّة في دار الإسلام كان للإمام ردّهم إلى مأمنهم، وهل له قتلهم واسترقاقهم ومفاداتهم؟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ويكره أن 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يضطرّ إلى أضيق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منعهم من جادّة الطريق إذا اجتمعوا هُم والمسلمون فيه، واضطرار هم إلى طرفه الضيّق بحيث لا يقعون به في وَهْدةٍ ولا يصدمون جداراً</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2018912_1067777946"/>
      <w:bookmarkStart w:id="785" w:name="_Toc294"/>
      <w:bookmarkEnd w:id="784"/>
      <w:r>
        <w:rPr>
          <w:rtl w:val="true"/>
        </w:rPr>
        <w:t>[</w:t>
      </w:r>
      <w:r>
        <w:rPr>
          <w:rtl w:val="true"/>
        </w:rPr>
        <w:t>حكم الأبنية</w:t>
      </w:r>
      <w:r>
        <w:rPr>
          <w:rtl w:val="true"/>
        </w:rPr>
        <w:t>]</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والكنائس</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استئناف البيع والكنائس 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استجدّت وجب إزالتها،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ممّا استجدّه المسلمون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الكوفة وبغداد والبصرة وسُرّ من رأى، واحترز بالاستئناف عمّا لو كان موجوداً في الأرض قبل أن يمصرها المسلمون، فإنّه يقرّ على حالها، مثل كنيسة الروم في بغداد، فإنّها كانت في قرى لأهل الذمّة فأقرّت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انهدمت كنيسة ممّالهم استدامتها، جاز إعادتها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يستجدّه الذمّي لا يجوز أن يعلو به على المسلمين من مجاوريه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مساواته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المنع، ولا فرق بين أن يكون بناء الجار معتدلاً أو في غاية الانخفاض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نحو السرداب لم يكلّف الذمّي مثله؛ لعدم صدق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انهدم لم يجز أن يعلو به على المسلم، ويقتصر على المساواة فما 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جوازها، وإلّا وجب الاقتصار على ما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فلايجوز أن يدخلوا المسجد الحرام إجماعاً، ولا غيره من المساجد عندنا، ولو أُذن لهم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أذن لهم المسلم، فإنّه لا عبرة به في جواز دخولهم المساجد عندنا، خلافاً لأكثر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امتياراً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افتعال من الميرة، وهو الطعام أو جلبه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لهم استيطان الحجاز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الاجتياز به والامتيار منه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الجواز، والمراد بالامتيار طلب الميرة، وهو الطعام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أجازه حدّه بثلاثة أيّام، ولا جزيرة العرب،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مكّة والمدينة واليمن </w:t>
      </w:r>
      <w:bookmarkStart w:id="786" w:name="pg10178_83785"/>
    </w:p>
    <w:p>
      <w:pPr>
        <w:pStyle w:val="BookText"/>
        <w:rPr/>
      </w:pPr>
      <w:bookmarkEnd w:id="786"/>
      <w:r>
        <w:rPr>
          <w:rFonts w:ascii="Amiri" w:hAnsi="Amiri" w:eastAsia="Amiri" w:cs="Amiri"/>
          <w:color w:val="111111"/>
          <w:sz w:val="28"/>
          <w:sz w:val="28"/>
          <w:szCs w:val="28"/>
          <w:rtl w:val="true"/>
          <w:lang w:bidi="ar-SA"/>
        </w:rPr>
        <w:t>ومخاليفها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عدنٍ إلى ريف عبّادان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هو الأشهر، وإنّما سمّيت جزيرة؛ لأنها بين بحر الهند وبحر فارس والفرات، ونُسبت إلى العرب؛ لأنّها منزلهم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 واحدها مخلاف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فيها زرع خصب</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2018914_1067777946"/>
      <w:bookmarkStart w:id="788" w:name="_Toc295"/>
      <w:bookmarkEnd w:id="787"/>
      <w:r>
        <w:rPr>
          <w:rtl w:val="true"/>
        </w:rPr>
        <w:t>[</w:t>
      </w:r>
      <w:r>
        <w:rPr>
          <w:rtl w:val="true"/>
        </w:rPr>
        <w:t>المهادنة</w:t>
      </w:r>
      <w:r>
        <w:rPr>
          <w:rtl w:val="true"/>
        </w:rPr>
        <w:t>]</w:t>
      </w:r>
      <w:bookmarkEnd w:id="7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الهدنة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أكثر من أربعة؟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والوجه مراعاة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وقعت الهدنة على ما لا يجوز فعله لم يجب الوفاء، مثل التظاهر بالمناكير، وإعادة من يهاجر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هاجرت وتحقّق إسلامها لم تعد، لكن يعاد على زوجها ما سلّم إليها من مهر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النفقة وغيرها ممّا غرمه عليها، فإنّه لا يعاد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يعاد المهر إلّا إذا طلبه الزوج أو وكيله من الإمام أو نائبه، فيدفعه إليه من بيت المال وإن كانت عينه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ماتت قبل المطالبة لم تدفع إليه،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الهدنة إعادة الرجال مطلقاً،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البطلان قوّة؛ لاشتماله على إعادة ما لا يؤمن افتتانه،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انتقل إلى دين يُقرّ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لأنّ الكفر ملّة واحدة،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عاد إلى دينه،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القبول أقوى</w:t>
      </w:r>
      <w:r>
        <w:rPr>
          <w:rFonts w:eastAsia="IRNazanin" w:cs="IRNazanin"/>
          <w:color w:val="111111"/>
          <w:sz w:val="28"/>
          <w:szCs w:val="28"/>
          <w:rtl w:val="true"/>
          <w:lang w:bidi="fa-IR"/>
        </w:rPr>
        <w:t xml:space="preserve">. </w:t>
      </w:r>
      <w:bookmarkStart w:id="789" w:name="pg10178_83786"/>
    </w:p>
    <w:p>
      <w:pPr>
        <w:pStyle w:val="BookText"/>
        <w:rPr/>
      </w:pPr>
      <w:bookmarkEnd w:id="78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أصرّ فقتل، هل يملك أطفاله؟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استصحاباً لحالتهم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تملّكهم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فعل أهل الذمّة ما هو سائغ في شرعهم وليس بسائغ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فعلوا ما ليس بسائغ في شرعهم كالزنى واللواط، فالحكم فيه كما في المسلم، وإن شاء الحاكم دفعه إلى أهل نحلته ليقيموا الحدّ فيه بمقتضى شرعهم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له عندهم عقوبة وإن لم يوافق ما عندنا كمّاً وكيفاً، وإلّا تعيّن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الكافر مصحفاً لم يصحّ البيع،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ويرفع يده، والأوّل أنسب بإعظام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جعله أنسب؛ لعدم وقوفه على دليل يدلّ على البطلان، بل غايته التحريم، وهو لايدلّ على الفساد في العقود، فيصحّ البيع ويجبر على بيعه من مسلمٍ، لكن مناسبة التعظيم لكتاب الله تعالى تقتضي البطلان</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2018916_1067777946"/>
      <w:bookmarkStart w:id="791" w:name="_Toc296"/>
      <w:bookmarkEnd w:id="790"/>
      <w:r>
        <w:rPr>
          <w:rtl w:val="true"/>
        </w:rPr>
        <w:t>[</w:t>
      </w:r>
      <w:r>
        <w:rPr>
          <w:rtl w:val="true"/>
        </w:rPr>
        <w:t>قتال أهل البغي</w:t>
      </w:r>
      <w:r>
        <w:rPr>
          <w:rtl w:val="true"/>
        </w:rPr>
        <w:t>]</w:t>
      </w:r>
      <w:bookmarkEnd w:id="7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 به مَن فيه غَناء سقط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والإجزاء، والكلام في هذه الأحكام كما تقدّم في حرب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تملّك شيء من أموالهم التي لم يحوها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موضع وفاق، وقد ادّعى الإجماع عليه جماعة منهم الشهيد في الدروس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يُستفاد تحريم أموال سائر فِرَق الإسلام وإن حكم بكفرهم؛ لأنّ هذا الوصف ثابت في البغاة وزيادة، مضافاً إلى ما دلّ عليه من الكتاب </w:t>
      </w:r>
      <w:r>
        <w:rPr>
          <w:rStyle w:val="FootnoteAnchor"/>
          <w:rtl w:val="true"/>
        </w:rPr>
        <w:footnoteReference w:id="245"/>
      </w:r>
      <w:r>
        <w:rPr>
          <w:rFonts w:ascii="Amiri" w:hAnsi="Amiri" w:eastAsia="Amiri" w:cs="Amiri"/>
          <w:color w:val="111111"/>
          <w:sz w:val="28"/>
          <w:sz w:val="28"/>
          <w:szCs w:val="28"/>
          <w:rtl w:val="true"/>
          <w:lang w:bidi="ar-SA"/>
        </w:rPr>
        <w:t xml:space="preserve">والسنّة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يؤخذ ما حواه العسكر ممّا يُنقل ويُحوّل؟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ذكرناه من العلّة،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بالجواز أشهر، والأصل في الخلاف سيرة عليّ علیه السلام يوم الجمل، فإنّه قسّم أموالهم بين المقاتلة، ثمّ ردّه على أربابه </w:t>
      </w:r>
      <w:r>
        <w:rPr>
          <w:rStyle w:val="FootnoteAnchor"/>
          <w:rtl w:val="true"/>
        </w:rPr>
        <w:footnoteReference w:id="247"/>
      </w:r>
      <w:r>
        <w:rPr>
          <w:rFonts w:ascii="IRNazanin" w:hAnsi="IRNazanin" w:eastAsia="IRNazanin"/>
          <w:color w:val="111111"/>
          <w:sz w:val="28"/>
          <w:sz w:val="28"/>
          <w:szCs w:val="28"/>
          <w:rtl w:val="true"/>
          <w:lang w:bidi="fa-IR"/>
        </w:rPr>
        <w:t>، فمنهم مَن نظر إلى أوّل فعله، ومنهم من نظر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فعله ظاهر في كون الثاني وقع بطريق المنّ، لا الاستحقاق؛ حذراً من التناقض؛ ولأنّه علیه السلام صرّح بذلك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سبّ الإمام العادل وجب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كلّ سامع مع الأمن على نفسه وعلى غيره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 الباغي على العادل مالاً أو نفساً في حال الحرب، ضمنه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بالعادل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متابعاً للإمام العادل وإن كان ذمّياً</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10178_83789"/>
      <w:bookmarkStart w:id="793" w:name="pg10178_83789"/>
      <w:bookmarkEnd w:id="793"/>
    </w:p>
    <w:p>
      <w:pPr>
        <w:pStyle w:val="Heading2"/>
        <w:numPr>
          <w:ilvl w:val="1"/>
          <w:numId w:val="1"/>
        </w:numPr>
        <w:rPr/>
      </w:pPr>
      <w:bookmarkStart w:id="794" w:name="pg10178_83789"/>
      <w:bookmarkStart w:id="795" w:name="__RefHeading___Toc2018918_1067777946"/>
      <w:bookmarkStart w:id="796" w:name="_Toc297"/>
      <w:bookmarkEnd w:id="794"/>
      <w:bookmarkEnd w:id="795"/>
      <w:r>
        <w:rPr>
          <w:rtl w:val="true"/>
        </w:rPr>
        <w:t>كتاب الأمر بالمعروف والنهي عن المنكر</w:t>
      </w:r>
      <w:bookmarkEnd w:id="796"/>
    </w:p>
    <w:p>
      <w:pPr>
        <w:pStyle w:val="Heading3"/>
        <w:numPr>
          <w:ilvl w:val="2"/>
          <w:numId w:val="1"/>
        </w:numPr>
        <w:rPr/>
      </w:pPr>
      <w:bookmarkStart w:id="797" w:name="__RefHeading___Toc2018920_1067777946"/>
      <w:bookmarkStart w:id="798" w:name="_Toc298"/>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حسن اختصّ بوصف زائد على حسنه إذا عرف فاعله ذلك أو 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بالفعل الحسن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 بالمعنى الأعمّ الشامل للواجب والمندوب والمباح والمكروه، وقد عرّفوه بأنّه ماللقادر عليه العالم بحاله أن يفعله، ويقابله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 بوصف زائد على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 فإنّه لا يختصّ بوصف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إخراج المكروه أيضاً؛ لأنّه ليس بمعروف مع دخوله في تعريف الحسن، وإنّما لم يخرج بالوصف الزائد؛ لأنّه لم يشرط فيه کونه راجحاً، والوصف المرجوح يصدق عليه أنّه زائد على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بقوله في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فاعله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والقبيح العقليّين؛ لأنّهما يعرفان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الحسن والقبيح السمعيّين؛ لتوقّف معرفة حسنهما وقبحهما على الدالّ، وهو الله تعالى والنبيّ صلی الله علیه و آله و سلم أو من يقوم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فعل قبیح عرف فاعله قبحه، أو دلّ عليه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بالقبيح الحرام، وعلى هذا فالمكروه خارج من القسمين، فلا يتحقّق الأمر به ولا النهي عنه، وكان ينبغي إدراجه، فإنّ النهي عنه مستحبّ كالأمر بالمندوب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تكلّف إدخاله في المندوب باعتبار استحباب تركه، فيتعلّق الأمر به</w:t>
      </w:r>
      <w:r>
        <w:rPr>
          <w:rFonts w:eastAsia="Amiri" w:cs="Amiri" w:ascii="Amiri" w:hAnsi="Amiri"/>
          <w:color w:val="111111"/>
          <w:sz w:val="28"/>
          <w:szCs w:val="28"/>
          <w:rtl w:val="true"/>
          <w:lang w:bidi="ar-SA"/>
        </w:rPr>
        <w:t xml:space="preserve">. </w:t>
      </w:r>
      <w:bookmarkStart w:id="799" w:name="pg10178_83790"/>
    </w:p>
    <w:p>
      <w:pPr>
        <w:pStyle w:val="BookText"/>
        <w:rPr/>
      </w:pPr>
      <w:bookmarkEnd w:id="79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ووجوبهما على الكفاية يسقط بقيام من فيه غناء،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الأعیان، 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 كفائيّاً أقوى، ولا إشكال في سقوط الوجوب بعد حصول المطلوب من فعل المعروف وترك المنكر؛ لفقد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فائدة القولين في وجوب قيام الكلّ به قبل حصول الغرض وإن قام به مَن فيه الكفاية على القول بالوجوب العيني، وسقوط الوجوب عمّن زاد على مَن فيه الكفاية من الغانمين على القول الآخر</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2018922_1067777946"/>
      <w:bookmarkStart w:id="801" w:name="_Toc299"/>
      <w:bookmarkEnd w:id="800"/>
      <w:r>
        <w:rPr>
          <w:rtl w:val="true"/>
        </w:rPr>
        <w:t>[</w:t>
      </w:r>
      <w:r>
        <w:rPr>
          <w:rtl w:val="true"/>
        </w:rPr>
        <w:t>شروط النهي عن المنكر</w:t>
      </w:r>
      <w:r>
        <w:rPr>
          <w:rtl w:val="true"/>
        </w:rPr>
        <w:t>]</w:t>
      </w:r>
      <w:bookmarkEnd w:id="8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النهي عن المنكر ما لم تُكمل شروط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منكراً؛ ليأمن الغلط في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اشتراط الأُمور الأربعة بين الأمر بالمعروف والنهي عن المنكر، فتخصيصه النهي لا وجه له إلّا مراعاة الإيجاز بتكلّف إدخال 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الشرط الأوّل بحث؛ لأنّ عدم العلم بالمعروف لاينافي تعلّق الوجوب بمن لم يعلم، وإنّما ينافيه نفس الأمر والنهي؛ حذراً من الوقوع في الأمر بالمنكر والنهي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فيجب على مَن علم وقوع المنكر أو ترك المعروف من شخص معيّن في الجملة، أن يتعلّم ما يصحّ معه الأمر والنهي ثمّ يأمر أو ينهى، كما يتعلّق بالمحدث وجوب الصلاة ويجب عليه تحصيل شرائطهما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منافاة بين عدم جواز أمر الجاهل ونهيه حالة جهله وبين وجوبهما عليه، كما تجب الصلاة على المحدث والكافر، ولا يصحّ منهما على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يجوز تأثير إنكاره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بالتجويز في هذا المحلّ أن لا يكون التأثير عنده ممتنعاً، بل يكون ممكناً بحسب ما يظهر له من حاله، وهو يقتضي الوجوب ما لم يعلم عدم التأثير وإن ظنّ </w:t>
      </w:r>
      <w:bookmarkStart w:id="802" w:name="pg10178_83791"/>
    </w:p>
    <w:p>
      <w:pPr>
        <w:pStyle w:val="BookText"/>
        <w:rPr/>
      </w:pPr>
      <w:bookmarkEnd w:id="802"/>
      <w:r>
        <w:rPr>
          <w:rFonts w:ascii="Amiri" w:hAnsi="Amiri" w:eastAsia="Amiri" w:cs="Amiri"/>
          <w:color w:val="111111"/>
          <w:sz w:val="28"/>
          <w:sz w:val="28"/>
          <w:szCs w:val="28"/>
          <w:rtl w:val="true"/>
          <w:lang w:bidi="ar-SA"/>
        </w:rPr>
        <w:t>عدمه؛ لأنّ التجويز قائم مع الظنّ، فلا يطابق أوّل الكلام 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يتمشّى ذلك في الشرط الرابع؛ لأنّ الضرر المسوّغ للتحرّز منه يكفي فيه ظنّه</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2018924_1067777946"/>
      <w:bookmarkStart w:id="804" w:name="_Toc300"/>
      <w:bookmarkEnd w:id="803"/>
      <w:r>
        <w:rPr>
          <w:rtl w:val="true"/>
        </w:rPr>
        <w:t>[</w:t>
      </w:r>
      <w:r>
        <w:rPr>
          <w:rtl w:val="true"/>
        </w:rPr>
        <w:t>مراتب الإنكار</w:t>
      </w:r>
      <w:r>
        <w:rPr>
          <w:rtl w:val="true"/>
        </w:rPr>
        <w:t>]</w:t>
      </w:r>
      <w:bookmarkEnd w:id="8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ومراتب الإنكار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وهو يجب وجوباً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الإنكار القلبي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كراهة المنكر في القلب، بأن يعتقد وجوب المتروك وتحريم المفعول مع كراهته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فاعل المنكر وإظهار الكراهية له بسبب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الأوّل يجب على كلّ مكلّف؛ لأنّه من مقتضى الإيمان، سواءً كان هناك منكر واقع أم لا، وسواء جوّز به التأثير أم لا، إلّا أنّ هذا المعنى لا يكاد يدخل في معنى الأمر بالمعروف والنهي عن المنكر؛ لاقتضائهما طلب الفعل أو الترك، ولا طلب في هذا المعنى، فلايعدّ معتقده آمراً ولاناهياً، بخلاف المعنى الثاني، فإنّ الإنكار والطلب يتحقّقان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 مشروط بالشرائط المذكورة؛ لأنّه يظهر على فاعله، ويجري فيه خوف الضرر وعدمه، وتجويز التأثير وعدمه، ومن هنا يظهر أنّ المعنى الأوّل لايدخل في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النهي ما لم تكمل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ومراتب الإنكار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ويجب وجوباً مطلقاً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إن أراد به المعنى الأوّل، كما هو الظاهر من الإطلاق أشكل بعدم دخوله في مراتب الإنكار والنهي، بأنّه لا يشترط بالشروط المذكورة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المعنى الثاني،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دفع المنكر بالقلب أوّلاً، كما إذا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للتقييد بالإطلاق فائدة؛ لأنّ إظهار الكراهة الذي جعله معنى الإنكار </w:t>
      </w:r>
      <w:bookmarkStart w:id="805" w:name="pg10178_83792"/>
    </w:p>
    <w:p>
      <w:pPr>
        <w:pStyle w:val="BookText"/>
        <w:rPr/>
      </w:pPr>
      <w:bookmarkEnd w:id="805"/>
      <w:r>
        <w:rPr>
          <w:rFonts w:ascii="Amiri" w:hAnsi="Amiri" w:eastAsia="Amiri" w:cs="Amiri"/>
          <w:color w:val="111111"/>
          <w:sz w:val="28"/>
          <w:sz w:val="28"/>
          <w:szCs w:val="28"/>
          <w:rtl w:val="true"/>
          <w:lang w:bidi="ar-SA"/>
        </w:rPr>
        <w:t>القلبي ثانياً مشروط بالشرائط كغيره من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افتقر إلى الجرح أو القتل، هل يجب؟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بإذن الإمام،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بالنسبة إلى القتل، أمّا الجرح فالأوّل قويٌّ</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2018926_1067777946"/>
      <w:bookmarkStart w:id="807" w:name="_Toc301"/>
      <w:bookmarkEnd w:id="806"/>
      <w:r>
        <w:rPr>
          <w:rtl w:val="true"/>
        </w:rPr>
        <w:t>[</w:t>
      </w:r>
      <w:r>
        <w:rPr>
          <w:rtl w:val="true"/>
        </w:rPr>
        <w:t>المقيم للحدّ</w:t>
      </w:r>
      <w:r>
        <w:rPr>
          <w:rtl w:val="true"/>
        </w:rPr>
        <w:t>]</w:t>
      </w:r>
      <w:bookmarkEnd w:id="8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إقامة الحدود، إلّا للإمام مع وجوده، أو من نصبه لإقامتها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يجوز للمولى إقامة الحدّ على 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المشاهدة أو إقرار الرقّ الكامل به، أمّا بثبوته بالبيّنة فيتوقّف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يقيم الرجل الحدّ على ولده وزوجته؟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حسن إن كان الأب والزوج فقيهاً، وإلّا فالمنع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ولي والٍ من قبل الجائر، وكان قادراً على إقامة الحدود، هل له إقامتها؟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إن كان فقيهاً، وإلّا فالمنع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للفقهاء العارفين إقامة الحدود في حال غيبة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الأقوى، ولا يخفى أنّ ذلك مع أمن الضرر عليه وعلى غيره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للحكم بين الناس إلّا عارف بالأحكام، مطلّع على مآخذها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الفقيه المجتهد، وكما لا يجوز الحكم لغيره لا يجوز الإفتاء إلّا بطريق الحكاية عن المجتهد الحيّ دون الميّت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ولونصب الجائر قاضياً مُكرِهاً له، جاز الدخول معه، دفعاً لضرره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يتوقّف الجواز على الإكراه مع عدم اتّصاف الحاكم بشرائط الفتوى، وعدم تمكّنه من إجراء الأحكام على وجهها الشرعي، وإلّا جاز قبوله، بل قد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الخوف من المخالفة على نفسه وماله وعِرْضه، ويختلف ذلك بحسب أحوال الناس</w:t>
      </w:r>
      <w:r>
        <w:rPr>
          <w:rFonts w:eastAsia="Amiri" w:cs="Amiri" w:ascii="Amiri" w:hAnsi="Amiri"/>
          <w:color w:val="111111"/>
          <w:sz w:val="28"/>
          <w:szCs w:val="28"/>
          <w:rtl w:val="true"/>
          <w:lang w:bidi="ar-SA"/>
        </w:rPr>
        <w:t xml:space="preserve">. </w:t>
      </w:r>
      <w:bookmarkStart w:id="808" w:name="pg10178_83793"/>
    </w:p>
    <w:p>
      <w:pPr>
        <w:pStyle w:val="Heading2"/>
        <w:numPr>
          <w:ilvl w:val="1"/>
          <w:numId w:val="1"/>
        </w:numPr>
        <w:rPr/>
      </w:pPr>
      <w:bookmarkStart w:id="809" w:name="__RefHeading___Toc2018928_1067777946"/>
      <w:bookmarkStart w:id="810" w:name="_Toc302"/>
      <w:bookmarkEnd w:id="808"/>
      <w:bookmarkEnd w:id="809"/>
      <w:r>
        <w:rPr>
          <w:rtl w:val="true"/>
        </w:rPr>
        <w:t>كتاب التجارة</w:t>
      </w:r>
      <w:bookmarkEnd w:id="810"/>
    </w:p>
    <w:p>
      <w:pPr>
        <w:pStyle w:val="Heading3"/>
        <w:numPr>
          <w:ilvl w:val="2"/>
          <w:numId w:val="1"/>
        </w:numPr>
        <w:rPr/>
      </w:pPr>
      <w:bookmarkStart w:id="811" w:name="__RefHeading___Toc2018930_1067777946"/>
      <w:bookmarkStart w:id="812" w:name="_Toc303"/>
      <w:bookmarkEnd w:id="811"/>
      <w:r>
        <w:rPr>
          <w:rtl w:val="true"/>
        </w:rPr>
        <w:t>[</w:t>
      </w:r>
      <w:r>
        <w:rPr>
          <w:rtl w:val="true"/>
        </w:rPr>
        <w:t>الفصل الأوّل فيما يكتسب به</w:t>
      </w:r>
      <w:r>
        <w:rPr>
          <w:rtl w:val="true"/>
        </w:rPr>
        <w:t>]</w:t>
      </w:r>
      <w:bookmarkEnd w:id="812"/>
    </w:p>
    <w:p>
      <w:pPr>
        <w:pStyle w:val="Heading4"/>
        <w:numPr>
          <w:ilvl w:val="3"/>
          <w:numId w:val="1"/>
        </w:numPr>
        <w:rPr/>
      </w:pPr>
      <w:bookmarkStart w:id="813" w:name="__RefHeading___Toc2018932_1067777946"/>
      <w:bookmarkStart w:id="814" w:name="_Toc304"/>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فالمحرّم منه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كالخمرة، والأنبذة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مائع نجس، عدا الأدهان لفائدة الاستصباح بها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كونه تحت السماء هو المشهور </w:t>
      </w:r>
      <w:r>
        <w:rPr>
          <w:rStyle w:val="FootnoteAnchor"/>
          <w:rtl w:val="true"/>
        </w:rPr>
        <w:footnoteReference w:id="250"/>
      </w:r>
      <w:r>
        <w:rPr>
          <w:rFonts w:ascii="Amiri" w:hAnsi="Amiri" w:eastAsia="Amiri" w:cs="Amiri"/>
          <w:color w:val="111111"/>
          <w:sz w:val="28"/>
          <w:sz w:val="28"/>
          <w:szCs w:val="28"/>
          <w:rtl w:val="true"/>
          <w:lang w:bidi="ar-SA"/>
        </w:rPr>
        <w:t xml:space="preserve">، والنصوص خالية عنه، فالقول بعدم اشتراطه </w:t>
      </w:r>
      <w:r>
        <w:rPr>
          <w:rStyle w:val="FootnoteAnchor"/>
          <w:rtl w:val="true"/>
        </w:rPr>
        <w:footnoteReference w:id="251"/>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إذا كان الدهن متنجّساً بالعرض، فلو كان نفسه نجاسة كأليات الميتة والمبانة من الحيّ لم يصحّ الانتفاع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مجموعها من حيث هو مجموع، وفي حكمه أجزاؤها التي تحلّها الحياة، وأمّا ما لا تحلّها الحياة فيجوز بيعه إذا كانت طاهرة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وأرواث وأبوال مالا يؤكل لحمه، وربما قيل بتحريم الأبوال كلّها، إلّا بول الإبل، والأوّل أشبه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يريد بالأوّل ما دلّ عليه القول الأوّل بمفهومه؛ إذ منطوقه المنع من بیع أرواث </w:t>
      </w:r>
    </w:p>
    <w:p>
      <w:pPr>
        <w:pStyle w:val="BookText"/>
        <w:rPr/>
      </w:pPr>
      <w:r>
        <w:rPr>
          <w:rFonts w:ascii="Amiri" w:hAnsi="Amiri" w:eastAsia="Amiri" w:cs="Amiri"/>
          <w:color w:val="111111"/>
          <w:sz w:val="28"/>
          <w:sz w:val="28"/>
          <w:szCs w:val="28"/>
          <w:rtl w:val="true"/>
          <w:lang w:bidi="ar-SA"/>
        </w:rPr>
        <w:t>وأبوال ما لا يؤكل لحمه، وهو ممّا لا شبهة فيه، وإنّما الكلام في اختصاص الحكم به حتّى يجوّز ذلك ممّا يؤكل لحمه، وهو غير مذكور بالمنطوق في القولين مطلقاً، لكنّه مفهوم القول الأوّل، ومرجعه إلى اختصاص المنع بما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وهياكل العبادة المبتدعة كالصليب والصنم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الهيكل بيت الصنم، والمراد به هنا نفس الصنم مجازاً من باب إطلاق اسم المحلّ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كبيع السلاح لأعداء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كانوا مسلمين أم كفّاراً، ومنهم قطّاع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مع قصد المساعدة، أو في حال الحرب،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وإجارة السفن والمساكن للمحرّمات، وبيع العنب ليعمل خمراً، وبيع الخشب ليعمل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بيعه لأجل الغاية المحرّمة، سواء اشترطها في نفس العقد أم حصل الاتّفاق عليها، فلو باعه لمن يعملها بدون الشرط، فإن لم يعلم أنّه يعملها كذلك لم يحرم على الأقوى، وإن علم أو غلب على ظنّه ذلك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 كالمسوخ، برّيّة كانت، كالقرد والدبّ، وفي الفيل تردّد، والأظهر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بحريّة كالجرِّي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وتشديد الراء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طويل أملس لا فلس له، والضفادع معطوفة على المسوخ، وليست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السمك ما مات في الماء، وصف بذلك؛ لأنّه إذا مات طفا على وجه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السباع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في نفسه، كعمل الصور المجسّمة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اختصاص المنع بذوات الأرواح من الصور مطلقاً، سواء كانت مجسّمة في مثل الخشب والحجر، أو منقوشة على مثل البساط والورق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بالمدّ، هو مدّ الصوت المشتمل على الترجيع المطرب، أو ما يسمّى في العرف غناءً وإنْ لم يطرب، سواء كان في شعر أو قرآن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الحداء للإبل، وقول المرأة له في الأعراس، إذا لم تتكلّم بالباطل، ولم تعمل بالملاهي، ولم يسمع صوتها الأجانب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ومعونة الظالمين بما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به عن مساعدتهم بالأعمال المحلّلة، كالخياطة وغيرها،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ونوح النائحة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نوحها بالباطل بوصفها الميّت بما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بالحقّ إذا لم يسمعها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 كتب الضلال، ونسخها لغير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التلف، أو عن ظهر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النقض الاحتجاج على أهلها بها لأهله، وكذا يجوز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وهجاء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 والمراد ذكر المعايب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وتعلّم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كلام، أو كتابة، أو أقسام ونحوها يحدث بسببها ضرر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عقد الرجل عن زوجته، وإلقاء البغضاء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تعلّمه ليتوقّى به، أو يدفع به المتنبّي بالسحر وحلّه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والكهانة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يوجب طاعة بعض الجانّ واتّباعه له، بحيث يأتيه بالأخبار الغائبة</w:t>
      </w:r>
      <w:r>
        <w:rPr>
          <w:rFonts w:eastAsia="Amiri" w:cs="Amiri" w:ascii="Amiri" w:hAnsi="Amiri"/>
          <w:color w:val="111111"/>
          <w:sz w:val="28"/>
          <w:szCs w:val="28"/>
          <w:rtl w:val="true"/>
          <w:lang w:bidi="ar-SA"/>
        </w:rPr>
        <w:t xml:space="preserve">. </w:t>
      </w:r>
      <w:bookmarkStart w:id="815" w:name="pg10178_83796"/>
    </w:p>
    <w:p>
      <w:pPr>
        <w:pStyle w:val="BookText"/>
        <w:rPr/>
      </w:pPr>
      <w:bookmarkEnd w:id="81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الاستناد إلى علامات يترتّب عليها إلحاق نسب بنسب ونحوه، بحيث يجزم به، أو يترتّب عليه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اللعب بالآلات المعدّة له، كالشطرنج والخاتم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الكسب المرتّب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فعله الصبيان فالمكلّف بردّه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مالكه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انحصر في معيّنين وجب محاللتهم ولو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وتزيين الرجل بما يحرم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المحرّم عليه التزيين بالذهب والحرير والزينة المختصّة بالنساء، كلبس السوار والخلخال والثياب المختصّة 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بالرزق من بيت المال، وكذا الصلاة بالناس، والقضاء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بابه، وحاصله أنّه إنْ لم يتعيّن عليه جاز أخذه مطلقاً، وكذا إنْ تعيّن ولا كفاية له، وإلّا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المنع من أخذ الأُجرة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الارتزاق من بيت المال فمرجعه إلى نظر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بأخذ الأُجرة على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مباشرة الصيغة، فإنّه غير واجب، أمّا على تعليمها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يكره لتطرّق الشبهة، ككسب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أصله؛ لأنّه مظنّة الشبهة والحرام بإجراء الصبيّ عليه، فيكره للوليّ التصرّف فيه، ولغيره شراؤه منه ونحوه</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018934_1067777946"/>
      <w:bookmarkStart w:id="817" w:name="_Toc305"/>
      <w:bookmarkEnd w:id="816"/>
      <w:r>
        <w:rPr>
          <w:rtl w:val="true"/>
        </w:rPr>
        <w:t>[</w:t>
      </w:r>
      <w:r>
        <w:rPr>
          <w:rtl w:val="true"/>
        </w:rPr>
        <w:t>مسائل</w:t>
      </w:r>
      <w:r>
        <w:rPr>
          <w:rtl w:val="true"/>
        </w:rPr>
        <w:t>:]</w:t>
      </w:r>
      <w:bookmarkEnd w:id="81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شيء من الكلاب إلّا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كلب الماشية والزرع والحائط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الرُشا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بضمّ أوّله وكسره مقصوراً، جمع رشوة بهما، أي بالضمّ والكسر، وهو أخذ الحاكم مالاً لأجل الحكم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وتحريمه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يحرم على المرتشي يحرم على المعطي إلّا أنْ يتوقّف عليه تحصيل حقّه، فيحرم على المرتشي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أكرهه الجائر على الولاية جاز له الدخول والعمل بما يأمره، مع عدم القدرة على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الإكراه كافٍ في جواز الولاية والعمل بما يأمره به من الأُمور المحرّمة غير الدماء، وإنْ أمكنه التفصّي؛ إذ لا يشترط في الإكراه المجوّز بلوغ حدّ الإلجاء بل خوف الضرر،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فتقييد المصنِّف الحكم بعدم القدرة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بطريق القتل أو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محلّ وفاق، وفي الثاني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شمل المباشرة والتسبيب، كالأمر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حصلت المغايرة بين هذه المسألة والمتقدّمة في باب الأمر بالمعروف، فإنّ تلك مفروضة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السلطان الجائر من الغلّات باسم المقاسمة و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جواز تناول ذلك بين رضى المالك وعدمه، ولا بين تظلّمه وعدمه ما لم يعلم الظلم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أخذه لما قدّره السلطان، فلو زاد عنه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ابتياعه يجوز سائر المعاوضات، ولا يشترط قبض السلطان أو وكيله له، فلو أحاله به، أو وكّله في قبضه، أو أقطعه أرضاً جاز له تناول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مختصّ بالسلطان </w:t>
      </w:r>
      <w:bookmarkStart w:id="818" w:name="pg10178_83798"/>
    </w:p>
    <w:p>
      <w:pPr>
        <w:pStyle w:val="BookText"/>
        <w:rPr/>
      </w:pPr>
      <w:bookmarkEnd w:id="818"/>
      <w:r>
        <w:rPr>
          <w:rFonts w:ascii="Amiri" w:hAnsi="Amiri" w:eastAsia="Amiri" w:cs="Amiri"/>
          <w:color w:val="111111"/>
          <w:sz w:val="28"/>
          <w:sz w:val="28"/>
          <w:szCs w:val="28"/>
          <w:rtl w:val="true"/>
          <w:lang w:bidi="ar-SA"/>
        </w:rPr>
        <w:t>المخالف، فلو كان مؤمناً لم يجز تناول ذلك؛ لعدم الشبهة المسوّغة، بل يرجع الأمر إلى حاكمهم الشرعي</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2018936_1067777946"/>
      <w:bookmarkStart w:id="820" w:name="_Toc306"/>
      <w:bookmarkEnd w:id="819"/>
      <w:r>
        <w:rPr>
          <w:rtl w:val="true"/>
        </w:rPr>
        <w:t>[</w:t>
      </w:r>
      <w:r>
        <w:rPr>
          <w:rtl w:val="true"/>
        </w:rPr>
        <w:t>الفصل الثاني في عقد البيع</w:t>
      </w:r>
      <w:r>
        <w:rPr>
          <w:rtl w:val="true"/>
        </w:rPr>
        <w:t>]</w:t>
      </w:r>
      <w:bookmarkEnd w:id="820"/>
    </w:p>
    <w:p>
      <w:pPr>
        <w:pStyle w:val="Heading4"/>
        <w:numPr>
          <w:ilvl w:val="3"/>
          <w:numId w:val="1"/>
        </w:numPr>
        <w:rPr/>
      </w:pPr>
      <w:bookmarkStart w:id="821" w:name="__RefHeading___Toc2018938_1067777946"/>
      <w:bookmarkStart w:id="822" w:name="_Toc307"/>
      <w:bookmarkEnd w:id="821"/>
      <w:r>
        <w:rPr>
          <w:rtl w:val="true"/>
        </w:rPr>
        <w:t>[</w:t>
      </w:r>
      <w:r>
        <w:rPr>
          <w:rtl w:val="true"/>
        </w:rPr>
        <w:t>العقد</w:t>
      </w:r>
      <w:r>
        <w:rPr>
          <w:rtl w:val="true"/>
        </w:rPr>
        <w:t>]</w:t>
      </w:r>
      <w:bookmarkEnd w:id="8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وهو اللفظ الدالّ على نقل الملك من مالك إلى آخر،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تعريف للبيع وإنْ جعله تعريفاً للعقد؛ لأنّ البيع عنده هو العقد لا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 الإضافة من عقد البيع نيابةً، أي عقد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إباحة منفعة، أو تسلّط على تصرّف من العقود، كالعارية والقراض والوكالة 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وإن شرط فيها مطلق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مملوكاً للعاقد وغيره، فدخل بيع الوكيل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ينتقض في طرده بالإجارة، فإنّ الملك يشمل العين والمنفعة، وعقدها يدلّ على نقل ملك المنفعة بعوض معلوم، وبالهبة المشروط فيها عوض معيّن، والصلح المشتمل على ذلك إنْ لم نجعله بيعاً، وفي عكسه بإشارة الأخرس ونحوه المفيدة للبيع، فإنّها ليست لفظاً مع صحّة البيع بها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التقابض من غير لفظ، وإنْ حصل من الإمارات ما يدلّ على إرادة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أنّ المعاطاة ليست بيعاً محضاً، ولكنّها تفيد فائدته في إباحة التصرّف من كلّ منهما فيما صار إليه من العوض، ويجوز الرجوع لكلّ منهما في عوضه ما دامت العين باقية، فإذا تلفت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تلف أحدها كاف في اللزوم، وكذا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التلف نقلها عن الملك بوجه لازم، وامتزاجها بغيرها بحيث لا تتميّز وتغيّر صفتها، كخياطة الثوب وصبغه وقصره، ولا يقدح غيره من التصرّفات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كالاستعمال</w:t>
      </w:r>
      <w:r>
        <w:rPr>
          <w:rFonts w:eastAsia="Amiri" w:cs="Amiri" w:ascii="Amiri" w:hAnsi="Amiri"/>
          <w:color w:val="111111"/>
          <w:sz w:val="28"/>
          <w:szCs w:val="28"/>
          <w:rtl w:val="true"/>
          <w:lang w:bidi="ar-SA"/>
        </w:rPr>
        <w:t xml:space="preserve">. </w:t>
      </w:r>
      <w:bookmarkStart w:id="823" w:name="pg10178_83799"/>
    </w:p>
    <w:p>
      <w:pPr>
        <w:pStyle w:val="BookText"/>
        <w:rPr/>
      </w:pPr>
      <w:bookmarkEnd w:id="82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تقديم الإيجاب على القبول؟ فيه تردّد، والأشبه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الخلاف ما إذا قدّمه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قطعاً</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2018940_1067777946"/>
      <w:bookmarkStart w:id="825" w:name="_Toc308"/>
      <w:bookmarkEnd w:id="824"/>
      <w:r>
        <w:rPr>
          <w:rtl w:val="true"/>
        </w:rPr>
        <w:t>[</w:t>
      </w:r>
      <w:r>
        <w:rPr>
          <w:rtl w:val="true"/>
        </w:rPr>
        <w:t>ما يتعلّق بالمتعاقدين</w:t>
      </w:r>
      <w:r>
        <w:rPr>
          <w:rtl w:val="true"/>
        </w:rPr>
        <w:t>]</w:t>
      </w:r>
      <w:bookmarkEnd w:id="8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 الصبيّ ولا شراؤه، ولو أذن له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الصبيّ بين المميّز وغيره، ولا بين كون المال له وللوليّ ولغيرهما وإنْ أذن له المالك أو الوليّ؛ لأنّ عبارته مسلوبة بأصل الشرع لا يترتّب عليها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بلغ عشراً عاقلاً،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المجنون، والمغمى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والمُكْرَه، ولو رضي كلّ منهم بما فعل بعد زوال عذره، عدا المُكْرَه؛ للوثوق بعبارته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 وبين المكره أنّه لا قصد لهم إلى العقد ولا أهليّة له، بخلاف المكره، فإنّه بالغ عاقل لا مانع له إلّا عدم القصد إلى العقد حين إيقاعه، وهو مجبور بلحوقه له بالإجازة، كعقد الفضولي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ويستثنى من بيع المُكْرَه ما إذا كان الكراهة لحقّ، بأن أكرهه الحاكم على بیع ماله لوفاء دينه، أو نفقة واجب النفقة، أو بيع العبد ليرث، أو بيع الحيوان إذا امتنع من الإنفاق عليه، أو العبد إذا أسلم عند الكافر، أو اشتراه الكافر، أو اشترى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نجوّزه ونجبره على 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وبيع الطعام من المحتكر، وعند المخمصة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المملوك أو اشترى بغير إذن سيّده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أمره آمر أن يبتاع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مولاه،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والجواز أشبه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اشترى نفسه من وكيله، فإنّه لا يقع بدون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مخاطبة المولى له بالإيجاب في معنى الإذن له في تولّي القبول، بخلاف وكيل المولى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بجواز شراء نفسه من مولاه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ملك غيره، وقف على إجازة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الإجازة كاشفة عن حصول الملك من حين العقد، فالنماء المتخلّل بينها وبينه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بالثمن مع العلم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رجوعه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ويقسّط الثمن بأنْ يقوّما جميعاً، ثمّ يقوّم أحدهما منفرداً، ويرجع على البائع بحصّة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يقوّم أحدهما منفرداً ثمّ ينسب إلى المجموع، ويؤخذ له من الثمن بتلك النسبة، لا أنّه يسقط من الثمن بقدر ما يقوّم به، كما يظهر من العبارة؛ لأنّ القيمة المذكورة قد تستوعب مجموع الثمن أو تزيد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تعتبر قيمتهما مجتمعين إذا لم يكن لاجتماعهما مدخل في زيادة قيمة كلّ واحد منفرداً كثوبين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استلزمه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كمصراعي بابٍ، كلّ واحد منهما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لا يقوّما مجتمعين، بل يقوّم كلّ واحد منهما منفرداً، وينسب قيمة أحدهما إلى مجموع القيمتين، ويؤخذ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المشتري ردّ الجميع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جهله بكون أحدهما ملكاً لغير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علمه بالحال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كلّ موضع يثبت فيه الخيار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باع ما يملك وما لا يملكه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تقويم ذلك أنْ يقوّم الحرّ لو كان عبداً بالوصف الذي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الخمر والخنزير يرجع إلى قيمتهما عند مستحلّيهما، مع عدالة المقوّم، بأن يكون مطّلعاً على قيمتهما عندهم لكثرة المخالطة، أو يسلم منهم اثنان كذلك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والوكيل يمضي تصرّفه على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يتولّى طرفي 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826" w:name="pg10178_83801"/>
    </w:p>
    <w:p>
      <w:pPr>
        <w:pStyle w:val="BookText"/>
        <w:rPr/>
      </w:pPr>
      <w:bookmarkEnd w:id="826"/>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 لا يمضي تصرّفه إلّا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في تولّيه طرفي العقد، كالوكيل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يجوز أن يقوّم على نفسه وأن يقترض إذا كان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مع ملاءته الرهن عليه، والإشهاد، وعدم الإضرار بالطفل، وكون البيع مصلحة للطفل في صورة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المشتري مسلماً، إذا ابتاع عبداً مسلماً،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ويجبر على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المسلم هل يصحّ؟ فيه تردّد، والأشبه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2018942_1067777946"/>
      <w:bookmarkStart w:id="828" w:name="_Toc309"/>
      <w:bookmarkEnd w:id="827"/>
      <w:r>
        <w:rPr>
          <w:rtl w:val="true"/>
        </w:rPr>
        <w:t>[</w:t>
      </w:r>
      <w:r>
        <w:rPr>
          <w:rtl w:val="true"/>
        </w:rPr>
        <w:t>ما يتعلّق بالمبيع</w:t>
      </w:r>
      <w:r>
        <w:rPr>
          <w:rtl w:val="true"/>
        </w:rPr>
        <w:t>]</w:t>
      </w:r>
      <w:bookmarkEnd w:id="828"/>
    </w:p>
    <w:p>
      <w:pPr>
        <w:pStyle w:val="Heading5"/>
        <w:numPr>
          <w:ilvl w:val="4"/>
          <w:numId w:val="1"/>
        </w:numPr>
        <w:rPr/>
      </w:pPr>
      <w:bookmarkStart w:id="829" w:name="__RefHeading___Toc2018944_1067777946"/>
      <w:bookmarkStart w:id="830" w:name="_Toc310"/>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المفتوحة </w:t>
      </w:r>
      <w:r>
        <w:rPr>
          <w:rStyle w:val="FootnoteAnchor"/>
          <w:rtl w:val="true"/>
        </w:rPr>
        <w:footnoteReference w:id="253"/>
      </w:r>
      <w:r>
        <w:rPr>
          <w:rFonts w:ascii="Amiri" w:hAnsi="Amiri" w:eastAsia="Amiri" w:cs="Amiri"/>
          <w:color w:val="111111"/>
          <w:sz w:val="28"/>
          <w:sz w:val="28"/>
          <w:szCs w:val="28"/>
          <w:rtl w:val="true"/>
          <w:lang w:bidi="ar-SA"/>
        </w:rPr>
        <w:t>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تبعاً لآثار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بيع بيوت مكّة تردّد والمرويّ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الأشهر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طلقاً، ولا يجوز بيع الوقف ما لم يؤدّ بقاؤه إلى خرابه؛ لاختلاف بين أربابه ويكون البيع أعود،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جواز بیعه متى وقع خُلف شديد بين أربابه وإنْ لم يؤدّ إلى خرابه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لو عطّل بحيث لم يبق فيه نفع على ذلك الوجه أصلاً، كما لو خَلِقت حصر المسجد وجذعه، بحيث لا يصلحان للانتفاع به فيه ولا في مصالحه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يجوز البيع يشترى بثمنه ما يكون وقفاً على ذلك الوجه إنْ أمكن، بحيث لا تحصل فيه العلّة المجوّزة للبيع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تحصيل الأقرب إلى صفة الموقوف </w:t>
      </w:r>
    </w:p>
    <w:p>
      <w:pPr>
        <w:pStyle w:val="BookText"/>
        <w:rPr/>
      </w:pPr>
      <w:r>
        <w:rPr>
          <w:rFonts w:ascii="Amiri" w:hAnsi="Amiri" w:eastAsia="Amiri" w:cs="Amiri"/>
          <w:color w:val="111111"/>
          <w:sz w:val="28"/>
          <w:sz w:val="28"/>
          <w:szCs w:val="28"/>
          <w:rtl w:val="true"/>
          <w:lang w:bidi="ar-SA"/>
        </w:rPr>
        <w:t>الأوّل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والمتولي لذلك الناظر الخاصّ إنْ كان، وإلّا فالعامّ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بيع أُمّ الولد ما لم 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ثمن رقبتها مع إعسار مولاها، وفي اشتراط موت المالك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اشتراط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بإعساره أنْ لا يكون له من المال ما يوفي ثمنها زائداً على المستثنيات في وفاء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ولايمنع جناية العبد من بيعه ولا من عتقه، عمداً كانت الجناية أو خطأً،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التردّد في العمد، والأقوى الجواز، لكن يكون مراعى برضى المجنيّ عليه بفدائه بالمال وبذل المولى له، فلو قتله أو استرقّه 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المشتري جاهلاً بالجناية تخيّر في الفسخ والإمضاء قبل استقرار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الجناية خطأً كان التخيير للمولى بين بذله للمجنيّ عليه وفدائه بأقلّ الأمرين من قيمته وأرش الجناية، ويكون بيعه التزاماً بالفداء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فداه، و إلّا جاز للمجنيّ عليه استرقاقه فينفسخ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فلايصحّ بيع الآبق منفرداً، ويصحّ منضمّاً إلى ما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يظفر به، لم يكن له رجوع على البائع، وكان الثمن في مقابلة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يوزّع عليها وعلى الآبق ويرجع بحصّته منه، بل ينزّل الآبق بالنسبة إلى الثمن منزلة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ما يتعذّر تسليمه إلّا بعد مدّة،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بالجواز مع ثبوت الخيار للمشتري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المشتري عالماً بالحال فلا خيار له، وإلّا 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الثمن معلوم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تسلّمه المشترى فتلف، كان مضموناً عليه بقيمته يوم قبضه،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القيم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قويُّ، إنْ كان التفاوت بسبب نقص العين أو زيادتها، ولو كان باختلاف السوق </w:t>
      </w:r>
    </w:p>
    <w:p>
      <w:pPr>
        <w:pStyle w:val="BookText"/>
        <w:rPr/>
      </w:pPr>
      <w:r>
        <w:rPr>
          <w:rFonts w:ascii="Amiri" w:hAnsi="Amiri" w:eastAsia="Amiri" w:cs="Amiri"/>
          <w:color w:val="111111"/>
          <w:sz w:val="28"/>
          <w:sz w:val="28"/>
          <w:szCs w:val="28"/>
          <w:rtl w:val="true"/>
          <w:lang w:bidi="ar-SA"/>
        </w:rPr>
        <w:t>اعتبرت القيمة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القيمي، أمّا المثلي فيضمن بمثله مع وجوده، وإلّا فقيمته يوم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زاد بفعل المشتري كان له قيمة الزيادة وإنْ لم يكن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جهله، أمّا مع علمه فليس له إلّا الزيادة العينيّة التي يمكن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لو كان من أصلٍ مجهولٍ، كبيع مكوكٍ من صبرة مجهولة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اشتمالها على المبيع،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تعذّر عدّما يجب عدّه، جاز أنْ يعتبر بمكيال، ويؤخذ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الاكتفاء في الجواز بمشقّة عدّه وإنْ لم يتعذّر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اختلفا فيه، فالقول قول المبتاع مع يمينه،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قبول قول المشتري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 التغيير الموجب للتخيير هنا ما اختلف بسببه الثمن اختلافاً لا يتسامح بمثله غالباً، لا مطلق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تغيّره لكن اختلفا في تقدّمه على البيع وتأخّره، فإنْ شهدت القرائن بأحدهما حكم به، وإنْ احتمل الأمران فالوجهان السابقان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يصحّ شراؤه من غير اختبار ولا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تردّد، والأولى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وموضع الخلاف ما لو كان المبيع مشاهداً، بحيث ترتفع الجهالة عنه من غير جهة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ويتساوى في ذلك الأعمى والمبصر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سلّار </w:t>
      </w:r>
      <w:r>
        <w:rPr>
          <w:rStyle w:val="FootnoteAnchor"/>
          <w:rtl w:val="true"/>
        </w:rPr>
        <w:footnoteReference w:id="254"/>
      </w:r>
      <w:r>
        <w:rPr>
          <w:rFonts w:ascii="Amiri" w:hAnsi="Amiri" w:eastAsia="Amiri" w:cs="Amiri"/>
          <w:color w:val="111111"/>
          <w:sz w:val="28"/>
          <w:sz w:val="28"/>
          <w:szCs w:val="28"/>
          <w:rtl w:val="true"/>
          <w:lang w:bidi="ar-SA"/>
        </w:rPr>
        <w:t>، حيث ذهب إلى تخيّر الأعمى بين الردّ والأرش وإنْ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ولايجوز بيع سمك الآجام ولو كان مملوكاً؛ لجهالته وإنْ ضمّ إليه القصب أو غيره، على الأصحّ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 السمك الذي ليس بمشاهد ولا محصور، كما يظهر من إضافته إلى </w:t>
      </w:r>
      <w:bookmarkStart w:id="831" w:name="pg10178_83804"/>
    </w:p>
    <w:p>
      <w:pPr>
        <w:pStyle w:val="BookText"/>
        <w:rPr/>
      </w:pPr>
      <w:bookmarkEnd w:id="831"/>
      <w:r>
        <w:rPr>
          <w:rFonts w:ascii="Amiri" w:hAnsi="Amiri" w:eastAsia="Amiri" w:cs="Amiri"/>
          <w:color w:val="111111"/>
          <w:sz w:val="28"/>
          <w:sz w:val="28"/>
          <w:szCs w:val="28"/>
          <w:rtl w:val="true"/>
          <w:lang w:bidi="ar-SA"/>
        </w:rPr>
        <w:t xml:space="preserve">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صحّة البيع مع كون المقصود بالبيع هو القصب، والسمك تابع له، والبطلان مع العكس، أو تساويهما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مجهول ضُمّ إلى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الجلود والأصواف والأوبار والشعر على الأنعام ولو ضُمّ إليه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بيع ما عدا الجلد منفرداً ومنضمّاً مع مشاهدته وإنْ جهل وزنه، خصوصاً مع شرط جزّه في الحال</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2018946_1067777946"/>
      <w:bookmarkStart w:id="833" w:name="_Toc311"/>
      <w:bookmarkEnd w:id="832"/>
      <w:r>
        <w:rPr>
          <w:rtl w:val="true"/>
        </w:rPr>
        <w:t>[</w:t>
      </w:r>
      <w:r>
        <w:rPr>
          <w:rtl w:val="true"/>
        </w:rPr>
        <w:t>مسألتان</w:t>
      </w:r>
      <w:r>
        <w:rPr>
          <w:rtl w:val="true"/>
        </w:rPr>
        <w:t>:]</w:t>
      </w:r>
      <w:bookmarkEnd w:id="8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طاهر، يجوز بيعه في فأره وإنْ لم يفتق، وفتقه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فأرة فيه أيضاً، كالفأرة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الجلدة المشتملة على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خيط فيه ثمّ إخراجه وشمّه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يندر للظروف ما يحتمل الزيادة والنقيصة، ولا يجوز وضع ما يزيد إلّا بالمراضاة، ويجوز بيعه مع الظروف من غير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إسقاط قدر معيّن للظروف يحتمل كونها بذلك القدر، أو يزيد يسيراً، أو ينقص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مع الظروف من غير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مجموع الموزون من الظرف والمظروف بسعر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جهل وزن كلّ واحد منهما على حِدَته</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2018948_1067777946"/>
      <w:bookmarkStart w:id="835" w:name="_Toc312"/>
      <w:bookmarkEnd w:id="834"/>
      <w:r>
        <w:rPr>
          <w:rtl w:val="true"/>
        </w:rPr>
        <w:t>[</w:t>
      </w:r>
      <w:r>
        <w:rPr>
          <w:rtl w:val="true"/>
        </w:rPr>
        <w:t>آداب التجارة</w:t>
      </w:r>
      <w:r>
        <w:rPr>
          <w:rtl w:val="true"/>
        </w:rPr>
        <w:t>]</w:t>
      </w:r>
      <w:bookmarkEnd w:id="83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يتفقّه فيما يتولّاه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بالتفقّه هنا العلم بالأحكام الشرعيّة المتعلّقة بما يزاوله من المتجر ولو بالتقليد؛ ليعرف صحيح العقد من فاسده، ويسلم من الربا، ويعمل بمقتضى أحكامه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بغير علم فقد ارتطم في الربا ثمّ ارتطم</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يعده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منّي أُحسن إليك ونحوه، فيجعل إحسانه إليه بترك الربح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والسوم 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الاشتغال بالتجارة في ذلك الوقت؛ لأنّه وقت دعاء ومسألة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ومبايعة الأدنين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لايسرّه الإحسان، ولا تسوؤه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 لا يبالي بما قال ولا بما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يحاسب على الشيء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والزيادة في السلعة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نداء الدلّال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يصبر حتّى يسكت ثمّ يزيد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ودخول المؤمن في سوم أخيه،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بالدخول في سومه أنْ يطلب المتاع الذي يريد أنْ يشتريه، بأنْ يزيد في الثمن ليقدّمه، أو يبذل المشتري متاعاً غير ما اتّفق عليه هو والبائع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أو يكره بعد تراضيهما أو قربه، فلا نهي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يتوكَّل حاضرٌ لبادٍ،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أشبه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بالباد الغريب الجالب للبلد، فيكره أو يحرم للبلدي التوكيل له مع جهله بالسعر،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يبيع حاضر لبادٍ، دعوا الناس يرزق الله بعضهم من بعض</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والأظهر الكراهية</w:t>
      </w:r>
      <w:r>
        <w:rPr>
          <w:rFonts w:eastAsia="Amiri" w:cs="Amiri" w:ascii="Amiri" w:hAnsi="Amiri"/>
          <w:color w:val="111111"/>
          <w:sz w:val="28"/>
          <w:szCs w:val="28"/>
          <w:rtl w:val="true"/>
          <w:lang w:bidi="ar-SA"/>
        </w:rPr>
        <w:t xml:space="preserve">. </w:t>
      </w:r>
      <w:bookmarkStart w:id="836" w:name="pg10178_83806"/>
    </w:p>
    <w:p>
      <w:pPr>
        <w:pStyle w:val="BookText"/>
        <w:rPr/>
      </w:pPr>
      <w:bookmarkEnd w:id="83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الركبان مكروه، وحدّه أربعة فراسخ إذا قصده ولا يكره إنْ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التلقّي بالخروج أربعة فراسخ فما دون إلى الركب القاصد إلى البلد للبيع عليهم أو الشراء منهم، فإنْ فعل ذلك انعقد البيع وإنْ أساء، ثمّ إنْ ظهر غبن تخيّر الركب بين فسخ البيع وإمضائه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كونه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حكم النجش، وهو أنْ يزيد لزيادة من واطأه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تحريم النجش؛ لأنّه غشّ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الزيادة في السلعة ممّن لا يريد شراءها ليحضّ غيره عليه وإنْ لم يكن بمواطأة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عرفنا يظهر ما في تعريف المصنِّف من الفساد، خصوصاً جعله هو الزيادة لزيادة من واطأه البائع، فإنّ الزيادة إنّما تكون من المشتري المخدوع، وهو لا يتعلّق به نهي، وإنّما المحرّم نفس تلك الزيادة من الخارج التي أوجبت زيادة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الاحتكار مكروه،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في الحنطة والشعير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آخرون أنْ يستبقيها في الغلاء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تقيّده بالحاجة لا بالمدّة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ويجبر المحتكر على البيع ولا يسعَّر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يسعّر،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إلّا مع الإجحاف، فيؤمر بالنزول عنه إلى حدّ ينتفي الإجحاف</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2018950_1067777946"/>
      <w:bookmarkStart w:id="838" w:name="_Toc313"/>
      <w:bookmarkEnd w:id="837"/>
      <w:r>
        <w:rPr>
          <w:rtl w:val="true"/>
        </w:rPr>
        <w:t>[</w:t>
      </w:r>
      <w:r>
        <w:rPr>
          <w:rtl w:val="true"/>
        </w:rPr>
        <w:t>الفصل الثالث في الخيار</w:t>
      </w:r>
      <w:r>
        <w:rPr>
          <w:rtl w:val="true"/>
        </w:rPr>
        <w:t>]</w:t>
      </w:r>
      <w:bookmarkEnd w:id="838"/>
    </w:p>
    <w:p>
      <w:pPr>
        <w:pStyle w:val="Heading4"/>
        <w:numPr>
          <w:ilvl w:val="3"/>
          <w:numId w:val="1"/>
        </w:numPr>
        <w:rPr/>
      </w:pPr>
      <w:bookmarkStart w:id="839" w:name="__RefHeading___Toc2018952_1067777946"/>
      <w:bookmarkStart w:id="840" w:name="_Toc314"/>
      <w:bookmarkEnd w:id="839"/>
      <w:r>
        <w:rPr>
          <w:rtl w:val="true"/>
        </w:rPr>
        <w:t>[</w:t>
      </w:r>
      <w:r>
        <w:rPr>
          <w:rtl w:val="true"/>
        </w:rPr>
        <w:t>خيار المجلس</w:t>
      </w:r>
      <w:r>
        <w:rPr>
          <w:rtl w:val="true"/>
        </w:rPr>
        <w:t>]</w:t>
      </w:r>
      <w:bookmarkEnd w:id="8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أُكرها على التفرّق ولم يتمكّنا من التخاير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بالتخاير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العقد والبقاء عليه، 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تخايرنا، أو اخترنا إمضاء العقد </w:t>
      </w:r>
      <w:bookmarkStart w:id="841" w:name="pg10178_83807"/>
    </w:p>
    <w:p>
      <w:pPr>
        <w:pStyle w:val="BookText"/>
        <w:rPr/>
      </w:pPr>
      <w:bookmarkEnd w:id="841"/>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الإكراه بمنعهما من الكلام بأنْ يُسدّ فوهما، أو هدّدا على التكلّم، فإنّه حينئذٍ لا يسقط خيارهما بالتفرّق، بل لهما الفسخ عند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خيّره فسكت، فخيار الساكت باقٍ، وكذا الآخر،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يسقط،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العاقد واحداً عن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الخيار ثابتاً ما لم يشترط سقوطه، أو يلتزم به عنهما بعد العقد، أو يفارق المجلس الذي عقد فيه،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2018954_1067777946"/>
      <w:bookmarkStart w:id="843" w:name="_Toc315"/>
      <w:bookmarkEnd w:id="842"/>
      <w:r>
        <w:rPr>
          <w:rtl w:val="true"/>
        </w:rPr>
        <w:t>[</w:t>
      </w:r>
      <w:r>
        <w:rPr>
          <w:rtl w:val="true"/>
        </w:rPr>
        <w:t>خيار الحيوان</w:t>
      </w:r>
      <w:r>
        <w:rPr>
          <w:rtl w:val="true"/>
        </w:rPr>
        <w:t>]</w:t>
      </w:r>
      <w:bookmarkEnd w:id="8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والشرط فيه كلّه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بالشرط هنا الخيار في الثلاثة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ذلك من لفظ الحديث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في الحيوان كلّه ثلاثة أيّام للمشتري</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للمشتري خاصّةً دون البائع،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المرتضى، حيث ذهب إلى أنّ الخيار لهما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الصحيحة ما يدلّ عليه </w:t>
      </w:r>
      <w:r>
        <w:rPr>
          <w:rStyle w:val="FootnoteAnchor"/>
          <w:rtl w:val="true"/>
        </w:rPr>
        <w:footnoteReference w:id="259"/>
      </w:r>
      <w:r>
        <w:rPr>
          <w:rFonts w:ascii="Amiri" w:hAnsi="Amiri" w:eastAsia="Amiri" w:cs="Amiri"/>
          <w:color w:val="111111"/>
          <w:sz w:val="28"/>
          <w:sz w:val="28"/>
          <w:szCs w:val="28"/>
          <w:rtl w:val="true"/>
          <w:lang w:bidi="ar-SA"/>
        </w:rPr>
        <w:t>، لكنّ 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 حيواناً بحيوان فالوجه ثبوته لهما، ولو كان الثمن خاصّة حيواناً ثبت للبائع خاصّة،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باشتراط سقوطه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وبتصرّفه فيه، سواء كان تصرّفاً لازماً كالبيع، أو لم يكن، كالهبة قبل القبض</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مطلق الانتفاع، كركوب الدابّة وتحمّلها، وحلب ما يحلب وإنْ قصد به </w:t>
      </w:r>
      <w:bookmarkStart w:id="844" w:name="pg10178_83808"/>
    </w:p>
    <w:p>
      <w:pPr>
        <w:pStyle w:val="BookText"/>
        <w:rPr/>
      </w:pPr>
      <w:bookmarkEnd w:id="844"/>
      <w:r>
        <w:rPr>
          <w:rFonts w:ascii="Amiri" w:hAnsi="Amiri" w:eastAsia="Amiri" w:cs="Amiri"/>
          <w:color w:val="111111"/>
          <w:sz w:val="28"/>
          <w:sz w:val="28"/>
          <w:szCs w:val="28"/>
          <w:rtl w:val="true"/>
          <w:lang w:bidi="ar-SA"/>
        </w:rPr>
        <w:t>الاستخبار،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ساق الدابّة إلى منزله، فإنْ كان قريباً لا يعدّ تصرّفاً عرفاً فلا أثر له، وإلّا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فالمعتبر التصرّف العرفي</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2018956_1067777946"/>
      <w:bookmarkStart w:id="846" w:name="_Toc316"/>
      <w:bookmarkEnd w:id="845"/>
      <w:r>
        <w:rPr>
          <w:rtl w:val="true"/>
        </w:rPr>
        <w:t>[</w:t>
      </w:r>
      <w:r>
        <w:rPr>
          <w:rtl w:val="true"/>
        </w:rPr>
        <w:t>خيار الشرط</w:t>
      </w:r>
      <w:r>
        <w:rPr>
          <w:rtl w:val="true"/>
        </w:rPr>
        <w:t>]</w:t>
      </w:r>
      <w:bookmarkEnd w:id="8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اشتراط المؤامرة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مفاعلة من الأمر بمعنى اشتراط البائع أو المشتري أو هما استئمار من سمّياه في العقد، والرجوع إلى أمره في مدّة مضبوطة، فيلزم العقد من جهتهما ويتوقّف على أمره له، فليس للشارط أنْ يفسخ حتّى يستأمره ويأمره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المؤامرة وجعل الخيار للأجنبي أنّ الغرض من المؤامرة الانتهاء إلى أمره، لاجعل الخيار له، فلو اختار المؤامر الفسخ أو الإمضاء لم يؤثّر، بخلاف من جعل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واشتراط مدّة يردّ البائع فيها الثمن إذا شاء ويرتجع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راجع إلى اشتراط الخيار للبائع مدّة مضبوطة، لكن مع قيد زائد وهو ردّ الثمن، أو مثله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المشتري ارتجاع الثمن إذا ردّ المبيع صحّ أيضاً، ويكون الفسخ مشروطاً بردّه بعينه، ولا يتعدّى إلى مثله، بخلاف الثمن</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2018958_1067777946"/>
      <w:bookmarkStart w:id="848" w:name="_Toc317"/>
      <w:bookmarkEnd w:id="847"/>
      <w:r>
        <w:rPr>
          <w:rtl w:val="true"/>
        </w:rPr>
        <w:t>[</w:t>
      </w:r>
      <w:r>
        <w:rPr>
          <w:rtl w:val="true"/>
        </w:rPr>
        <w:t>خيار الغبن</w:t>
      </w:r>
      <w:r>
        <w:rPr>
          <w:rtl w:val="true"/>
        </w:rPr>
        <w:t>]</w:t>
      </w:r>
      <w:bookmarkEnd w:id="8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ولم يكن من أهل الخبرة، وظهر فيه غبن لم تجر العادة بالتغابن به كان له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ذلك إلى العرف، فما يتسامح به فيه لا يعدّ غبناً كالدرهم في المائة، وما لا يتسامح فيه غالباً، كالعشرين، فيها يثبت به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يسقط ذلك الخيار بالتصرّف إذا لم يخرج عن الملك، أو يمنع مانع من ردّه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يخرج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الخروج يسقط الخيار مطلقاً، وهو إنّما يتمّ لو كان التصرّف المخرج من ذي الخيار، فإنّه لا يمكنه ردّ العين المنتقلة عنه</w:t>
      </w:r>
      <w:r>
        <w:rPr>
          <w:rFonts w:eastAsia="Amiri" w:cs="Amiri" w:ascii="Amiri" w:hAnsi="Amiri"/>
          <w:color w:val="111111"/>
          <w:sz w:val="28"/>
          <w:szCs w:val="28"/>
          <w:rtl w:val="true"/>
          <w:lang w:bidi="ar-SA"/>
        </w:rPr>
        <w:t xml:space="preserve">. </w:t>
      </w:r>
      <w:bookmarkStart w:id="849" w:name="pg10178_83809"/>
    </w:p>
    <w:p>
      <w:pPr>
        <w:pStyle w:val="BookText"/>
        <w:rPr/>
      </w:pPr>
      <w:bookmarkEnd w:id="849"/>
      <w:r>
        <w:rPr>
          <w:rFonts w:ascii="Amiri" w:hAnsi="Amiri" w:eastAsia="Amiri" w:cs="Amiri"/>
          <w:color w:val="111111"/>
          <w:sz w:val="28"/>
          <w:sz w:val="28"/>
          <w:szCs w:val="28"/>
          <w:rtl w:val="true"/>
          <w:lang w:bidi="ar-SA"/>
        </w:rPr>
        <w:t>وأمّا الآخر فيمكنه الفسخ حينئذٍ والرجوع بالمثل أو القيمة على من نقل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صرّح جماعة </w:t>
      </w:r>
      <w:r>
        <w:rPr>
          <w:rStyle w:val="FootnoteAnchor"/>
          <w:rtl w:val="true"/>
        </w:rPr>
        <w:footnoteReference w:id="260"/>
      </w:r>
      <w:r>
        <w:rPr>
          <w:rFonts w:ascii="Amiri" w:hAnsi="Amiri" w:eastAsia="Amiri" w:cs="Amiri"/>
          <w:color w:val="111111"/>
          <w:sz w:val="28"/>
          <w:sz w:val="28"/>
          <w:szCs w:val="28"/>
          <w:rtl w:val="true"/>
          <w:lang w:bidi="ar-SA"/>
        </w:rPr>
        <w:t>من الأصحاب، وعليه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 المسألة منتشرة جداً، يرجع فيها إلى الشرح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2018960_1067777946"/>
      <w:bookmarkStart w:id="851" w:name="_Toc318"/>
      <w:bookmarkEnd w:id="850"/>
      <w:r>
        <w:rPr>
          <w:rtl w:val="true"/>
        </w:rPr>
        <w:t>[</w:t>
      </w:r>
      <w:r>
        <w:rPr>
          <w:rtl w:val="true"/>
        </w:rPr>
        <w:t>خيار التأخير</w:t>
      </w:r>
      <w:r>
        <w:rPr>
          <w:rtl w:val="true"/>
        </w:rPr>
        <w:t>]</w:t>
      </w:r>
      <w:bookmarkEnd w:id="8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ولم يقبض الثمن، ولا سلّم المبيع، ولا اشترط تأخير الثمن، فالبيع لازم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بعض كلّ واحد منهما كلا قبض مجتمعاً ومنفرداً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أقبض الجميع، أو قبض الجميع فلا خيار، كما لو تقابضا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الخيار ببذل المشتري الثمن بعد الثلاثة قبل الفسخ،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تلف، كان من مال البائع في الثلاثة وبعدها،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تلفه قبل الثلاثة، والأقوى أنّه من مال البائع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ما يفسد ليومه، فإنْ جاء بالثمن قبل الليل، وإلّا فلا بيع 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وردت الرواية عن الصادق والكاظم علیهما السلام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الخيار للبائع بالتأخير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المفروض كون المبيع ممّا يفسد ليومه، واليوم ينتهي بدخول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معنى لثبوت الخيار في الليل مع فرض فساد المبيع، وكان المناسب لدفع الضرر عن البائع إثبات الخيار له عند خوف الفساد، بحيث يمكن تلافيه قبل وصول الضرر إليه ولا يتقيّد بالليل، وهذا هو الأجود</w:t>
      </w:r>
      <w:r>
        <w:rPr>
          <w:rFonts w:eastAsia="Amiri" w:cs="Amiri" w:ascii="Amiri" w:hAnsi="Amiri"/>
          <w:color w:val="111111"/>
          <w:sz w:val="28"/>
          <w:szCs w:val="28"/>
          <w:rtl w:val="true"/>
          <w:lang w:bidi="ar-SA"/>
        </w:rPr>
        <w:t xml:space="preserve">. </w:t>
      </w:r>
      <w:bookmarkStart w:id="852" w:name="pg10178_83810"/>
    </w:p>
    <w:p>
      <w:pPr>
        <w:pStyle w:val="Heading4"/>
        <w:numPr>
          <w:ilvl w:val="3"/>
          <w:numId w:val="1"/>
        </w:numPr>
        <w:rPr/>
      </w:pPr>
      <w:bookmarkStart w:id="853" w:name="__RefHeading___Toc2018962_1067777946"/>
      <w:bookmarkStart w:id="854" w:name="_Toc319"/>
      <w:bookmarkEnd w:id="852"/>
      <w:bookmarkEnd w:id="853"/>
      <w:r>
        <w:rPr>
          <w:rtl w:val="true"/>
        </w:rPr>
        <w:t>[</w:t>
      </w:r>
      <w:r>
        <w:rPr>
          <w:rtl w:val="true"/>
        </w:rPr>
        <w:t>أحكام الخيار</w:t>
      </w:r>
      <w:r>
        <w:rPr>
          <w:rtl w:val="true"/>
        </w:rPr>
        <w:t>]</w:t>
      </w:r>
      <w:bookmarkEnd w:id="8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وخيار الشرط يثبت في كلّ عقد عدا النكاح والوقف، وكذا الإبراء والطلاق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الطلاق والعتق من العقد، إمّا منقطع؛ لأنّهما من باب الإيقاع، أو محمول على إطلاق العقد على ما يعمّ الإيقاع مجازاً، وكذا القول في الإبراء، إنْ لم يشترط فيه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على انفصالها بفصلها عن المعطوف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لا يستغنى عن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التصرّف يسقط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التصرّف المسقط للخيار ما يعدّ تصرّفاً عرفاً، كلبس الثوب للانتفاع، وركوب الدابّة له، واستخدام العبد، وحلب ما يحلب،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ركوبها لدفع الجموح إذا عسر قودها وسوقها في طريق الردّ، وعلف الدابّة وسقيها فيه، وقبل التمكّن من الردّ، واستعمالها للاختبار قدراً يظهر فيه حالها، فلو زاد عنه ولو خطوة 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الخيار لهما وتصرّف أحدهما سقط خياره ولو أذن أحدهما وتصرّف الآخر، سقط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يتصرّف المأذون لم يبطل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بطلان خيار الآذن؛ لدلالته على الرضى، فيكون التزاماً </w:t>
      </w:r>
      <w:r>
        <w:rPr>
          <w:rStyle w:val="FootnoteAnchor"/>
          <w:rtl w:val="true"/>
        </w:rPr>
        <w:footnoteReference w:id="263"/>
      </w:r>
      <w:r>
        <w:rPr>
          <w:rFonts w:ascii="Amiri" w:hAnsi="Amiri" w:eastAsia="Amiri" w:cs="Amiri"/>
          <w:color w:val="111111"/>
          <w:sz w:val="28"/>
          <w:sz w:val="28"/>
          <w:szCs w:val="28"/>
          <w:rtl w:val="true"/>
          <w:lang w:bidi="ar-SA"/>
        </w:rPr>
        <w:t>كما يبطل خياره لو جامعه تصرّف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من له الخيار، انتقل إلى الوارث من أيّ أنواع الخيار كان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ويراعى فيه ما يراعى في حياة المورّث من الفوريّة والمجلس والمدّة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في خيار المجلس هنا مفارقة الميّت ومبايعه، بانتقال الحيّ ونقل الميّت عن المجلس، </w:t>
      </w:r>
    </w:p>
    <w:p>
      <w:pPr>
        <w:pStyle w:val="BookText"/>
        <w:rPr/>
      </w:pPr>
      <w:r>
        <w:rPr>
          <w:rFonts w:ascii="Amiri" w:hAnsi="Amiri" w:eastAsia="Amiri" w:cs="Amiri"/>
          <w:color w:val="111111"/>
          <w:sz w:val="28"/>
          <w:sz w:val="28"/>
          <w:szCs w:val="28"/>
          <w:rtl w:val="true"/>
          <w:lang w:bidi="ar-SA"/>
        </w:rPr>
        <w:t>سواء كان الوارث حاضراً أم غائباً،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المبيع يملك بالعقد،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المصنِّف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القولين في النماء المنفصل زمن الخيار، فعلى المختار هو للمشتري، وعلى الآخر للبائع إلّا أنْ يجعل انقضاء الخيار كاشفاً عن ملك المشتري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الأخذ بالشفعة زمنه، وفي جريانه في حول الزكاة لو كان زكويّاً،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المبيع قبل قبضه، فهو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ينفسخ العقد بتلفه من حينه، ويرجع الثمن إلى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قد تجدّد نماء بعد العقد وقبل التلف فهو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تلفه من الله تعالى، أمّا لو كان من أجنبي أو من البائع تخيّر المشتري بين الرجوع بالثمن وبين مطالبة المتلف بالمثل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التلف من المشتري ولو بتفريطه فهو بمنزلة القبض، فيكون التلف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زمن الخيار من غير تفريط، وكان الخيار من البائع فالتلف من المشتري وإن كان الخيار للمشتري، فالتلف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إن كان للمشتري، أو له ولأجنبي، فالتلف من البائع، وإلّا فمن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الشرط يثبت من حين التفرّق،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إلّا أنْ يشترطاه بعد مدّة مضبوطة فينبغي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به هنا اللفظ الدالّ على القدر الذي يشترك فيه أفراد الحقيقة كالحنطة مثلاً، أو الأرز، أو الإبريسم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الجنس المصطلح عليه عند الفقهاء ليس هو الجنس المنطقي، بل اللفظ الدالّ على الحقيقة النوعيّة، وبالوصف اللفظ الدالّ على أصناف ذلك النوع، ولا مشاحّة في الاصطلاح</w:t>
      </w:r>
      <w:r>
        <w:rPr>
          <w:rFonts w:eastAsia="Amiri" w:cs="Amiri" w:ascii="Amiri" w:hAnsi="Amiri"/>
          <w:color w:val="111111"/>
          <w:sz w:val="28"/>
          <w:szCs w:val="28"/>
          <w:rtl w:val="true"/>
          <w:lang w:bidi="ar-SA"/>
        </w:rPr>
        <w:t xml:space="preserve">. </w:t>
      </w:r>
      <w:bookmarkStart w:id="855" w:name="pg10178_83812"/>
    </w:p>
    <w:p>
      <w:pPr>
        <w:pStyle w:val="Heading4"/>
        <w:numPr>
          <w:ilvl w:val="3"/>
          <w:numId w:val="1"/>
        </w:numPr>
        <w:rPr/>
      </w:pPr>
      <w:bookmarkStart w:id="856" w:name="__RefHeading___Toc2018964_1067777946"/>
      <w:bookmarkStart w:id="857" w:name="_Toc320"/>
      <w:bookmarkEnd w:id="855"/>
      <w:bookmarkEnd w:id="856"/>
      <w:r>
        <w:rPr>
          <w:rtl w:val="true"/>
        </w:rPr>
        <w:t>[</w:t>
      </w:r>
      <w:r>
        <w:rPr>
          <w:rtl w:val="true"/>
        </w:rPr>
        <w:t>خيار الرؤية</w:t>
      </w:r>
      <w:r>
        <w:rPr>
          <w:rtl w:val="true"/>
        </w:rPr>
        <w:t>]</w:t>
      </w:r>
      <w:bookmarkEnd w:id="8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كالصرابة في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الصرابة فيها خلوّها من الخليط المعتبر كالشعير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وصفه إذا كان النوعان موجودين متعارفين بين المتبايعين، فلو لم يتعارف بينهما غير الصرب لم يفتقر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الحدارة أو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الحدارة تقابل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يعبّر بها وبغيرها لمن علم معناها، فلو جهلاه أو أحدهما لم يكف، بل لو وقع في نفس العقد، أبطله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يذكر كلّ وصف يثبت الجهالة في ذلك المبيع عند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جهالة توجب اختلاف أثمان تلك الأصناف المشتركة، بحيث لا يتسامح عادة بذلك التفاوت، لا مطلق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يكونا رأياه كان الخيار لكلّ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 زائداً من وجه وناقصاً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وصف لهما العبد بكونه كاتباً فظهر خيّاطاً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ظهر زائداً خاصّة، أو ناقصاً كذلك، تخيّر البائع والمشتري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ضيعة، رأى بعضها ووُصِف له سائرها، ثبت له الخيار فيها أجمع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بسائرها باقيها، وهو الذي لم يكن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الباقي هو الأشهر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إطلاقه على الجميع فقد منعه بعضهم </w:t>
      </w:r>
      <w:r>
        <w:rPr>
          <w:rStyle w:val="FootnoteAnchor"/>
          <w:rtl w:val="true"/>
        </w:rPr>
        <w:footnoteReference w:id="264"/>
      </w:r>
      <w:r>
        <w:rPr>
          <w:rFonts w:ascii="IRNazanin" w:hAnsi="IRNazanin" w:eastAsia="IRNazanin"/>
          <w:color w:val="111111"/>
          <w:sz w:val="28"/>
          <w:sz w:val="28"/>
          <w:szCs w:val="28"/>
          <w:rtl w:val="true"/>
          <w:lang w:bidi="fa-IR"/>
        </w:rPr>
        <w:t xml:space="preserve">، وأجازه آخرون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فالمراد الأوّل</w:t>
      </w:r>
      <w:r>
        <w:rPr>
          <w:rFonts w:eastAsia="Amiri" w:cs="Amiri" w:ascii="Amiri" w:hAnsi="Amiri"/>
          <w:color w:val="111111"/>
          <w:sz w:val="28"/>
          <w:szCs w:val="28"/>
          <w:rtl w:val="true"/>
          <w:lang w:bidi="ar-SA"/>
        </w:rPr>
        <w:t xml:space="preserve">. </w:t>
      </w:r>
      <w:bookmarkStart w:id="858" w:name="pg10178_83813"/>
    </w:p>
    <w:p>
      <w:pPr>
        <w:pStyle w:val="Heading3"/>
        <w:numPr>
          <w:ilvl w:val="2"/>
          <w:numId w:val="1"/>
        </w:numPr>
        <w:rPr/>
      </w:pPr>
      <w:bookmarkStart w:id="859" w:name="__RefHeading___Toc2018966_1067777946"/>
      <w:bookmarkStart w:id="860" w:name="_Toc321"/>
      <w:bookmarkEnd w:id="858"/>
      <w:bookmarkEnd w:id="859"/>
      <w:r>
        <w:rPr>
          <w:rtl w:val="true"/>
        </w:rPr>
        <w:t>[</w:t>
      </w:r>
      <w:r>
        <w:rPr>
          <w:rtl w:val="true"/>
        </w:rPr>
        <w:t>الفصل الرابع في أحكام العقود</w:t>
      </w:r>
      <w:r>
        <w:rPr>
          <w:rtl w:val="true"/>
        </w:rPr>
        <w:t>]</w:t>
      </w:r>
      <w:bookmarkEnd w:id="860"/>
    </w:p>
    <w:p>
      <w:pPr>
        <w:pStyle w:val="Heading4"/>
        <w:numPr>
          <w:ilvl w:val="3"/>
          <w:numId w:val="1"/>
        </w:numPr>
        <w:rPr/>
      </w:pPr>
      <w:bookmarkStart w:id="861" w:name="__RefHeading___Toc2018968_1067777946"/>
      <w:bookmarkStart w:id="862" w:name="_Toc322"/>
      <w:bookmarkEnd w:id="861"/>
      <w:r>
        <w:rPr>
          <w:rtl w:val="true"/>
        </w:rPr>
        <w:t>[</w:t>
      </w:r>
      <w:r>
        <w:rPr>
          <w:rtl w:val="true"/>
        </w:rPr>
        <w:t>النقد والنسيئة</w:t>
      </w:r>
      <w:r>
        <w:rPr>
          <w:rtl w:val="true"/>
        </w:rPr>
        <w:t>]</w:t>
      </w:r>
      <w:bookmarkEnd w:id="8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النقد والنسيئة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اشترط التعجيل كان الثمن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التعجيل مطلقاً يفيد تأكيده؛ لحصوله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عيّن زمانه وأخلّ به المشتري ولم يمكن إجباره عليه، أفاد تسلّط البائع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للدروس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قويّاً جوازه مع الإطلاق كغيره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بثمن حالّاً أو بأزيد منه إلى أجل،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والمرويّ أنّه يكون للبائع أقلّ الثمنين في 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بالأجلين الأجل وعدمه، وسمّي الحالّ مؤجّلاً باعتبار ضمّه إلى الأجل في التثنية، وهو قاعدة مطّردة، كالأبوين للأب والأُمّ، والقمرين والعمرين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بأبعدهما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تجوّز آخر من حيث ثبوت أفعل التفضيل مع عدم الاشتراك في المصدر؛ لأنّ الحالّ 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ابتاعه بجنس ثمنه بزيادة أو نقيصة، فيه روايتان، أشبههما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حلّ فمكّنه منه وجب على البائع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مال البايع،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تعذّر وصوله إلى الحاكم، وإلّا رفع أمره إليه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شراء </w:t>
      </w:r>
      <w:r>
        <w:rPr>
          <w:rStyle w:val="FootnoteAnchor"/>
          <w:rtl w:val="true"/>
        </w:rPr>
        <w:footnoteReference w:id="267"/>
      </w:r>
      <w:r>
        <w:rPr>
          <w:rFonts w:ascii="Amiri" w:hAnsi="Amiri" w:eastAsia="Amiri" w:cs="Amiri"/>
          <w:color w:val="111111"/>
          <w:sz w:val="28"/>
          <w:sz w:val="28"/>
          <w:szCs w:val="28"/>
          <w:rtl w:val="true"/>
          <w:lang w:bidi="ar-SA"/>
        </w:rPr>
        <w:t>المتاع حالّاً ومؤجّلاً بزيادة عن ثمنه إذا كان المشتري عارفاً بقيمته</w:t>
      </w:r>
      <w:r>
        <w:rPr>
          <w:rFonts w:eastAsia="Amiri" w:cs="Amiri" w:ascii="Amiri" w:hAnsi="Amiri"/>
          <w:color w:val="111111"/>
          <w:sz w:val="28"/>
          <w:szCs w:val="28"/>
          <w:rtl w:val="true"/>
          <w:lang w:bidi="ar-SA"/>
        </w:rPr>
        <w:t xml:space="preserve">». </w:t>
      </w:r>
      <w:bookmarkStart w:id="863" w:name="pg10178_83814"/>
    </w:p>
    <w:p>
      <w:pPr>
        <w:pStyle w:val="BookText"/>
        <w:rPr/>
      </w:pPr>
      <w:bookmarkEnd w:id="863"/>
      <w:r>
        <w:rPr>
          <w:rFonts w:ascii="Amiri" w:hAnsi="Amiri" w:eastAsia="Amiri" w:cs="Amiri"/>
          <w:color w:val="111111"/>
          <w:sz w:val="28"/>
          <w:sz w:val="28"/>
          <w:szCs w:val="28"/>
          <w:rtl w:val="true"/>
          <w:lang w:bidi="ar-SA"/>
        </w:rPr>
        <w:t>مقتضى الشرط أنّه لو لم يكن عارفاً بالقيمة لا يجوز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بل يجوز له مطلقاً، وإنْ ثبت له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بالجواز اللزوم مجازاً، إذ مع الجهل لا يلزمه حيث يثبت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تعجيلها بنقصان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بإبراء أو صلح،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ابتاع شيئاً بثمن مؤجّل وأراد بيعه مرابحةً، فليذكر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أراد بيعه تولية أو 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المرابحة؛ تبعاً للنصّ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باع ولم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أنّه يكون للمشتري من الأجل مثل ماكان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عمل على الرواية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2018970_1067777946"/>
      <w:bookmarkStart w:id="865" w:name="_Toc323"/>
      <w:bookmarkEnd w:id="864"/>
      <w:r>
        <w:rPr>
          <w:rtl w:val="true"/>
        </w:rPr>
        <w:t>[</w:t>
      </w:r>
      <w:r>
        <w:rPr>
          <w:rtl w:val="true"/>
        </w:rPr>
        <w:t>ما يدخل في المبيع</w:t>
      </w:r>
      <w:r>
        <w:rPr>
          <w:rtl w:val="true"/>
        </w:rPr>
        <w:t>]</w:t>
      </w:r>
      <w:bookmarkEnd w:id="8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الاقتصار على ما يتناوله اللفظ لغةً أو عرفاً فمن باع بستاناً دخل الشجر والأبنية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بالأبنية نحو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البيوت فلا تدخل إلّا مع القرينة بالنسبة إلى الثمن أو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دخول المفاتيح تردّد، ودخولها أشبه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دخولها إلّا أنْ يشهد العرف بغيره، كمفاتيح الأقفال ونحوها، كما لا يدخل القفل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الإشكال ألواح الدكاكين المجعولة أبواباً منقولة للارتفاق بسعة </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دخولها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الدار نخل أو شجر لم يدخل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ولا أرى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الدخول مطلقاً إلّا مع دلالة اللفظ والقرائن عليه،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اشتملت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أغلق عليه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مساومته على الشجر أيضاً، واتّفاقهما على بيعه،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باع نخلاً قد أبّر ثمرها فهو للبائع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التأبير تشقيق طلع الإناث وذرّ طلع الذكور فيه، والعادة الاكتفاء بتأبير البعض والباقي يتشقّق بنفسه وينبثّ ريح الذكور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يؤبّر شيء ويتشقّق الكلّ ويتأبّر بالرياح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المذكور معلّق على التأبير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المشتري تبقيته نظراً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العرف عليه بحسب تلك الشجرة في ذلك المحلّ فإنْ كانت عادته أنْ يؤخذ بسراً يبقى إلى أنْ تتناهى حلاوته، وما يؤخذ رطباً إذا تناهى ترطّبه، و ما يؤخذ تمراً إذا انتهى نشافه </w:t>
      </w:r>
      <w:r>
        <w:rPr>
          <w:rStyle w:val="FootnoteAnchor"/>
          <w:rtl w:val="true"/>
        </w:rPr>
        <w:footnoteReference w:id="270"/>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بعيدة عن الدلالة على ذلك لكنّه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باع النخل ولم يكن مؤبَّراً، فهو للمشتري على ما أفتى به الأصحاب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نسب القول إلى فتوى الأصحاب؛ لقصور المستند النقلي عن إفادة الحكم المذكور، فإنّه إنّما دلّ على أنّ النخل المؤبّر ثمرته للبائع، لا على أنّ ما لم يؤبّر ثمرته للمشتري، إلّا من حيث المفهوم الضعيف، إلّا أنّه لا يعلم في الحكم مخالف، بل ادّعي عليه جماعة الإجماع صريحاً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866" w:name="pg10178_83816"/>
    </w:p>
    <w:p>
      <w:pPr>
        <w:pStyle w:val="BookText"/>
        <w:rPr/>
      </w:pPr>
      <w:bookmarkEnd w:id="86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شجراً فالثمرة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بظهورها وجودها عند العقد، سواء كانت بارزة، أم مستترة في 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فيما يكون المقصود منه الورق أو الورد، ولو اتّفق وجوده على التعاقب فالموجود منه حال البيع للبائع، والباقي للمشتري</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2018972_1067777946"/>
      <w:bookmarkStart w:id="868" w:name="_Toc324"/>
      <w:bookmarkEnd w:id="867"/>
      <w:r>
        <w:rPr>
          <w:rtl w:val="true"/>
        </w:rPr>
        <w:t>[</w:t>
      </w:r>
      <w:r>
        <w:rPr>
          <w:rtl w:val="true"/>
        </w:rPr>
        <w:t>فروع</w:t>
      </w:r>
      <w:r>
        <w:rPr>
          <w:rtl w:val="true"/>
        </w:rPr>
        <w:t>:]</w:t>
      </w:r>
      <w:bookmarkEnd w:id="8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تبقية الثمرة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يخترف بسراً يقتصر على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الاختراف اجتناء الثمرة، ومنه سمّي فصل الخريف؛ لأنّ الثمرة تخترف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المخلوقة في الأرض والمعادن تدخل في بيع الأرض؛ لأنّها من أجزائها،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دخول الحجارة دون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الحجارة من أجزاء الأرض بخلاف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اشتملت الحجارة على منفعة زائدة على وضعها، كما لو ظهرت مصنعاً أو معصرة ونحوهما، فإنْ علم بها البائع وإلّا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الموضوعة فيها أو المدفونة فإنّها لاتدخل، بل هي كالمتاع فيها يجب على البائع تعريفها من قبل التسليم، وتسوية الحفر، ولا يجب على المشتري قبول تملّكها</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2018974_1067777946"/>
      <w:bookmarkStart w:id="870" w:name="_Toc325"/>
      <w:bookmarkEnd w:id="869"/>
      <w:r>
        <w:rPr>
          <w:rtl w:val="true"/>
        </w:rPr>
        <w:t>[</w:t>
      </w:r>
      <w:r>
        <w:rPr>
          <w:rtl w:val="true"/>
        </w:rPr>
        <w:t>التسليم</w:t>
      </w:r>
      <w:r>
        <w:rPr>
          <w:rtl w:val="true"/>
        </w:rPr>
        <w:t>]</w:t>
      </w:r>
      <w:bookmarkEnd w:id="8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العقد يقتضي تسليم المبيع والثمن، فإنْ امتنعا أُجبرا، وإنْ امتنع أحدهما أُجبر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شرط تأجيل أحدهما، أو تسليمه قبل الآخر، فإنّه حينئذٍ يختصّ وجوب التسليم بالحالّ وما شرط تقديمه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البائع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والقبض هو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تلف المبيع قبل تسليمه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الأرش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له الأرش إنْ لم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لو كان التعيّب من قِبل الله تعالى، أمّا لوكان من أجنبي، أو من البائع، تخيّر المشتري بين الرجوع على المتلِف بالأرش وبين فسخ العقد، فإنْ فسخ رجع البائع على الأجنبي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المبيع بغيره في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للمشتري الخيار إنْ شاء فسخ، وإنْ شاء كان شريكاً للبائع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الأقوى، ولا فرق بين أنْ يختلط بمثله وأجود وأدون، باختيار البائع وبغير اختیاره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جملةً فتلف بعضها، فإنْ كان للتالف قسط من الثمن، كان للمشتري الردّ أو أخذه بجملة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الأوّل ما يمكن إفراده بالبيع كأحد العبدين والقفيزين، والثاني ما لا يمكن إفراده به، كيد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الموجب لاختلاف الحكم أنّ الأوّل لا يبقى مع فواته أصل المبيع بل بعضه، والأرش جزء من الثمن، والثمن موزّع على أجزاء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يبقى معه أصل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التالف بمنزلة الوصف، فإذا فات لم يكن له قسط من الثمن، فلا أرش له؛ لأنّ الأرش هو مقدار حصّته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ما اختاره</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ثبوت الأرش فيه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التالف وصفاً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العبد كاتباً فنسيها قبل القبض، فللمشتري الردّ خاصّة، أو الإمساك بجميع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شيئاً فغصب من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البائع أُجرة المدّة،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منعه البائع عن التسليم، ثمّ سلّم بعد المدّة، كان له الأُجرة</w:t>
      </w:r>
      <w:r>
        <w:rPr>
          <w:rFonts w:eastAsia="Amiri" w:cs="Amiri" w:ascii="Amiri" w:hAnsi="Amiri"/>
          <w:color w:val="111111"/>
          <w:sz w:val="28"/>
          <w:szCs w:val="28"/>
          <w:rtl w:val="true"/>
          <w:lang w:bidi="ar-SA"/>
        </w:rPr>
        <w:t xml:space="preserve">». </w:t>
      </w:r>
      <w:bookmarkStart w:id="871" w:name="pg10178_83818"/>
    </w:p>
    <w:p>
      <w:pPr>
        <w:pStyle w:val="BookText"/>
        <w:rPr/>
      </w:pPr>
      <w:bookmarkEnd w:id="871"/>
      <w:r>
        <w:rPr>
          <w:rFonts w:ascii="Amiri" w:hAnsi="Amiri" w:eastAsia="Amiri" w:cs="Amiri"/>
          <w:color w:val="111111"/>
          <w:sz w:val="28"/>
          <w:sz w:val="28"/>
          <w:szCs w:val="28"/>
          <w:rtl w:val="true"/>
          <w:lang w:bidi="ar-SA"/>
        </w:rPr>
        <w:t>ينبغي تقييده بما إذا كان الحبس بغير حقّ، فلو حبسه ليقبض الثمن، أو ليتقابضا معاً ونحو ذلك، فلا 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 الحبس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فالنفقة على المشتري، فإنْ امتنع منها رفع البائع أمره إلى الحاكم، فإنْ تعذّر أنفق بنيّة الرجوع ورجع عليه بها، كمافي نظائره</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2018976_1067777946"/>
      <w:bookmarkStart w:id="873" w:name="_Toc326"/>
      <w:bookmarkEnd w:id="872"/>
      <w:r>
        <w:rPr>
          <w:rtl w:val="true"/>
        </w:rPr>
        <w:t>[</w:t>
      </w:r>
      <w:r>
        <w:rPr>
          <w:rtl w:val="true"/>
        </w:rPr>
        <w:t>بيع مالا يُقبض</w:t>
      </w:r>
      <w:r>
        <w:rPr>
          <w:rtl w:val="true"/>
        </w:rPr>
        <w:t>]</w:t>
      </w:r>
      <w:bookmarkEnd w:id="8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ابتاع متاعاً ولم يقبضه ثمّ أراد بيعه، كره ذلك إن كان ممّا يكال أو يوزن،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طعاماً لم يجز،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الثاني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الطعام مطلق المكيل والموزون؛ لوروده في بعض الأخبار الصحيحة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يبطل البيع على تقديره أو يأثم خاصّة؟ قولان، 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على غيره طعام من سَلَم، وعليه مثل ذلك، فأمر غريمه أنْ يكتال لنفسه من الآخر، فعلى ما قلناه يكره، وعلى ما قالوه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التحريم أو الكراهة مشروط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 بالبيع، ونقله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هذا الفرض وإنْ كان بيعاً حيث إنّ السلم فرد من أفراده إلّا أنّ الواقع من المسلم إمّا حوالة لغريمه في القبض، أو وكالة له فيه، وكلاهما ليس ببيع، إلّا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الحكم وقطع بعدم صحّته </w:t>
      </w:r>
      <w:r>
        <w:rPr>
          <w:rStyle w:val="FootnoteAnchor"/>
          <w:rtl w:val="true"/>
        </w:rPr>
        <w:footnoteReference w:id="273"/>
      </w:r>
      <w:r>
        <w:rPr>
          <w:rFonts w:ascii="Amiri" w:hAnsi="Amiri" w:eastAsia="Amiri" w:cs="Amiri"/>
          <w:color w:val="111111"/>
          <w:sz w:val="28"/>
          <w:sz w:val="28"/>
          <w:szCs w:val="28"/>
          <w:rtl w:val="true"/>
          <w:lang w:bidi="ar-SA"/>
        </w:rPr>
        <w:t xml:space="preserve">، وتبعه عليه جماعة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المصنِّف اختياره تحريماً أو كراهة ، وفيه نظربيّن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تكلّف لذلك بأُمور لا تفيد المطلوب والأقوى عدم التحريم هنا لو قيل به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الكراهة فيمكن الحكم بها خروجاً من خلافهم</w:t>
      </w:r>
      <w:r>
        <w:rPr>
          <w:rFonts w:eastAsia="Amiri" w:cs="Amiri" w:ascii="Amiri" w:hAnsi="Amiri"/>
          <w:color w:val="111111"/>
          <w:sz w:val="28"/>
          <w:szCs w:val="28"/>
          <w:rtl w:val="true"/>
          <w:lang w:bidi="ar-SA"/>
        </w:rPr>
        <w:t xml:space="preserve">. </w:t>
      </w:r>
      <w:bookmarkStart w:id="874" w:name="pg10178_83819"/>
    </w:p>
    <w:p>
      <w:pPr>
        <w:pStyle w:val="BookText"/>
        <w:rPr/>
      </w:pPr>
      <w:bookmarkEnd w:id="87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دفع إليه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تولّي طرفي القبض كالعقد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أسلفه في طعام بالعراق، ثمّ طالبه بالمدينة، لم يجب عليه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طالبه بقيمته،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لأنّ ذلك ليس بيعاً، بل استيفاء للحقّ، ومثل ذلك لا يسمّى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قرضاً جاز أخذ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لاشبهة في جواز أخذ عوض القرض إذا تراضيا عليه؛ لانتفاء المانع منه، وهو بيع الطعام المنتقل بالبيع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الكلام في وجوب دفع العوض في غیر بلد القرض؛ لأنّ إطلاقه منزّل على قبضه في بلده، فليس للمقرِض المطالبة به في غيره، كما أنّه لو بذله له المقترض لم يجب عليه قبضه أيضاً، لما في نقله إلى ما عيّنه الشارع موضعاً للقبض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يجب عليه دفع عين الحقّ فكذا قيمته؛ لعدم وقوع المعاوضة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غصباً لم يجب دفع المثل، وجاز دفع القيمة بسعر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جواز مطالبة الغاصب بالمثل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عيناً بعين، وقبض أحدهما ثمّ باع ما قبضه، وتلفت العين الأُخرى في يد بائعها، بطل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يفسخ البيع الثاني؛ لأنّ العين المبيعة كانت ملكاً خالصاً للبائع، وإنّما طرأ البطلان على العقد بعد انتقال العين فلايؤثّر فيما سبق من التصرّفات، بل يلزم البائع الثاني بدفع المثل إنْ كانت العين مثليّة والقيمة إنْ كانت قيميّة وهل المعتبر فيه يوم البيع، أو يوم تلف العين الأُخرى؟ الأجود الثاني</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2018978_1067777946"/>
      <w:bookmarkStart w:id="876" w:name="_Toc327"/>
      <w:bookmarkEnd w:id="875"/>
      <w:r>
        <w:rPr>
          <w:rtl w:val="true"/>
        </w:rPr>
        <w:t>اختلاف المتبايعين</w:t>
      </w:r>
      <w:bookmarkEnd w:id="87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قدر الثمن، فالقول قول البائع مع يمينه إنْ كان المبيع باقياً، </w:t>
      </w:r>
    </w:p>
    <w:p>
      <w:pPr>
        <w:pStyle w:val="BookText"/>
        <w:rPr/>
      </w:pPr>
      <w:r>
        <w:rPr>
          <w:rFonts w:ascii="Amiri" w:hAnsi="Amiri" w:eastAsia="Amiri" w:cs="Amiri"/>
          <w:color w:val="111111"/>
          <w:sz w:val="28"/>
          <w:sz w:val="28"/>
          <w:szCs w:val="28"/>
          <w:rtl w:val="true"/>
          <w:lang w:bidi="ar-SA"/>
        </w:rPr>
        <w:t xml:space="preserve">وقول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ومستنده رواية </w:t>
      </w:r>
      <w:r>
        <w:rPr>
          <w:rStyle w:val="FootnoteAnchor"/>
          <w:rtl w:val="true"/>
        </w:rPr>
        <w:footnoteReference w:id="275"/>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بتقديم قول المشتري مطلقاً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المبيع،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ثوبين، فالقول قول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النزاع نظير النزاع في قدر الثمن، ووجه تقديم قول البائع فيه أنّه منكر لبيع الزائد، مع اتّفاقهما على أمر مشترك، وهو بيع الثوب الواحد، وبهذا رجّحنا تقديم قول المشتري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فرّق المصنِّف بينهما في الحكم؛ نظراً إلى النصّ الموجب للعدول عن القواعد في الأوّل دون الثاني، معتضداً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حيث لا يكون المتنازع فيه معيّناً،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هذان لغير المذكور، فإنّه حينئذٍ يتعيّن القول بالتحالف كما سيأتي، ولو كان الأوّل أحدهما فالقول قول البائع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المبيع،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الثوب، فهاهنا دعويان، فيتحالفان وتبطل دعواهما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التحالف في هذه المسألة ونظائرها ادّعاء كلّ منهما على صاحبه ما ينفيه الآخر، بحيث لا يتّفقان على أمر ويختلفان فيما زاد عليه،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اختلفا في الثمن المعيّن، أو فيهما معاً، أو ادّعى أحدهما البيع والآخر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اتّفقا على أمرٍ واختلفا في وصف زائد أو قدر، بحيث كانت الدعوى من طرف واحد، حلف المنكر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قبل التفرّق، وأنكره </w:t>
      </w:r>
      <w:bookmarkStart w:id="877" w:name="pg10178_83821"/>
    </w:p>
    <w:p>
      <w:pPr>
        <w:pStyle w:val="BookText"/>
        <w:rPr/>
      </w:pPr>
      <w:bookmarkEnd w:id="877"/>
      <w:r>
        <w:rPr>
          <w:rFonts w:ascii="Amiri" w:hAnsi="Amiri" w:eastAsia="Amiri" w:cs="Amiri"/>
          <w:color w:val="111111"/>
          <w:sz w:val="28"/>
          <w:sz w:val="28"/>
          <w:szCs w:val="28"/>
          <w:rtl w:val="true"/>
          <w:lang w:bidi="ar-SA"/>
        </w:rPr>
        <w:t>الآخر، فالقول قول من يدّعي صحة العقد مع يمينه، وعلى الآخر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قول مدّعي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علّة الحكم، وهو أصالة صحّة العقود الواقعة من أهلها، وهو يتمّ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فمدّعي الفسخ لا ينكر صحّة العقد، بل يعترف به ويدّعي أمراً آخر، لكن لمّا كان الأصل عدم طروّ المبطل الموجب لاستمرار الصحّة أطلق عليه الصحّة مجازاً وأراد به بقاءها</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2018980_1067777946"/>
      <w:bookmarkStart w:id="879" w:name="_Toc328"/>
      <w:bookmarkEnd w:id="878"/>
      <w:r>
        <w:rPr>
          <w:rtl w:val="true"/>
        </w:rPr>
        <w:t>[</w:t>
      </w:r>
      <w:r>
        <w:rPr>
          <w:rtl w:val="true"/>
        </w:rPr>
        <w:t>في الشروط</w:t>
      </w:r>
      <w:r>
        <w:rPr>
          <w:rtl w:val="true"/>
        </w:rPr>
        <w:t>]</w:t>
      </w:r>
      <w:bookmarkEnd w:id="8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شرط ما لا يدخل تحت مقدوره، كبيع الزرع على أنْ يجعله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البطلان بين أن يشترط عليه أن يجعله هو أو الله تعالى؛ لاشتراكهما في عدم المقدوريّة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مرادهم هو الثاني خاصّة </w:t>
      </w:r>
      <w:r>
        <w:rPr>
          <w:rStyle w:val="FootnoteAnchor"/>
          <w:rtl w:val="true"/>
        </w:rPr>
        <w:footnoteReference w:id="276"/>
      </w:r>
      <w:r>
        <w:rPr>
          <w:rFonts w:ascii="Amiri" w:hAnsi="Amiri" w:eastAsia="Amiri" w:cs="Amiri"/>
          <w:color w:val="111111"/>
          <w:sz w:val="28"/>
          <w:sz w:val="28"/>
          <w:szCs w:val="28"/>
          <w:rtl w:val="true"/>
          <w:lang w:bidi="ar-SA"/>
        </w:rPr>
        <w:t>بناء على أنّه الفرض الممكن للعقلاء وإنْ اشتركا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ابتياع المملوك بشرط أنْ يعتقه، أو يدبّره، أو يكاتبه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الحكم يشمل ما لو شرط عتقه عن المشتري وأطلقه، وشرط عن البائع، وعن كفّارة، وتبرّعاً، وبعوض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الأوّلين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فقد قيل بجوازه أيضاً </w:t>
      </w:r>
      <w:r>
        <w:rPr>
          <w:rStyle w:val="FootnoteAnchor"/>
          <w:rtl w:val="true"/>
        </w:rPr>
        <w:footnoteReference w:id="277"/>
      </w:r>
      <w:r>
        <w:rPr>
          <w:rFonts w:ascii="Amiri" w:hAnsi="Amiri" w:eastAsia="Amiri" w:cs="Amiri"/>
          <w:color w:val="111111"/>
          <w:sz w:val="28"/>
          <w:sz w:val="28"/>
          <w:szCs w:val="28"/>
          <w:rtl w:val="true"/>
          <w:lang w:bidi="ar-SA"/>
        </w:rPr>
        <w:t>،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عتقه عن الكفّارة، فإنْ كانت عن المشتري صحّ، وفائدة الشرط تخصيص العبد بالإعتاق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يجتمع في هذا الشرط حقّ البائع والمشتري والعبد وحقّ الله تعالى، وتظهر الفائدة في مطالبة مَنْ له الحقّ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أنْ لا خسارة، أو شرط أنْ لا يعتقها، أو أنْ لا يطأها،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ويبطل الشرط</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شرط أنْ لا خسارة على المشتري لو باعه فخسر، بل يكون على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هذا الشرط باطل؛ لمنافاته مقتضى العقد، وكذا القول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بطلان البيع والشرط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البيع أن يضمن إنسان بعض الثمن أو كلّه صحّ البيع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اشتراط ضمين للبائع على بعض المبيع أو كلّه لو كان غير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تعيّن الضامن بالمشاهدة أو الوصف، كرجل موسر ثقة ونحو ذلك، أو يميّزه بنسبه، فلو أطلق بطل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شرط العتق في بيع المملوك فإنْ أعتقه فقد لزم البيع، وإنْ امتنع كان للبائع خيار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ثبوت الخيار بمجرّد امتناع المشروط عليه وإن قدر المشروط له على إجباره، وهو أحد القولين في المسألة والأقوى وجوب الوفاء بالشرط، وعدم تسلّط المشروط له إلّا مع تعذّر تحصيله، فعلى هذا لو امتنع من الوفاء ولم يمكن إجباره رفع أمره إلى الحاكم؛ ليجبره إنْ كان مذهبه ذلك، فإنْ تعذّر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 العبد قبل عتقه كان للبائع الخيار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ثبوت الخيار مع موته، فإنْ اختار الفسخ رجع بجميع القيمة، وردّ الثمن إنْ كان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لو اختار الإمضاء، فهل يرجع على المشتري بما يقتضيه شرط العتق من القيمة أم لا؟ قولان، أشهرهما الأوّل؛ لاقتضاء الشرط نقصاناً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معرفة ما يقتضيه الشرط أنْ يقوّم العبد بدونه، ومعه، وينظر إلى التفاوت بين القيمتين، وينسب إلى القيمة التي هي شرط العتق، ويؤخذ من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تلك النسبة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قيمته بدون الشرط مائة، ومعه ثمانين، فالتفاوت بعشرين نسبتها إلى الثمانين الربع، فيؤخذ من المشتري بمقدار ربع الثمن مضافاً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الفسخ والرجوع بالقيمة ففي اعتبار وقتها أوجه، أجودها يوم التلف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ما يكفي معه المشاهدة جائز،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الأرض، أو هذه </w:t>
      </w:r>
      <w:bookmarkStart w:id="880" w:name="pg10178_83823"/>
    </w:p>
    <w:p>
      <w:pPr>
        <w:pStyle w:val="BookText"/>
        <w:rPr/>
      </w:pPr>
      <w:bookmarkEnd w:id="880"/>
      <w:r>
        <w:rPr>
          <w:rFonts w:ascii="Amiri" w:hAnsi="Amiri" w:eastAsia="Amiri" w:cs="Amiri"/>
          <w:color w:val="111111"/>
          <w:sz w:val="28"/>
          <w:sz w:val="28"/>
          <w:szCs w:val="28"/>
          <w:rtl w:val="true"/>
          <w:lang w:bidi="ar-SA"/>
        </w:rPr>
        <w:t>الساحة، أو جزءاً منها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بالمثال على أنّ الأرض يكفي فيها المشاهدة وإنْ لم تمسح، وهو أشهر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 تلامذة المصنِّف عنه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بالجيم، وأنّها لا تجوز بالمهملة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2018982_1067777946"/>
      <w:bookmarkStart w:id="882" w:name="_Toc329"/>
      <w:bookmarkEnd w:id="881"/>
      <w:r>
        <w:rPr>
          <w:rtl w:val="true"/>
        </w:rPr>
        <w:t>[</w:t>
      </w:r>
      <w:r>
        <w:rPr>
          <w:rtl w:val="true"/>
        </w:rPr>
        <w:t>لواحق من أحكام العقود</w:t>
      </w:r>
      <w:r>
        <w:rPr>
          <w:rtl w:val="true"/>
        </w:rPr>
        <w:t>]</w:t>
      </w:r>
      <w:bookmarkEnd w:id="8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عشرة أذرع منها وعيّن الموضع جاز، ولو أبهمه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بتعيين الموضع تعيين المبدأ والمنتهى، والجواز حينئذٍ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به تعيين المبدأ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صحّته خلاف، أجودهما ذلك مع تساوي الأرض تقريباً، وكذا القول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جربان معيّنة فكانت أقلّ فالمشتري بالخيار بين فسخ البيع وأخذها بحصّتها من الثمن،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بكلّ الثمن،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 أنّ المبيع مقدّر بقدر معيّن ولم يحصل، فيقسّط الثمن عليه وعلى الفائت إنْ اختار المشتري الإمضاء، وله الفسخ لفوات بعض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التقسيط بأنّ الفائت لا يعلم قسطه من الثمن؛ لأنّ المبيع مختلف الأجزاء، فلا تصحّ قسمته على عدد الجربان، ولأنّ المبيع هو الفرد المشخّص وإنّما الخلف في وصفه بالمقدار الذي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تظهر قوّة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نقص ما يتساوى أجزاؤه، ثبت الخيار للمشتري بين الردّ، وأخذه بحصّته من الثمن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قد علم ممّا سبق في مختلف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هنا أنّ التقسيط ممكن بسبب تساوي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بما مرّ من أنّ مجموع المثمن المقابل لمجموع الثمن هو ذلك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فتساويهما في التخيير بين الفسخ والإمضاء بالجميع أوجه</w:t>
      </w:r>
      <w:r>
        <w:rPr>
          <w:rFonts w:eastAsia="Amiri" w:cs="Amiri" w:ascii="Amiri" w:hAnsi="Amiri"/>
          <w:color w:val="111111"/>
          <w:sz w:val="28"/>
          <w:szCs w:val="28"/>
          <w:rtl w:val="true"/>
          <w:lang w:bidi="ar-SA"/>
        </w:rPr>
        <w:t xml:space="preserve">. </w:t>
      </w:r>
      <w:bookmarkStart w:id="883" w:name="pg10178_83824"/>
    </w:p>
    <w:p>
      <w:pPr>
        <w:pStyle w:val="BookText"/>
        <w:rPr/>
      </w:pPr>
      <w:bookmarkEnd w:id="88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بيع السمن بظروفه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السمن بظروفه كلّ رطل بدرهم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في المسألتين من معرفة وزن الظرف والمظروف جملة، وإنّما يمتازان بأنْ يقسّط الثمن عليهما في الأُولى على ثمن مثلهما، وفي الثانية عليهما باعتبار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لو كان كلّ واحد منهما لواحد، أو ظهر أحدهما مستحقّاً، وأُريد معرفة ما يخصّ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يقسّط الثمن على ثمن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الظرف مثلاً درهم، وقيمة السمن تسعة، فيخصّ الظرف عشر الثمن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يوزن الظرف منفرداً وينسب إلى الجملة، ويؤخذ له من الثمن بتلك النسبة</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2018984_1067777946"/>
      <w:bookmarkStart w:id="885" w:name="_Toc330"/>
      <w:bookmarkEnd w:id="884"/>
      <w:r>
        <w:rPr>
          <w:rtl w:val="true"/>
        </w:rPr>
        <w:t>[</w:t>
      </w:r>
      <w:r>
        <w:rPr>
          <w:rtl w:val="true"/>
        </w:rPr>
        <w:t>الفصل الخامس في أحكام العيوب</w:t>
      </w:r>
      <w:r>
        <w:rPr>
          <w:rtl w:val="true"/>
        </w:rPr>
        <w:t>]</w:t>
      </w:r>
      <w:bookmarkEnd w:id="885"/>
    </w:p>
    <w:p>
      <w:pPr>
        <w:pStyle w:val="Heading4"/>
        <w:numPr>
          <w:ilvl w:val="3"/>
          <w:numId w:val="1"/>
        </w:numPr>
        <w:rPr/>
      </w:pPr>
      <w:bookmarkStart w:id="886" w:name="__RefHeading___Toc2018986_1067777946"/>
      <w:bookmarkStart w:id="887" w:name="_Toc331"/>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مطلقاً، أو شرط الصحّة، اقتضى سلامة المبيع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الصحّة يفيد مجرّد التأكيد؛ لأنّ الإطلاق يقتضي السلامة؛ لأنّها الأصل في الأعيان، فإذا ظهر عيب تخيّر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فائدة الشرط جواز الفسخ وإنْ تصرّف لو ظهر عيب، فيفيد فائدة زائدة على الإطلاق، كاشتراط الحلول</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الردّ بالتبرّي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وباسقاطه بعد العقد وكذا الأرش</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الأوّل مطلق وأمّا الأخير فإنّما ينتفيان مع الإطلاق أو التصريح بالتعميم، أمّا لو خصّ أحدهما اختصّ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كالعتق وقطع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بالمثالين على أنّه لا فرق في الحدث بين الناقل عن الملك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ركوب الدابّة ولو في طريق الردّ، وحلبها، ونقلها إلى بلده البعيد، دون سقيها وعلفها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قبل العلم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ابن حمزة </w:t>
      </w:r>
      <w:r>
        <w:rPr>
          <w:rStyle w:val="FootnoteAnchor"/>
          <w:rtl w:val="true"/>
        </w:rPr>
        <w:footnoteReference w:id="280"/>
      </w:r>
      <w:r>
        <w:rPr>
          <w:rFonts w:ascii="Amiri" w:hAnsi="Amiri" w:eastAsia="Amiri" w:cs="Amiri"/>
          <w:color w:val="111111"/>
          <w:sz w:val="28"/>
          <w:sz w:val="28"/>
          <w:szCs w:val="28"/>
          <w:rtl w:val="true"/>
          <w:lang w:bidi="ar-SA"/>
        </w:rPr>
        <w:t>، حيث جعل التصرّف بعد العلم مانعاً من الأرش كما منع الردّ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وبحدوث عيب بعد القبض، ويثبت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العيب الحادث بين كونه من جهة المشتري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ما لو كان المبيع حيواناً وحدث فيه العيب في الثلاثة من غير جهة المشتري، فإنّه لا يمنع من الردّ ولا الأرش؛ لأنّه 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بيع المعيب فالأولى إعلام المشتري بالعيب، أو التبرّي من العيوب مفصّلة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على وجه الرجحان غير المانع من التبعّض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يتمّ هنا في العيب الظاهر، وهو الذي يمكن للمشتري أنْ يطّلع عليه من غیر إعلام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الخفيّ كشوب اللبن بالماء، فالأقوى وجوب الإعلام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أجمل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مطلقة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عيبه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عامّة كجميع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يبرأ بالإجمال </w:t>
      </w:r>
      <w:r>
        <w:rPr>
          <w:rStyle w:val="FootnoteAnchor"/>
          <w:rtl w:val="true"/>
        </w:rPr>
        <w:footnoteReference w:id="281"/>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وطئ الأمة ثمّ علم بعيبها لم يكن له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العيب حبلاً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معها نصف عشر قيمتها؛ لمكان الوطء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أنْ يراد هنا بالحامل من غير مولاها؛ ليكون تخيير المشتري المدلول عليه بجواز الردّ دون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 بكون الوطء قبل العلم به؛ إذ لو كان من المولى تبيّن </w:t>
      </w:r>
      <w:bookmarkStart w:id="888" w:name="pg10178_83826"/>
    </w:p>
    <w:p>
      <w:pPr>
        <w:pStyle w:val="BookText"/>
        <w:rPr/>
      </w:pPr>
      <w:bookmarkEnd w:id="888"/>
      <w:r>
        <w:rPr>
          <w:rFonts w:ascii="Amiri" w:hAnsi="Amiri" w:eastAsia="Amiri" w:cs="Amiri"/>
          <w:color w:val="111111"/>
          <w:sz w:val="28"/>
          <w:sz w:val="28"/>
          <w:szCs w:val="28"/>
          <w:rtl w:val="true"/>
          <w:lang w:bidi="ar-SA"/>
        </w:rPr>
        <w:t>فساد البيع، سواء وطئها قبل العلم به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فرض الحمل من المولى </w:t>
      </w:r>
      <w:r>
        <w:rPr>
          <w:rStyle w:val="FootnoteAnchor"/>
          <w:rtl w:val="true"/>
        </w:rPr>
        <w:footnoteReference w:id="282"/>
      </w:r>
      <w:r>
        <w:rPr>
          <w:rFonts w:ascii="Amiri" w:hAnsi="Amiri" w:eastAsia="Amiri" w:cs="Amiri"/>
          <w:color w:val="111111"/>
          <w:sz w:val="28"/>
          <w:sz w:val="28"/>
          <w:szCs w:val="28"/>
          <w:rtl w:val="true"/>
          <w:lang w:bidi="ar-SA"/>
        </w:rPr>
        <w:t>لئلّا تخرج المسألة عن القواعد الشرعيّة المعروفة من كون التصرّف في المبيع زمن ملكه لا يوجب عوضاً، وكون التصرّف مسقطاً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الأوّل، وإلّا لم يختصّ التصرّف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نصف العشر في عوض الوطء مبنيّ على الغالب من كون الحمل مستلزماً للثيوبة، فلو فرض على بُعد كونها حاملاً بكراً لزم العشر</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2018988_1067777946"/>
      <w:bookmarkStart w:id="890" w:name="_Toc332"/>
      <w:bookmarkEnd w:id="889"/>
      <w:r>
        <w:rPr>
          <w:rtl w:val="true"/>
        </w:rPr>
        <w:t>[</w:t>
      </w:r>
      <w:r>
        <w:rPr>
          <w:rtl w:val="true"/>
        </w:rPr>
        <w:t>أقسام العيوب</w:t>
      </w:r>
      <w:r>
        <w:rPr>
          <w:rtl w:val="true"/>
        </w:rPr>
        <w:t>]</w:t>
      </w:r>
      <w:bookmarkEnd w:id="89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أنّ كلّ ما كان في أصل الخلقة فزاد أو نقص فهو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خلقة أكثر النوع الذي يعتبر فيه ذلك بالنظر إلى الذات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كون الزائد والناقص موجباً لنقص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مع الخصاء وإنْ زادت به القيمة، وكذا عدم الشعر على ركب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كحمّى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المعروف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التي تأتي في يوم من الأيّام وتذهب فيه ثمّ لا تعود عادة، فلو عادت كلّ يوم لم تسمّ حمّى يوم بل حمّى الورد، أو يوماً بعد يوم فحمّى الغبّ، أو بعد يومين فالربع، وهكذا إلى آخر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فثبوت العیب بحمّی يتحقّق بأنْ يشتريه فيجده محموماً، أو يحمّ قبل القبض، فإنّه يجوز له الفسخ وإنْ ذهبت عنه الحمّى في ذلك اليوم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يشترطه المشتري على البائع ممّا يسوغ فأخلّ به ثبت به الخيار وإن لم يكن فواته عيباً، كاشتراط الجعودة في الشعر والتأشير في الأسنان والزجج في الحواجب</w:t>
      </w:r>
      <w:r>
        <w:rPr>
          <w:rFonts w:eastAsia="Amiri" w:cs="Amiri" w:ascii="Amiri" w:hAnsi="Amiri"/>
          <w:color w:val="111111"/>
          <w:sz w:val="28"/>
          <w:szCs w:val="28"/>
          <w:rtl w:val="true"/>
          <w:lang w:bidi="ar-SA"/>
        </w:rPr>
        <w:t xml:space="preserve">». </w:t>
      </w:r>
      <w:bookmarkStart w:id="891" w:name="pg10178_83827"/>
    </w:p>
    <w:p>
      <w:pPr>
        <w:pStyle w:val="BookText"/>
        <w:rPr/>
      </w:pPr>
      <w:bookmarkEnd w:id="891"/>
      <w:r>
        <w:rPr>
          <w:rFonts w:ascii="Amiri" w:hAnsi="Amiri" w:eastAsia="Amiri" w:cs="Amiri"/>
          <w:color w:val="111111"/>
          <w:sz w:val="28"/>
          <w:sz w:val="28"/>
          <w:szCs w:val="28"/>
          <w:rtl w:val="true"/>
          <w:lang w:bidi="ar-SA"/>
        </w:rPr>
        <w:t xml:space="preserve">تأشير الأسنان تحديد أطرافها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وزجج الحواجب دقّتها وامتدادها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ذلك يقتضي كونه خلقيّاً لا متكلّفاً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صرَّيت، إذا جمعت، من الصري وهو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صَرَى الماء في الحوض إذا اجتمع فيه، وصرّيت الشاة إذا لم تحلُبها في وقت العادة فيجتمع اللبن في ضرعها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هنا، فإنّه تدليس على الجاهل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من الدلس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الظلمة، كأنّ المدلّس بمخادعته آتٍ في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معها مثل لبنها أو قيمته مع التعذّر،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ثلاثة أمداد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القيمة يوم الدفع حيث يتعذّر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باللبن الموجود حال البيع، أمّا المتجدّد بعد العقد فهو للمشتري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وتختبر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يعلم كونها مصرّاة بالبيِّنة أو إقرار البائع، وإلّا جاز الفسخ قبل الثلاثة مع تحقّق النقصان، وحيث تثبت التصرية بالاختبار فالخيار على رأس الثلاثة، أو بالبيّنة أو الإقرار فيمتدّ بامتداد الثلاثة، بشرط عدم التصرّف بغير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وتثبت التصرية في الشاة قطعاً وفي الناقة والبقرة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ثبوتها فيهما</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2018990_1067777946"/>
      <w:bookmarkStart w:id="893" w:name="_Toc333"/>
      <w:bookmarkEnd w:id="892"/>
      <w:r>
        <w:rPr>
          <w:rtl w:val="true"/>
        </w:rPr>
        <w:t>[</w:t>
      </w:r>
      <w:r>
        <w:rPr>
          <w:rtl w:val="true"/>
        </w:rPr>
        <w:t>تصرية الشاة</w:t>
      </w:r>
      <w:r>
        <w:rPr>
          <w:rtl w:val="true"/>
        </w:rPr>
        <w:t>]</w:t>
      </w:r>
      <w:bookmarkEnd w:id="8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ولوصرّى أمةً لم يثبت الخيار، مع إطلاق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صرّى البائع أتاناً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الحمارة، ولا يقال فيها أتانة</w:t>
      </w:r>
      <w:r>
        <w:rPr>
          <w:rFonts w:eastAsia="Amiri" w:cs="Amiri" w:ascii="Amiri" w:hAnsi="Amiri"/>
          <w:color w:val="111111"/>
          <w:sz w:val="28"/>
          <w:szCs w:val="28"/>
          <w:rtl w:val="true"/>
          <w:lang w:bidi="ar-SA"/>
        </w:rPr>
        <w:t xml:space="preserve">. </w:t>
      </w:r>
      <w:bookmarkStart w:id="894" w:name="pg10178_83828"/>
    </w:p>
    <w:p>
      <w:pPr>
        <w:pStyle w:val="BookText"/>
        <w:rPr/>
      </w:pPr>
      <w:bookmarkEnd w:id="89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ولوزالت تصرية الشاة وصار ذلك عادةً قبل انقضاء ثلاثة أيّام 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ثبوت التصرية بغير الاختبار، أمّا به فقد تقدّم أنّها لا تعلم إلّا بمضيّ الثلاثة، فلا يتوجّه إطلاق سقوطه قبل انقضائها</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2018992_1067777946"/>
      <w:bookmarkStart w:id="896" w:name="_Toc334"/>
      <w:bookmarkEnd w:id="895"/>
      <w:r>
        <w:rPr>
          <w:rtl w:val="true"/>
        </w:rPr>
        <w:t>[</w:t>
      </w:r>
      <w:r>
        <w:rPr>
          <w:rtl w:val="true"/>
        </w:rPr>
        <w:t>القول في لواحق هذا الفصل</w:t>
      </w:r>
      <w:r>
        <w:rPr>
          <w:rtl w:val="true"/>
        </w:rPr>
        <w:t>]</w:t>
      </w:r>
      <w:bookmarkEnd w:id="8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الإباق الحادث عند المشتري لا يردّ 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أبق عند البائع كان للمشتري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الاكتفاء في عيب الإباق بوقوعه مرّة عند البائع، وبه صرّح في التذكرة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بعض الأصحاب اعتياده </w:t>
      </w:r>
      <w:r>
        <w:rPr>
          <w:rStyle w:val="FootnoteAnchor"/>
          <w:rtl w:val="true"/>
        </w:rPr>
        <w:footnoteReference w:id="286"/>
      </w:r>
      <w:r>
        <w:rPr>
          <w:rFonts w:ascii="Amiri" w:hAnsi="Amiri" w:eastAsia="Amiri" w:cs="Amiri"/>
          <w:color w:val="111111"/>
          <w:sz w:val="28"/>
          <w:sz w:val="28"/>
          <w:szCs w:val="28"/>
          <w:rtl w:val="true"/>
          <w:lang w:bidi="ar-SA"/>
        </w:rPr>
        <w:t>، وهو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بمرّتين عند البائع، أو بالثلاثة، أو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زيتاً أو بزراً فوجد فيه ثفلاً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الباء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محذوف المضاف أي دهن البزر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تحت الشيء من كدره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تحمير الوجه ووصل الشعر وما شابهه تدليس يثبت به الخيار 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 الخيار،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الخيار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للمشتري بيّنة ولا شاهد حال يشهد 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زيادة أصبع، واندمال الجرح مع قصر زمان البيع عن ذلك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كونه مفيداً للقطع، فيقدّم قول المشتري بغير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الحال للبائع كذلك، فلا يمين عليه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يفتقر البائع إلى الثمن يحلف على القطع بعدم العيب، لا على عدم العلم إنْ كان اختبر المبيع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 أهل الخبرة في التقويم عمل على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بالأوسط قيمة منتزعة من القيم المختلفة، نسبتها إلى المجموع كنسبة الواحد إلى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القيمتين نصف مجموعهما، ومن الثلاث ثلاثة،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أنْ تنسب صحيحة كلّ مقوّم إلى معيبها، وتأخذ النسبة بينهما، وتجمع الجميع، وتأخذ منه النصف أو الثلث مثلاً كما ذكر، فلو قالت إحدي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قيمته اثنا عشر صحيحاً وعشرة معيباً،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صحيحاً وخمسة معيباً، فالتفاوت بين الأوّلين سدس وبين الأخيرتين ثلاثة 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كون الثمن اثني عشر أخذ منه سدسه اثنان، وثلاثة أثمان، أو ربعه ونصف، وأخذ نصف المجموع ثلاثة وربع،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العيب بعد العقد وقبل القبض كان للمشتري ردّه، وفي الأرش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قبض بعضه ثمَّ حدث في الباقي حدث كان الحكم كذلك فيما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تعيّب يتخيّر المشتري بين أخذ أرشه وردّ الجميع، وليس له الاقتصار على ردّ المعيب خاصّة، وإنْ كان ظاهر العبارة يشعر به؛ حذراً من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يحدث في الحيوان بعد القبض وقبل انقضاء الخيار لا يمنع الردّ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منقوله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الثلاثة ظرفاً له أنّ الردّ بخيار الثلاثة، لا بالعيب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منعه من ذلك أنّ العيب الحادث في الثلاثة من غير جهة المشتري مضمون على البائع كالسابق، فلايكون مؤثّراً في رفع الخيار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بالعيب الحادث </w:t>
      </w:r>
      <w:r>
        <w:rPr>
          <w:rStyle w:val="FootnoteAnchor"/>
          <w:rtl w:val="true"/>
        </w:rPr>
        <w:footnoteReference w:id="287"/>
      </w:r>
      <w:r>
        <w:rPr>
          <w:rFonts w:ascii="Amiri" w:hAnsi="Amiri" w:eastAsia="Amiri" w:cs="Amiri"/>
          <w:color w:val="111111"/>
          <w:sz w:val="28"/>
          <w:sz w:val="28"/>
          <w:szCs w:val="28"/>
          <w:rtl w:val="true"/>
          <w:lang w:bidi="ar-SA"/>
        </w:rPr>
        <w:t xml:space="preserve">، وتظهر الفائدة في ثبوت الخيار بعد </w:t>
      </w:r>
      <w:bookmarkStart w:id="897" w:name="pg10178_83830"/>
    </w:p>
    <w:p>
      <w:pPr>
        <w:pStyle w:val="BookText"/>
        <w:rPr/>
      </w:pPr>
      <w:bookmarkEnd w:id="897"/>
      <w:r>
        <w:rPr>
          <w:rFonts w:ascii="Amiri" w:hAnsi="Amiri" w:eastAsia="Amiri" w:cs="Amiri"/>
          <w:color w:val="111111"/>
          <w:sz w:val="28"/>
          <w:sz w:val="28"/>
          <w:szCs w:val="28"/>
          <w:rtl w:val="true"/>
          <w:lang w:bidi="ar-SA"/>
        </w:rPr>
        <w:t>انقضاء الثلاثة وعدمه، فعلى الأوّل يرتفع دون الثاني؛ إذ لا يتقيّد خيار العيب بالثلاثة، غايته حصول الخيار فيها بعلّتين وهو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نما أوجه</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2018994_1067777946"/>
      <w:bookmarkStart w:id="899" w:name="_Toc335"/>
      <w:bookmarkEnd w:id="898"/>
      <w:r>
        <w:rPr>
          <w:rtl w:val="true"/>
        </w:rPr>
        <w:t>[</w:t>
      </w:r>
      <w:r>
        <w:rPr>
          <w:rtl w:val="true"/>
        </w:rPr>
        <w:t>الفصل السادس في المرابحة، والمواضعة، والتولية</w:t>
      </w:r>
      <w:r>
        <w:rPr>
          <w:rtl w:val="true"/>
        </w:rPr>
        <w:t>]</w:t>
      </w:r>
      <w:bookmarkEnd w:id="899"/>
    </w:p>
    <w:p>
      <w:pPr>
        <w:pStyle w:val="Heading4"/>
        <w:numPr>
          <w:ilvl w:val="3"/>
          <w:numId w:val="1"/>
        </w:numPr>
        <w:rPr/>
      </w:pPr>
      <w:bookmarkStart w:id="900" w:name="__RefHeading___Toc2018996_1067777946"/>
      <w:bookmarkStart w:id="901" w:name="_Toc336"/>
      <w:bookmarkEnd w:id="900"/>
      <w:r>
        <w:rPr>
          <w:rtl w:val="true"/>
        </w:rPr>
        <w:t>[</w:t>
      </w:r>
      <w:r>
        <w:rPr>
          <w:rtl w:val="true"/>
        </w:rPr>
        <w:t>المرابحة</w:t>
      </w:r>
      <w:r>
        <w:rPr>
          <w:rtl w:val="true"/>
        </w:rPr>
        <w:t>]</w:t>
      </w:r>
      <w:bookmarkEnd w:id="9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أنْ يكون رأس ماله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معلوماً للمتعاقدين معاً حالة البيع ولا يكفي علم أحدهما، ولا تجدّد علمهما بعد العقد، وإنْ اقتضاه الحساب المنضبط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جُني عليه فأخذ أرش الجناية لم ينقصها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الجناية والعيب أنّ أرش العيب ثابت بأصل العقد وإنْ حدث العيب بعده؛ حيث يكون مضموناً، بخلاف الجناية الطارئة فإنّها حقّ آخر، كنتاج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نقص بالجناية وجب عليه الإخبار بالنقص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قبل قبضه إنْ كان ممّا يكال أو يوزن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المنع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غلامه سلعةً ثمّ اشتراه منه بزيادة جاز أنْ يخبر بالثمن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بغلامه الحرّ؛ ليتصوّر صحّة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يشترط أنْ لا يقصد بذلك زيادة الثمن ليربح فيه، وإلّا حرم؛ لأنّه تدليس وغرور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مرابحةً فبان رأس ماله أقلّ كان المشتري بالخيار بين ردّه وأخذه بالثمن،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بإسقاط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بالثمن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بأزيد لم يقبل منه، ولو أقام بيّنة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القبول إنْ أظهر الكلام الأوّل تأويلاً محتملاً، بمعنى سماع بيّنة عليه، </w:t>
      </w:r>
      <w:bookmarkStart w:id="902" w:name="pg10178_83831"/>
    </w:p>
    <w:p>
      <w:pPr>
        <w:pStyle w:val="BookText"/>
        <w:rPr/>
      </w:pPr>
      <w:bookmarkEnd w:id="902"/>
      <w:r>
        <w:rPr>
          <w:rFonts w:ascii="Amiri" w:hAnsi="Amiri" w:eastAsia="Amiri" w:cs="Amiri"/>
          <w:color w:val="111111"/>
          <w:sz w:val="28"/>
          <w:sz w:val="28"/>
          <w:szCs w:val="28"/>
          <w:rtl w:val="true"/>
          <w:lang w:bidi="ar-SA"/>
        </w:rPr>
        <w:t>لا توجّه اليمين عليه بمجرّد الدعوى وثبوت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حطّ البائع بعض الثمن جاز للمشتري أنْ يخبّر بالأصل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لزوم العقد صحّت، وأُلحق بالثمن، وأخبر بما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الشيخ </w:t>
      </w:r>
      <w:r>
        <w:rPr>
          <w:rStyle w:val="FootnoteAnchor"/>
          <w:rtl w:val="true"/>
        </w:rPr>
        <w:footnoteReference w:id="288"/>
      </w:r>
      <w:r>
        <w:rPr>
          <w:rFonts w:ascii="Amiri" w:hAnsi="Amiri" w:eastAsia="Amiri" w:cs="Amiri"/>
          <w:color w:val="111111"/>
          <w:sz w:val="28"/>
          <w:sz w:val="28"/>
          <w:szCs w:val="28"/>
          <w:rtl w:val="true"/>
          <w:lang w:bidi="ar-SA"/>
        </w:rPr>
        <w:t>بناء على أنّ الملك لا يحصل إلّا بانقضاء الخيار، فاللاحق قبله بحكمه،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أمتعةً صفقةً لم يجز بيعها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يخبر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الاستثناء أنّه لو أخبر بالحال جاز بيعه 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المسامحة كونه حينئذٍ بصورة المرابحة، فالاستثناء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 على الدلّال متاعاً، ربح عليه أو لم يربح، ولم يواجبه البيع، لم يجز للدلّال بيعه مرابحة إلّا بعد الإخبار بالصورة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فيه كما مرّ، فإنّه لا يجوز البيع مرابحة وإنْ أخبر؛ لعدم تحقّق البيع بالتقويم، بل بصورة المرابحة، ومن ثمّ لا يجب على التاجر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وللدلّال أُجرةُ المثل، سواء كان التاجر دعاه أو الدلّال ابتدأه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بالتسوية بين الأمرين على خلاف الشيخ حيث فرّق بينهما، فحكم بكون الزيادة للدلّال إنْ كان التاجر ابتدأه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الدلّال ابتدأ التاجر فالزيادة للتاجر، ولا شيء للدلّال </w:t>
      </w:r>
      <w:r>
        <w:rPr>
          <w:rStyle w:val="FootnoteAnchor"/>
          <w:rtl w:val="true"/>
        </w:rPr>
        <w:footnoteReference w:id="289"/>
      </w:r>
      <w:r>
        <w:rPr>
          <w:rFonts w:ascii="Amiri" w:hAnsi="Amiri" w:eastAsia="Amiri" w:cs="Amiri"/>
          <w:color w:val="111111"/>
          <w:sz w:val="28"/>
          <w:sz w:val="28"/>
          <w:szCs w:val="28"/>
          <w:rtl w:val="true"/>
          <w:lang w:bidi="ar-SA"/>
        </w:rPr>
        <w:t xml:space="preserve">، استناداً إلى أخبار حملها على كون الواقع من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ابتدائه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جعالة فيلزمه ما عيّنه وإنْ كان مجهولاً، وأنّه على تقدير ابتداء الدلّال لم يشترط له شيئاً أولى</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2018998_1067777946"/>
      <w:bookmarkStart w:id="904" w:name="_Toc337"/>
      <w:bookmarkEnd w:id="903"/>
      <w:r>
        <w:rPr>
          <w:rtl w:val="true"/>
        </w:rPr>
        <w:t>[</w:t>
      </w:r>
      <w:r>
        <w:rPr>
          <w:rtl w:val="true"/>
        </w:rPr>
        <w:t>التولية</w:t>
      </w:r>
      <w:r>
        <w:rPr>
          <w:rtl w:val="true"/>
        </w:rPr>
        <w:t>]</w:t>
      </w:r>
      <w:bookmarkEnd w:id="90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التولية فهي أنْ يعطيه المتاع برأس ماله من غير زيادة،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أو </w:t>
      </w:r>
      <w:bookmarkStart w:id="905" w:name="pg10178_83832"/>
    </w:p>
    <w:p>
      <w:pPr>
        <w:pStyle w:val="BookText"/>
        <w:rPr/>
      </w:pPr>
      <w:bookmarkEnd w:id="905"/>
      <w:r>
        <w:rPr>
          <w:rFonts w:ascii="Amiri" w:hAnsi="Amiri" w:eastAsia="Amiri" w:cs="Amiri"/>
          <w:color w:val="111111"/>
          <w:sz w:val="28"/>
          <w:sz w:val="28"/>
          <w:szCs w:val="28"/>
          <w:rtl w:val="true"/>
          <w:lang w:bidi="ar-SA"/>
        </w:rPr>
        <w:t>بعتك، أو ما شاكله من الألفاظ الدالّة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وقعت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الألفاظ المعتبرة في مطلق البيع أكمله بذكر الثمن،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مفعوله العقد واقتصر عليه</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2019000_1067777946"/>
      <w:bookmarkStart w:id="907" w:name="_Toc338"/>
      <w:bookmarkEnd w:id="906"/>
      <w:r>
        <w:rPr>
          <w:rtl w:val="true"/>
        </w:rPr>
        <w:t>[</w:t>
      </w:r>
      <w:r>
        <w:rPr>
          <w:rtl w:val="true"/>
        </w:rPr>
        <w:t>المواضعة</w:t>
      </w:r>
      <w:r>
        <w:rPr>
          <w:rtl w:val="true"/>
        </w:rPr>
        <w:t>]</w:t>
      </w:r>
      <w:bookmarkEnd w:id="9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المواضعة فإنّها مفاعلة من الوضع،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ووضيعة درهم من كلّ عشرة فالثمن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حملاً للإضافة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من جنس الموضوع منه، أي من كلّ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كونها بمعنى اللام، أي لكلّ عشرة، فيكون الثمن أحداً وتسعين إلّا جزءاً من أحد عشر جزءاً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الأصحّ؛ لأنّ شرط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جزئيّاً من جزئيّات المضاف إليه، بحيث يصحّ الإخبار به عنه، كخاتم فضّة، وهو ممتنع هنا</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2019002_1067777946"/>
      <w:bookmarkStart w:id="909" w:name="_Toc339"/>
      <w:bookmarkEnd w:id="908"/>
      <w:r>
        <w:rPr>
          <w:rtl w:val="true"/>
        </w:rPr>
        <w:t>[</w:t>
      </w:r>
      <w:r>
        <w:rPr>
          <w:rtl w:val="true"/>
        </w:rPr>
        <w:t>الفصل السابع في الربا والقرض</w:t>
      </w:r>
      <w:r>
        <w:rPr>
          <w:rtl w:val="true"/>
        </w:rPr>
        <w:t>]</w:t>
      </w:r>
      <w:bookmarkEnd w:id="909"/>
    </w:p>
    <w:p>
      <w:pPr>
        <w:pStyle w:val="Heading4"/>
        <w:numPr>
          <w:ilvl w:val="3"/>
          <w:numId w:val="1"/>
        </w:numPr>
        <w:rPr/>
      </w:pPr>
      <w:bookmarkStart w:id="910" w:name="__RefHeading___Toc2019004_1067777946"/>
      <w:bookmarkStart w:id="911" w:name="_Toc340"/>
      <w:bookmarkEnd w:id="910"/>
      <w:r>
        <w:rPr>
          <w:rtl w:val="true"/>
        </w:rPr>
        <w:t>[</w:t>
      </w:r>
      <w:r>
        <w:rPr>
          <w:rtl w:val="true"/>
        </w:rPr>
        <w:t>الربا</w:t>
      </w:r>
      <w:r>
        <w:rPr>
          <w:rtl w:val="true"/>
        </w:rPr>
        <w:t>]</w:t>
      </w:r>
      <w:bookmarkEnd w:id="9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يثبت في البيع مع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ثبوته في كلّ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المتجانس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إسلاف أحدهما في الآخر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 الجنسان جاز التماثل والتفاضل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النسيئة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واحد في الربا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والحمام جنس واحد، ويقوى عندي أنّ كلّ ما يختصّ منه باسم فهو جنس </w:t>
      </w:r>
    </w:p>
    <w:p>
      <w:pPr>
        <w:pStyle w:val="BookText"/>
        <w:rPr/>
      </w:pPr>
      <w:r>
        <w:rPr>
          <w:rFonts w:ascii="Amiri" w:hAnsi="Amiri" w:eastAsia="Amiri" w:cs="Amiri"/>
          <w:color w:val="111111"/>
          <w:sz w:val="28"/>
          <w:sz w:val="28"/>
          <w:szCs w:val="28"/>
          <w:rtl w:val="true"/>
          <w:lang w:bidi="ar-SA"/>
        </w:rPr>
        <w:t>بانفراده، كالفخاتي والورشان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اختاره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والأدهان تتبع ما تستخرج منه، فدهن السمسم جنس، وكذا ما يضاف إليه، كدهن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إضافته إليه لا تخرجه عن أفراد نوع الدهن؛ لأنّه ليس مركّباً منه وممّا يضاف إليه، بل غير الدهن يكتسب باختلاطه به خاصّة ثمّ ينزع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والخلول تتبع ما تعمل منه، فخلّ العنب مخالف لخلّ الدبس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خلّ دبس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الدبس على ما يعمّ دبس العنب، ويختصّ خلّ العنب بخلّ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ما لا كيل فيه ولا وزن متفاضلاً جاز، ولو كان معدوداً كالثوب بالثوبين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وفي النسيئة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أنّ الخلاف مختصّ بالنسيئة، وليس كذلك، بل قد ذهب جماعة </w:t>
      </w:r>
      <w:r>
        <w:rPr>
          <w:rStyle w:val="FootnoteAnchor"/>
          <w:rtl w:val="true"/>
        </w:rPr>
        <w:footnoteReference w:id="290"/>
      </w:r>
      <w:r>
        <w:rPr>
          <w:rFonts w:ascii="Amiri" w:hAnsi="Amiri" w:eastAsia="Amiri" w:cs="Amiri"/>
          <w:color w:val="111111"/>
          <w:sz w:val="28"/>
          <w:sz w:val="28"/>
          <w:szCs w:val="28"/>
          <w:rtl w:val="true"/>
          <w:lang w:bidi="ar-SA"/>
        </w:rPr>
        <w:t>إلى ثبوته في المعدود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العدم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ربا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في الطين الموزون كالأرمني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إن استقرّت العادة على كيله أو وزنه وإلّا فلا، وكذا غيره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والاعتبار بعادة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ثبت أنّ أربعة كانت مكيلة في عهده صلی الله علیه و آله و سلم، وهي الحنطة والشعير والتمر والملح، فلا يباع بعضها ببعض إلّا كيلاً وإنْ اختلفت في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واستثني منه ما يتجافى من الملح في المكيال كالقِطَع الكبار، فيجوز بيعه وزناً كذلك، وهو حسن، وما عداها يرجع</w:t>
      </w:r>
    </w:p>
    <w:p>
      <w:pPr>
        <w:pStyle w:val="BookText"/>
        <w:rPr/>
      </w:pPr>
      <w:r>
        <w:rPr>
          <w:rFonts w:ascii="Amiri" w:hAnsi="Amiri" w:eastAsia="Amiri" w:cs="Amiri"/>
          <w:color w:val="111111"/>
          <w:sz w:val="28"/>
          <w:sz w:val="28"/>
          <w:szCs w:val="28"/>
          <w:rtl w:val="true"/>
          <w:lang w:bidi="ar-SA"/>
        </w:rPr>
        <w:t>فيه إلى عادة البلد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جهلت الحال فيه رجع إلى عادة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البلدان فيه كان لكلّ بلد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912" w:name="pg10178_83834"/>
    </w:p>
    <w:p>
      <w:pPr>
        <w:pStyle w:val="BookText"/>
        <w:rPr/>
      </w:pPr>
      <w:bookmarkEnd w:id="91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والمراعى في المساواة وقت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 لحماً نيّئاً بمقدّد متساوياً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من جملة أفراد 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تعديته إلى غيره ممّا يشاركه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الصحيحة </w:t>
      </w:r>
      <w:r>
        <w:rPr>
          <w:rStyle w:val="FootnoteAnchor"/>
          <w:rtl w:val="true"/>
        </w:rPr>
        <w:footnoteReference w:id="291"/>
      </w:r>
      <w:r>
        <w:rPr>
          <w:rFonts w:ascii="Amiri" w:hAnsi="Amiri" w:eastAsia="Amiri" w:cs="Amiri"/>
          <w:color w:val="111111"/>
          <w:sz w:val="28"/>
          <w:sz w:val="28"/>
          <w:szCs w:val="28"/>
          <w:rtl w:val="true"/>
          <w:lang w:bidi="ar-SA"/>
        </w:rPr>
        <w:t>ظاهرة في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بيع الرطب بالتمر تردّد، والأظهر اختصاصه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تعدّي الحكم إلى كلّ ما فيه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في حكم الجنس الواحد وأحدهما مكيل والآخر موزون، كالحنطة والدقيق، فبيع أحدهما بالآخر وزناً جائز، وفي الكيل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جوازه قوّة حيث يمكن ضبطه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العنب بالزبيب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المنع أقوى</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2019006_1067777946"/>
      <w:bookmarkStart w:id="914" w:name="_Toc341"/>
      <w:bookmarkEnd w:id="913"/>
      <w:r>
        <w:rPr>
          <w:rtl w:val="true"/>
        </w:rPr>
        <w:t>[</w:t>
      </w:r>
      <w:r>
        <w:rPr>
          <w:rtl w:val="true"/>
        </w:rPr>
        <w:t>تتمّة فيها مسائل</w:t>
      </w:r>
      <w:r>
        <w:rPr>
          <w:rtl w:val="true"/>
        </w:rPr>
        <w:t>:]</w:t>
      </w:r>
      <w:bookmarkEnd w:id="9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اختصاص الحكم بالولد النسبي بالنسبة إلى الأب، فلا يتعدّى الحكم إلى الأُمّ، ولا إلى الجدّ، ولا إلى ولد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الزوجة بين الدائمة والمنقطعة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بين المسلم وأهل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أخذ المسلم الفضل، وإلّا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بين المسلم والذمّي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لحم حيوان بحيوان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إلّا أنْ يكون الحيوان مذبوحاً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يتخلّص من الربا بأنْ يبيع أحد المتبايعين سلعته من صاحبه بجنس </w:t>
      </w:r>
      <w:bookmarkStart w:id="915" w:name="pg10178_83835"/>
    </w:p>
    <w:p>
      <w:pPr>
        <w:pStyle w:val="BookText"/>
        <w:rPr/>
      </w:pPr>
      <w:bookmarkEnd w:id="915"/>
      <w:r>
        <w:rPr>
          <w:rFonts w:ascii="Amiri" w:hAnsi="Amiri" w:eastAsia="Amiri" w:cs="Amiri"/>
          <w:color w:val="111111"/>
          <w:sz w:val="28"/>
          <w:sz w:val="28"/>
          <w:szCs w:val="28"/>
          <w:rtl w:val="true"/>
          <w:lang w:bidi="ar-SA"/>
        </w:rPr>
        <w:t>غيرها، ثمّ يشتري الأُخرى بالثمن، ويسقط اعتبار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يقدح في ذلك كون هذه الأُمور غير مقصودة بالذات؛ لأنّ قصد الربا إنّما يتمّ مع القصد إلى بيع صحيح، أو قرض، أو غيرهما من الأنواع المذكورة، وذلك كافٍ في القصد؛ إذ لا يشترط قصد جميع الغايات المترتّبة على العقد، بل يكفي قصد غاية صحيحة منها، وهو هنا كذلك</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019008_1067777946"/>
      <w:bookmarkStart w:id="917" w:name="_Toc342"/>
      <w:bookmarkEnd w:id="916"/>
      <w:r>
        <w:rPr>
          <w:rtl w:val="true"/>
        </w:rPr>
        <w:t>[</w:t>
      </w:r>
      <w:r>
        <w:rPr>
          <w:rtl w:val="true"/>
        </w:rPr>
        <w:t>بيع الصرف</w:t>
      </w:r>
      <w:r>
        <w:rPr>
          <w:rtl w:val="true"/>
        </w:rPr>
        <w:t>]</w:t>
      </w:r>
      <w:bookmarkEnd w:id="9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ويشترط في صحّة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الربويّات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افترقا قبل التقابض بطل الصرف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أحكامها على الربويّات باعتبار مجموع أفرادها لاجميعها، فإنّ من جملتها بيع الذهب بالفضّة، ولا يتعلّق به ربا، بل حكم الصرف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بين الربا والصرف عموماً وخصوصاً من وجه يجتمعان في بيع أحد النقدين بجنسه، ويختصّ الربا بغير الأثمان، ويختصّ الصرف ببيع أحد الأثمان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الاجتماع، كما في خيار المجلس، حتّی لو فارقا مجلس العقد مصطحبين لم يبطل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التقابض قبل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الصدوق حيث لم يعتبر المجلس </w:t>
      </w:r>
      <w:r>
        <w:rPr>
          <w:rStyle w:val="FootnoteAnchor"/>
          <w:rtl w:val="true"/>
        </w:rPr>
        <w:footnoteReference w:id="292"/>
      </w:r>
      <w:r>
        <w:rPr>
          <w:rFonts w:ascii="IRNazanin" w:hAnsi="IRNazanin" w:eastAsia="IRNazanin"/>
          <w:color w:val="111111"/>
          <w:sz w:val="28"/>
          <w:sz w:val="28"/>
          <w:szCs w:val="28"/>
          <w:rtl w:val="true"/>
          <w:lang w:bidi="fa-IR"/>
        </w:rPr>
        <w:t>، والأصحاب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قبض البعض صحّ فيما قبض حسب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ويتخيّر كلّ منهما في فسخ الباقي وإمضائه؛ لتبعّض الصفقة، إنْ لم يكن حصل منهما تفريط في تأخير القبض،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 أحدهما بعدم التفريط اختصّ بالخيار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عليه دراهم فاشترى بها دنانير صحّ وإنْ لم يتقابضا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جواز تولّي طرفي القبض، وأنّ ما في الذمّة مقبوض، وأنّ بيع ما في الذمّة للغير من الدين الحالّ بثمن في ذمّته ليس بيع دَين بدين، وأنّ التوكيل في البيع إذا توقّفت صحّته على القبض يكون وكيلاً فيه، وإلّا فإنّ مطلق التوكيل في البيع 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هذه المقدّمات صحّت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في الفضّة غشّ مجهول لم تبع إلّا بالذهب، أو بجنس غير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الغالب من أنّ المغشوش لا يباع بوزنه خالصاً؛ لأنّ البيع مبنيّ على المغالبة، فلا يدفع المشتري بوزن المغشوش صافياً، وإلّا فلو فرض وقوعه صحّ، بل متى علم زيادة الخالص على مجانسه المغشوش صحّ وإنْ لم يبلغ قدر المجموع من النقد والغشّ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جاز بيعه بمثل جنسه، مع زيادة تقابل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جهل مع العلم بالزيادة، كما لو علم أنّه لا يبلغ النصف مع جهله بقدره، فباعه بوزن نصفه،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تقابل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الزيادة على النقد تصلح عوضاً في مقابلة الغشّ بحيث تتموّل، وإنْ لم تقابله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يباع تراب معدن الفضّة بالفضّة احتياطاً، ويباع بالذهب وكذا تراب معدن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جمعا في 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بيعهما بالذهب والفضّة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بأحدهما مع زيادة الثمن على مجانسه، وبغيرهما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إخراج الدراهم المغشوشة مع جهالة الغشّ إذا كانت معلومة الصرف بين الناس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بكونها معلومة الصرف كونها متداولة بين الناس مع علمهم بحالها، فإنّه يجوز إخراجها وإنْ لم يعلم بقدر ما فيها من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مجهولة الصرف بينهم، بحيث لو علموا بحالها ما قبلوها وجب إبانة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أخرجها بدونه جاز للجاهل بحالها ردّها عليه، فإنْ استمرّ الجهل بقي في ذمّته قدر النقصان</w:t>
      </w:r>
      <w:r>
        <w:rPr>
          <w:rFonts w:eastAsia="Amiri" w:cs="Amiri" w:ascii="Amiri" w:hAnsi="Amiri"/>
          <w:color w:val="111111"/>
          <w:sz w:val="28"/>
          <w:szCs w:val="28"/>
          <w:rtl w:val="true"/>
          <w:lang w:bidi="ar-SA"/>
        </w:rPr>
        <w:t xml:space="preserve">. </w:t>
      </w:r>
      <w:bookmarkStart w:id="918" w:name="pg10178_83837"/>
    </w:p>
    <w:p>
      <w:pPr>
        <w:pStyle w:val="Heading4"/>
        <w:numPr>
          <w:ilvl w:val="3"/>
          <w:numId w:val="1"/>
        </w:numPr>
        <w:rPr/>
      </w:pPr>
      <w:bookmarkStart w:id="919" w:name="__RefHeading___Toc2019010_1067777946"/>
      <w:bookmarkStart w:id="920" w:name="_Toc343"/>
      <w:bookmarkEnd w:id="918"/>
      <w:bookmarkEnd w:id="919"/>
      <w:r>
        <w:rPr>
          <w:rtl w:val="true"/>
        </w:rPr>
        <w:t>[</w:t>
      </w:r>
      <w:r>
        <w:rPr>
          <w:rtl w:val="true"/>
        </w:rPr>
        <w:t>مسائل عشر</w:t>
      </w:r>
      <w:r>
        <w:rPr>
          <w:rtl w:val="true"/>
        </w:rPr>
        <w:t>:]</w:t>
      </w:r>
      <w:bookmarkEnd w:id="9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يخرج بالعيب من الجنسيّة كان مخيّراً بين الردّ والإمساك بالثمن من غير أرش، وله المطالبة بالبدل قبل التفرّق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بعد التفرّق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الإبدال يقتضي عدم الرضى بالمقبوض قبل التفرّق، والثابت في الذمّة قد وجد في ضمن البدل الحاصل بعد التفرّق، فيؤدّي إلى فساد الصرف فلا يصحّ البدل من تحقّق التقابض في العوضين قبل التفرّق؛ لأنّ المقبوض وإنْ كان معيباً فقد كان محسوباً عوضاً؛ لأنّ العيب من الجنس فلا يخرج عن حقيقة العوض المعيّن، غايته كونه بالعيب الجنسي مفوّتاً لبعض الأوصاف، واستدراكه ممكن بالخيار، ومن ثَمّ لو رضي به استقرّ ملكه عليه، ونماؤه له على التقديرين، فإذا فسخ رجع الحقّ إلى الذمّة، فيتعيّن حينئذٍ عوضاً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هل يجب قبض البدل في مجلس الردّ؟ قولان، أجودهما العدم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جواز ابتیاع درهم بدرهم، مع اشتراط صياغة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يتعدّى الحكم؟ الأشبه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الرواية رواها أبو الصباح الكناني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يقول للصائغ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لي هذا الخاتم وأُبدّل لك درهماً طازجيّاً بدرهم غلّة،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والطازج الخالص </w:t>
      </w:r>
      <w:r>
        <w:rPr>
          <w:rStyle w:val="FootnoteAnchor"/>
          <w:rtl w:val="true"/>
        </w:rPr>
        <w:footnoteReference w:id="295"/>
      </w:r>
      <w:r>
        <w:rPr>
          <w:rFonts w:ascii="Amiri" w:hAnsi="Amiri" w:eastAsia="Amiri" w:cs="Amiri"/>
          <w:color w:val="111111"/>
          <w:sz w:val="28"/>
          <w:sz w:val="28"/>
          <w:szCs w:val="28"/>
          <w:rtl w:val="true"/>
          <w:lang w:bidi="ar-SA"/>
        </w:rPr>
        <w:t>، والغلّة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وهو المغشوش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فالرواية لا تنافي الأُصول المقرّرة؛ لأنّ الصياغة مع الغلّة في مقابلة الخالص، فلا تتحقّق الزيادة، وحينئذٍ </w:t>
      </w:r>
    </w:p>
    <w:p>
      <w:pPr>
        <w:pStyle w:val="BookText"/>
        <w:rPr/>
      </w:pPr>
      <w:r>
        <w:rPr>
          <w:rFonts w:ascii="Amiri" w:hAnsi="Amiri" w:eastAsia="Amiri" w:cs="Amiri"/>
          <w:color w:val="111111"/>
          <w:sz w:val="28"/>
          <w:sz w:val="28"/>
          <w:szCs w:val="28"/>
          <w:rtl w:val="true"/>
          <w:lang w:bidi="ar-SA"/>
        </w:rPr>
        <w:t>فيصحّ ويتعدّى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يقع الإشكال على إطلاق الحكم، كما ذكره المصنِّف وغيره </w:t>
      </w:r>
      <w:r>
        <w:rPr>
          <w:rStyle w:val="FootnoteAnchor"/>
          <w:rtl w:val="true"/>
        </w:rPr>
        <w:footnoteReference w:id="297"/>
      </w:r>
      <w:r>
        <w:rPr>
          <w:rFonts w:ascii="Amiri" w:hAnsi="Amiri" w:eastAsia="Amiri" w:cs="Amiri"/>
          <w:color w:val="111111"/>
          <w:sz w:val="28"/>
          <w:sz w:val="28"/>
          <w:szCs w:val="28"/>
          <w:rtl w:val="true"/>
          <w:lang w:bidi="ar-SA"/>
        </w:rPr>
        <w:t>، والرواية ليست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المصوغة من الذهب والفضّة إنْ كان كلّ واحد منهما معلوماً جاز بيعه بجنسه من غير زيادة، وبغير الجنس وإنْ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وأمكن تخليصهما لم تبع بالذهب ولا بالفضّة، وبيعت بهما أو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أنّ المجتمع من جنسين يجوز بيعه بغيرهما مطلقاً، وبهما معاً، سواء علم قدر كلّ واحد من المجتمع أم لا إذا عرف قدر الجملة، وسواء أمكن تخليصهما أم لا، وبكلّ واحدٍ منهما إذا علم زيادته عن جنسه بحيث يصلح ثمناً للآخر وإنْ قلّ، سواء أمكن التخليص أم لا، وسواء علم قدر كلّ واحد منهما أم لا، وما ذكره المصنِّف من التفصيل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وتبعه عليه جماعة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محتاج إلى التنقيح في جميع أقسامه، والمحصّل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 ولم يمكن نزعها إلّا مع الضرر بيعت بغير جنس 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بيعت بجنس الحلية،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معها شيء من المتاع وتباع بزيادة عمّا فيها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Style w:val="FootnoteAnchor"/>
          <w:rtl w:val="true"/>
        </w:rPr>
        <w:footnoteReference w:id="300"/>
      </w:r>
      <w:r>
        <w:rPr>
          <w:rFonts w:ascii="Amiri" w:hAnsi="Amiri" w:eastAsia="Amiri" w:cs="Amiri"/>
          <w:color w:val="111111"/>
          <w:sz w:val="28"/>
          <w:sz w:val="28"/>
          <w:szCs w:val="28"/>
          <w:rtl w:val="true"/>
          <w:lang w:bidi="ar-SA"/>
        </w:rPr>
        <w:t>فإنّه ذكر ذلك، وجعل الضمير مؤنّثاً كما هنا، وظاهره أنّ الضميمة تكون مع الحلية، وحينئذٍ يظهر ضعف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ذكره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ضميمة شيء إليها توجب زيادة الضرر؛ حيث يحتاج إلى مقابلة الثمن بها مع الباقي، وإنّما المحتاج إلى الضميمة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تبع في ذلك رواية </w:t>
      </w:r>
      <w:r>
        <w:rPr>
          <w:rStyle w:val="FootnoteAnchor"/>
          <w:rtl w:val="true"/>
        </w:rPr>
        <w:footnoteReference w:id="301"/>
      </w:r>
      <w:r>
        <w:rPr>
          <w:rFonts w:ascii="Amiri" w:hAnsi="Amiri" w:eastAsia="Amiri" w:cs="Amiri"/>
          <w:color w:val="111111"/>
          <w:sz w:val="28"/>
          <w:sz w:val="28"/>
          <w:szCs w:val="28"/>
          <w:rtl w:val="true"/>
          <w:lang w:bidi="ar-SA"/>
        </w:rPr>
        <w:t xml:space="preserve">وردت كذلك ونسبت إلى وهم الراوي، وأنّ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واعتذر 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أراد أنّ بيعها منفردةً لا يجوز، فيضمّ إليها المحلّى </w:t>
      </w:r>
    </w:p>
    <w:p>
      <w:pPr>
        <w:pStyle w:val="BookText"/>
        <w:rPr/>
      </w:pPr>
      <w:r>
        <w:rPr>
          <w:rFonts w:ascii="Amiri" w:hAnsi="Amiri" w:eastAsia="Amiri" w:cs="Amiri"/>
          <w:color w:val="111111"/>
          <w:sz w:val="28"/>
          <w:sz w:val="28"/>
          <w:szCs w:val="28"/>
          <w:rtl w:val="true"/>
          <w:lang w:bidi="ar-SA"/>
        </w:rPr>
        <w:t xml:space="preserve">أو شيئاً آخر، أو يضمّ إليها وإلى المحلّى؛ تكثيراً للثمن من الجنس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مستغنى عنه، فإنّ بيعها 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بالجنس يمكن مع العلم بزيادة الثمن عليها، سواء ضممنا إليها شيئاً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عود الضمير إلى الثمن ولو بضرب من التجوّز، فإنّه المحتاج إلى الضميمة إذا لم يعلم زيادته عن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تقدير إرادة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بتأويل الأثمان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يلتئم مع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وتباع بزيادة عمّا فيها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الضميمة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المحلّى منضمّ إلى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يستغنى عن زيادة الثمن؛ لانصراف كلّ جزء من العوض إلى 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ثوباً بعشرين درهماً، من صرف العشرين بالدينار، لم يصحّ؛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تعليله المنع بالجهالة يقتضي إثباتها وإنْ وجد في المعاملة منها نوع صرفه ذلك وعلم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ولايتمّ على إطلاقه؛ لأنّ المانع إنّما هو مجهوليّة الدراهم، وهي على هذا التقدير معلومة، والإطلاق منزّل على نقد البلد، أو الغالب إن تعدّد، فمتى كان النقد معيّناً لذلك الصرف أو الغالب، أو عيّن نوعاً لذلك صحّ،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مائة درهم بدينار إلّا درهماً لم يصحّ؛ للجهالة وكذا لو كان ذلك ثمناً لما لا ربا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قيمة الدرهم من الدينار جاز؛ لارتفاع الجهالة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أطلق الشيخ </w:t>
      </w:r>
      <w:r>
        <w:rPr>
          <w:rStyle w:val="FootnoteAnchor"/>
          <w:rtl w:val="true"/>
        </w:rPr>
        <w:footnoteReference w:id="303"/>
      </w:r>
      <w:r>
        <w:rPr>
          <w:rFonts w:ascii="Amiri" w:hAnsi="Amiri" w:eastAsia="Amiri" w:cs="Amiri"/>
          <w:color w:val="111111"/>
          <w:sz w:val="28"/>
          <w:sz w:val="28"/>
          <w:szCs w:val="28"/>
          <w:rtl w:val="true"/>
          <w:lang w:bidi="ar-SA"/>
        </w:rPr>
        <w:t xml:space="preserve">وجماعة </w:t>
      </w:r>
      <w:r>
        <w:rPr>
          <w:rStyle w:val="FootnoteAnchor"/>
          <w:rtl w:val="true"/>
        </w:rPr>
        <w:footnoteReference w:id="304"/>
      </w:r>
      <w:r>
        <w:rPr>
          <w:rFonts w:ascii="Amiri" w:hAnsi="Amiri" w:eastAsia="Amiri" w:cs="Amiri"/>
          <w:color w:val="111111"/>
          <w:sz w:val="28"/>
          <w:sz w:val="28"/>
          <w:szCs w:val="28"/>
          <w:rtl w:val="true"/>
          <w:lang w:bidi="ar-SA"/>
        </w:rPr>
        <w:t>، ويجب تقييده بجهالة نسبة الدرهم من الدينار، بأنْ جعله ممّا يتجدّد من النقد حالّاً ومؤجّلاً، أو من الحاضر مع عدم علمهما بالنسبة، فلو علماها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القيد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للجهالة،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قدّر قيمة الدرهم من الدينار جاز؛ لارتفاع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بالتقدير العلم بالنسبة وإنْ </w:t>
      </w:r>
      <w:bookmarkStart w:id="921" w:name="pg10178_83840"/>
    </w:p>
    <w:p>
      <w:pPr>
        <w:pStyle w:val="BookText"/>
        <w:rPr/>
      </w:pPr>
      <w:bookmarkEnd w:id="921"/>
      <w:r>
        <w:rPr>
          <w:rFonts w:ascii="Amiri" w:hAnsi="Amiri" w:eastAsia="Amiri" w:cs="Amiri"/>
          <w:color w:val="111111"/>
          <w:sz w:val="28"/>
          <w:sz w:val="28"/>
          <w:szCs w:val="28"/>
          <w:rtl w:val="true"/>
          <w:lang w:bidi="ar-SA"/>
        </w:rPr>
        <w:t>لم يصرّح بها، فإنّه مناط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خمسة دراهم بنصف دينار،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شقّ دينار، ولا يلزم المشتري صحيح، إلّا أنْ يريد بذلك نصف المثقال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لأنّه حقيقة فيه لغة، إلّا أنْ يدلّ العرف على غيره فيحمل عليه،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يريد بذلك نصف المثقال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نصفه صحيحاً، وإنْ كان اللفظ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نصف الدرهم وغيره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وتراب الصياغة يباع بالذهب والفضّة معاً، أو بعرض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وجب بيعه بهما؛ حذراً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علم زيادة الثمن عن جنسه صحّ بيعه بأحدهما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الدراهم والدنانير من الأمتعة والعقار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يتصدّق به؛ لأنّ أربابه لا يتميّزون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ذلك، فلو تميّزوا بأنْ كانوا منحصرين ردّه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بعضهم معلوماً فلابدّ من محاللته ولو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فيجب التخلّص من كلّ غريم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يتحقّق عند الفراغ من عمل كلّ واحد، فلو أخّر حتّى صار مجهولاً أثم بالتأخير، ولزمه ما ذكر من الحكم</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2019012_1067777946"/>
      <w:bookmarkStart w:id="923" w:name="_Toc344"/>
      <w:bookmarkEnd w:id="922"/>
      <w:r>
        <w:rPr>
          <w:rtl w:val="true"/>
        </w:rPr>
        <w:t>[</w:t>
      </w:r>
      <w:r>
        <w:rPr>
          <w:rtl w:val="true"/>
        </w:rPr>
        <w:t>الفصل الثامن في بيع الثمار</w:t>
      </w:r>
      <w:r>
        <w:rPr>
          <w:rtl w:val="true"/>
        </w:rPr>
        <w:t>]</w:t>
      </w:r>
      <w:bookmarkEnd w:id="923"/>
    </w:p>
    <w:p>
      <w:pPr>
        <w:pStyle w:val="Heading4"/>
        <w:numPr>
          <w:ilvl w:val="3"/>
          <w:numId w:val="1"/>
        </w:numPr>
        <w:rPr/>
      </w:pPr>
      <w:bookmarkStart w:id="924" w:name="__RefHeading___Toc2019014_1067777946"/>
      <w:bookmarkStart w:id="925" w:name="_Toc345"/>
      <w:bookmarkEnd w:id="924"/>
      <w:r>
        <w:rPr>
          <w:rtl w:val="true"/>
        </w:rPr>
        <w:t>[</w:t>
      </w:r>
      <w:r>
        <w:rPr>
          <w:rtl w:val="true"/>
        </w:rPr>
        <w:t>النخل</w:t>
      </w:r>
      <w:r>
        <w:rPr>
          <w:rtl w:val="true"/>
        </w:rPr>
        <w:t>]</w:t>
      </w:r>
      <w:bookmarkEnd w:id="9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النخل فلايجوز بيع ثمرته قبل ظهورها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بيعها كذلك عامين فصاعداً تردّد، والمرويّ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بيعها قبل بدوّ صلاحها عاماً إلّا أنْ يضمّ إليها ما يجوز بيعه، أو بشرط القطع، أو عامين فصاعداً ولو بيعت عاماً من دون الشروط الثلاثة</w:t>
      </w:r>
      <w:r>
        <w:rPr>
          <w:rFonts w:eastAsia="Amiri" w:cs="Amiri" w:ascii="Amiri" w:hAnsi="Amiri"/>
          <w:color w:val="111111"/>
          <w:sz w:val="28"/>
          <w:szCs w:val="28"/>
          <w:rtl w:val="true"/>
          <w:lang w:bidi="ar-SA"/>
        </w:rPr>
        <w:t xml:space="preserve">». </w:t>
      </w:r>
      <w:bookmarkStart w:id="926" w:name="pg10178_83841"/>
    </w:p>
    <w:p>
      <w:pPr>
        <w:pStyle w:val="BookText"/>
        <w:rPr/>
      </w:pPr>
      <w:bookmarkEnd w:id="926"/>
      <w:r>
        <w:rPr>
          <w:rFonts w:ascii="Amiri" w:hAnsi="Amiri" w:eastAsia="Amiri" w:cs="Amiri"/>
          <w:color w:val="111111"/>
          <w:sz w:val="28"/>
          <w:sz w:val="28"/>
          <w:szCs w:val="28"/>
          <w:rtl w:val="true"/>
          <w:lang w:bidi="ar-SA"/>
        </w:rPr>
        <w:t>في عبارة المصنِّف تسامح، فإنّه جعل متعلّق المنع بيعها عاماً، واستثنى منه الثلاثة التي منها بيعها عامين فصاعداً، وفساده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المنع عامّاً في غير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بيعت عاماً من دون الشروط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واللازم ترك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بيعت عاماً من دون الشروط الثلاثة،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يراعي السلامة،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بیعت مع أُصولها جاز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بدا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 القطع، أو ضمّ إليها شيئاً، أم بالعكوس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راجع إلى الضميمة، كما مرّ، فليس في إفراده 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أدركت ثمرة بستان لم يجز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الآخر، ولو ضمّ إليه،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الصحّة؛ لتحقّق الضميمة المسوّغة للبيع على القول بالمنع</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2019016_1067777946"/>
      <w:bookmarkStart w:id="928" w:name="_Toc346"/>
      <w:bookmarkEnd w:id="927"/>
      <w:r>
        <w:rPr>
          <w:rtl w:val="true"/>
        </w:rPr>
        <w:t>[</w:t>
      </w:r>
      <w:r>
        <w:rPr>
          <w:rtl w:val="true"/>
        </w:rPr>
        <w:t>الأشجار</w:t>
      </w:r>
      <w:r>
        <w:rPr>
          <w:rtl w:val="true"/>
        </w:rPr>
        <w:t>]</w:t>
      </w:r>
      <w:bookmarkEnd w:id="9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الأشجار فلا يجوز بيعها حتّى يبدو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ينعقد الحبّ، ولا يشترط زيادة عن ذلك،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عنى بالزيادة المنفيّة 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305"/>
      </w:r>
      <w:r>
        <w:rPr>
          <w:rFonts w:ascii="Amiri" w:hAnsi="Amiri" w:eastAsia="Amiri" w:cs="Amiri"/>
          <w:color w:val="111111"/>
          <w:sz w:val="28"/>
          <w:sz w:val="28"/>
          <w:szCs w:val="28"/>
          <w:rtl w:val="true"/>
          <w:lang w:bidi="ar-SA"/>
        </w:rPr>
        <w:t xml:space="preserve">وجماعة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حدّه مع انعقاد الحبّ تناثر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التلَوُّن فيما يتَلوَّن، وصفاء اللون والتموّه، وهو أن ينمُوَ فيه الماء الحلوُ فيما يتلوَّن، وفيما لا يتلوَّن ولا يتغيّر طعمه بل يؤكل صغيراً وكبيراً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تناهى عِظَمَ بعضه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929" w:name="pg10178_83842"/>
    </w:p>
    <w:p>
      <w:pPr>
        <w:pStyle w:val="BookText"/>
        <w:rPr/>
      </w:pPr>
      <w:bookmarkEnd w:id="929"/>
      <w:r>
        <w:rPr>
          <w:rFonts w:ascii="Amiri" w:hAnsi="Amiri" w:eastAsia="Amiri" w:cs="Amiri"/>
          <w:color w:val="111111"/>
          <w:sz w:val="28"/>
          <w:sz w:val="28"/>
          <w:szCs w:val="28"/>
          <w:rtl w:val="true"/>
          <w:lang w:bidi="ar-SA"/>
        </w:rPr>
        <w:t>وعلى ما اختاره المصنِّف من تفسيره يتّحد وقت الظهور المجوّز للبيع عندنا وبدوّ الصلاح المجوّز عند الباقين، وإنّما تظهر الفائدة على تقدير أحد القولين المنفيّين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بيعها سنتين فصاعداً قبل ظهورها؟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والأولى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هنا كما تقدّم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ضمّ إليها شيئاً قبل 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كون المشبّه به الحكم بأولويّة المنع، فيكون ميلاً إلى الجواز، لكن لم يذكره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يريد ثبوت أصل الخلاف فيه من غير تعرّض للفتوى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فالأجود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لو كانت الضميمة غير مقصودة بالبيع استقلالاً، فلو كانت الثمرة تابعة لها صحّ، كغيرها</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2019018_1067777946"/>
      <w:bookmarkStart w:id="931" w:name="_Toc347"/>
      <w:bookmarkEnd w:id="930"/>
      <w:r>
        <w:rPr>
          <w:rtl w:val="true"/>
        </w:rPr>
        <w:t>[</w:t>
      </w:r>
      <w:r>
        <w:rPr>
          <w:rtl w:val="true"/>
        </w:rPr>
        <w:t>الخُضَر</w:t>
      </w:r>
      <w:r>
        <w:rPr>
          <w:rtl w:val="true"/>
        </w:rPr>
        <w:t>]</w:t>
      </w:r>
      <w:bookmarkEnd w:id="9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الخضر فلا يجوز بيعها قبل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بعد انعقادها لقطةً واحدةً ولقطات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وجود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فيها وفيما يقطع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يقطع فيستخلف كالرطبة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يخرط كالحناء والتوت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بالتائين المثنّاتين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التوث بالثاء المثلّثة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2019020_1067777946"/>
      <w:bookmarkStart w:id="933" w:name="_Toc348"/>
      <w:bookmarkEnd w:id="932"/>
      <w:r>
        <w:rPr>
          <w:rtl w:val="true"/>
        </w:rPr>
        <w:t>[</w:t>
      </w:r>
      <w:r>
        <w:rPr>
          <w:rtl w:val="true"/>
        </w:rPr>
        <w:t>مسائل</w:t>
      </w:r>
      <w:r>
        <w:rPr>
          <w:rtl w:val="true"/>
        </w:rPr>
        <w:t>:]</w:t>
      </w:r>
      <w:bookmarkEnd w:id="9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يستثنى ثمرة شجرات أو نخلات بعينها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النخلات بعد الشجرات من باب عطف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استثناء </w:t>
      </w:r>
    </w:p>
    <w:p>
      <w:pPr>
        <w:pStyle w:val="BookText"/>
        <w:rPr/>
      </w:pPr>
      <w:r>
        <w:rPr>
          <w:rFonts w:ascii="Amiri" w:hAnsi="Amiri" w:eastAsia="Amiri" w:cs="Amiri"/>
          <w:color w:val="111111"/>
          <w:sz w:val="28"/>
          <w:sz w:val="28"/>
          <w:szCs w:val="28"/>
          <w:rtl w:val="true"/>
          <w:lang w:bidi="ar-SA"/>
        </w:rPr>
        <w:t>جزء معيّن من الشجرة الواحدة، كعذق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خاست الثمرة سقط من الثنيا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الحصّة المشاعة والأرطال، دون الشجرات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توزيع النقص على الحصّة المشاعة ظاهر، وأمّا في الأرطال المعلومة فتعتبر الجملة بالتخمين، فإذا فرض ذهاب نصف الثمرة أو ثلثها على ذلك التقدير سقط من الثنيا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 بدا صلاحه، فأُصيب قبل قبضه، كان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وكذالو أتلفه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تخيّر المشتري بين الفسخ وإلزام البائع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للبائع خيار، وإلّا كان إتلافه فيه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 يرجع على البائع بشيء على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خلاف بعض الأصحاب </w:t>
      </w:r>
      <w:r>
        <w:rPr>
          <w:rStyle w:val="FootnoteAnchor"/>
          <w:rtl w:val="true"/>
        </w:rPr>
        <w:footnoteReference w:id="309"/>
      </w:r>
      <w:r>
        <w:rPr>
          <w:rFonts w:ascii="Amiri" w:hAnsi="Amiri" w:eastAsia="Amiri" w:cs="Amiri"/>
          <w:color w:val="111111"/>
          <w:sz w:val="28"/>
          <w:sz w:val="28"/>
          <w:szCs w:val="28"/>
          <w:rtl w:val="true"/>
          <w:lang w:bidi="ar-SA"/>
        </w:rPr>
        <w:t>حيث ذهب إلى أنّ الثمرة على الشجرة مضمونة على البائع وإنْ أقبضها بالتخلية؛ نظراً إلى أنّ بيعها بعد بلوغ صلاحها بغير كيل ولا وزن على خلاف الأصل، فيراعى فيه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فالجار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تنبيهاً على ما اختاره من كيفيّة القبض، وهو التخلية، فقد تقدّم فيه الخلاف، ومختار المصنِّف أنّه التخلية مطلقاً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الثمرة في أُصولها بالأثمان والعروض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بثمر منها وهي المزابنة،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بيع الثمرة في النخل بتمر،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المزابنة مفاعلة من الزبن، وهو الدفع، ومنه الزبانية؛ لأنّهم يدفعون الناس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مبنيّة على التخمين، والغبن فيها يكثر، وكلّ منهما يريد دفعه عن نفسه إلى الآخر فيتدافعان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من معناها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ذلك في غير ثمرة النخل من شجر الفواكه؟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يؤمن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يجوز بيع السنبل بحبّ منه إجماعاً، وهو المحاقلة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مفاعلة من الحقل وهي الساحة التي تزرع سمّيت بذلك لتعلّقها بزرع في حقل وأطلق اسم الحقل على الزرع مجازاً من إطلاق اسم المحلّ على الحالّ أو المجاور على مجاوره فكأنّه باع حقلاً بحقل وما اختاره المصنّف من تعريفها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العرايا بخرصها تمراً، والعريّة هي النخلة تكون في دار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بستانه،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العرايا جمع عريّة، وهي ما ذكره المصنِّف متّفقاً عليه، ومنقولاً عن أهل اللغة؛ لأنّه يرجع إليهم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بيعها بخرصها من ثمرها؟ الأظهر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أنْ يماثل في الخرص بين ثمرتها عند الجفاف وثمنها؛ عملاً بظاهر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لايجب مطابقة ثمرتها جافّة لثمنها، بل المعتبر في الجواز بيعها بما يقتضيه ظنّ الخارص لها تمراً بقدره، بمعنى أنّها تقدّر كم تبلغ تمراً إذا جفّت، فيباع ثمرها بهذا المقدار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لايجب مطابقة هذا التقدير للثمن عند الجفاف، فلو زادت أو نقصت عنه لم يقدح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المطابقة، فلو اختلفا تبيّن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من التمر أو الغلّة بهذه الصبرة، من جنسها سواء بسواء </w:t>
      </w:r>
    </w:p>
    <w:p>
      <w:pPr>
        <w:pStyle w:val="BookText"/>
        <w:rPr/>
      </w:pPr>
      <w:r>
        <w:rPr>
          <w:rFonts w:ascii="Amiri" w:hAnsi="Amiri" w:eastAsia="Amiri" w:cs="Amiri"/>
          <w:color w:val="111111"/>
          <w:sz w:val="28"/>
          <w:sz w:val="28"/>
          <w:szCs w:val="28"/>
          <w:rtl w:val="true"/>
          <w:lang w:bidi="ar-SA"/>
        </w:rPr>
        <w:t>لم يصحّ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أنّه لا يصحّ على تقدير الجهالة وقت الابتياع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الزرع قصيلاً، فإنْ لم يقطعه فللبائع قطعه لو تركه، وله المطالبة بأُجرة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يجوز للبائع قطعه بإذن المشتري إنْ أمكن، وإلّا رفع أمره إلى الحاكم، فإنْ تعذّر جاز له حينئذٍ مباشرة القطع؛ دفعاً للضرر المنفيّ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استحقاقه الأُجرة عن الزمان الذي تأخّر فيه القطع عن وقته بين مطالبته بالقطع وعدمه، ولا بين رضاه ببقائه وعدمه، وكذا له الأرش عن نقص الأرض إنْ نقصت بسببه، إذا كان التأخير بغیر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اثنين نخل أو شجر، فتقبّل أحدهما بحصّة صاحبه بشيء معلوم،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القبالة معاوضة مخصوصة مستثناة من المزابنة والمحاقلة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أنّ الصيغة تكون بلفظ القبالة، وأنّ لها حكماً خاصّاً زائداً على البيع والصلح؛ لكون الثمن والمثمن واحداً، وعدم ثبوت الربا لو زاد أو نقص، ووقوعه بلفظ التقبيل، وهو خارج عن صيغتي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نوع من الصلح وأنّ قراره مشروط بالسلامة </w:t>
      </w:r>
      <w:r>
        <w:rPr>
          <w:rStyle w:val="FootnoteAnchor"/>
          <w:rtl w:val="true"/>
        </w:rPr>
        <w:footnoteReference w:id="310"/>
      </w:r>
      <w:r>
        <w:rPr>
          <w:rFonts w:ascii="Amiri" w:hAnsi="Amiri" w:eastAsia="Amiri" w:cs="Amiri"/>
          <w:color w:val="111111"/>
          <w:sz w:val="28"/>
          <w:sz w:val="28"/>
          <w:szCs w:val="28"/>
          <w:rtl w:val="true"/>
          <w:lang w:bidi="ar-SA"/>
        </w:rPr>
        <w:t>حتّى لو هلكت الثمرة بأجمعها فلا شيء على المتقبّل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اقتصر على أصل الجواز؛ إذ لا دلالة في الرواية </w:t>
      </w:r>
      <w:r>
        <w:rPr>
          <w:rStyle w:val="FootnoteAnchor"/>
          <w:rtl w:val="true"/>
        </w:rPr>
        <w:footnoteReference w:id="311"/>
      </w:r>
      <w:r>
        <w:rPr>
          <w:rFonts w:ascii="Amiri" w:hAnsi="Amiri" w:eastAsia="Amiri" w:cs="Amiri"/>
          <w:color w:val="111111"/>
          <w:sz w:val="28"/>
          <w:sz w:val="28"/>
          <w:szCs w:val="28"/>
          <w:rtl w:val="true"/>
          <w:lang w:bidi="ar-SA"/>
        </w:rPr>
        <w:t>على أزيد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الإنسان بشيء من النخل، أو شجر الفواكه، أو الزرع اتّفاقاً، جاز أنْ يأكل من غير إفساد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 المنع مطلقاً</w:t>
      </w:r>
      <w:r>
        <w:rPr>
          <w:rFonts w:eastAsia="IRNazanin" w:cs="IRNazanin"/>
          <w:color w:val="111111"/>
          <w:sz w:val="28"/>
          <w:szCs w:val="28"/>
          <w:rtl w:val="true"/>
          <w:lang w:bidi="fa-IR"/>
        </w:rPr>
        <w:t xml:space="preserve">. </w:t>
      </w:r>
      <w:bookmarkStart w:id="934" w:name="pg10178_83846"/>
    </w:p>
    <w:p>
      <w:pPr>
        <w:pStyle w:val="Heading3"/>
        <w:numPr>
          <w:ilvl w:val="2"/>
          <w:numId w:val="1"/>
        </w:numPr>
        <w:rPr/>
      </w:pPr>
      <w:bookmarkStart w:id="935" w:name="__RefHeading___Toc2019022_1067777946"/>
      <w:bookmarkStart w:id="936" w:name="_Toc349"/>
      <w:bookmarkEnd w:id="934"/>
      <w:bookmarkEnd w:id="935"/>
      <w:r>
        <w:rPr>
          <w:rtl w:val="true"/>
        </w:rPr>
        <w:t>[</w:t>
      </w:r>
      <w:r>
        <w:rPr>
          <w:rtl w:val="true"/>
        </w:rPr>
        <w:t>الفصل التاسع في بيع الحيوان</w:t>
      </w:r>
      <w:r>
        <w:rPr>
          <w:rtl w:val="true"/>
        </w:rPr>
        <w:t>]</w:t>
      </w:r>
      <w:bookmarkEnd w:id="936"/>
    </w:p>
    <w:p>
      <w:pPr>
        <w:pStyle w:val="Heading4"/>
        <w:numPr>
          <w:ilvl w:val="3"/>
          <w:numId w:val="1"/>
        </w:numPr>
        <w:rPr/>
      </w:pPr>
      <w:bookmarkStart w:id="937" w:name="__RefHeading___Toc2019024_1067777946"/>
      <w:bookmarkStart w:id="938" w:name="_Toc350"/>
      <w:bookmarkEnd w:id="937"/>
      <w:r>
        <w:rPr>
          <w:rtl w:val="true"/>
        </w:rPr>
        <w:t>[</w:t>
      </w:r>
      <w:r>
        <w:rPr>
          <w:rtl w:val="true"/>
        </w:rPr>
        <w:t>من يصحّ تملّكه</w:t>
      </w:r>
      <w:r>
        <w:rPr>
          <w:rtl w:val="true"/>
        </w:rPr>
        <w:t>]</w:t>
      </w:r>
      <w:bookmarkEnd w:id="9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فالكفر الأصلي سبب لجواز استرقاق المحارب وذراريه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اللقيط من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فيها مسلم يمكن تولّده منه ولو أسيراً، وإلّا حكم بحرّيته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بلغ وأقرّ بالرقّ،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أقرّ بالرقّ من حكم بحرّيته ظاهراً؛ لكونه ملقوطاً من دار الإسلام أو دار الكفر حيث يحكم بحرّيته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القبول واشتراط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في غير معروف النسب، وإلّا لم يقبل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من أقرّ على نفسه بالرقّية مع بلوغه وجهل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أنْ يملك الرجل كلّ أحد عدا أحد عشر،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ملكاً مستقرّاً، وإلّا فملك من استثناه صحيح، غايته أنّه يعتق عليه بالشراء، فلا يستقرّ ملكه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يملك هؤلاء من الرضاع؟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وتملك المرأة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الرضاع تردّد، والمنع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أسلم الكافر في ملك مثله أُجبر على بيعه من مسلم، ولمولاه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إسلام العبد إسلام أحد أبويه صغيراً، أو أحد أجداده على الأقوى</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2019026_1067777946"/>
      <w:bookmarkStart w:id="940" w:name="_Toc351"/>
      <w:bookmarkEnd w:id="939"/>
      <w:r>
        <w:rPr>
          <w:rtl w:val="true"/>
        </w:rPr>
        <w:t>[</w:t>
      </w:r>
      <w:r>
        <w:rPr>
          <w:rtl w:val="true"/>
        </w:rPr>
        <w:t>أحكام الابتياع</w:t>
      </w:r>
      <w:r>
        <w:rPr>
          <w:rtl w:val="true"/>
        </w:rPr>
        <w:t>]</w:t>
      </w:r>
      <w:bookmarkEnd w:id="94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 في الحيوان عيب بعد العقد وقبل القبض كان المشتري بالخيار بين ردّه وإمساكه، وفي الأرش تردّد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الأقوى ثبوت الأرش، 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حدث فيه عيب من غير جهة المشتري لم يكن ذلك العيب مانعاً من الردّ بأصل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يلزم البائع أرشه؟ فيه تردّد، الظاهر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الأجود ثبوت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باع الحامل فالولد للبائع على الأظهر، إلّا أنْ يشترطه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وحيث يشترط يدخل وإنْ كان مجهولاً؛ حيث يكون تابعاً للمعلوم، ولافرق حينئذٍ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بعتكها وحملها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بعتكها وشرطت لك دخول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الحمل معلوماً فالعبارة الثانية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للبائع مع عدم الشرط حيث يتحقّق وجوده حالة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احتمل الأمرين، بأنْ ولدته في وقت يحتمل وجوده عند البيع وعدمه، فهو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بيض البائض كالحمل، بل هو للمشتري مطلقاً، كسائر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اشتراهما فسقط الولد قبل القبض رجع المشتري بحصّة الولد من الثمن، وطريق ذلك أنْ تقوّم حاملاً وحائلاً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حائلاً ومجهضاً؛ لأنّه الوصف المطابق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ابتياع بعض الحيوان مشاعاً، كالنصف 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واستثنى الرأس والجلد صحّ، ويكون شريكاً بقدر قيمة ثنياه على 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البطلان إلّا أنْ يكون مذبوحاً، أو يراد ذبحه، فيصحّ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فيما لو اشترك فيه جماعة وشرط أحدهم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لنا ولا خسران عليك، فيه تردّد، والمرويّ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النظر إلى وجه المملوكة ومحاسنها إذا أراد شراءها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الزينة، كالكفّين والرجلين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تجوز الزيادة على ذلك إلّا بإذنه، وحينئذٍ فيكون تحليلاً يتبع منه ما دلّ </w:t>
      </w:r>
      <w:bookmarkStart w:id="941" w:name="pg10178_83848"/>
    </w:p>
    <w:p>
      <w:pPr>
        <w:pStyle w:val="BookText"/>
        <w:rPr/>
      </w:pPr>
      <w:bookmarkEnd w:id="941"/>
      <w:r>
        <w:rPr>
          <w:rFonts w:ascii="Amiri" w:hAnsi="Amiri" w:eastAsia="Amiri" w:cs="Amiri"/>
          <w:color w:val="111111"/>
          <w:sz w:val="28"/>
          <w:sz w:val="28"/>
          <w:szCs w:val="28"/>
          <w:rtl w:val="true"/>
          <w:lang w:bidi="ar-SA"/>
        </w:rPr>
        <w:t>عليه اللفظ حتّى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لمن اشترى مملوكاً أنْ يغيّر اسمه،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يتصدّق عنه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كون الشيء 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وطء من وُلدت من الزنى بالملك والعقد،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 والقول الآخر أنّه يحرم، بناءً على أنّ ولد الزنى كافر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Heading4"/>
        <w:numPr>
          <w:ilvl w:val="3"/>
          <w:numId w:val="1"/>
        </w:numPr>
        <w:rPr/>
      </w:pPr>
      <w:bookmarkStart w:id="942" w:name="__RefHeading___Toc2019028_1067777946"/>
      <w:bookmarkStart w:id="943" w:name="_Toc352"/>
      <w:bookmarkEnd w:id="942"/>
      <w:r>
        <w:rPr>
          <w:rtl w:val="true"/>
        </w:rPr>
        <w:t>[</w:t>
      </w:r>
      <w:r>
        <w:rPr>
          <w:rtl w:val="true"/>
        </w:rPr>
        <w:t>لواحق بيع الحيوان</w:t>
      </w:r>
      <w:r>
        <w:rPr>
          <w:rtl w:val="true"/>
        </w:rPr>
        <w:t>]</w:t>
      </w:r>
      <w:bookmarkEnd w:id="9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فاضل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ملكه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عبداً له مال كان ماله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القول بأنّه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ماله المنسوب إليه للبائع مطلقاً إلّا أنْ يشترطه المشتري، فيكون له بشرط علمهما بقدره، أوكونه تابعاً، وسلامته من الربا بأنْ يكون الثمن مخالفاً لجنسه الربوي، أو زائداً عليه مع قبض مقابل الربوي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كونه لمولاه على تقدير البيع، أو للمشتري بمجرّد بيعه،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بملك العبد له تسلُّطه على الانتفاع به لا ملك الرقبة، كما ذكره بعضهم </w:t>
      </w:r>
      <w:r>
        <w:rPr>
          <w:rStyle w:val="FootnoteAnchor"/>
          <w:rtl w:val="true"/>
        </w:rPr>
        <w:footnoteReference w:id="313"/>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اشترني ولك عليّ كذا، لم يلزمه وإن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حين قال له، لزم،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اللزوم مطلقاً؛ لأنّه إمّا غير مالك أو 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Style w:val="FootnoteAnchor"/>
          <w:rtl w:val="true"/>
        </w:rPr>
        <w:footnoteReference w:id="314"/>
      </w:r>
      <w:r>
        <w:rPr>
          <w:rFonts w:ascii="Amiri" w:hAnsi="Amiri" w:eastAsia="Amiri" w:cs="Amiri"/>
          <w:color w:val="111111"/>
          <w:sz w:val="28"/>
          <w:sz w:val="28"/>
          <w:szCs w:val="28"/>
          <w:rtl w:val="true"/>
          <w:lang w:bidi="ar-SA"/>
        </w:rPr>
        <w:t xml:space="preserve">لا دلالة </w:t>
      </w:r>
    </w:p>
    <w:p>
      <w:pPr>
        <w:pStyle w:val="BookText"/>
        <w:rPr/>
      </w:pPr>
      <w:r>
        <w:rPr>
          <w:rFonts w:ascii="Amiri" w:hAnsi="Amiri" w:eastAsia="Amiri" w:cs="Amiri"/>
          <w:color w:val="111111"/>
          <w:sz w:val="28"/>
          <w:sz w:val="28"/>
          <w:szCs w:val="28"/>
          <w:rtl w:val="true"/>
          <w:lang w:bidi="ar-SA"/>
        </w:rPr>
        <w:t>فيها على الحكم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أو قلنا به بمعنى جواز تصرّفه خاصّة، أمّا لو قلنا بملكه حقيقة لم يشترط في الثمن ما ذكر؛ لأنّ ماله حينئذٍ ليس جزءاً من المبيع فلا يقابل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يستبرئ الأمة قبل بيعها إذا كان وطئها المالك بحيضة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الاستبراء استفعال من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طلب براءة الرحم من الحمل بالمدّة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البيع غيره من الوجوه الناقلة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الشراء، فيجب الاستبراء لكلّ ملك حادث أو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 الاستبراء ترك الوطء قُبلاً ودُبراً دون باقي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استبراؤها لو أخبر الثقة أنّه استبرأها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بالثقة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المصنِّف في النافع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الأطفال وأُمّهاتهم قبل استغنائهم عنهنّ محرّمة،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بدون رضاهنّ، ولافرق بين البيع وغيره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تعدّي الحكم إلى غير الأُمّ من الأرحام المشارك لها في الاستئناس والشفقة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والاستغناء يحصل ببلوغ 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استغناؤه عن الرضاع،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السبع في الأُنثى والاكتفاء في الذكر بالحولين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أولد جارية ثمّ ظهر أنّها مستحقّة انتزعها المالك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أولدها جاهلاً بكونها مستحقّة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عالماً بالاستحقاق فالولد رقّ للمالك، والواطئ زان، فيلزمه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به ولا بغيره ممّا يغرمه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الواطئ عشر قيمتها إنْ كانت بكراً، أو نصف العشر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يجب مهر أمثالها، والأوّل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 حرّ، وعلى أبيه قيمته يوم ولد حيّاً، ويرجع على البائع بما اغترمه من 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يرجع بما اغترمه من مهر أو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رجوعه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دار الحرب بغير إذن الإمام يجوز تملّكه في حال الغيبة، ووطء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ذلك ما يسبيه المسلم وغيره، وإن كان فيها حقّ للإمام أو كانت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الترديد بين القسمين للتنبيه على اختلاف حكم المأخوذ، فإنّه إنْ كان سرقة ونحوها ممّا لاقتال فيه فهو لآخذه وعليه الخمس، وإنْ كان بقتال فهو بأجمعه للإمام؛ للرواية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يجوز تملّكه حال الغيبة ولا يجب إخراج حصّة الموجودين من الهاشميّين منه؛ للنصّ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شراؤه من السابي والآخذ، وإنْ كان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إلى مأذون مالاً ليشتري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ويعتقها ويحجّ عنه بالباقي، فاشترى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اختاره المصنِّف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Style w:val="FootnoteAnchor"/>
          <w:rtl w:val="true"/>
        </w:rPr>
        <w:footnoteReference w:id="318"/>
      </w:r>
      <w:r>
        <w:rPr>
          <w:rFonts w:ascii="Amiri" w:hAnsi="Amiri" w:eastAsia="Amiri" w:cs="Amiri"/>
          <w:color w:val="111111"/>
          <w:sz w:val="28"/>
          <w:sz w:val="28"/>
          <w:szCs w:val="28"/>
          <w:rtl w:val="true"/>
          <w:lang w:bidi="ar-SA"/>
        </w:rPr>
        <w:t xml:space="preserve">مع ضعفها مخالفة للأصل من حيث الحكم بردّ العبد إلى مولاه، مع اعترافه ببيعه ودعواه فساد البيع، ومدّعي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وبحكمها بمضيّ الحِجّة مع أنّ ظاهر الأمر حَجُّه بنفسه وقد استناب فيها، ومجامعة صحّة الحجّ لعوده رقّاً وكونه قد حجّ بغير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هناك بيّنة حكم </w:t>
      </w:r>
    </w:p>
    <w:p>
      <w:pPr>
        <w:pStyle w:val="BookText"/>
        <w:rPr/>
      </w:pPr>
      <w:r>
        <w:rPr>
          <w:rFonts w:ascii="Amiri" w:hAnsi="Amiri" w:eastAsia="Amiri" w:cs="Amiri"/>
          <w:color w:val="111111"/>
          <w:sz w:val="28"/>
          <w:sz w:val="28"/>
          <w:szCs w:val="28"/>
          <w:rtl w:val="true"/>
          <w:lang w:bidi="ar-SA"/>
        </w:rPr>
        <w:t>بها إنْ كانت لواحد، ولو كانت لاثنين أو للجميع فإنْ قدّمنا بيّنة الداخل عند التعارض فكالأوّل، وإلّا ففي تقديم بيّنة ورثة الآمر نظراً إلى الصحّة، أو مولى الأب؛ لادّعائه ما ينافي الأصل، وجهان، أجودهما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عبداً في الذمّة، ودفع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w:t>
      </w:r>
      <w:r>
        <w:rPr>
          <w:rStyle w:val="FootnoteAnchor"/>
          <w:rtl w:val="true"/>
        </w:rPr>
        <w:footnoteReference w:id="319"/>
      </w:r>
      <w:r>
        <w:rPr>
          <w:rFonts w:ascii="Amiri" w:hAnsi="Amiri" w:eastAsia="Amiri" w:cs="Amiri"/>
          <w:color w:val="111111"/>
          <w:sz w:val="28"/>
          <w:sz w:val="28"/>
          <w:szCs w:val="28"/>
          <w:rtl w:val="true"/>
          <w:lang w:bidi="ar-SA"/>
        </w:rPr>
        <w:t xml:space="preserve">، ومستنده رواية ضعيفة </w:t>
      </w:r>
      <w:r>
        <w:rPr>
          <w:rStyle w:val="FootnoteAnchor"/>
          <w:rtl w:val="true"/>
        </w:rPr>
        <w:footnoteReference w:id="320"/>
      </w:r>
      <w:r>
        <w:rPr>
          <w:rFonts w:ascii="Amiri" w:hAnsi="Amiri" w:eastAsia="Amiri" w:cs="Amiri"/>
          <w:color w:val="111111"/>
          <w:sz w:val="28"/>
          <w:sz w:val="28"/>
          <w:szCs w:val="28"/>
          <w:rtl w:val="true"/>
          <w:lang w:bidi="ar-SA"/>
        </w:rPr>
        <w:t>مخالفة للأُصول الشرعية، من انحصار الحقّ الكلّي قبل تعيّنه في فردَيْن، وثبوت المبيع في نصف الموجود المقتضي للشركة مع عدم الموجب لها، ثمّ الرجوع إلى التخيير لو وجد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الأصل في الإعراض عن الرواية أنّ العبدين إنْ كانا بوصف المبيع وتخيّر الآبق ردّ الباقي ولا شيء له، وإنْ اختار الباقي بني ضمان الآبق على أنّ المقبوض بالسوم هل هو مضمون أم لا؟ والمشهور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بالوصف خاصّة فله اختياره، وحكم الآخر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يكونا بالوصف طالب بحقّه وردّ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لافرق بين العبدين والعبيد وغيرهما من 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لواشترى عبداً من عبدين لم يصحّ العقد، وفيه قول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في الخلاف </w:t>
      </w:r>
      <w:r>
        <w:rPr>
          <w:rStyle w:val="FootnoteAnchor"/>
          <w:rtl w:val="true"/>
        </w:rPr>
        <w:footnoteReference w:id="321"/>
      </w:r>
      <w:r>
        <w:rPr>
          <w:rFonts w:ascii="Amiri" w:hAnsi="Amiri" w:eastAsia="Amiri" w:cs="Amiri"/>
          <w:color w:val="111111"/>
          <w:sz w:val="28"/>
          <w:sz w:val="28"/>
          <w:szCs w:val="28"/>
          <w:rtl w:val="true"/>
          <w:lang w:bidi="ar-SA"/>
        </w:rPr>
        <w:t>أخذاً بظاهر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عليه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أحد الشريكين مملوكة بينهما سقط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عليه بنفس الوطء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المملوكان المأذون لهما إذا ابتاع كلّ واحد منهما صاحبه من </w:t>
      </w:r>
      <w:bookmarkStart w:id="944" w:name="pg10178_83852"/>
    </w:p>
    <w:p>
      <w:pPr>
        <w:pStyle w:val="BookText"/>
        <w:rPr/>
      </w:pPr>
      <w:bookmarkEnd w:id="944"/>
      <w:r>
        <w:rPr>
          <w:rFonts w:ascii="Amiri" w:hAnsi="Amiri" w:eastAsia="Amiri" w:cs="Amiri"/>
          <w:color w:val="111111"/>
          <w:sz w:val="28"/>
          <w:sz w:val="28"/>
          <w:szCs w:val="28"/>
          <w:rtl w:val="true"/>
          <w:lang w:bidi="ar-SA"/>
        </w:rPr>
        <w:t>مولاه حكم بعقد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اتّفقا في وقت واحد بطل العقدان، وفي رواية يقرع بينهما وفي أُخرى يذرع الطريق ويحكم للأقرب،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مع اقتران العقدين وقوفهما على إجازة الموليين إذا لم يكونا 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الإذن والوكالة أنّ الإذن ما جعلت تابعة للملك، والوكالة ما أباحت التصرّف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فيهما إلى ما دلّ عليه كلام المولى، ومع الاشتباه فالمتيقّن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الاقتران بالاتّفاق في القبول بأنّ يكملاه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جارية، سرقت من أرض الصلح، كان له ردّها على البائع واستعادة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إلى الحاكم ولا تستسعى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التوصّل إلى مالكها أو وكيله أو وارثه، ومع التعذّر تدفع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الثمن فيطالب به البائع مع بقاء عينه مطلقاً، ومع تلفه إنْ كان المشتري جاهلاً بسرقتها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تستسعى الجارية مطلقاً وإنْ ضاع الثمن</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2019030_1067777946"/>
      <w:bookmarkStart w:id="946" w:name="_Toc353"/>
      <w:bookmarkEnd w:id="945"/>
      <w:r>
        <w:rPr>
          <w:rtl w:val="true"/>
        </w:rPr>
        <w:t>[</w:t>
      </w:r>
      <w:r>
        <w:rPr>
          <w:rtl w:val="true"/>
        </w:rPr>
        <w:t>الفصل العاشر في السلف</w:t>
      </w:r>
      <w:r>
        <w:rPr>
          <w:rtl w:val="true"/>
        </w:rPr>
        <w:t>]</w:t>
      </w:r>
      <w:bookmarkEnd w:id="946"/>
    </w:p>
    <w:p>
      <w:pPr>
        <w:pStyle w:val="Heading4"/>
        <w:numPr>
          <w:ilvl w:val="3"/>
          <w:numId w:val="1"/>
        </w:numPr>
        <w:rPr/>
      </w:pPr>
      <w:bookmarkStart w:id="947" w:name="__RefHeading___Toc2019032_1067777946"/>
      <w:bookmarkStart w:id="948" w:name="_Toc354"/>
      <w:bookmarkEnd w:id="947"/>
      <w:r>
        <w:rPr>
          <w:rtl w:val="true"/>
        </w:rPr>
        <w:t>[</w:t>
      </w:r>
      <w:r>
        <w:rPr>
          <w:rtl w:val="true"/>
        </w:rPr>
        <w:t>المقصد الأوّل</w:t>
      </w:r>
      <w:r>
        <w:rPr>
          <w:rtl w:val="true"/>
        </w:rPr>
        <w:t xml:space="preserve">: </w:t>
      </w:r>
      <w:r>
        <w:rPr>
          <w:rtl w:val="true"/>
        </w:rPr>
        <w:t>بيع السلم</w:t>
      </w:r>
      <w:r>
        <w:rPr>
          <w:rtl w:val="true"/>
        </w:rPr>
        <w:t>]</w:t>
      </w:r>
      <w:bookmarkEnd w:id="94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هو ابتياع مال مضمون إلى أجل معلوم بمال حاضر،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بالحاضر المعيّن ثمناً المقبوض في المجلس، وبما في حكمه المقبوض في المجلس مع كونه موصوفاً غير معيّن، وإنْ كان حاضراً عندهما؛ لأنّ الثمن إذا كان موصوفاً غير منحصر في المقبوض، بل هو أمر كلّي، لكن بتعيينه في المجلس وقبضه يصير في حكم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الحاضر المعيّن ثمناً اقترانه بالباء، فإنّ الحاضر غير المعيّن ليس مقترناً بالباء، وإنْ كان بعض أفراده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ينعقد البيع بلفظ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الأشبه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949" w:name="pg10178_83853"/>
    </w:p>
    <w:p>
      <w:pPr>
        <w:pStyle w:val="Heading4"/>
        <w:numPr>
          <w:ilvl w:val="3"/>
          <w:numId w:val="1"/>
        </w:numPr>
        <w:rPr/>
      </w:pPr>
      <w:bookmarkStart w:id="950" w:name="__RefHeading___Toc2019034_1067777946"/>
      <w:bookmarkStart w:id="951" w:name="_Toc355"/>
      <w:bookmarkEnd w:id="949"/>
      <w:bookmarkEnd w:id="950"/>
      <w:r>
        <w:rPr>
          <w:rtl w:val="true"/>
        </w:rPr>
        <w:t>[</w:t>
      </w:r>
      <w:r>
        <w:rPr>
          <w:rtl w:val="true"/>
        </w:rPr>
        <w:t>المقصد الثاني</w:t>
      </w:r>
      <w:r>
        <w:rPr>
          <w:rtl w:val="true"/>
        </w:rPr>
        <w:t xml:space="preserve">: </w:t>
      </w:r>
      <w:r>
        <w:rPr>
          <w:rtl w:val="true"/>
        </w:rPr>
        <w:t>شرائطه</w:t>
      </w:r>
      <w:r>
        <w:rPr>
          <w:rtl w:val="true"/>
        </w:rPr>
        <w:t>]</w:t>
      </w:r>
      <w:bookmarkEnd w:id="9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كلّ ما يختلف لأجله الثمن فذكره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اختلاف الثمن بسببه اختلافاً لا يتغابن به عادة، فلا يقدح الاختلاف اليسير المتسامح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هذه الأوصاف إلى العرف، وربما كان العامّي أعرف بها الفقيه، وحظّ الفقيه فيها البيان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يطلب في الوصف الغاية، بل يقتصر على ما يتناوله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لايجب الاستقصاء في الوصف بل يجوز الاقتصار منه على ما يتناوله اسم الموصوف بالوصف الذي يزيل الاختلاف، فإنْ استقصى كذلك ووجد الموصوف صحّ السلم، وإنْ عزّ وجوده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النهي والأمر الواقعان في العبارة قد يكونان على وجه المنع واللزوم كما إذا استلزم الاستقصاء عزّة الوجود، وقد يكونان على وجه نفي اللزوم والجواز، كما إذا لم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الأجود لم يصحّ؛ لتعذّره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لوشرط الأردأ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في هذا بالجواز كان حسناً؛ لإمكان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بالتعليل على جواب ما قيل في المنع من الأردأ بأنّه لا يمكن الوقوف عليه كالأجود، إذ ما من فرد إلّا ويمكن وجود أردأ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المصنِّف إلى جوابه بأنّه وإنْ لم يمكن الوقوف عليه إلّا أنّه يمكن التخلّص من الحقّ بدونه، بأنْ يدفع فرداً من الأفراد، فإنْ كان هو الأردأ فهو الحقّ، وإلّا فيكون قد دفع الجيّد عن الرديء، وهو جائز، بخلاف ما لو شرط الأجود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إمكان التخلّص بهذا الوجه لا يكفي في صحّة العقد، بل يجب مع ذلك تعيين المسلَم فيه بالضبط، بحيث يمكن الرجوع إليه عند الحاجة، ويمكن تسليمه ولو بالقهر، بأنْ يدفعه الحاكم من مال المسلَم إليه عند تعذّر تسليمه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أنّ هذين الأمرين منتفيان عن الأردأ؛ لأنّه غير متعيّن، ولا يمكن الحاكم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والجيّد غير مستحقّ عليه، فلا يجوز لغير المالك دفعه، ولا يجب عليه مع المماكسة، فيتعذّر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فالأقوى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الشيء ممّا لا ينضبط بالوصف لم يصحّ السلم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الجلود تردّد،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المشاهدة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النبل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الجواهر واللآلي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يفرّق بين اللآلي الصغار والكبار؛ لاشتراكهما في علّة المنع، وهو تعذّر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جماعة بينهما وجوّزوه في الصغار </w:t>
      </w:r>
      <w:r>
        <w:rPr>
          <w:rStyle w:val="FootnoteAnchor"/>
          <w:rtl w:val="true"/>
        </w:rPr>
        <w:footnoteReference w:id="322"/>
      </w:r>
      <w:r>
        <w:rPr>
          <w:rFonts w:ascii="Amiri" w:hAnsi="Amiri" w:eastAsia="Amiri" w:cs="Amiri"/>
          <w:color w:val="111111"/>
          <w:sz w:val="28"/>
          <w:sz w:val="28"/>
          <w:szCs w:val="28"/>
          <w:rtl w:val="true"/>
          <w:lang w:bidi="ar-SA"/>
        </w:rPr>
        <w:t>لأنّها تباع وزناً، ولا يعتبر فيها صفات كثيرة تتفاوت القيمة فيها تفاوتاً بيّناً بخلاف الكبار، وهو أجود، خصوصاً المتّخذة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الإسلاف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شاة معها ولدها،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ذلك ممّا لا يوجد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التردّد في جارية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الجارية بين الحسناء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الإسلاف في جوز القزّ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الشيخ من الإسلاف في جوز القزّ </w:t>
      </w:r>
      <w:r>
        <w:rPr>
          <w:rStyle w:val="FootnoteAnchor"/>
          <w:rtl w:val="true"/>
        </w:rPr>
        <w:footnoteReference w:id="323"/>
      </w:r>
      <w:r>
        <w:rPr>
          <w:rFonts w:ascii="Amiri" w:hAnsi="Amiri" w:eastAsia="Amiri" w:cs="Amiri"/>
          <w:color w:val="111111"/>
          <w:sz w:val="28"/>
          <w:sz w:val="28"/>
          <w:szCs w:val="28"/>
          <w:rtl w:val="true"/>
          <w:lang w:bidi="ar-SA"/>
        </w:rPr>
        <w:t>، محتجّاً بأنّ في جوفه دوداً ليس مقصوداً ولا فيه مصلحة، فإنّه إذا ترك فيه أفسده؛ لأنّه يقرضه ويخرج منه، وإنْ مات فيه لم يجز من حيث إنّه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الجواز؛ لأنّ المقصود بالبيع خال من هذه الموانع، والدود ليس بمقصود، كالنوى الذي لا فائدة فيه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رأس المال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قبض بعض الثمن صحّ في المقبوض و بطل في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كان عدم الإقباض بتفريط المسلّم إليه فلا خيار له، وإلّا تخيّر؛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كون الثمن من دين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يعيّنه من الدين ثمّ تحاسبا عليه في المجلس فالأقوى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السلم بالكيل أو الوزن العامَّين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في ذلك بین ما يعتاد كيله ووزنه، وما يعتاد بيعه جزافاً؛ لأنّ المشاهدة تدفع الغرر، بخلاف السلم المعوّل فيه على غائب أو معدوم، وسيأتي في حكم السلم في الحطب والقصب ما ينبّه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الإسلاف في المعدود عدداً؟ الوجه،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صحّته مع انضباطه على وجه يرفع اختلاف الثمن عادة، كالنوع الخاصّ من الجوز، دون ما لا ينضبط كالرمان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يكون رأس المال مقدّراً بالكيل العامّ،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الاقتصار على 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ممّا يكال أو يوزن أو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ممّا يباع جزافاً جاز الاقتصار على مشاهدته، كما لو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اشتراه حالّاً،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الجواز قوّة، خصوصاً مع قصد البيع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وجوده غالباً وقت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الأغلب وجوده عند الأجل عادة، فلا يكفي وجوده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إمكان وجوده فيه </w:t>
      </w:r>
      <w:r>
        <w:rPr>
          <w:rStyle w:val="FootnoteAnchor"/>
          <w:rtl w:val="true"/>
        </w:rPr>
        <w:footnoteReference w:id="324"/>
      </w:r>
      <w:r>
        <w:rPr>
          <w:rFonts w:ascii="Amiri" w:hAnsi="Amiri" w:eastAsia="Amiri" w:cs="Amiri"/>
          <w:color w:val="111111"/>
          <w:sz w:val="28"/>
          <w:sz w:val="28"/>
          <w:szCs w:val="28"/>
          <w:rtl w:val="true"/>
          <w:lang w:bidi="ar-SA"/>
        </w:rPr>
        <w:t>، والأوّل أجود، فلا فرق بين كونه مع ذلك موجوداً حال العقد وعدمه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الشهر عند الإطلاق على عدّة بين هلالين، أو ثلاثين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يحمل الشهر على شهر هلالي إن اتّفق الأجل في أوّله، سواء كان ثلاثين يوماً أم أقلّ وعلى ثلاثين إنْ كان العقد وقع في أثناء شهر، فالترديد باعتبار التفصيل، لا ترديد إشكالٍ في اعتبار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أوّلية الشهر وأثنائه العرف لا الحقيقة، فلا يقدح فيه معنى نحو اللحظة والساعة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شهر كذا حلّ بأوّل جزء من ليلة الهلال، نظراً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أسنده إلى العرف؛ لأنّ الشهر معيّن وقع غايةً للأجل، والغاية لغة قد تدخل في المغيّى، وقد لاتدخل، لكن هنا دلّ العرف على خروج الغاية، وهو الشهر المعيّن، فيحكم به؛ لأنّه المرجع؛ حيث لا يكون اللفظ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الشهر مطلقاً، كما لو جعل الأجل إلى شهر، فإنّه يتمّ بآخره؛ لدلالة العرف عليه أيضاً، وبقرينة أنّه لولا ذلك لَخلا السلم من الأجل، وقد صرّحا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أولى ممّا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المغيّى في المبهم مسمّى المدّة، وهو لا يصدق إلّا بالمجموع، وفي المعيّن مسمّاه، وهو يصدق بأوّل جزء منه؛ لأنّ الغاية متحقّقة فيهما، فخروجها في أحدهما دون الآخر بمجرّد مفهومهما تحكّم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أوقع العقد في أثناء الشهر، أتمّ من الثالث بقدر الفائت من شهر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ولايشترط ذكر موضع التسليم على الأشبه، ولو كان في حمله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اعتبار ذكره مطلقاً، خصوصاً حيث يكونان في موضع قصدهما مفارقته، أو يكون في حمله مؤونة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الخلاف ما لو كان السلم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فلو كان حالّاً وجوّزناه لم يعتبر تعيين المحلّ قطعاً، بل كان كغيره من البيوع</w:t>
      </w:r>
      <w:r>
        <w:rPr>
          <w:rFonts w:eastAsia="Amiri" w:cs="Amiri" w:ascii="Amiri" w:hAnsi="Amiri"/>
          <w:color w:val="111111"/>
          <w:sz w:val="28"/>
          <w:szCs w:val="28"/>
          <w:rtl w:val="true"/>
          <w:lang w:bidi="ar-SA"/>
        </w:rPr>
        <w:t xml:space="preserve">. </w:t>
      </w:r>
      <w:bookmarkStart w:id="952" w:name="pg10178_83857"/>
    </w:p>
    <w:p>
      <w:pPr>
        <w:pStyle w:val="Heading4"/>
        <w:numPr>
          <w:ilvl w:val="3"/>
          <w:numId w:val="1"/>
        </w:numPr>
        <w:rPr/>
      </w:pPr>
      <w:bookmarkStart w:id="953" w:name="__RefHeading___Toc2019036_1067777946"/>
      <w:bookmarkStart w:id="954" w:name="_Toc356"/>
      <w:bookmarkEnd w:id="952"/>
      <w:bookmarkEnd w:id="953"/>
      <w:r>
        <w:rPr>
          <w:rtl w:val="true"/>
        </w:rPr>
        <w:t>[</w:t>
      </w:r>
      <w:r>
        <w:rPr>
          <w:rtl w:val="true"/>
        </w:rPr>
        <w:t>المقصد الثالث</w:t>
      </w:r>
      <w:r>
        <w:rPr>
          <w:rtl w:val="true"/>
        </w:rPr>
        <w:t xml:space="preserve">: </w:t>
      </w:r>
      <w:r>
        <w:rPr>
          <w:rtl w:val="true"/>
        </w:rPr>
        <w:t>أحكامه</w:t>
      </w:r>
      <w:r>
        <w:rPr>
          <w:rtl w:val="true"/>
        </w:rPr>
        <w:t>]</w:t>
      </w:r>
      <w:bookmarkEnd w:id="9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أسلف في شيء لم يجز بيعه 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وإنْ لم يقبضه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هو عليه،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التحريم إذا كان طعاماً، أو ممّا يكال أو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الصلح عليه قبل الحلول وبعده، وقبل القبض وبعده،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امتنع، قبضه الحاكم إذا سأل المسلم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إمكانه، ومع تعذّره يخلّى بينه وبينه وتبرأ ذمّته منه وإنْ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يفعل الحاكم لو قبضه إنْ لم يمكن إلزامه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فوق الصفة وجب القبول، ولو دفع أكثر لم يجب قبول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العين والصفة أنّ زيادة الصفة لاتنافي عين الحقّ بل تؤكّده، إذ المفروض كونه مساوياً له في النوع وغيره وتزيد الصفة، أمّا العين الموجودة في الأكثر مقداراً فهي خارجة عن الحقّ، زائدة عليه، فلا يجب قبولها؛ لأنّها عطيّة جديدة يمكن تحصيلها، والحقّ معها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كرّاً من طعام بمائة درهم، وشرط تأجيل خمسين بطل في الجميع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بطلانه في المؤجّل فظاهر، وأمّا في غيره فلأنّ الثمن المعجّل يقابل من البيع قسطاً أكثر ممّا يقابله المؤجّل؛ لأنّ للأجل قسطاً منه، والتفاوت غير معلوم عند العقد، فإذا بطل البيع في المؤجّل يجهل ما قابل المعجّل فيبطل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القول بالصحّة إمكان العلم به بالتقسيط ولو بعد العقد، كما لو باع سلعتين فظهرت إحداهما مستحقّة، فإنّ التقسيط اللاحق كافٍ وإنْ جهل ما يخصّ كلّ واحدة حالة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منه ما لو باع ما يصحّ تملّكه وغيره، وأشهر القولين هنا البطلان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دفع خمسين وشرط الباقي من دين له على المسلَم عليه صحّ فيما دفع، </w:t>
      </w:r>
    </w:p>
    <w:p>
      <w:pPr>
        <w:pStyle w:val="BookText"/>
        <w:rPr/>
      </w:pPr>
      <w:r>
        <w:rPr>
          <w:rFonts w:ascii="Amiri" w:hAnsi="Amiri" w:eastAsia="Amiri" w:cs="Amiri"/>
          <w:color w:val="111111"/>
          <w:sz w:val="28"/>
          <w:sz w:val="28"/>
          <w:szCs w:val="28"/>
          <w:rtl w:val="true"/>
          <w:lang w:bidi="ar-SA"/>
        </w:rPr>
        <w:t>وبطل فيما قابل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الأجود الصحّة في الجميع، حيث لا يكون الدين نفس الثمن، وقد تقدّم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قبضه فقد تعيّن وبرئ المسلّم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به عيباً فردّه زال ملكه عنه، وعاد الحقّ إلى الذمّة سليماً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بعوده إلى الذمّة على أنّ خروجه منها أوّلاً كان متزلزلاً؛ لكونه معيباً، فيتخيّر بين الرضى به مجّاناً فيستقرّ ملكه عليه، وبين أنْ يردّه عليه فيرجع الحقّ إلى ذمّة المسلَّم إليه سليماً بعد أنْ كان قد خرج عنها خروجاً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فالنماء المنفصل المتجدّد بين القبض والردّ للقابض، لأنّه نماء يملكه، كنظائره من النماء المتجدّد زمن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يندفع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زوال الملك يستدعي ثبوته والمعيب ليس المسلَّم فیه، فلا ينتقل عن المسلَّم إليه؛ لأنّا نمنع من عدم انتقاله، ومن منافاة العيب له؛ لما ذكرناه، فإنّه من جنس الحقّ وعيبه ينجبر بالخيار، فيتمّ الزوال والعود، ومن ثمّ كان النماء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برأس المال عيباً، فإنْ كان من غير جنسه بطل العقد، وإنْ كان من جنسه رجع بالأرش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يبطل العقد مع ظهور العيب من غير الجنس إذا كان ظهوره بعد التفرّق، وكان الثمن بأجمعه معيّناً من غير الجنس، أو كان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في الذمّة وتبيّن العيب قبل التفرّق لم يبطل العقد؛ لإمكان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بعده والعيب غير 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من الجنس فإنّما يرجع بالأرش، كما ذكره مع تعيّنه، أمّا مع إطلاقه فلا، بل له إبداله قبل التفرّق وبعده على إشكال تقدّم الكلام على نظيره في باب الصرف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ثمّ رددته إليك قبل التفرّق، كان القول قوله مع يمينه؛ مراعاةً لجانب الصحّة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يقبل قوله في أصل القبض الموجب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الردّ فلا يقبل قوله فيه على </w:t>
      </w:r>
    </w:p>
    <w:p>
      <w:pPr>
        <w:pStyle w:val="BookText"/>
        <w:rPr/>
      </w:pPr>
      <w:r>
        <w:rPr>
          <w:rFonts w:ascii="IRNazanin" w:hAnsi="IRNazanin" w:eastAsia="IRNazanin"/>
          <w:color w:val="111111"/>
          <w:sz w:val="28"/>
          <w:sz w:val="28"/>
          <w:szCs w:val="28"/>
          <w:rtl w:val="true"/>
          <w:lang w:bidi="fa-IR"/>
        </w:rPr>
        <w:t>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فليس له المطالبة به بثمنه الأوّل وإنْ كان المشتري يعترف بكونه لم يقبضه؛ لأنّه يدّعي مع ذلك فساد السلَم، فلا يعترف بلزوم الثمن لذمّته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وتأخّر التسليم لعارض ثمّ طالب بعد انقطاعه كان بالخيار بين الفسخ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تأخير التسليم باختيار المشتري مع بذل البائع، فإنّه لا فسخ له؛ لاستناده إلى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وتخييره بين الأمرين خاصّة على تقديره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ثالثاً،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يفسخ ولا يصبر، بل يأخذ قيمته الآن،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انقطاعه بعد الأجل مع العارض موت المسلَّم إليه قبل الأجل ووجود المسلَّم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إلى صاحب الدين عروضاً، على أنّها قضاء ولم يساعره، احتسبت بقيمتها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لا يختصّ بباب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باب الدين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الدين من غير النقد الغالب احتسب بقيمته أيضاً يوم دفع العرض، ويدخل في ملك الدين بمجرّد القبض وإنْ لم يساعره عليه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الدين بعد حلوله على الذي هو عليه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 بما هو حاضر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باعه بمضمون حالّ 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اشترط تأجيله،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لأنّه بيع دين بدين،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المشخّص، سواء كان حاضراً حين العقد أم لا،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الذمّة وما اختاره المصنِّف من الكراهة في المؤجّل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أسلف في غنم وشرط أصواف نعجات معيّنة،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الجواز مع مشاهدته على وجه ترتفع الجهالة عنه</w:t>
      </w:r>
      <w:r>
        <w:rPr>
          <w:rFonts w:eastAsia="Amiri" w:cs="Amiri" w:ascii="Amiri" w:hAnsi="Amiri"/>
          <w:color w:val="111111"/>
          <w:sz w:val="28"/>
          <w:szCs w:val="28"/>
          <w:rtl w:val="true"/>
          <w:lang w:bidi="ar-SA"/>
        </w:rPr>
        <w:t xml:space="preserve">. </w:t>
      </w:r>
      <w:bookmarkStart w:id="955" w:name="pg10178_83860"/>
    </w:p>
    <w:p>
      <w:pPr>
        <w:pStyle w:val="BookText"/>
        <w:rPr/>
      </w:pPr>
      <w:bookmarkEnd w:id="95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أنْ يكون الثوب من غزل امرأة معيّنة، أو الغلّة من قَراح بعينه،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يصحّ السلم، فلا يضمن المسلَم فيه؛ لأنّ الضمان لازم الصحّة، فأطلق اللازم وأراد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يصحّ لإمكان أنْ لا يتّفق ذلك للمرأة، بأنْ تمرض، أو تموت، أو تترك العمل، إمكاناً مساوياً لنقيضه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القراح يمكن أنْ يخيس، أو لا يظهر منه ما يطابق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اعتبار ما لا يتخلّف عنه المسلم فيه العادة</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2019038_1067777946"/>
      <w:bookmarkStart w:id="957" w:name="_Toc357"/>
      <w:bookmarkEnd w:id="956"/>
      <w:r>
        <w:rPr>
          <w:rtl w:val="true"/>
        </w:rPr>
        <w:t>[</w:t>
      </w:r>
      <w:r>
        <w:rPr>
          <w:rtl w:val="true"/>
        </w:rPr>
        <w:t>المقصد الرابع في الإقالة</w:t>
      </w:r>
      <w:r>
        <w:rPr>
          <w:rtl w:val="true"/>
        </w:rPr>
        <w:t>]</w:t>
      </w:r>
      <w:bookmarkEnd w:id="95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فسخ في حقّ المتعاقدين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الإقالة بزيادة عن الثمن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بذلك؛ لفوات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لافرق في الزيادة والنقيصة بين العينيّة والحكميّة، فلو أقاله على أنْ ينظره بالثمن، أو يأخذ الصحاح عوض المكسّرة ونحوه،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تقايلا رجع كلّ عوض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موجوداً أخذه، وإنْ كان مفقوداً ضمن بمثله إنْ كان مثليّاً، وإلّا بقيمته، وفيه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الموجود ما حصل له نماء منفصل، فإنّه لا يرجع به بل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المتّصل فيتبع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منفصل وإنْ كان حملاً، ولو وجده معيباً أخذ أرش عيبه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الذي أجمله المصنِّف هو أنّ القيمي يضمن بمثله أيضاً، وهو ضعيف</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2019040_1067777946"/>
      <w:bookmarkStart w:id="959" w:name="_Toc358"/>
      <w:bookmarkEnd w:id="958"/>
      <w:r>
        <w:rPr>
          <w:rtl w:val="true"/>
        </w:rPr>
        <w:t>[</w:t>
      </w:r>
      <w:r>
        <w:rPr>
          <w:rtl w:val="true"/>
        </w:rPr>
        <w:t>المقصد الخامس في القرض</w:t>
      </w:r>
      <w:r>
        <w:rPr>
          <w:rtl w:val="true"/>
        </w:rPr>
        <w:t>]</w:t>
      </w:r>
      <w:bookmarkEnd w:id="959"/>
    </w:p>
    <w:p>
      <w:pPr>
        <w:pStyle w:val="Heading5"/>
        <w:numPr>
          <w:ilvl w:val="4"/>
          <w:numId w:val="1"/>
        </w:numPr>
        <w:rPr/>
      </w:pPr>
      <w:bookmarkStart w:id="960" w:name="__RefHeading___Toc2019042_1067777946"/>
      <w:bookmarkStart w:id="961" w:name="_Toc359"/>
      <w:bookmarkEnd w:id="960"/>
      <w:r>
        <w:rPr>
          <w:rtl w:val="true"/>
        </w:rPr>
        <w:t>[</w:t>
      </w:r>
      <w:r>
        <w:rPr>
          <w:rtl w:val="true"/>
        </w:rPr>
        <w:t>حقیقته</w:t>
      </w:r>
      <w:r>
        <w:rPr>
          <w:rtl w:val="true"/>
        </w:rPr>
        <w:t>]</w:t>
      </w:r>
      <w:bookmarkEnd w:id="9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وهو عقد يشتمل على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قبول، وهو اللفظ الدالّ على الرضى بالإيجاب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عدم الاكتفاء بالقبول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الاكتفاء به في جواز التصرّف وإن </w:t>
      </w:r>
      <w:bookmarkStart w:id="962" w:name="pg10178_83861"/>
    </w:p>
    <w:p>
      <w:pPr>
        <w:pStyle w:val="BookText"/>
        <w:rPr/>
      </w:pPr>
      <w:bookmarkEnd w:id="962"/>
      <w:r>
        <w:rPr>
          <w:rFonts w:ascii="Amiri" w:hAnsi="Amiri" w:eastAsia="Amiri" w:cs="Amiri"/>
          <w:color w:val="111111"/>
          <w:sz w:val="28"/>
          <w:sz w:val="28"/>
          <w:szCs w:val="28"/>
          <w:rtl w:val="true"/>
          <w:lang w:bidi="ar-SA"/>
        </w:rPr>
        <w:t>لم يحصل به تمام الملك، كالمعاطاة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الصحاح عوض المكسّرة،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الشرط جزئي من جزئيات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فساد الشرط والقرض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بالجواز هنا، وإخراجه من القاعدة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329"/>
      </w:r>
      <w:r>
        <w:rPr>
          <w:rFonts w:ascii="Amiri" w:hAnsi="Amiri" w:eastAsia="Amiri" w:cs="Amiri"/>
          <w:color w:val="111111"/>
          <w:sz w:val="28"/>
          <w:sz w:val="28"/>
          <w:szCs w:val="28"/>
          <w:rtl w:val="true"/>
          <w:lang w:bidi="ar-SA"/>
        </w:rPr>
        <w:t xml:space="preserve">لا دلالة فيها على المطلوب، فالقول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أصحّ</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2019044_1067777946"/>
      <w:bookmarkStart w:id="964" w:name="_Toc360"/>
      <w:bookmarkEnd w:id="963"/>
      <w:r>
        <w:rPr>
          <w:rtl w:val="true"/>
        </w:rPr>
        <w:t>[</w:t>
      </w:r>
      <w:r>
        <w:rPr>
          <w:rtl w:val="true"/>
        </w:rPr>
        <w:t>ما يصحّ إقراضه</w:t>
      </w:r>
      <w:r>
        <w:rPr>
          <w:rtl w:val="true"/>
        </w:rPr>
        <w:t>]</w:t>
      </w:r>
      <w:bookmarkEnd w:id="9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إقراضه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يضبط وصفه وقدره،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والخبز وزناً وعدداً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يجوز عدداً مع عدم تفاوته على وجه لا يتسامح به عادة، وإلّا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البيض والجوز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يتساوى أجزاؤه، يثبت في الذمّة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 كذلك يثبت في الذمّة قيمته 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مثله أيضاً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القيمة في القيمي وقت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إقراض اللآلي؟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وعلى القول بضمان القيمة ينبغي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الجواز قوّة، كغيرها من القيمي</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2019046_1067777946"/>
      <w:bookmarkStart w:id="966" w:name="_Toc361"/>
      <w:bookmarkEnd w:id="965"/>
      <w:r>
        <w:rPr>
          <w:rtl w:val="true"/>
        </w:rPr>
        <w:t>[</w:t>
      </w:r>
      <w:r>
        <w:rPr>
          <w:rtl w:val="true"/>
        </w:rPr>
        <w:t>أحكام القرض</w:t>
      </w:r>
      <w:r>
        <w:rPr>
          <w:rtl w:val="true"/>
        </w:rPr>
        <w:t>]</w:t>
      </w:r>
      <w:bookmarkEnd w:id="96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يملك بالقبض لا بالتصرّف؛ لأنّه فرع الملك، فلا يكون مشروطاً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أشار بالتعليل إلى الردّ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يملك إلّا بالتصرّف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أنّ التصرّف فرع الملك وتابع له فيمنع كونه شرطاً فيه، وإلّا لزم كون الشيء الواحد سابقاً على آخر ولاحقاً له، وهو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بوجه آخر، وهو أنّ التصرّف فيه لا يجوز حتّى يصير ملكاً؛ لقبح التصرّف في مال الغير، ولايصير ملكاً حتى يتصرّف فيه، فيلزم توقّف التصرّف على الملك وبالعكس، و هو دَوْر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لمنع تبعيّة التصرّف للملك وتوقّفه عليه، بل يكفي فيه إذن المالك، وهو حاصل هنا بالإيجاب المقترن بالقبول، فيكون ذلك سبباً تامّاً في جواز التصرّف، وناقصاً في إفادة الملك، وبالتصرّف يحصل تمام سبب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فالأصحّ أنّه يملك بالقبض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للمقترض ارتجاعه؟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كره المقترض،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هنا مبنيّ على ما سبق، فإنْ قلنا إنّه لا يملك إلّا بالتصرّف فللمقرض الرجوع في العين قبله؛ لأنّها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يملك بالقبض فلا، ويمكن جريان الخلاف هنا على هذا التقدير أيضاً، كما هو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القرض من العقود الجائزة ويصحّ الرجوع فيه وفسخه، ويفتقر الرجوع إلى عين المال لا إلى عوضه، كالهبة والبيع بخيار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التأجيل في القرض لم يلزم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شرط تأجيل مال القرض في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ما هو أعمّ، بأن يشرط في عقد القرض تأجيل مال حالّ، سواء كان القرض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فيهما واحد؛ لأنّ عقد القرض كما مرّ من العقود الجائزة، لا يلزم ما يشترط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تأجيله في غير القرض من العقود اللازمة، بأن باعه شيئاً وشرط عليه تأجيل دينه إلى شهر مثلاً، فالأقوى لزومه ووجوب الوفاء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أجّل الحالّ لم يتأجّل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مهجورة تحمل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بتأجيل الحالّ أنْ يعبّر صاحب الدين بعبارة تدلّ عليه من غير ذكره في عقد كما مرّ،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أجّلتك في هذا الدين مدّة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اللزوم بذلك واضح؛ إذ ليس ذلك بعقد يجب الوفاء به، بل هو وعد يستحبّ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أخّره بزيادة فيه، لم تثبت الزيادة ولا الأجل، نعم يصحّ تعجيله بإسقاط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تراضيهما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يعتبر التراضي في إسقاط البعض يعتبر في تعجيله بغير إسقاط، لكن إسقاط الأجل يكفي فيه مجرّد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إسقاط بعض الحقّ فيتوقف على لفظ يدلّ عليه صريحاً، كالإبراء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 غاب صاحبه غيبةً منقطعةً، يجب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يعرفه اجتهد في طلبه، ومع اليأس يتصدّق به عنه،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في ذلك إلى الحاكم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 إليه فلا ضمان وإنْ تلفت في يده بغير تفريط ولم يرض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تلف في يده حيث يعوله ويبقيه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إذا باع ما لا يصحّ للمسلم تملّكه كالخمر جاز دفع الثمن إلى المسلم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بالذمّي لإخراج الحربي؛ إذ لا يجوز أخذ ثمن ذلك منه؛ لعدم إقرار الشريعة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تقييد الذمّي بكونه مستتراً في بيع ذلك، فلو تظاهر به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لاثنين مال في ذمم، ثمّ تقاسما بما في الذمم، فكلّ ما يحصل لهما، وما يتوى منهما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 قسمة ما في الذمم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البطلان بلازمه، وهو كون الحاصل لهما والذاهب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جعلا ذلك على وجه الصلح بعضاً ببعض ففي الصحّة قوّة، بناء على أصالة عقده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يتوى إذا هلك</w:t>
      </w:r>
      <w:r>
        <w:rPr>
          <w:rFonts w:eastAsia="Amiri" w:cs="Amiri" w:ascii="Amiri" w:hAnsi="Amiri"/>
          <w:color w:val="111111"/>
          <w:sz w:val="28"/>
          <w:szCs w:val="28"/>
          <w:rtl w:val="true"/>
          <w:lang w:bidi="ar-SA"/>
        </w:rPr>
        <w:t xml:space="preserve">. </w:t>
      </w:r>
      <w:bookmarkStart w:id="967" w:name="pg10178_83864"/>
    </w:p>
    <w:p>
      <w:pPr>
        <w:pStyle w:val="BookText"/>
        <w:rPr/>
      </w:pPr>
      <w:bookmarkEnd w:id="96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الدين بأقلّ منه، لم يلزم المدين أنْ يدفع إلى المشتري أكثر ممّا بذله،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مع صحّة البيع يلزمه دفع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رعاية شروط الربا والصرف لو كان أثماناً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ذلك بصيغة الصلح صحّ أيضاً، وسلم من اعتبار الصرف دون الربا، على الأقوى</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2019048_1067777946"/>
      <w:bookmarkStart w:id="969" w:name="_Toc362"/>
      <w:bookmarkEnd w:id="968"/>
      <w:r>
        <w:rPr>
          <w:rtl w:val="true"/>
        </w:rPr>
        <w:t>[</w:t>
      </w:r>
      <w:r>
        <w:rPr>
          <w:rtl w:val="true"/>
        </w:rPr>
        <w:t>المقصد السادس في دين المملوك</w:t>
      </w:r>
      <w:r>
        <w:rPr>
          <w:rtl w:val="true"/>
        </w:rPr>
        <w:t>]</w:t>
      </w:r>
      <w:bookmarkEnd w:id="9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للمملوك أنْ يتصرّف في نفسه بإجارة،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أذن له المالك أنْ يشتري لنفسه، وفيه تردّد؛ لأنّه يملك وطء الأمة المبتاعة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سقوط التحليل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أذن له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السابق، وهو المنع من تصرّف العبد مجرّداً عن قيد الاستثناء؛ لأنّ المفروض وقوع الإذن هنا مع التردّد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لا يملك بذلك، ولا يستبيح الوطء وما ذكره من التعليل في محلّ النزاع، وكذا القطع بسقوط التحليل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أذن له المالك في الاستدانة، كان الدين لازماً للمولى إن استبقاه أو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أعتقه،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في ذمّة العبد،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باقياً في ذمّة المولى، وهو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النزاع ما إذا استدان العبد بإذن المولى لنفسه، أمّا لو استدان للمولى فهو على المولى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 القولين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له النسيئة كان الثمن في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الثمن لزم المولى عوضه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تلف المدفوع إليه ليجعله ثمناً قبل تسليمه إلى البائع والحال أنّه قد اشترى نسيئة، فإنّه يلزم المولى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 الثمن المعيّن، كما يقتضيه ظاهر لفظ </w:t>
      </w:r>
      <w:bookmarkStart w:id="970" w:name="pg10178_83865"/>
    </w:p>
    <w:p>
      <w:pPr>
        <w:pStyle w:val="BookText"/>
        <w:rPr/>
      </w:pPr>
      <w:bookmarkEnd w:id="9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تلفه يبطل البيع، فلا يلزم المولى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في التجارة لم يكن ذلك إذناً لمملوك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مملوك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بناءً على القول بأنّه يملك، وأن يريد به المجازي؛ ليشمل من هو في خدمته من مماليك المولى حالة التجارة، بحيث يدخل تحت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بهما واحد؛ لانّ المولى إنّما اعتمد على نظره، فلم يمكن له تجاوزه بالاستنابة، كالوكيل، حيث لا يدلّ على الإذن له دليل من خارج</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019050_1067777946"/>
      <w:bookmarkStart w:id="972" w:name="_Toc363"/>
      <w:bookmarkEnd w:id="971"/>
      <w:r>
        <w:rPr>
          <w:rtl w:val="true"/>
        </w:rPr>
        <w:t>[</w:t>
      </w:r>
      <w:r>
        <w:rPr>
          <w:rtl w:val="true"/>
        </w:rPr>
        <w:t>خاتمة</w:t>
      </w:r>
      <w:r>
        <w:rPr>
          <w:rtl w:val="true"/>
        </w:rPr>
        <w:t>]</w:t>
      </w:r>
      <w:bookmarkEnd w:id="97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وأُجرة بائع الأمتعة على البائع، ومشتريها على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أُجرة الدلّال على من يأمره فإنْ أمره الإنسان ببيع متاع فباعه له فأُجرته على البائع الآمر له لاعلى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أمره إنسان أنْ يشتري له متاعاً ولم يأمره مالکه ببيعه فأُجرته على المشتري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استحقّ الأُجرة وإنْ لم يشارط عليها؛ لأنّ هذا العمل ممّا يستحقّ عليه أُجرة في العادة، والدلّال أيضاً ناصب نفسه للأُجرة فيستحقّها، كما سيأتي في 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باع واشترى فأُجرة ما يبيع على الأمر ببيعه، وأُجرة الشراء على الأمر بالشراء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يتولّاهما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كون الدلّال باع أمتعة شخص، واشترى أمتعة لشخص آخر غير تلك الأمتعة، فهاهنا يستحقّ أُجرتين على العمَلَين؛ لعدم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قسم ثالث للمسألة السابقة التي اشتملت على استحقاقه أُجرة واحدة من البائع على ما باعه، وأُجرة واحدة من المشتري على ما اشتراه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يتولّاهما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سياق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ممّا عبّر فيه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بذلك أنّ الشخص الواحد لا يتولّى العملين في متاع واحد، بحيث يستحقّ به أُجرة على البائع الذي أمره بالبيع والمشتري الذي أمره بالشراء، بل لا يستحقّ إلّا أُجرة </w:t>
      </w:r>
    </w:p>
    <w:p>
      <w:pPr>
        <w:pStyle w:val="BookText"/>
        <w:rPr/>
      </w:pPr>
      <w:r>
        <w:rPr>
          <w:rFonts w:ascii="Amiri" w:hAnsi="Amiri" w:eastAsia="Amiri" w:cs="Amiri"/>
          <w:color w:val="111111"/>
          <w:sz w:val="28"/>
          <w:sz w:val="28"/>
          <w:szCs w:val="28"/>
          <w:rtl w:val="true"/>
          <w:lang w:bidi="ar-SA"/>
        </w:rPr>
        <w:t>واحدة؛ لأنّه عمل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البيع مبنيّ على المكايسة والمغالبة، ولا يكون الشخص الواحد غالباً ومغلوباً، والعمل بالحالة الوسطى خارج عن مطلوبهما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فمن كايس له استحقّ عليه الأُجرة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إطلاقه بما لو كان السعر مضبوطاً عادة، بحيث لا يحتاج إلى المماكسة، أو كانا قد اتّفقا على قدر معلوم وأرادا توليّه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عليهما أُجرة واحدة بالسويّة، سواء افترقا في الأمر أم تلاحقا، مع احتمال كون الأُجرة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جوّزنا للواحد تولّي طرفي العقد، وإلّا فعدم استحقاق الواحد لهما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على بُعد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الإيجاب والقبول المدلول عليهما بالمقام أو بالبيع والشراء، فيكون ذهاباً إلى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يعود الضمير إلى الأُجرتين، بناء على المنع من تولّي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نزّل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Style w:val="FootnoteAnchor"/>
          <w:rtl w:val="true"/>
        </w:rPr>
        <w:footnoteReference w:id="331"/>
      </w:r>
      <w:r>
        <w:rPr>
          <w:rFonts w:ascii="Amiri" w:hAnsi="Amiri" w:eastAsia="Amiri" w:cs="Amiri"/>
          <w:color w:val="111111"/>
          <w:sz w:val="28"/>
          <w:sz w:val="28"/>
          <w:szCs w:val="28"/>
          <w:rtl w:val="true"/>
          <w:lang w:bidi="ar-SA"/>
        </w:rPr>
        <w:t>كلام الأصحاب في هذه العبارة؛ لأنّها عبارة متداولة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المصنّف وكثيراً ممّن عبّر بذلك لا يرى المنع من تولّى الواحد الطرفين، فتنزيل كلامه على ما لا يوافق مذهبه ليس بجيّدِ</w:t>
      </w:r>
      <w:r>
        <w:rPr>
          <w:rFonts w:eastAsia="Amiri" w:cs="Amiri" w:ascii="Amiri" w:hAnsi="Amiri"/>
          <w:color w:val="111111"/>
          <w:sz w:val="28"/>
          <w:szCs w:val="28"/>
          <w:rtl w:val="true"/>
          <w:lang w:bidi="ar-SA"/>
        </w:rPr>
        <w:t xml:space="preserve">. </w:t>
      </w:r>
      <w:bookmarkStart w:id="973" w:name="pg10178_83867"/>
    </w:p>
    <w:p>
      <w:pPr>
        <w:pStyle w:val="Heading2"/>
        <w:numPr>
          <w:ilvl w:val="1"/>
          <w:numId w:val="1"/>
        </w:numPr>
        <w:rPr/>
      </w:pPr>
      <w:bookmarkStart w:id="974" w:name="__RefHeading___Toc2019052_1067777946"/>
      <w:bookmarkStart w:id="975" w:name="_Toc364"/>
      <w:bookmarkEnd w:id="973"/>
      <w:bookmarkEnd w:id="974"/>
      <w:r>
        <w:rPr>
          <w:rtl w:val="true"/>
        </w:rPr>
        <w:t>كتاب الرهن</w:t>
      </w:r>
      <w:bookmarkEnd w:id="975"/>
    </w:p>
    <w:p>
      <w:pPr>
        <w:pStyle w:val="Heading3"/>
        <w:numPr>
          <w:ilvl w:val="2"/>
          <w:numId w:val="1"/>
        </w:numPr>
        <w:rPr/>
      </w:pPr>
      <w:bookmarkStart w:id="976" w:name="__RefHeading___Toc2019054_1067777946"/>
      <w:bookmarkStart w:id="977" w:name="_Toc365"/>
      <w:bookmarkEnd w:id="976"/>
      <w:r>
        <w:rPr>
          <w:rtl w:val="true"/>
        </w:rPr>
        <w:t>[</w:t>
      </w:r>
      <w:r>
        <w:rPr>
          <w:rtl w:val="true"/>
        </w:rPr>
        <w:t>الفصل الأوّل في الرهن</w:t>
      </w:r>
      <w:r>
        <w:rPr>
          <w:rtl w:val="true"/>
        </w:rPr>
        <w:t>]</w:t>
      </w:r>
      <w:bookmarkEnd w:id="97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والقبول هو الرضى بذلك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ينحصر في لفظ، بل كلّ ما دلّ على الرضى به كفى؛ لأنّه من العقود الجائزة من طرف المرتهن، فيكفي فيه ما يكفي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المصنِّف الاكتفاء فيه بالفعل الدالّ عليه أيضاً؛ لأنّ الرضى يمكن أن يستفاد من الفعل ولكنّ الأجود اعتبار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الارتهان سفراً وحضراً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w:t>
      </w:r>
      <w:r>
        <w:rPr>
          <w:rStyle w:val="FootnoteAnchor"/>
          <w:rtl w:val="true"/>
        </w:rPr>
        <w:footnoteReference w:id="332"/>
      </w:r>
      <w:r>
        <w:rPr>
          <w:rFonts w:ascii="Amiri" w:hAnsi="Amiri" w:eastAsia="Amiri" w:cs="Amiri"/>
          <w:color w:val="111111"/>
          <w:sz w:val="28"/>
          <w:sz w:val="28"/>
          <w:szCs w:val="28"/>
          <w:rtl w:val="true"/>
          <w:lang w:bidi="ar-SA"/>
        </w:rPr>
        <w:t>، حيث شرط في صحّته السفر؛ نظراً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عَلَى سَفَرٍ وَلَمْ تَجِدُوا كَاتِبًا فَرِهَانٌ مَقْبُوضَةٌ</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بأنّه مبنيّ على الأغلب، فإنّ عدم الكاتب عادةً لا يكون إلّا في السفر،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مَّرْضَى أَوْ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فإنّ السفر مظنّة لعدم الماء غالباً بخلاف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باشتراطه بعدم الكاتب، مع أنّه غير شرطٍ بموافقة الخصم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القبض شرط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اشتراطه في الصحّة ولا في اللزوم، ووصف الرهن بالقبض في الآية للإرشاد لا للاشتراط، كما يرشد إليه اشتراطه بالسفر وعدمِ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قبضه من غير إذن الراهن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لم 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يلزم منه لزوم الرهن، وليس المراد بالمنفيّ انعقاد الرهن؛ لأنّه ينعقد بدون القبض، وإن قلنا بكونه شرطاً غايته أنّه لا يلزم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يريد أنّه لا 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لا يلزم بذلك، ويكون الانعقاد كناية عن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عطفه حكم المسألة الآتية على هذا الحكم، وإنّما يتمّ مع إرادة انعقاد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ما هو في يد المرتهن لزم، ولو كان غصباً؛ لتحقّق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قبضه بالغصب ونحوه غير كافٍ، بل يفتقر إلى إذن جديد له ومضيّ زمان يمكن فيه تجديده، وحينئذٍ فالضمان باق عليه إلى أن يحصل 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رهن ما هو غائب لم يصر رهناً حتّى يحضر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القائم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الرهن ويقبضه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لا يصير رهناً لازماً بدون ذلك، وإلّا فقد تقدّم أنّ أصل الرهن يتحقّق بدون القبض، بناء على اشتراطه وإنّما يعتبر حضور المرتهن عنده إذا كان الرهن منقولاً؛ لأنّ المعتبر في قبضه نقله، أمّا لو كان غير منقول كفى التخلية وكونه تحت يده، بحيث يتحقّق القبض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الراهن بالإقباض قُضي عليه إذا لم يعلم كذبه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رهنته اليوم داري التي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وأقبضته إيّاها، فإنّه لا يلتفت إليه؛ لأنّه محالٌ عادةً، بناءً على ماسلف من اعتبار وصول المرتهن، أو من يقوم مقامه، إلى الرهن ويقبضه، أو على ما اخترناه من دخوله تحت اليد عادةً</w:t>
      </w:r>
      <w:r>
        <w:rPr>
          <w:rFonts w:eastAsia="Amiri" w:cs="Amiri" w:ascii="Amiri" w:hAnsi="Amiri"/>
          <w:color w:val="111111"/>
          <w:sz w:val="28"/>
          <w:szCs w:val="28"/>
          <w:rtl w:val="true"/>
          <w:lang w:bidi="ar-SA"/>
        </w:rPr>
        <w:t xml:space="preserve">. </w:t>
      </w:r>
      <w:bookmarkStart w:id="978" w:name="pg10178_83869"/>
    </w:p>
    <w:p>
      <w:pPr>
        <w:pStyle w:val="BookText"/>
        <w:rPr/>
      </w:pPr>
      <w:bookmarkEnd w:id="9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وتسمع دعواه لو ادّعى المواطأة على الإشهاد، ويتوجّه اليمين على المرتهن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حيث لا يحصل بذلك تكذيب الشهود بأن شهد الشاهدان بنفس الإقباض، ومثله ما لو شهدا على إقراره به فأنكر الإقرار فلا يتوجّه له بذلك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تسليم المشاع إلّا برضى شريكه، سواء كان ممّا ينقل أو لا ينقل،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اشتراط إذنه في غير المنقول، وعلى تقديره لو قبضه بغير إذن الشريك تحقّق قبض الرهن على الأقوى، وإن كان محرّماً</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2019056_1067777946"/>
      <w:bookmarkStart w:id="980" w:name="_Toc366"/>
      <w:bookmarkEnd w:id="979"/>
      <w:r>
        <w:rPr>
          <w:rtl w:val="true"/>
        </w:rPr>
        <w:t>[</w:t>
      </w:r>
      <w:r>
        <w:rPr>
          <w:rtl w:val="true"/>
        </w:rPr>
        <w:t>الفصل الثاني في شرائط الرهن</w:t>
      </w:r>
      <w:r>
        <w:rPr>
          <w:rtl w:val="true"/>
        </w:rPr>
        <w:t>]</w:t>
      </w:r>
      <w:bookmarkEnd w:id="9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رهن المدبّر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صرّح برهن خدمته مع بقاء التدبير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من جزئيّات رهن المنفعة، وقد تقدّم عدم جوازه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خصّها بالذكر؛ لما روي من جواز بيع خدمته </w:t>
      </w:r>
      <w:r>
        <w:rPr>
          <w:rStyle w:val="FootnoteAnchor"/>
          <w:rtl w:val="true"/>
        </w:rPr>
        <w:footnoteReference w:id="336"/>
      </w:r>
      <w:r>
        <w:rPr>
          <w:rFonts w:ascii="Amiri" w:hAnsi="Amiri" w:eastAsia="Amiri" w:cs="Amiri"/>
          <w:color w:val="111111"/>
          <w:sz w:val="28"/>
          <w:sz w:val="28"/>
          <w:szCs w:val="28"/>
          <w:rtl w:val="true"/>
          <w:lang w:bidi="ar-SA"/>
        </w:rPr>
        <w:t>، فيصحّ رهنها، والأقوى 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رهن المسلم خمراً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وضعها على يد ذمّي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أرض الخراج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الخراج هي المفتوحة عنوة والتي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على أن تكون ملكاً للمسلمين وضرب عليهم الخراج، والأقوى جواز رهنها تبعاً لآثار التصرّف من بناءٍ و شجرٍ ونحوهما، لا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ما لا يصحّ إقباضه، كالطير في الهواء والسمك في الماء، لم يصحّ رهنه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اشتراط القبض، ومعه ينبغي تقييد الطير بما لا يوثق بعوده عادة، والسمك </w:t>
      </w:r>
      <w:bookmarkStart w:id="981" w:name="pg10178_83870"/>
    </w:p>
    <w:p>
      <w:pPr>
        <w:pStyle w:val="BookText"/>
        <w:rPr/>
      </w:pPr>
      <w:bookmarkEnd w:id="981"/>
      <w:r>
        <w:rPr>
          <w:rFonts w:ascii="Amiri" w:hAnsi="Amiri" w:eastAsia="Amiri" w:cs="Amiri"/>
          <w:color w:val="111111"/>
          <w:sz w:val="28"/>
          <w:sz w:val="28"/>
          <w:szCs w:val="28"/>
          <w:rtl w:val="true"/>
          <w:lang w:bidi="ar-SA"/>
        </w:rPr>
        <w:t>بكونه في ماءٍ غير محصورٍ بحيث يتعذّر قبضه عادة، وإلّا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رهن عند الكافر عبداً مسلماً، أو مصحفاً،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ويوضع على يد مسلم، و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الرهن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المبيع بنفس العقد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التعليل أنّ الراهن هو المشتري، بناءً على انتقال الملك إليه بالعقد، خلافاً للشيخ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حينئذٍ جواز رهن المشتري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بملكه؛ لما فيه من التعرّض لإبطال حقّ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الخيار له خاصّة فلا إشكال، ويكون الرهن مبطلاً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للبائع رهنه لو كان الخيار له، أو لهما، ويكون فسخاً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رهن العبد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والجاني خطأً، وفي العمد تردّد، والأشبه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ثمّ إنْ قُتل بطل الرهن، وإن فداه مولاه أوعفا الولي بقي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ما يسرع إليه الفساد قبل الأجل، فإنْ شرط بيعه جاز وإلّا 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ويجبر مالكه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وموضع الخلاف ما لا يمكن إصلاحه بتجفيفه، كالعنب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صحّ رهنه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لا يفسد إلّا بعد حلوله، بحيث يمكن بيعه قبله، فإنّه 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الدين حالّاً؛ لإمكان حصول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يصحّ الرهن ويترك المرتهن البيع فيفسد ضمن، إن لم ينهه المالك عن البيع، وإلّا لم يضمن</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2019058_1067777946"/>
      <w:bookmarkStart w:id="983" w:name="_Toc367"/>
      <w:bookmarkEnd w:id="982"/>
      <w:r>
        <w:rPr>
          <w:rtl w:val="true"/>
        </w:rPr>
        <w:t>[</w:t>
      </w:r>
      <w:r>
        <w:rPr>
          <w:rtl w:val="true"/>
        </w:rPr>
        <w:t>الفصل الثالث في الحقّ</w:t>
      </w:r>
      <w:r>
        <w:rPr>
          <w:rtl w:val="true"/>
        </w:rPr>
        <w:t>]</w:t>
      </w:r>
      <w:bookmarkEnd w:id="9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مال الكتابة، ولو قيل بالجواز فيه كان أشبه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مبنيٌّ على لزومها وعدمه، والأقوى أنّها لازمة مطلقاً، فيصحّ الرهن على مالها مطلقاً</w:t>
      </w:r>
      <w:r>
        <w:rPr>
          <w:rFonts w:eastAsia="Amiri" w:cs="Amiri" w:ascii="Amiri" w:hAnsi="Amiri"/>
          <w:color w:val="111111"/>
          <w:sz w:val="28"/>
          <w:szCs w:val="28"/>
          <w:rtl w:val="true"/>
          <w:lang w:bidi="ar-SA"/>
        </w:rPr>
        <w:t xml:space="preserve">. </w:t>
      </w:r>
      <w:bookmarkStart w:id="984" w:name="pg10178_83871"/>
    </w:p>
    <w:p>
      <w:pPr>
        <w:pStyle w:val="BookText"/>
        <w:rPr/>
      </w:pPr>
      <w:bookmarkEnd w:id="98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على ما لا يمكن استيفاؤه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آجره نفسه شهراً معيّناً، أو داره كذلك، أو دابّته المعيّنة لحملٍ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لأنّ تلك المنفعة لا يمكن استيفاؤها إلّا من العين المخصوصة، حتّى لو تعذّر الاستيفاء منها لموتٍ وخرابٍ ونحو هما بطلت الإجارة، بخلاف الإجارة المتعلّقة بالذمّة، كما لو استأجره على تحصيل خياطة ثوبٍ بنفسه أو بغيره، فإنّ الواجب تحصيل المنفعة على أيّ وجهِ اتّفق، فيصحّ الرهن عليها؛ لإمكان استيفائها من الرهن</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2019060_1067777946"/>
      <w:bookmarkStart w:id="986" w:name="_Toc368"/>
      <w:bookmarkEnd w:id="985"/>
      <w:r>
        <w:rPr>
          <w:rtl w:val="true"/>
        </w:rPr>
        <w:t>[</w:t>
      </w:r>
      <w:r>
        <w:rPr>
          <w:rtl w:val="true"/>
        </w:rPr>
        <w:t>الفصل الخامس في المرتهن</w:t>
      </w:r>
      <w:r>
        <w:rPr>
          <w:rtl w:val="true"/>
        </w:rPr>
        <w:t>]</w:t>
      </w:r>
      <w:bookmarkEnd w:id="9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لوليّ اليتيم أخذ الرهن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كون الجواز بمعناه الأعمّ فيشمل الوجوب، فإنّه لا يجوز بيع ماله نسيئة، ولا إدانته حيث يجوز، إلّا بالرهن الذي يمكن استيفاء جميع الحقّ منه، ويعتبر مع ذلك كونه بيد الوليّ، أو بيد عدلٍ، والإشهاد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ببعض هذه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تعذّر اقتصر على إقراضه من الثقة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تعذّر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وجوبه حينئذٍ كشرطه تعذّره في إقراضه الثقة، فيؤيّد كون الجواز في السابق بمعناه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في ظاهر الحال، بمعنى الاكتفاء بظاهر أمره، ولا يشترط العلم بذلك؛ لتعذّره، فعبّر عن الظاهر بالغالب، نظراً إلى أنّ الظاهر يتحقّق بكون الغالب على حاله كونه ثقة، لا أنّ المراد كونه في غالب أحواله ثقةً دون القليل منها، فإنّ ذلك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ونظائره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للراهن فسخ الوكالة، على تردّدٍ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لزومها من قِبَل الراهن وإن كانت جائزة بدون الشرط؛ لكونها مشروطة في عقد لازم من جهة الراهن، وشرطها كافٍ في تحقّقها، فيكون كجزء من الإيجاب والقبول، فحيث يكون لازماً يلزم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المرتهن ولم يعلم الرهن، كان كسبيل ماله حتّى يعلم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الرهن لم يعلم كونه موجوداً في التركة ولا معدوماً، فحينئذٍ يكون كسبيل مال المرتهن، أي بحكم ماله، بمعنى أنّه لا يحكم للراهن في التركة بشيء، عملاً بظاهر حال كون ما تركه لورثته، وأصالة براءة ذمّته من حقّ الراهن؛ إذ الرهن لم يتعلّق بذمّته؛ لأنّه أمانة، ولا بماله؛ لأصالة بقاء ماله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الرهن في التركة يقيناً، سواء علم معيّناً أم مشتبهاً في جملة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والمرتهن أحقّ باستيفاء دينه من غيره من الغرماء، سواء كان الراهن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تقديم المرتهن على غرماء الميّت، فقد روي أنّه حينئذٍ وغيره سواء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تقديمه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للرهن مؤونة، كالدابّة، أنفق عليها وتقاصّا،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عليها كان له ركوبها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ليس للمرتهن التصرّف في الرهن مطلقاً إلّا بإذن الراهن، فإن تصرّف لزمته الأُجرة فيما له أُجرة، والمثل أو القيمة فيما يضمن كذلك، كاللبن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النفقة فإن أمَره الراهن بها رجع بما غرم، وإلّا استأذنه، فإن امتنع أو غاب رفع أمره إلى الحاكم، فإن تعذَّر أنفق هو بنيّة الرجوع، وأشهد عليه؛ ليثبت له استحقاقه، فإن تصرّف مع ذلك في شيء ممّا ذكر سابقاً ضمنه مع الإثم، وتقاصّا، ورجع ذو الفضل بفضله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للمرتهن أن يستوفي دَينه ممّا في يده إن خاف جحود الوارث مع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لم يكن وكيلاً في البيع، إمّا لعدمها ابتداءً، وإمّا لبطلانها بموت الراهن، كما </w:t>
      </w:r>
      <w:bookmarkStart w:id="987" w:name="pg10178_83873"/>
    </w:p>
    <w:p>
      <w:pPr>
        <w:pStyle w:val="BookText"/>
        <w:rPr/>
      </w:pPr>
      <w:bookmarkEnd w:id="987"/>
      <w:r>
        <w:rPr>
          <w:rFonts w:ascii="Amiri" w:hAnsi="Amiri" w:eastAsia="Amiri" w:cs="Amiri"/>
          <w:color w:val="111111"/>
          <w:sz w:val="28"/>
          <w:sz w:val="28"/>
          <w:szCs w:val="28"/>
          <w:rtl w:val="true"/>
          <w:lang w:bidi="ar-SA"/>
        </w:rPr>
        <w:t>مرّ، فإنّ له حينئذٍ أن يبيع بنفسه ويستوفي إن خاف جحود الوارث الدين، ولكنّ المراد الخوف المستند إلى القرائن المثمرة للظنّ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عدم البيّنة المقبولة عند الحاكم، وإلّا لم يجز، بل يثبت عنده الدين والرهن، ويستأذنه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وطئ المرتهن الأمة مكرِهاً كان عليه عشر قيمتها أو نصف العشر،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مهر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العشر إن كانت بكراً، ونصفه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طاوعته لم يكن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ثبوته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باع المرتهن أو العدل الرهنَ، ودفع الثمن إلى المرتهن، ثمّ ظهر فیه عيب، لم يكن للمشتري الرجوع على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استحقّ الرهن استعاد المشتري الثمن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العيب والاستحقاق أنّ العيب لا يبطل البيع، وإنّما يبطل بفسخ المشتري من حينه، وهو مسبوق بقبض المرتهن الثمن، وتعلّق حقّ الوثيقة به، سواء كان قد أخذه من دَينه أم أبقاه وثيقةً، فيرجع المشتري على الراهن بعوض الثمن، بخلاف ظهور استحقاق الرهن، فإنّه يبطل البيع من أصله، فلا يدخل الثمن في ملك الراهن</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2019062_1067777946"/>
      <w:bookmarkStart w:id="989" w:name="_Toc369"/>
      <w:bookmarkEnd w:id="988"/>
      <w:r>
        <w:rPr>
          <w:rtl w:val="true"/>
        </w:rPr>
        <w:t>[</w:t>
      </w:r>
      <w:r>
        <w:rPr>
          <w:rtl w:val="true"/>
        </w:rPr>
        <w:t>الفصل السادس في اللواحق</w:t>
      </w:r>
      <w:r>
        <w:rPr>
          <w:rtl w:val="true"/>
        </w:rPr>
        <w:t>]</w:t>
      </w:r>
      <w:bookmarkEnd w:id="989"/>
    </w:p>
    <w:p>
      <w:pPr>
        <w:pStyle w:val="Heading4"/>
        <w:numPr>
          <w:ilvl w:val="3"/>
          <w:numId w:val="1"/>
        </w:numPr>
        <w:rPr/>
      </w:pPr>
      <w:bookmarkStart w:id="990" w:name="__RefHeading___Toc2019064_1067777946"/>
      <w:bookmarkStart w:id="991" w:name="_Toc370"/>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صحّة العتق مع الإجازة تردّد، والوجه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المشبه به عدم جواز تصرّف الراهن في الرهن بشيء من الأُمور المذكورة سابقاً، فالعطف على أوّل المسألة </w:t>
      </w:r>
      <w:r>
        <w:rPr>
          <w:rStyle w:val="FootnoteAnchor"/>
          <w:rtl w:val="true"/>
        </w:rPr>
        <w:footnoteReference w:id="339"/>
      </w:r>
      <w:r>
        <w:rPr>
          <w:rFonts w:ascii="Amiri" w:hAnsi="Amiri" w:eastAsia="Amiri" w:cs="Amiri"/>
          <w:color w:val="111111"/>
          <w:sz w:val="28"/>
          <w:sz w:val="28"/>
          <w:szCs w:val="28"/>
          <w:rtl w:val="true"/>
          <w:lang w:bidi="ar-SA"/>
        </w:rPr>
        <w:t>، لا على مسألة العتق؛ لأنّها تأتي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عتقه مع إجازة الراهن تردّد، والوجه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عتق الراهن </w:t>
      </w:r>
      <w:bookmarkStart w:id="992" w:name="pg10178_83874"/>
    </w:p>
    <w:p>
      <w:pPr>
        <w:pStyle w:val="BookText"/>
        <w:rPr/>
      </w:pPr>
      <w:bookmarkEnd w:id="992"/>
      <w:r>
        <w:rPr>
          <w:rFonts w:ascii="Amiri" w:hAnsi="Amiri" w:eastAsia="Amiri" w:cs="Amiri"/>
          <w:color w:val="111111"/>
          <w:sz w:val="28"/>
          <w:sz w:val="28"/>
          <w:szCs w:val="28"/>
          <w:rtl w:val="true"/>
          <w:lang w:bidi="ar-SA"/>
        </w:rPr>
        <w:t>والمرتهن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الراهن مالك وإنّما كان المانع تعلّق حقّ المرتهن وقد زال بإجازته، بخلاف المرتهن فإنّه غير مالك، ولا عتق إلّا في مِلكٍ، فيكون كالفضولي لا يصحّح عتقه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تباع؟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دام الولد حيّاً،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حقّ المرتهن أسبق،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 الأجل وتعذّر الأداء كان للمرتهن البيع إنْ كان وكيلاً، وإلّا رفع أمره إلى الحاكم، ليلزمه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أمكن إثبات الحقّ عند الحاكم، وإلّا جاز استقلاله بالبيع بنفسه واستيفاء حقّه، ومثله ما لو تعذّر وصوله إلى الحاكم وإن كان له بيّنة</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2019066_1067777946"/>
      <w:bookmarkStart w:id="994" w:name="_Toc371"/>
      <w:bookmarkEnd w:id="993"/>
      <w:r>
        <w:rPr>
          <w:rtl w:val="true"/>
        </w:rPr>
        <w:t>[</w:t>
      </w:r>
      <w:r>
        <w:rPr>
          <w:rtl w:val="true"/>
        </w:rPr>
        <w:t>أحكام متعلّقة بالرهن</w:t>
      </w:r>
      <w:r>
        <w:rPr>
          <w:rtl w:val="true"/>
        </w:rPr>
        <w:t>]</w:t>
      </w:r>
      <w:bookmarkEnd w:id="9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إن لم يؤدّ الدين أن يكون الرهن مبيعاً،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رهنه الرهن على الدين المؤجّل، وشرط أنّه إن لم يؤدّ الدين في ذلك الأجل يكون الرهن مبيعاً له بالدين، أو بقدرٍ مخصوص، فإنّه لا يصحّ الرهن، ولا البيع؛ لأنّ الرهن لا يتوقّف والبيع لا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قبضه على هذا الوجه ضمنه بعد الأجل لاقبله؛ لأنّه في مدّة الأجل رهن فاسد، وبعده مبيع فاسد، وفاسد كلّ عقدٍ يتبع صحيحه في الضمان وعدمه، وحيث كان صحيح الرهن غير مضمون ففاسده كذلك، وحيث كان صحيح البيع مضموناً ففاسده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غصبه ثمّ رهنه صحّ، ولم يزل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في يده مبيع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أسقط عنه الضمان صحّ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المال المجعول رهناً، وأمّا المستكنّ فيهما فلايخلو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بناء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للمعلوم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للمجهول، أي لو غصب المال غاصب ثمّ رهن الغاصبَ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الراهن هو المالك </w:t>
      </w:r>
    </w:p>
    <w:p>
      <w:pPr>
        <w:pStyle w:val="BookText"/>
        <w:rPr/>
      </w:pPr>
      <w:r>
        <w:rPr>
          <w:rFonts w:ascii="Amiri" w:hAnsi="Amiri" w:eastAsia="Amiri" w:cs="Amiri"/>
          <w:color w:val="111111"/>
          <w:sz w:val="28"/>
          <w:sz w:val="28"/>
          <w:szCs w:val="28"/>
          <w:rtl w:val="true"/>
          <w:lang w:bidi="ar-SA"/>
        </w:rPr>
        <w:t>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يزل الضمان عن المرتهن الغاصب بمجرّد الرهن، مع تحقّق القبض بمجرّد العقد عند المصنِّف، كما تقدّم؛ لأنّ الضمان كان ثابتاً من قبل، ولم يحصل ما يزيله،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القبض للرهن مزيلاً؛ لأنّه يجامع الضمان، كما لو تعدّى المرتهن في الرهن فلا ينافيه؛ ولأنّ دوام الرهن إذا لم يمنع ابتداء الضمان بمثل التعدّي فابتداؤه أولى بعدم المنع، خصوصاً للضمان المستدام بالغصب؛ لأنّ الابتداء في كلّ من الرهن والضمان أضعف من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بمجرّد العقد </w:t>
      </w:r>
      <w:r>
        <w:rPr>
          <w:rStyle w:val="FootnoteAnchor"/>
          <w:rtl w:val="true"/>
        </w:rPr>
        <w:footnoteReference w:id="340"/>
      </w:r>
      <w:r>
        <w:rPr>
          <w:rFonts w:ascii="Amiri" w:hAnsi="Amiri" w:eastAsia="Amiri" w:cs="Amiri"/>
          <w:color w:val="111111"/>
          <w:sz w:val="28"/>
          <w:sz w:val="28"/>
          <w:szCs w:val="28"/>
          <w:rtl w:val="true"/>
          <w:lang w:bidi="ar-SA"/>
        </w:rPr>
        <w:t>لانصراف القبض بعده إلى الرهن المقتضي لصيرورته أمانةً، و لزوال السبب المقتضي للضمان، 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جدّد له المالك الأذن في القبض فزوال الضمان أقوى؛ لأنّ إذنه حينئذٍ بمنزلة قبضه إيّاه ثمّ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قبض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حملت الشجرة، أو الدابّة، أو المملوكة بعد الارتهان، كان الحمل رهناً كالأصل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دخوله إلّا مع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رهن النخل لم تدخل الثمرة وإنْ لم تؤبّر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لاتدخل ثمرة غيره بعد ظهورها مطلقاً 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ثمرة النخل، للتنبيه على أنّ دخولها في بيع الشجرة قبل التأبير مختصّ بالبيع عندنا، وعلى خلاف بعض العامّة حيث ألحقه بالبيع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إن رهن الأرض لم يدخل الزرع والشجر والنخل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دخل،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عدم الدخول بذلك، كالبيع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يُجبر الراهن على إزالته؟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والوجه أنّه 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جنى المرهون عمداً تعلّقت الجناية برقبته، وكان حقّ المجنيّ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حقّ المجنيّ عليه أولى، مع أنّ سببه متأخّر عن حقّ المرتهن؛ لأنّ حقّ المجنيّ عليه متعيّن في الرقبة، ومِن ثمّ لو مات الجاني لم يلزم السيّد شيء، وحقّ المرتهن متعلّق بالرقبة وبذمّة الراهن، فلا يفوت حقّه بفواتها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الجناية على من يرثه المالك ثبت للمالك ما يثبت للمورّث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الجناية على المولى وعلى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الحقّ للمولى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الجناية على المولى له ابتداءً، ويمتنع أن يجب له على ماله مال، أمّا الجناية على مورّثه فالحقّ فيها ابتداءً للمجنيّ عليه، وإنّما ينتقل الحقّ إلى الوارث من الموروث، و إن كان ديةً؛ لأنّها محسوبة من دينه وكما لا يمتنع ثبوت مال لمورّث المولى على عبده لا يمتنع انتقاله عنه إليه، فيفكّه من الرهن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عصيراً فصار خمراً بطل الرهن، فلو عاد خلّاً، عاد إلى ملك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يبطل الرهن بذلك بطلاناً مراعىً ببقائه كذلك أو بتلفه، فلو عاد خلّاً عاد الرهن، وإن كانت العبارة تؤذن بخلاف ذلك، من حيث البطلان،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إلى ملك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يبطل الرهن بذلك بطلاناً مراعىً ببقائه كذلك أو بتلفه، فلو عاد خَلّاً عاد الرهن، وإن كانت العبارة تؤذن بخلاف ذلك، من حيث البطلان،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إلى ملك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يعنون ببطلان الرهن هنا اضمحلال أثره بالكلّيّة، بل ارتفاع حكمه ما دامت الخمريّة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وتبقى علاقة الرهن؛ لبقاء أولويّة المالك على الخمر المتّخذة للتخليل، فكأنّ الملك والرهن موجودان فيه بالقوّة القريبة؛ لأنّ تخلّله 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والزائل المعبّر عنه بالبطلان هو الملك والرهن بالفعل، لوجود الخمريّة المنافية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رهن من مسلمٍ خمراً لم يصحّ، فلو انقلب في يده خلّاً، فهو له على تردّد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المرتهن المدلول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يقتضي راهناً ومرتهناً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إذا رهنه الخمر وأقبضه إيّاها لم يصحّ الرهن؛ لأنّ الخمر لا تملك للمسلم </w:t>
      </w:r>
      <w:bookmarkStart w:id="995" w:name="pg10178_83877"/>
    </w:p>
    <w:p>
      <w:pPr>
        <w:pStyle w:val="BookText"/>
        <w:rPr/>
      </w:pPr>
      <w:bookmarkEnd w:id="995"/>
      <w:r>
        <w:rPr>
          <w:rFonts w:ascii="Amiri" w:hAnsi="Amiri" w:eastAsia="Amiri" w:cs="Amiri"/>
          <w:color w:val="111111"/>
          <w:sz w:val="28"/>
          <w:sz w:val="28"/>
          <w:szCs w:val="28"/>
          <w:rtl w:val="true"/>
          <w:lang w:bidi="ar-SA"/>
        </w:rPr>
        <w:t>وإن اتّخذت للتخليل، فإذا دفعها إلى المرتهن وتخلّلت في يده ملكها المرتهن؛ لاستيلاء يده عليها، كما يملك سائر المباحات التي لايَدَ لأحدٍ عليها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ومن أنّ يد الأوّل لم تَزُلْ بالرهن؛ لأنّ الراهن له يدٌ على الرهن في الجملة، وهي 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ذلك لو كانت محترمة، وهي التي اتّخذها الراهن للتخليل، أمّا غيرها فالأوّل أقوى</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019068_1067777946"/>
      <w:bookmarkStart w:id="997" w:name="_Toc372"/>
      <w:bookmarkEnd w:id="996"/>
      <w:r>
        <w:rPr>
          <w:rtl w:val="true"/>
        </w:rPr>
        <w:t>[</w:t>
      </w:r>
      <w:r>
        <w:rPr>
          <w:rtl w:val="true"/>
        </w:rPr>
        <w:t>في مسائل النزاع</w:t>
      </w:r>
      <w:r>
        <w:rPr>
          <w:rtl w:val="true"/>
        </w:rPr>
        <w:t>:]</w:t>
      </w:r>
      <w:bookmarkEnd w:id="9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فرّط في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قيمته يوم قبضه،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هلاكه،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الأوسط أقوى، ومحلّ الخلاف القيمي، فلو كان مثليّاً ضمن بمثله إن وجد، وإلّا فقيمته عند الأداء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قول الراهن،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فيما على الرهن كان القول قول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القول قول المرتهن ترجيحاً لجانب الوثيقة، إذ الدعويان متكافئتان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الراهن يدّعي تقدّم البيع على الرجوع، والأصل عدمه، والمرتهن يدّعي تقدّم الرجوع على البيع، والأصل عدم تقدّمه أيضاً، فتكافأ الأصلان وتساقطا، فبقي حكم الرهن باقياً، وهو معنى ترجيح جانب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أطلقا الدعويين أو وقّتاهما بوقت واحد على وجه يتحقّق تعارض الأصلين، أمّا لو اتّفقا على زمان أحدهما واختلفا في تقدّم الآخر فإنّ الأصل مع مدّعي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فيما يباع به الرهن بيع بالنقد الغالب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 أحدهما طلب بيعه بالنقد الغالب والآخر بغيره فإنّه يباع بالنقد الغالب وإنّما </w:t>
      </w:r>
    </w:p>
    <w:p>
      <w:pPr>
        <w:pStyle w:val="BookText"/>
        <w:rPr/>
      </w:pPr>
      <w:r>
        <w:rPr>
          <w:rFonts w:ascii="Amiri" w:hAnsi="Amiri" w:eastAsia="Amiri" w:cs="Amiri"/>
          <w:color w:val="111111"/>
          <w:sz w:val="28"/>
          <w:sz w:val="28"/>
          <w:szCs w:val="28"/>
          <w:rtl w:val="true"/>
          <w:lang w:bidi="ar-SA"/>
        </w:rPr>
        <w:t>فسّرنا بذلك ليحصل الفرق بينها وبين المسألة الآتية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 كلّ واحد منهما نقداً غير النقد الغالب وتعاسرا، ردّهما الحاكم إلى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اختلافهما مع اتّحاد النقد الغالب منحصر في كون أحدهما موافقاً والآخر مخالفاً، أو كونهما مخالفين، فالأوّل هو الأُولى والثاني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ذكر الأُولى مغنياً عن الثانية؛ لإمكان أخذها مطلقة بحيث تشملهما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للبلد نقدان غالباً بيع بأشبههما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وافق أحدهما، ولو بايناه عَيَّن الحاكم إن امتنعا من التعيين، ولو كان أحد المتباينين أسهل صرفاً إلى الحقّ تعيّن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رهانة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وخرجا عن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الرهن المتنازع غير مشروط في عقد لازم، وإلّا فالأقوى التحالف وفسخ العقد بعده إن أراده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فالقول قول الدافع؛ لأنّه أبصر بنيّته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يمينه، ولا فرق بين تنازعهما على النيّة ابتداء وعلى اللفظ، بأن ادّعى إقراره بكونه نواه عن الدين الفلاني</w:t>
      </w:r>
      <w:r>
        <w:rPr>
          <w:rFonts w:eastAsia="Amiri" w:cs="Amiri" w:ascii="Amiri" w:hAnsi="Amiri"/>
          <w:color w:val="111111"/>
          <w:sz w:val="28"/>
          <w:szCs w:val="28"/>
          <w:rtl w:val="true"/>
          <w:lang w:bidi="ar-SA"/>
        </w:rPr>
        <w:t xml:space="preserve">. </w:t>
      </w:r>
      <w:bookmarkStart w:id="998" w:name="pg10178_83879"/>
    </w:p>
    <w:p>
      <w:pPr>
        <w:pStyle w:val="Heading2"/>
        <w:numPr>
          <w:ilvl w:val="1"/>
          <w:numId w:val="1"/>
        </w:numPr>
        <w:rPr/>
      </w:pPr>
      <w:bookmarkStart w:id="999" w:name="__RefHeading___Toc2019070_1067777946"/>
      <w:bookmarkStart w:id="1000" w:name="_Toc373"/>
      <w:bookmarkEnd w:id="998"/>
      <w:bookmarkEnd w:id="999"/>
      <w:r>
        <w:rPr>
          <w:rtl w:val="true"/>
        </w:rPr>
        <w:t>كتاب المفلّس</w:t>
      </w:r>
      <w:bookmarkEnd w:id="1000"/>
    </w:p>
    <w:p>
      <w:pPr>
        <w:pStyle w:val="Heading3"/>
        <w:numPr>
          <w:ilvl w:val="2"/>
          <w:numId w:val="1"/>
        </w:numPr>
        <w:rPr/>
      </w:pPr>
      <w:bookmarkStart w:id="1001" w:name="__RefHeading___Toc2019072_1067777946"/>
      <w:bookmarkStart w:id="1002" w:name="_Toc374"/>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الفقير الذي ذهب خيار ماله وبقي فلوسه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مفلَّساً، أي منع من التصرّف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المفلس بالمعنى الأوّل لغويٌ،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وكسر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أفلس يفلس إذا صار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فلَّسه القاضي تفليساً إذا حكم بإفلاسه، وهذا ليس على وجه التعريف الحقيقي بل على وجه الإيضاح لمعناه الشرعي بذكر بعض أحكامه، وإلّا فالممنوع من التصرّف في ماله أعمّ من المفلّس، بل من الستّة التي عقد لها كتاب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العبارة تدلّ على أنّه لا يسمّى مفلّساً شرعاً حتّى يحجر عليه لأجله وإن استغرقت ديونه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الفقهاء من اعتبره مفلّساً متى كان كذلك وإن لم يحجر عليه، و لهذا يعدّون الفلس من أسباب الحجر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الحجر على المفلّس التماس الغرماء له،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التجوّز في أحد الأمرين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ويحتسب من جملة أمواله معوّضات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الأموال التي ملكها بعوض ثابت في ذمّته، كالأعيان التي اشتراها واستدانها، وإنّما احتسبت من جملة أمواله؛ لأنّها ملكه الآن، وإن كان أربابها بالخيار بين أن يرجعوا فيها و أن يطالبوا بالعوض</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يلتمس الغرماء أو بعضهم الحجر عليه</w:t>
      </w:r>
      <w:r>
        <w:rPr>
          <w:rFonts w:eastAsia="Amiri" w:cs="Amiri" w:ascii="Amiri" w:hAnsi="Amiri"/>
          <w:color w:val="111111"/>
          <w:sz w:val="28"/>
          <w:szCs w:val="28"/>
          <w:rtl w:val="true"/>
          <w:lang w:bidi="ar-SA"/>
        </w:rPr>
        <w:t xml:space="preserve">». </w:t>
      </w:r>
      <w:bookmarkStart w:id="1003" w:name="pg10178_83880"/>
    </w:p>
    <w:p>
      <w:pPr>
        <w:pStyle w:val="BookText"/>
        <w:rPr/>
      </w:pPr>
      <w:bookmarkEnd w:id="1003"/>
      <w:r>
        <w:rPr>
          <w:rFonts w:ascii="Amiri" w:hAnsi="Amiri" w:eastAsia="Amiri" w:cs="Amiri"/>
          <w:color w:val="111111"/>
          <w:sz w:val="28"/>
          <w:sz w:val="28"/>
          <w:szCs w:val="28"/>
          <w:rtl w:val="true"/>
          <w:lang w:bidi="ar-SA"/>
        </w:rPr>
        <w:t>إنّما الحجر عليه مع التماس البعض إذا كانت ديونهم بقدر يجوز الحجر به عليه ثمّ يعمّ الحجر الجميع لثبوت الديون كلّها واستحقاق أربابها المطالبة بها بخلاف المؤجّلة</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2019074_1067777946"/>
      <w:bookmarkStart w:id="1005" w:name="_Toc375"/>
      <w:bookmarkEnd w:id="1004"/>
      <w:r>
        <w:rPr>
          <w:rtl w:val="true"/>
        </w:rPr>
        <w:t>[</w:t>
      </w:r>
      <w:r>
        <w:rPr>
          <w:rtl w:val="true"/>
        </w:rPr>
        <w:t>القول في منع التصرّف</w:t>
      </w:r>
      <w:r>
        <w:rPr>
          <w:rtl w:val="true"/>
        </w:rPr>
        <w:t>]</w:t>
      </w:r>
      <w:bookmarkEnd w:id="10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 من التصرّف احتياطاً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يمنع من التصرّف المبتدئ في المال لا من مطلق التصرّف، فلايمنع من الفسخ بالخيار والعيب؛ لأنّه ليس بابتداء تصرّفٍ، ولا من التصرّف في غير المال كالنكاح والطلاق، واستيفاء القصاص والعفو عنه، ونحوها ولعلّ الاحتياط للغرماء ينبّه على ذلك؛ إذ لاضرر عليهم فيما ذكر، وكذا 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يفيد تحصيل المال ولا يقتضي تصرّفاً فيه، كالاحتطاب، والاتّهاب، وقبول الوصيّة، فيملك به وإن منع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تصرّف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يمنع موقوفاً على إجازة الغرماء، أو على فضله عن الدين بعد قسمة ماله عليهم، ويتصوّر الفضل مع قصوره وقت الحجر بارتفاع قيمة ماله، أو إبراء بعض غرمائه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أقرّ بدين سابق صحّ، وشارك المقرّ له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المشاركة وإن صحّ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أقرّ بعينٍ دفعت إلى المقرِّ له،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نفوذ الإقرار معجّلاً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مضاربةً لغائب،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 مع يمينه ويقرّ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القول </w:t>
      </w:r>
      <w:r>
        <w:rPr>
          <w:rStyle w:val="FootnoteAnchor"/>
          <w:rtl w:val="true"/>
        </w:rPr>
        <w:footnoteReference w:id="342"/>
      </w:r>
      <w:r>
        <w:rPr>
          <w:rFonts w:ascii="Amiri" w:hAnsi="Amiri" w:eastAsia="Amiri" w:cs="Amiri"/>
          <w:color w:val="111111"/>
          <w:sz w:val="28"/>
          <w:sz w:val="28"/>
          <w:szCs w:val="28"/>
          <w:rtl w:val="true"/>
          <w:lang w:bidi="ar-SA"/>
        </w:rPr>
        <w:t>متفرّع على قبول إقراره بالعين معجّلاً، والأصل ممنوع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بخيار، وأفلس والخيار باقٍ، كان له إجازة البيع وفسخه؛ لأنّه ليس بابتداء تصرّف</w:t>
      </w:r>
      <w:r>
        <w:rPr>
          <w:rFonts w:eastAsia="Amiri" w:cs="Amiri" w:ascii="Amiri" w:hAnsi="Amiri"/>
          <w:color w:val="111111"/>
          <w:sz w:val="28"/>
          <w:szCs w:val="28"/>
          <w:rtl w:val="true"/>
          <w:lang w:bidi="ar-SA"/>
        </w:rPr>
        <w:t xml:space="preserve">». </w:t>
      </w:r>
      <w:bookmarkStart w:id="1006" w:name="pg10178_83881"/>
    </w:p>
    <w:p>
      <w:pPr>
        <w:pStyle w:val="BookText"/>
        <w:rPr/>
      </w:pPr>
      <w:bookmarkEnd w:id="1006"/>
      <w:r>
        <w:rPr>
          <w:rFonts w:ascii="Amiri" w:hAnsi="Amiri" w:eastAsia="Amiri" w:cs="Amiri"/>
          <w:color w:val="111111"/>
          <w:sz w:val="28"/>
          <w:sz w:val="28"/>
          <w:szCs w:val="28"/>
          <w:rtl w:val="true"/>
          <w:lang w:bidi="ar-SA"/>
        </w:rPr>
        <w:t>لم يتقدّم من المصنّف ما يدلّ على أنّ التصرّف الممنوع منه هو المبتدأ حتّى يعلّل بذلك، ولكن قد عرف ممّا هنا أنّه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ولو عكس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لافرق في جواز الفسخ بالخيار والعيب بين أن يكون له غبطة فيه وعدمه، على الأقوى</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2019076_1067777946"/>
      <w:bookmarkStart w:id="1008" w:name="_Toc376"/>
      <w:bookmarkEnd w:id="1007"/>
      <w:r>
        <w:rPr>
          <w:rtl w:val="true"/>
        </w:rPr>
        <w:t>[</w:t>
      </w:r>
      <w:r>
        <w:rPr>
          <w:rtl w:val="true"/>
        </w:rPr>
        <w:t>القول في اختصاص الغريم بعين ماله</w:t>
      </w:r>
      <w:r>
        <w:rPr>
          <w:rtl w:val="true"/>
        </w:rPr>
        <w:t>]</w:t>
      </w:r>
      <w:bookmarkEnd w:id="10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وجد منهم عين ماله كان له أخذها، ولو لم يكن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يضرب مع الغرماء بدَينه، سواء كان وفاءاً أم لم يكن،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الميّت، فغر ماؤه سواء في التركة، إلّا أن يترك نحواً ممّا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بمعنى أن تكون تَرَكته قدر ما عليه فصاعداً، بحيث لا يحصل على باقي الغرماء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المصنّف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للرواية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أن يموت المديون محجوراً عليه وعدمه على الأقوى؛ لأنّ الموت بمنزلة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الخيار في ذلك على الفور؟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بذلك إلى ما تقدّم في الحيّ والميّت، ومراعاة الفوريّة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النماء متّصلاً كالسمن،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الزيادة للمفلّس، فيؤخذ له من القيمة بنسبتها كالمنفصل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أرضاً فغرس المشتري فيها أو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ذلك مع بذل الأرش؟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يباعان ويكون له ما قابل الأرض</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معرفة ما يقابلها أن يقوّما معاً ثمّ تقوّم الأرض مشغولةً بهما ما بقيا مجّاناً، وتنسب قيمتها كذلك إلى قيمة المجموع، ويؤخذ من الثمن لها بنسبة ذلك، والباقي </w:t>
      </w:r>
    </w:p>
    <w:p>
      <w:pPr>
        <w:pStyle w:val="BookText"/>
        <w:rPr/>
      </w:pPr>
      <w:r>
        <w:rPr>
          <w:rFonts w:ascii="Amiri" w:hAnsi="Amiri" w:eastAsia="Amiri" w:cs="Amiri"/>
          <w:color w:val="111111"/>
          <w:sz w:val="28"/>
          <w:sz w:val="28"/>
          <w:szCs w:val="28"/>
          <w:rtl w:val="true"/>
          <w:lang w:bidi="ar-SA"/>
        </w:rPr>
        <w:t>للمفلّس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رضي البائع ببيع الأرض، وإلّا لم يجبر عليه، بل يباع مال المفلّس على حالته التي هو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اشترى زيتاً فخلطه بمثله لم يبطل حقِّ البائع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حقّه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لا يبطل حقّه بذلك، ويتوصّل إليه بأن يباعا ويكون له من القيمة بنسبة ما يخصّه، فلو كانت قيمة زيته درهماً والممزوج به درهمين بيعا وأُخذ ثلث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في متاعٍ ثمّ أفلس المسلَم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رأس ماله أخذه، وإلّا ضرب مع الغرماء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الخيار بين الضرب بالثمن أو بقيمة المتاع،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القول الثاني أنّه مع وجود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المسلِم بين الفسخ فيأخذه، وبين الضرب بدينه وهو المسلم فيه، وإن وجده تالفاً تخيّر بين الفسخ فيضرب بالثمن، وبين الإمضاء فيضرب بالمسلَم فيه،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له دار أو دابّة وجب أن يؤاجرها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مملوكةً له ولو كانت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يستثنى للمديون مطلقاً داره ودابّته ومملوكه المحتاج إليه منها، وهذه الثلاثة لا تباع ولا تؤاجر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المصنِّف هنا يحمل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تكون هذه الأشياء زائدة على المستثنى ولا يمكن بيعها؛ لكونها موقوفة، وإمّا على مؤاجرتها زمن الحجر إلى أوان البيع، مع كونها زائدة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 الولد فلا تباع مطلقاً، إذا لم تكن عَين مالِ أحدٍ من الغرماء فيمكن الحكم بمؤاجرتها إذا كانت فاضلة عن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يعود إلى المالك؛ بدلالة السياق، ولكن يجب تقييده بإذن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يعود الضمير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للمفلّس شاهد بمال، فإن حلف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هل يحلف الغرماء؟</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1009" w:name="pg10178_83883"/>
    </w:p>
    <w:p>
      <w:pPr>
        <w:pStyle w:val="BookText"/>
        <w:rPr/>
      </w:pPr>
      <w:bookmarkEnd w:id="100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 المفلّس حلّ ما عليه، ولا يحلّ ما له، وفيه رواية أُخرى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عمل عليها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إلزامه ولا مؤاجرته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أُخرى 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بالمؤاجرة ضعيفة السند</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الاكتساب بما يليق بحاله، على الأقوى</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019078_1067777946"/>
      <w:bookmarkStart w:id="1011" w:name="_Toc377"/>
      <w:bookmarkEnd w:id="1010"/>
      <w:r>
        <w:rPr>
          <w:rtl w:val="true"/>
        </w:rPr>
        <w:t>[</w:t>
      </w:r>
      <w:r>
        <w:rPr>
          <w:rtl w:val="true"/>
        </w:rPr>
        <w:t>القول في قسمة ماله</w:t>
      </w:r>
      <w:r>
        <w:rPr>
          <w:rtl w:val="true"/>
        </w:rPr>
        <w:t>]</w:t>
      </w:r>
      <w:bookmarkEnd w:id="10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إحضار كلّ متاع في 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يستحب الإحضار إذا وثق بانتفاء الزيادة لو بيع في غير سوقه غالباً، وإلّا فالأولى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يبدأ ببيع ما يخشى تلفه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اقتضت المصلحة تأخير القسمة،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في ذمّة مليّ احتياطاً، وإلّا جُعِل وديعةً؛ لأنّه موضع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الاقتصار على إيداعه العدل، وعلى تقدير جعله في ذمّة المليّ تعتبر فيه الأمانة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ويجري عليه نفقته ونفقة مَنْ يجب نفقته وكسوته، وينبغي في ذلك مراعاة عادة أمثاله إلى يوم قسمة ماله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في مثل شرفه وضَعته، وباقي أوصافه بحسب ما هو عليه الآن</w:t>
      </w:r>
      <w:r>
        <w:rPr>
          <w:rFonts w:eastAsia="Amiri" w:cs="Amiri" w:ascii="Amiri" w:hAnsi="Amiri"/>
          <w:color w:val="111111"/>
          <w:sz w:val="28"/>
          <w:szCs w:val="28"/>
          <w:rtl w:val="true"/>
          <w:lang w:bidi="ar-SA"/>
        </w:rPr>
        <w:t xml:space="preserve">. </w:t>
      </w:r>
      <w:bookmarkStart w:id="1012" w:name="pg10178_83884"/>
    </w:p>
    <w:p>
      <w:pPr>
        <w:pStyle w:val="BookText"/>
        <w:rPr/>
      </w:pPr>
      <w:bookmarkEnd w:id="101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قدّم كفنه على حقوق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يقدّم كفن مَنْ تجب نفقته عليه ممّن يجب تكفينه عليه قبل 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منه على الواجب من نوع ووصف يليق به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مؤونة التجهيز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عليه ديون حالّة ومؤجّلة، قسّمت أمواله على الحالّة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مؤجّلة عند القسمة، فلو كانت مؤجّلة عند الحجر وحلّت عند القسمة شاركت، وإن كان الحجر ابتداءً لأجل الحالّة، ولو حلّ بعد قسمة البعض شارك في الباقي، وضرب بجميع المال، وضرب باقي الغرماء ببقيّة ديونهم</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2019080_1067777946"/>
      <w:bookmarkStart w:id="1014" w:name="_Toc378"/>
      <w:bookmarkEnd w:id="1013"/>
      <w:r>
        <w:rPr>
          <w:rtl w:val="true"/>
        </w:rPr>
        <w:t>[</w:t>
      </w:r>
      <w:r>
        <w:rPr>
          <w:rtl w:val="true"/>
        </w:rPr>
        <w:t>النظر في حبسه</w:t>
      </w:r>
      <w:r>
        <w:rPr>
          <w:rtl w:val="true"/>
        </w:rPr>
        <w:t>]</w:t>
      </w:r>
      <w:bookmarkEnd w:id="10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حبس الغريم، مع ظهور إعساره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لا يتخصّ بالمفلّس، ومن ثمّ عدل عن ضميره إلى الغريم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شهدتْ بالإعسار، لم يقبل حتّى تكون مطّلعة على أُموره بالصحبة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اعتبر الاطّلاع هنا دون السابق؛ لأنّ الشهادة بتلف المال تتضمّن الإثبات المحض، والاطّلاع عليه محسوس، وهو يحصّل الغرض من فقره، بخلاف الشهادة بالإعسار مطلقاً، فإنّ الأموال من شأنها أن تخفى، فلابدّ من الشاهدين من المعاشرة الباطنة للمشهود له، بحيث يطّلعان بها على باطن أمره غالباً، ومرجع هذه الشهادة إلى النفي، والشهادة بها مطلقة غير مسموعة، فلابدّ من تضمّنها الإثبات على وجه ينضبط به النفي،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معسر لا يملك إلّا قوت يومه وثياب بدنه،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جميع الشهادات التي على هذا النهج، كالشهادة على المالك يوم إخراج الزكاة، وعلى نفي البيع والقرض، وغيرها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يزول الحجر عنه بمجرّد الأداء، أو يفتقر إلى حكم الحاكم؟ الأَوْلى أنّه يزول بالأداء؛ لزوال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1015" w:name="pg10178_83885"/>
    </w:p>
    <w:p>
      <w:pPr>
        <w:pStyle w:val="Heading2"/>
        <w:numPr>
          <w:ilvl w:val="1"/>
          <w:numId w:val="1"/>
        </w:numPr>
        <w:rPr/>
      </w:pPr>
      <w:bookmarkStart w:id="1016" w:name="__RefHeading___Toc2019082_1067777946"/>
      <w:bookmarkStart w:id="1017" w:name="_Toc379"/>
      <w:bookmarkEnd w:id="1015"/>
      <w:bookmarkEnd w:id="1016"/>
      <w:r>
        <w:rPr>
          <w:rtl w:val="true"/>
        </w:rPr>
        <w:t>كتاب الحجر</w:t>
      </w:r>
      <w:bookmarkEnd w:id="1017"/>
    </w:p>
    <w:p>
      <w:pPr>
        <w:pStyle w:val="Heading3"/>
        <w:numPr>
          <w:ilvl w:val="2"/>
          <w:numId w:val="1"/>
        </w:numPr>
        <w:rPr/>
      </w:pPr>
      <w:bookmarkStart w:id="1018" w:name="__RefHeading___Toc2019084_1067777946"/>
      <w:bookmarkStart w:id="1019" w:name="_Toc380"/>
      <w:bookmarkEnd w:id="1018"/>
      <w:r>
        <w:rPr>
          <w:rtl w:val="true"/>
        </w:rPr>
        <w:t>[</w:t>
      </w:r>
      <w:r>
        <w:rPr>
          <w:rtl w:val="true"/>
        </w:rPr>
        <w:t>الفصل الأوّل في موجباته</w:t>
      </w:r>
      <w:r>
        <w:rPr>
          <w:rtl w:val="true"/>
        </w:rPr>
        <w:t>]</w:t>
      </w:r>
      <w:bookmarkEnd w:id="10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موجباته،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أسباب الحجر هنا في الستّة جعلي، وقد جرت العادة بالبحث عن هذه الستّة هنا، وإلّا فأسباب الحجر أزيد منها، كالحجر على الراهن فيما رهنه، وعلى المشتري فيما اشتراه قبل دفع الثمن بغير إذن البائع، وعلى البائع في الثمن المعيّن كذلك، وعلى المكاتب فى كسبه لغير الأداء والنفقة، وعلى المرتدّ الذي يمكن عوده إلى الإسلام ظاهراً،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بلوغه بإنبات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المنيّ الذي يكون منه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الذي من شأنه أن يخلق منه الولد وإن تخلّف في بعض الأفراد لعارض، فالصفة كاشفة لا مخصّصة؛ إذ المنيّ لا يكون إلّا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بلوغ خمس عشرة سنة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إذا بلغ عشراً وكان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لاعمل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الحمل والحيض فليسا بلوغاً في حقّ النساء، بل قد يكونان دليلاً على سبق البلوغ</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أتى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التقليليّة في هذا المقام، لا لتردّده في دلالتهما؛ لأنّها إجماعيّة، بل </w:t>
      </w:r>
    </w:p>
    <w:p>
      <w:pPr>
        <w:pStyle w:val="BookText"/>
        <w:rPr/>
      </w:pPr>
      <w:r>
        <w:rPr>
          <w:rFonts w:ascii="Amiri" w:hAnsi="Amiri" w:eastAsia="Amiri" w:cs="Amiri"/>
          <w:color w:val="111111"/>
          <w:sz w:val="28"/>
          <w:sz w:val="28"/>
          <w:szCs w:val="28"/>
          <w:rtl w:val="true"/>
          <w:lang w:bidi="ar-SA"/>
        </w:rPr>
        <w:t>لأنّهما مسبوقان غالباً بغيرهما من العلامات، خصوصاً السنّ، فدلالتهما على البلوغ بحيث يتوقّف علمه عليهما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التعليل في الحيض أنّهم حكموا بكون الدم الذي قبل التسع لا يكون حيضاً، وبعده يتحقّق البلوغ بالسنّ، فلا تظهر دلالة الحيض على البلوغ حينئذٍ إلّا على تقدير حمله على المجهول سنّها، فإنّها إذا رأت ما هو بصفته جامعاً لشرائطه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بكونه حيضاً، ويكون دليلاً على سبق البلوغ؛ نظراً إلى الغالب، وفائدة دلالتهما على سبقه أنّهما إذا حصلا يحكم ببلوغ المرأة قبلهما، فلو أوقعت عقداً قبلهما بلا فصل 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وهو أن يكون مصلحاً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مطلق الإصلاح موجباً للرشد، بل الحقّ أنّ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نفسانيّة تقتضي إصلاح المال، وتمنع من إفساده وصرفه في غير الوجوه اللائقة بأفعال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مطلق الكيفيّة، فإنّها ليست كافية، بل لابدّ أن تصير ملكة يعسر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اقتضائها إصلاح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غير مفسد له لكن لا رغبة له في إصلاحه على ذلك الوجه، فإنّه غير كاف في الرشد، ومن ثَمَّ يختبر باعتنائه بالأعمال اللائقة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عن 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له ملكة الإصلاح والعمل وجمع المال، ولكن ينفقه بعد ذلك في غير الوجوه اللائقة بحاله، فإنّه لا يكون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تعتبر العدالة؟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الرشد ما تقدّم مع العدالة </w:t>
      </w:r>
      <w:r>
        <w:rPr>
          <w:rStyle w:val="FootnoteAnchor"/>
          <w:rtl w:val="true"/>
        </w:rPr>
        <w:footnoteReference w:id="346"/>
      </w:r>
      <w:r>
        <w:rPr>
          <w:rFonts w:ascii="Amiri" w:hAnsi="Amiri" w:eastAsia="Amiri" w:cs="Amiri"/>
          <w:color w:val="111111"/>
          <w:sz w:val="28"/>
          <w:sz w:val="28"/>
          <w:szCs w:val="28"/>
          <w:rtl w:val="true"/>
          <w:lang w:bidi="ar-SA"/>
        </w:rPr>
        <w:t>، فلو كان مع الوصف السابق غير عدلٍ في دينه، أو بالعكس، لم يرتفع عنه الحجر، والأظهر عدم اشتراطها، وإلّا لم يقم للمسلمين سوق، ولم ينتظم للعالم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رشده باختباره بما يلائمه من التصرّفات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الاختبار أن ينظر فيما يلائمه من التصرّفات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أولاد التجّار فوّض إليه البيع والشراء، لا بمعنى أن يبيع ويشتري بل يماكس فيها؛ لينظر مقدار </w:t>
      </w:r>
      <w:bookmarkStart w:id="1020" w:name="pg10178_83887"/>
    </w:p>
    <w:p>
      <w:pPr>
        <w:pStyle w:val="BookText"/>
        <w:rPr/>
      </w:pPr>
      <w:bookmarkEnd w:id="1020"/>
      <w:r>
        <w:rPr>
          <w:rFonts w:ascii="Amiri" w:hAnsi="Amiri" w:eastAsia="Amiri" w:cs="Amiri"/>
          <w:color w:val="111111"/>
          <w:sz w:val="28"/>
          <w:sz w:val="28"/>
          <w:szCs w:val="28"/>
          <w:rtl w:val="true"/>
          <w:lang w:bidi="ar-SA"/>
        </w:rPr>
        <w:t>حاله أو يدفع إليه المتاع ليبيعه، ويراعى إلى أن يتمّ المساومة ثمّ يتولّاه الوليّ،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تكرّر منه ذلك وسلم من الغبن والإتلاف وصرفه في غير وجهه فهو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أولاد الأكابر الذين يصانون عن مباشرة البيع والشراء فاختباره بما يناسب حال أهله من التصرّفات الماليّة، إمّا بأن يسلّم إليه نفقة لمدّةٍ معيّنة لينفقها في مواضعها، أو يستوفي الحساب على معامليهم، أو نحو ذلك، ويختبر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أُنثى اختبرت بما يلائم عادة أمثالها من الأعمال، كالغزل والخياطة وشراء آلاتهما المعتادة لأمثالها، وحفظ ما يتحصّل في يدها من ذلك، وما يليه من آلات البيت وأسبابه، ووضعه على وجهه، وصون أطعمة البيت التي تحت يدها عن مثل الهرّة والفأرة، ونحو ذلك، على وجه تحصل الملكة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فأجاز الوليّ، فالوجه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والمريض ممنوع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منعه من التبرّعات المنجّزة الزائدة عن الثلث خلاف بيننا، والوجه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المعاوضات في مرض الموت كالبيع، فإنّه يصحّ إذا وقع 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اشتمل على محاباة فهي من جملة التبرّعات، والأشهر المنع من التبرّعات الزائدة عن الثلث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2019086_1067777946"/>
      <w:bookmarkStart w:id="1022" w:name="_Toc381"/>
      <w:bookmarkEnd w:id="1021"/>
      <w:r>
        <w:rPr>
          <w:rtl w:val="true"/>
        </w:rPr>
        <w:t>[</w:t>
      </w:r>
      <w:r>
        <w:rPr>
          <w:rtl w:val="true"/>
        </w:rPr>
        <w:t>الفصل الثاني في أحكام الحجر</w:t>
      </w:r>
      <w:r>
        <w:rPr>
          <w:rtl w:val="true"/>
        </w:rPr>
        <w:t>]</w:t>
      </w:r>
      <w:bookmarkEnd w:id="10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حجر المفلّس إلّا بحكم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في السفيه بظهور سفهه؟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يزول إلّا بحكمه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ثبوته بمجرّد ظهوره، وزواله بزواله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أودعه وديعةً فأتلفها، 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يضمن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الضمان، وكذا لو تلفت بتفريطه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بحجَّةٍ واجبة، لم يمنع ممّا يحتاج إليه في الإتيان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الوليّ يتولّى النفقة عليه، أو وكيله الثقة، لا أنّه تسلّم النفقة إليه، ولا فرق في الواجب بين الأصلي والعارضي بالنذر وشبهه، كأن تقدّم سببه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انعقدت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حنث كفّر بالصوم،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تكفيره بالصوم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الصبيّ قبل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بيعه؟ الأشبه أنّه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الاختبار قبل البلوغ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حيث جعل متعلّق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والوصف لا يتحقَّق مع البلوغ لغةً وشرعاً؛ وأمر بدفع أموالهم إليهم حين بلوغ النكاح، وذلك يستلزم الاختبار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ظهور الرشد بالاختبار بالبيع، ففي صحّته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لأمره تعالى بالابتلاء المقتضي لكون الفعل الصادر من الصبيّ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لفقد الشرط حينئذٍ ومنع استلزام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فكيفيّة اختباره أمر الوليّ له بالمساومة، وامتحانه بالممارسة، فإذا آل الأمر إلى العقد تولّاه الوليّ</w:t>
      </w:r>
      <w:r>
        <w:rPr>
          <w:rFonts w:eastAsia="Amiri" w:cs="Amiri" w:ascii="Amiri" w:hAnsi="Amiri"/>
          <w:color w:val="111111"/>
          <w:sz w:val="28"/>
          <w:szCs w:val="28"/>
          <w:rtl w:val="true"/>
          <w:lang w:bidi="ar-SA"/>
        </w:rPr>
        <w:t xml:space="preserve">. </w:t>
      </w:r>
      <w:bookmarkStart w:id="1023" w:name="pg10178_83889"/>
    </w:p>
    <w:p>
      <w:pPr>
        <w:pStyle w:val="Heading2"/>
        <w:numPr>
          <w:ilvl w:val="1"/>
          <w:numId w:val="1"/>
        </w:numPr>
        <w:rPr/>
      </w:pPr>
      <w:bookmarkStart w:id="1024" w:name="__RefHeading___Toc2019088_1067777946"/>
      <w:bookmarkStart w:id="1025" w:name="_Toc382"/>
      <w:bookmarkEnd w:id="1023"/>
      <w:bookmarkEnd w:id="1024"/>
      <w:r>
        <w:rPr>
          <w:rtl w:val="true"/>
        </w:rPr>
        <w:t>كتاب الضمان</w:t>
      </w:r>
      <w:bookmarkEnd w:id="1025"/>
    </w:p>
    <w:p>
      <w:pPr>
        <w:pStyle w:val="Heading3"/>
        <w:numPr>
          <w:ilvl w:val="2"/>
          <w:numId w:val="1"/>
        </w:numPr>
        <w:rPr/>
      </w:pPr>
      <w:bookmarkStart w:id="1026" w:name="__RefHeading___Toc2019090_1067777946"/>
      <w:bookmarkStart w:id="1027" w:name="_Toc383"/>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عقد شُرِّع للتعهّد بمالٍ أو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للضمان معنيان، أحدهما أعمّ من الآخر، وهذا التعريف للضمان بالمعنى الأعمّ المتناول للضمان بالمعنى الأخصّ والحوالة والكفالة، فتكون هذه الثلاثة أقسامه، والضمان بالمعنى الأخصّ قسيماً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الضمان عندنا مشتقّ من الضمن؛ لأنّه يجعل ما كان في ذمّته من المال في ضمن ذمّة أُخرى، أو لأنّ ذمّة الضامن تتضمّن الحقّ، فالنون فيه أصليّة، بناءً على أنّه ينقل المال من ذمّة إلى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أكثر العامّة أنّه غير ناقلٍ، وإنّما يفيد اشتراك الذمّتين، فاشتقاقه من الضمّ، والنون فيه زائدة؛ لأنه ضمّ ذمّة إلى ذمّة، فيعجز المضمون له في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كلام المصنِّف ما يشعر بالخلاف فيه عندنا أيضاً </w:t>
      </w:r>
      <w:r>
        <w:rPr>
          <w:rStyle w:val="FootnoteAnchor"/>
          <w:rtl w:val="true"/>
        </w:rPr>
        <w:footnoteReference w:id="349"/>
      </w:r>
      <w:r>
        <w:rPr>
          <w:rFonts w:ascii="Amiri" w:hAnsi="Amiri" w:eastAsia="Amiri" w:cs="Amiri"/>
          <w:color w:val="111111"/>
          <w:sz w:val="28"/>
          <w:sz w:val="28"/>
          <w:szCs w:val="28"/>
          <w:rtl w:val="true"/>
          <w:lang w:bidi="ar-SA"/>
        </w:rPr>
        <w:t xml:space="preserve">، وربما كان قولاً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2019092_1067777946"/>
      <w:bookmarkStart w:id="1029" w:name="_Toc384"/>
      <w:bookmarkEnd w:id="1028"/>
      <w:r>
        <w:rPr>
          <w:rtl w:val="true"/>
        </w:rPr>
        <w:t>[</w:t>
      </w:r>
      <w:r>
        <w:rPr>
          <w:rtl w:val="true"/>
        </w:rPr>
        <w:t>القسم الأوّل في ضمان المال</w:t>
      </w:r>
      <w:r>
        <w:rPr>
          <w:rtl w:val="true"/>
        </w:rPr>
        <w:t>]</w:t>
      </w:r>
      <w:bookmarkEnd w:id="1029"/>
    </w:p>
    <w:p>
      <w:pPr>
        <w:pStyle w:val="Heading4"/>
        <w:numPr>
          <w:ilvl w:val="3"/>
          <w:numId w:val="1"/>
        </w:numPr>
        <w:rPr/>
      </w:pPr>
      <w:bookmarkStart w:id="1030" w:name="__RefHeading___Toc2019094_1067777946"/>
      <w:bookmarkStart w:id="1031" w:name="_Toc385"/>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المملوك لم يصحّ، إلّا بإذن مولاه، ويثبت ما ضمنه في ذمّته لافي كسبه، إلّا أن يشترط في الضمان بإذن مولاه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بثبوته في ذمّة العبد على تقدير إذن المولى هو المشهور، ولو قيل بتعلّقه </w:t>
      </w:r>
    </w:p>
    <w:p>
      <w:pPr>
        <w:pStyle w:val="BookText"/>
        <w:rPr/>
      </w:pPr>
      <w:r>
        <w:rPr>
          <w:rFonts w:ascii="Amiri" w:hAnsi="Amiri" w:eastAsia="Amiri" w:cs="Amiri"/>
          <w:color w:val="111111"/>
          <w:sz w:val="28"/>
          <w:sz w:val="28"/>
          <w:szCs w:val="28"/>
          <w:rtl w:val="true"/>
          <w:lang w:bidi="ar-SA"/>
        </w:rPr>
        <w:t>حينئذٍ بذمّة المولى مطلقاً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شرط أن يكون الضمان من مالٍ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شرط الضامن كون ضمانه من مالٍ معيّنٍ من أمواله، فإنّه يصحّ الضمان، وينحصر وجوب الأداء فيه، وحينئذٍ فيتعلّق به حقّ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تعلّقه كتعلّق الدين بالرهن، أو كتعلّق الأرش برقبة الجاني؟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تلف المال المعيّن بغير تفريط، فعلى الأوّل ينتقل إلى ذمّة الضامن، وعلى الثاني إلى ذمّة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ببطلان الضمان مع تلف المال </w:t>
      </w:r>
      <w:r>
        <w:rPr>
          <w:rStyle w:val="FootnoteAnchor"/>
          <w:rtl w:val="true"/>
        </w:rPr>
        <w:footnoteReference w:id="350"/>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علمه بالمضمون له، ولا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اشتراط علمه بهما، وعدم اشتراط امتياز المضمون عنه أيضاً عند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أستحقّ في ذمّة شخص مائة درهم، 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ضمنتها لك، صحّ، وتحقّق به القصد إلى عقد الضمان، 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الدين الذي لك على كلّ مَن كان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ویشترط رضى المضمون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ويعتبر مع ذلك كونه بصفة القبول المعتبر في العقود اللازمة من التواصل المعهود، وكونه بلفظ الماضي والعربي،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 بعد الضمان لم يبطل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أنكر المضمون عنه الضمانَ، فإنّه لا أثر له؛ لأنّ رضاه إذا لم يعتبر ابتداءً فلا عبرة بإنكاره بعده، وربما فسّر الإنكار بعدم رضاه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لاعبرة به على الأصحّ</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أبرأ المضمون له المضمون عنه لم يبرأ الضامن، 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فروع المسألة السابقة، فإنّ الضمان إذا كان ناقلاً موجباً لبراءة المضمون عنه </w:t>
      </w:r>
    </w:p>
    <w:p>
      <w:pPr>
        <w:pStyle w:val="BookText"/>
        <w:rPr/>
      </w:pPr>
      <w:r>
        <w:rPr>
          <w:rFonts w:ascii="Amiri" w:hAnsi="Amiri" w:eastAsia="Amiri" w:cs="Amiri"/>
          <w:color w:val="111111"/>
          <w:sz w:val="28"/>
          <w:sz w:val="28"/>
          <w:szCs w:val="28"/>
          <w:rtl w:val="true"/>
          <w:lang w:bidi="ar-SA"/>
        </w:rPr>
        <w:t>من حقّ المضمون له، فبراءته لا تفيد شيئاً، نعم، لو أبرأ الضامن برئا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 مشهورٍ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بثبوت مخالف منّا، وسيأتي ما ينبّه على أنّه الشيخ في بعض أقواله، والمشهور أنّ 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 الملاءة، أو العلم بالإعسار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يشترط ذلك في لزوم الضمان لا في صحّته، كماينبّه عليه بعد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للمضمون له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بملاءة الضامن أنْ يكون مالكاً لما يوفي به الدين، فاضلاً عن المستثنيات في البيع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تعتبر الملاءة ابتداءً لا استدامة، فلو تجدّد إعساره بعد الضمان لم يكن له الفسخ، وكما لا يقدح تجدّد إعساره كذا تعذّر الاستيفاء منه بوجه آخر، فلا يرجع على المضمون عنه متى لزمه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والضمان المؤجّل جائزٌ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 تردّد، أظهره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الحقّ الضمون إمّا أن يكون حالّاً أو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إمّا أن يضمنه الضامن حالّاً أو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ضمان المؤجّل مؤجّلاً إمّا أنْ يكون الأجل الثاني مساوياً للأوّل، أو أنقص، أو 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التقادير إمّا أن يكون الضمان تبرّعاً، أو بسؤال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 اثنتا عشرة، كلّها جائزة على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الخلاف فيها غیر محرّر في العبارة، فإنّ إطلاقها يقتضي الاتّفاق على جواز المؤجّل مطلقاً، وليس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الخلاف واقع فيما عدا الضمان المؤجّل للحالّ، أو الزائد أجله عن أجل الأصل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وينعقد الضمان بكتابة الضامن، منضمّةً إلى القرينة الدالّة، لا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ينعقد بالكتابة مع تعذّر النطق لا مطلقاً ؛ كما صرّح به غيره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الضامن والمضمون له، بناء على اعتبار قبوله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المصنِّف الضامن؛ لعدم اعتباره القبول اللفظي في الآخر، كما سبق</w:t>
      </w:r>
      <w:r>
        <w:rPr>
          <w:rFonts w:eastAsia="Amiri" w:cs="Amiri" w:ascii="Amiri" w:hAnsi="Amiri"/>
          <w:color w:val="111111"/>
          <w:sz w:val="28"/>
          <w:szCs w:val="28"/>
          <w:rtl w:val="true"/>
          <w:lang w:bidi="ar-SA"/>
        </w:rPr>
        <w:t xml:space="preserve">. </w:t>
      </w:r>
      <w:bookmarkStart w:id="1032" w:name="pg10178_83892"/>
    </w:p>
    <w:p>
      <w:pPr>
        <w:pStyle w:val="Heading4"/>
        <w:numPr>
          <w:ilvl w:val="3"/>
          <w:numId w:val="1"/>
        </w:numPr>
        <w:rPr/>
      </w:pPr>
      <w:bookmarkStart w:id="1033" w:name="__RefHeading___Toc2019096_1067777946"/>
      <w:bookmarkStart w:id="1034" w:name="_Toc386"/>
      <w:bookmarkEnd w:id="1032"/>
      <w:bookmarkEnd w:id="1033"/>
      <w:r>
        <w:rPr>
          <w:rtl w:val="true"/>
        </w:rPr>
        <w:t>[</w:t>
      </w:r>
      <w:r>
        <w:rPr>
          <w:rtl w:val="true"/>
        </w:rPr>
        <w:t>الحقّ المضمون</w:t>
      </w:r>
      <w:r>
        <w:rPr>
          <w:rtl w:val="true"/>
        </w:rPr>
        <w:t>]</w:t>
      </w:r>
      <w:bookmarkEnd w:id="10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في الحقّ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ليس بلازم، لكن يؤول إلى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السبق و الرماية،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به المشار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الحكم بالصحّة في السابق، وهو ضمان الثمن في مدّة الخيار؛ لمناسبة مال الجعالة، والسبق له في التزلزل، وكون مآلهما إلى اللزوم، ولأنّ المقصود بالذات هو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قبله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كالتتمّة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كونه هو هذا القريب، وهو عدم الصحّة؛ لقربه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جائز؛ للخلاف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تعلّقه بالمسألتين معاً، وبالأخيرة،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صحّة ضمان مال الجعالة قبل العمل مطلقاً، وصحّته في مال السبق والرماية مطلقاً، بناء على المختار من أنّه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يصحّ ضمان مال الكتابة؟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ليس بلازمٍ، ولا يؤول إلى اللزوم، ولو قيل بالجواز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أنّها لازمة مطلقاً، فيصحّ ضمان مالها مطلقاً، ولو تنزّلنا إلى الجواز فالجواز أيضاً متّجه؛ لأنّ المال ثابت في ذمّة المكاتب بالعقد، غايته أنّه غير مستقرّ، كالثمن في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فمتى ضمنه ضامن انعتق؛ لأنّه في حكم الأداء بناءً على أنّه ناقل وامتنع بعجزه، كما لو أدّى المال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ضمان الأعيان المضمونة، كالغصب والمقبوض بالبيع الفاسد تردّد، والأشبه الجواز</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هذه الأعيان إمّا أن يكون بمعنى تكليف الضامن بردّ أعيانها إلى مالكها، أو بمعنى ضمان قيمتها لو تلفت عند الغاصب والمستامّ ونحوهما، أو ما 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الضمان في الجميع تردّد، منشؤه وجود سبب الضمان للعين والقيمة، وهو القبض المخصوص، ومن أنّ الثابت في الأوّل هو وجوب الردّ، وهو ليس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ليس </w:t>
      </w:r>
    </w:p>
    <w:p>
      <w:pPr>
        <w:pStyle w:val="BookText"/>
        <w:rPr/>
      </w:pPr>
      <w:r>
        <w:rPr>
          <w:rFonts w:ascii="Amiri" w:hAnsi="Amiri" w:eastAsia="Amiri" w:cs="Amiri"/>
          <w:color w:val="111111"/>
          <w:sz w:val="28"/>
          <w:sz w:val="28"/>
          <w:szCs w:val="28"/>
          <w:rtl w:val="true"/>
          <w:lang w:bidi="ar-SA"/>
        </w:rPr>
        <w:t>بواقع، فهو ضمان ما لم يجب وإن وجد سببه؛ لأنّ القيمة لا تجب إلّا بالتلف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ضامن، ثمّ ضمن عنه آخر، وهكذا إلى عدّة ضمناء،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يصحّ ترامي الضمناء يصحّ دوره، بأن يضمن الأصل ضامنه، أو ضامن ضامنه وإن تعدّد، فيسقط بذلك الضمان ويرجع الحقّ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تظهر فائدة ذلك فيما إذا اختلفت أوصاف الضمان بأن يضمن الحالّ مؤجّلاً وبالعكس، وخالف في ذلك </w:t>
      </w:r>
      <w:r>
        <w:rPr>
          <w:rStyle w:val="FootnoteAnchor"/>
          <w:rtl w:val="true"/>
        </w:rPr>
        <w:footnoteReference w:id="352"/>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باستلزامه صيرورة الفرع أصلاً، وبالعكس، وبعدم الفائدة، وضعفهما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العلم بكمّيّةً المال، فلو ضمن ما في ذمّته صحّ،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الخلاف حيث يمكن العلم به بعد ذلك، كما لو ضمن الدين الذي عليه، أو ثمن ما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يمكن الاستعلام لم يصحّ الضمان قولاً واحداً، كما 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شيئاً ممّا لك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قوّة صحّة القسم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ويلزمه ما تقوم البيّنة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لاما يوجد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ما یحلف علیه المضمون له بردّ اليمين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بردّ اليمين من المضمون عنه؛ لأنّ الخصومة حينئذٍ مع الضامن والمضمون عنه، فلا يلزمه ما يثبت بمنازعة غيره، كما لا يثبت ما يُقِرّ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الحلف بردّ الضامن ثبت عليه ما 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ضمن ما يشهد به عليه لم يصحّ</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يشهد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المتجدّد بعد ذلك، أو يطلق؛ لتناوله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يشهد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ثابتاً في ذمّته وقت الضمان فلا مانع من الصحّة، كما لو ضمن ما في ذمّته، ولزمه ما تقوم به البيّنة أنّه كان ثابتاً</w:t>
      </w:r>
      <w:r>
        <w:rPr>
          <w:rFonts w:eastAsia="Amiri" w:cs="Amiri" w:ascii="Amiri" w:hAnsi="Amiri"/>
          <w:color w:val="111111"/>
          <w:sz w:val="28"/>
          <w:szCs w:val="28"/>
          <w:rtl w:val="true"/>
          <w:lang w:bidi="ar-SA"/>
        </w:rPr>
        <w:t xml:space="preserve">. </w:t>
      </w:r>
      <w:bookmarkStart w:id="1035" w:name="pg10178_83894"/>
    </w:p>
    <w:p>
      <w:pPr>
        <w:pStyle w:val="Heading4"/>
        <w:numPr>
          <w:ilvl w:val="3"/>
          <w:numId w:val="1"/>
        </w:numPr>
        <w:rPr/>
      </w:pPr>
      <w:bookmarkStart w:id="1036" w:name="__RefHeading___Toc2019098_1067777946"/>
      <w:bookmarkStart w:id="1037" w:name="_Toc387"/>
      <w:bookmarkEnd w:id="1035"/>
      <w:bookmarkEnd w:id="1036"/>
      <w:r>
        <w:rPr>
          <w:rtl w:val="true"/>
        </w:rPr>
        <w:t>[</w:t>
      </w:r>
      <w:r>
        <w:rPr>
          <w:rtl w:val="true"/>
        </w:rPr>
        <w:t>في اللواحق</w:t>
      </w:r>
      <w:r>
        <w:rPr>
          <w:rtl w:val="true"/>
        </w:rPr>
        <w:t>]</w:t>
      </w:r>
      <w:bookmarkEnd w:id="10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عهدة الثمن، لزمه دركه في كلّ موضع يثبت فيه بطلان البيع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العهدة في الأصل اسم للوثيقة، أو الكتاب الذي تكتب فيه وثيقة البيع، ثمّ نقل إلى نفس الثمن وغلب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ضمان العُهْدَة؛ لالتزام الضامن ما في عُهدة البائع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عُهْدَةٌ بالضمّ، أي لم يحكم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عقله عُهْدَةٌ، أي ضعفٌ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 الضامن ضمن ضعف العقد، والتزم ما يحتاج إليه فيه من 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تجدّد الفسخ بالتقايل، أو تلف المبيع قبل القبض، لم يلزم الضمان ورجع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مع تجدّد الفسخ واضح؛ لأنّه وقت الضمان لم يكن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تلف المبيع قبل القبض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يبطل البيع من حينه فكذلك،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يُبطله من أصله فالأقوى أنّ الحكم كذلك؛ لأنّه حكم لاحق للضمان، والمبيع 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للمشتري في نفس الأمر، وإنّما التلف الطارئ كان سبباً في حكم الله تعالى بعود الملك إلى صاحبه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طالب بالأرش رجع على الضامن؛ لأنّ استحقاقه ثابت عند العقد، وفيه تردّد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بالتعليل إلى الفرق بين الأرش والثمن، حيث يدخل الأرش في ضمان العهدة دون الثمن على تقدير الفسخ بالعيب، فإنّ الثمن إنّما يجب بالفسخ اللاحق للضمان، أمّا الأرش فإنّه جزء من الثمن، ثابت وقت الضمان، فيندرج في ضمان العهدة، لكنّه </w:t>
      </w:r>
    </w:p>
    <w:p>
      <w:pPr>
        <w:pStyle w:val="BookText"/>
        <w:rPr/>
      </w:pPr>
      <w:r>
        <w:rPr>
          <w:rFonts w:ascii="Amiri" w:hAnsi="Amiri" w:eastAsia="Amiri" w:cs="Amiri"/>
          <w:color w:val="111111"/>
          <w:sz w:val="28"/>
          <w:sz w:val="28"/>
          <w:szCs w:val="28"/>
          <w:rtl w:val="true"/>
          <w:lang w:bidi="ar-SA"/>
        </w:rPr>
        <w:t>مجهول القدر حينئذٍ، فيتعيّن بناؤه على صحّة ضمان المجهول الذي يمكن استعلامه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ظهر نقصان الصنجة التي وزن بها الثمن أو المثمن، حيث يضمن عهدته أو يصرّح بدخوله؛ لوجود ذلك حالة الضمان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التردّد في الأرش ممّا ذكر، ومن أنّ الاستحقاق إنّما حصل بعد العلم بالعيب واختيار أخذ الأرش، والموجود حالة العقد من العيب ما كان يلزمه تعيين الأرش، بل التخيير بينه وبين الردّ، فلم يتعيّن الأرش إلّا باختياره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والأولى ثبوت الفرق </w:t>
      </w:r>
      <w:r>
        <w:rPr>
          <w:rStyle w:val="FootnoteAnchor"/>
          <w:rtl w:val="true"/>
        </w:rPr>
        <w:footnoteReference w:id="355"/>
      </w:r>
      <w:r>
        <w:rPr>
          <w:rFonts w:ascii="Amiri" w:hAnsi="Amiri" w:eastAsia="Amiri" w:cs="Amiri"/>
          <w:color w:val="111111"/>
          <w:sz w:val="28"/>
          <w:sz w:val="28"/>
          <w:szCs w:val="28"/>
          <w:rtl w:val="true"/>
          <w:lang w:bidi="ar-SA"/>
        </w:rPr>
        <w:t>، وأنّ الأرش أحد الفردين الثابتين على وجه التخيير، ليكون كأفراد الواجب المخيّر، حيث يوصف بالوجوب قبل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ضامن للمشتري درك ما يحدث من بناء أو غرس لم يصحّ؛ لأنّه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لو ضمنه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 لأنّه لازم بنفس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قلع المستحقّ غرس المشتري وبناءه في الصورة المذكورة فله الرجوع علی البائع بالأرش، ضمن أو لم يضمن، وقد علّل المصنّف الحكم بصحّة ضمانه لذلك بلزومه له وفيه نظر؛ لأنّه لا يلزم من ضمانه لكونه بائعاً مسلّطاً له على الانتفاع مجّاناً ضمانه بعقد الضمان، مع عدم اجتماع شرائطه التي من جملتها كونه ثابتاً حال الضمان، فعدم الصحّة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فالخلاف ليس في ثبوت ذلك على البائع أم لا؛ لأنّه ثابت بغير إشكالٍ، بل في ثبوته بسبب الضمان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فيما لو أسقط المشتري عنه حقّ الرجوع بسبب البيع، فيبقى له الرجوع عليه بسبب الضمان لو قلنا بصحّته، كما لو كان له خياران فأسقط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لو كان قد شرط على البائع في عقد البيع ضماناً بوجهٍ صحيحٍ، فإنْ صحّحنا هذا كفى في الوفاء بالشرط وإنْ لم يحصل للمشتري نفع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على رجلين مال، فضمن كلّ واحدٍ منهما ما على صاحبه، تحوّل ما على كلّ واحد منهما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صحّة هذا الضمان؛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ضمّ ذمّةٍ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اشتركا في المطالبة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بين الأصحاب من كونه ناقلاً للمال إلى ذمّة الضامن، فتظهر الفائدة، مع اختلافهما كمّيّة وكيفيّة، وفيما لو كان بأحد الدينين، أو بهما رهن، فإنّه ينفكّ بذلك؛ لأنّه بمنزلة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عنه ديناراً بإذنه، فدفعه إلى الضامن، فقد قضى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الضامن لا يستحقّ عند المضمون عنه شيئاً إلى أن يؤدّي مال الضمان، فإذا ابتدأ المديون ودفع الدين إلى الضامن فقد تبرّع بالأداء قبل وجوبه، فلا يستحقّه الضامن، وليس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دفعه في الدين تبعاً للإذن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يوهم خلاف ذلك، وأنّه يكون بمنزلة أداء الدين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أنّه تخلّص من الحقّ؛ لأنّ الضامن إن دفعه فقد برئ، وإن لم يدفعه كان في يده مساوياً للحقّ إلى أن يؤدّي، فيأخذه من دينه، وإن أبرأ من الدين، أو بعضه، وجب عليه ردّ ما قابله إلى المديون، فالمديون قد قضى ما عليه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إنّما يتمّ مطلقاً على تقدير أن يكون المقبوض في يد الضامن مضموناً، وإلّا أمكن أن يتلف في يده بغير تفريط، فلايكون المديون في هذه الصورة قد قضى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مضموناً عليه مطلقاً كالمقبوض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المضمون عنه للضامن قبلت شهادته مع انتفاء التهمة، على القول بانتقال المال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المضمون عنه مع إذنه في الضمان ثبت عليه ما يغرمه الضامن، فشهادته له بالأداء شهادة على نفسه وشهادة لغيره فتسمع، إلّا أن يعرض عليه تهمة في الشهادة، بحيث تفيده فائدة زائدة على ما يغرمه فتردّ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فرضوا التهمة في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قد صالح على أقلّ من الحقّ، فيكون رجوعه إنّما هو بذلك، فشهادة المضمون عنه له به تجرّ إلى نفسه نفعاً، فإنّ ذلك إذا لم يثبت يبقى مجموع الحقّ في ذمّة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 يكفي في سقوط الزائد عن المضمون عنه اعتراف الضامن بذلك، ولا حاجة إلى الثبوت بالبيّنة كما سيأتي، فتندفع التهمة وتقبل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معسراً، ولم يعلم المضمون له بإعساره، فإنّ له الفسخ؛ حيث لا يثبت الأداء، ويرجع على المضمون عنه، فيندفع بشهادته عود الحقّ إلى ذمّته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الضامن قد تجدّد عليه الحجر للفلس، وللمضمون عنه عليه دَين، فإنّه يوفّر بشهادته مال الضامن، فيزداد ما يضرب به، ولافرق في هاتين الصورتين بين كون الضامن متبرّعاً وبسؤال؛ لأنّ فسخ الضمان يوجب العود إلى المدیون علی التقديرين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يشهد المضمون عنه رجع الضامن بما أدّاه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يزد على ما ادّعى دفعه أوّلاً ولا على الحقّ، وإلّا رجع بالأقلّ من الثلاثة؛ لأنّ الأقلّ إنْ كان هو ما غرمه أوّلاً فلزعمه أنّه لا يستحقّ سواه وأنّ الثاني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الأقلّ ماغرمه ثانياً فلأنّه لم يثبت ظاهراً سواه، وإنْ كان الأقلّ هو الحقّ، فلأنّه إنّما يرجع بالأقلّ من المدفوع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شهادة المضمون عنه اعترافه بالدفع الأوّل وإن لم يشهد؛ لما ذكر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المريض في مرضه ومات فيه، خرج ما ضمنه من ثلث تركته، على الأصحّ</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تبرّعه بالضمان، أمّا لو ضمن بسؤال فهو كما لو باع بثمن المثل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حينئذٍ أنّه متى أمكن الرجوع على المضمون عنه فهو من الأصل، وإنْ لم يمكن؛ لإعساره ونحوه فهو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منجّزات المريض المتبرّع بها </w:t>
      </w:r>
      <w:bookmarkStart w:id="1038" w:name="pg10178_83898"/>
    </w:p>
    <w:p>
      <w:pPr>
        <w:pStyle w:val="BookText"/>
        <w:rPr/>
      </w:pPr>
      <w:bookmarkEnd w:id="1038"/>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الرجوع بالبعض فهو كبيع المحاباة يتوقّف ما يفوت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عدم إجازة الورثة، وإلّا نفذ من الأصل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مؤجّلاً، فضمنه حالّاً،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صحّته فيهما، وقد تقدّم من المصنّف الجزم بها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2019100_1067777946"/>
      <w:bookmarkStart w:id="1040" w:name="_Toc388"/>
      <w:bookmarkEnd w:id="1039"/>
      <w:r>
        <w:rPr>
          <w:rtl w:val="true"/>
        </w:rPr>
        <w:t>[</w:t>
      </w:r>
      <w:r>
        <w:rPr>
          <w:rtl w:val="true"/>
        </w:rPr>
        <w:t>القسم الثاني في الحوالة</w:t>
      </w:r>
      <w:r>
        <w:rPr>
          <w:rtl w:val="true"/>
        </w:rPr>
        <w:t>]</w:t>
      </w:r>
      <w:bookmarkEnd w:id="1040"/>
    </w:p>
    <w:p>
      <w:pPr>
        <w:pStyle w:val="Heading4"/>
        <w:numPr>
          <w:ilvl w:val="3"/>
          <w:numId w:val="1"/>
        </w:numPr>
        <w:rPr/>
      </w:pPr>
      <w:bookmarkStart w:id="1041" w:name="__RefHeading___Toc2019102_1067777946"/>
      <w:bookmarkStart w:id="1042" w:name="_Toc389"/>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فالحوالة عقد شرّع لتحويل المال من ذمّة إلى ذمّة مشغولة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عن قريب القطع بجواز الحوالة على البريء، ولا ينفعه الاعتذار بجعلها حينئذٍ بالضمان أشبه؛ لأنّ رجحان الشبه لا يخرجها عن كونها حوالة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عرّف الحوالة المتّفق على صحّتها، ولو أسقط القيد من التعريف وقع فيما هو أصعب؛ لشموله حينئذٍ الضمان بالمعنى الأخصّ؛ لأنّ المال فيه يتحوّل من ذمّة المضمون عنه إلى ذمّة الضامن، فينتقض في طرده</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2019104_1067777946"/>
      <w:bookmarkStart w:id="1044" w:name="_Toc390"/>
      <w:bookmarkEnd w:id="1043"/>
      <w:r>
        <w:rPr>
          <w:rtl w:val="true"/>
        </w:rPr>
        <w:t>[</w:t>
      </w:r>
      <w:r>
        <w:rPr>
          <w:rtl w:val="true"/>
        </w:rPr>
        <w:t>شروطها</w:t>
      </w:r>
      <w:r>
        <w:rPr>
          <w:rtl w:val="true"/>
        </w:rPr>
        <w:t>]</w:t>
      </w:r>
      <w:bookmarkEnd w:id="10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فيها رضى المحيل والمحال عليه والمحتال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اشتراط رضى المحال عليه، مع اتّفاق الحقّين جنساً ووصفاً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منه ما لو كان بريئاً من حقّ المحيل، فإنّ رضاه معتبر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اعتبار رضى المحيل ما لو تبرّع المحال عليه بالوفاء، فإنّه لا يعتبر رضى المحيل قطعاً؛ لأنّه وفاء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عنه حينئذٍ أن يقول المحال عليه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بالدَين الذي لك على فلان على نفسي فيقبل، فيشترط هنا رضى المحتال والمحال عليه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تحقّقها يتحوّل المال إلى ذمّة المحال عليه، ويبرأ المحيل وإن لم يُبرئه </w:t>
      </w:r>
    </w:p>
    <w:p>
      <w:pPr>
        <w:pStyle w:val="BookText"/>
        <w:rPr/>
      </w:pPr>
      <w:r>
        <w:rPr>
          <w:rFonts w:ascii="IRNazanin" w:hAnsi="IRNazanin" w:eastAsia="IRNazanin"/>
          <w:color w:val="111111"/>
          <w:sz w:val="28"/>
          <w:sz w:val="28"/>
          <w:szCs w:val="28"/>
          <w:rtl w:val="true"/>
          <w:lang w:bidi="fa-IR"/>
        </w:rPr>
        <w:t>المحتال، 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خالف في ذلك الشيخ </w:t>
      </w:r>
      <w:r>
        <w:rPr>
          <w:rStyle w:val="FootnoteAnchor"/>
          <w:rtl w:val="true"/>
        </w:rPr>
        <w:footnoteReference w:id="357"/>
      </w:r>
      <w:r>
        <w:rPr>
          <w:rFonts w:ascii="Amiri" w:hAnsi="Amiri" w:eastAsia="Amiri" w:cs="Amiri"/>
          <w:color w:val="111111"/>
          <w:sz w:val="28"/>
          <w:sz w:val="28"/>
          <w:szCs w:val="28"/>
          <w:rtl w:val="true"/>
          <w:lang w:bidi="ar-SA"/>
        </w:rPr>
        <w:t xml:space="preserve">وجماعة </w:t>
      </w:r>
      <w:r>
        <w:rPr>
          <w:rStyle w:val="FootnoteAnchor"/>
          <w:rtl w:val="true"/>
        </w:rPr>
        <w:footnoteReference w:id="358"/>
      </w:r>
      <w:r>
        <w:rPr>
          <w:rFonts w:ascii="Amiri" w:hAnsi="Amiri" w:eastAsia="Amiri" w:cs="Amiri"/>
          <w:color w:val="111111"/>
          <w:sz w:val="28"/>
          <w:sz w:val="28"/>
          <w:szCs w:val="28"/>
          <w:rtl w:val="true"/>
          <w:lang w:bidi="ar-SA"/>
        </w:rPr>
        <w:t xml:space="preserve">، حيث اشترطوا في براءة المحيل أنْ يبرئه المحتال، استناداً إلى ظاهر رواية </w:t>
      </w:r>
      <w:r>
        <w:rPr>
          <w:rStyle w:val="FootnoteAnchor"/>
          <w:rtl w:val="true"/>
        </w:rPr>
        <w:footnoteReference w:id="359"/>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أنْ يحيل على مَن ليس عليه دين، لكن يكون ذلك بالضمان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أشبه بالضمان؛ لاقتضائه نقل المال من ذمّة مشغولة إلى ذمّة بريئة، فكأنّ المحال عليه بقبوله ضامن لِدَين المحتال على المحيل، ولا يخرج بهذا الشبه عن الحوالة، فتلحقه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قبل الحوالة جاهلاً بحاله، ثمّ بان فقره وقت الحوالة، كان له الفسخ والعود على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يساره وإعساره وقت الحوالة، فلو كان مليّاً ثمّ تجدّد له الإعسار فلا خيار، ولو انعكس بأن كان معسراً ثمّ تجدّد له اليسار قبل أن يفسخ المحتال ففي زوال الخيار وجهان، أجودهما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أحال بما عليه، ثمّ أحال المحال عليه بذلك الدين صحّ، وكذا لو ترامت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يصحّ تراميها يصحّ دورها كالضمان، بأن تعود إلى المحيل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تساوي المالين، جنساً ووصفاً، تفصّياً من التسلّط على المحال عليه؛ إذ لا يجب أن يدفع إلّا مثل ما عليه، وفيه تردّد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أنّا إنْ جوّزنا الحوالة على البريء، واشترطنا رضى المحال عليه، لم يشترط تساوي المالين مطلقاً، وإلّا اشترط</w:t>
      </w:r>
      <w:r>
        <w:rPr>
          <w:rFonts w:eastAsia="Amiri" w:cs="Amiri" w:ascii="Amiri" w:hAnsi="Amiri"/>
          <w:color w:val="111111"/>
          <w:sz w:val="28"/>
          <w:szCs w:val="28"/>
          <w:rtl w:val="true"/>
          <w:lang w:bidi="ar-SA"/>
        </w:rPr>
        <w:t xml:space="preserve">. </w:t>
      </w:r>
      <w:bookmarkStart w:id="1045" w:name="pg10178_83900"/>
    </w:p>
    <w:p>
      <w:pPr>
        <w:pStyle w:val="BookText"/>
        <w:rPr/>
      </w:pPr>
      <w:bookmarkEnd w:id="104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أحال عليه فقبل وأدّى، ثمّ طالب بما أدّاه، ثمّ ادّعى المحيل أنّه كان له عليه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جواز الحوالة على البريء، وإلّا لم يقبل قوله؛ لأنّه يدّعي فساد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الحوالة بمال الكتابة بعد حلول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قبله؟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الحوالة بمالها مطلقاً، ثمّ إنْ كان قبل الحلول لم يعتق العبد بمجرّدها؛ لأنّها ليست في حكم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اعتق السيّد العبد المكاتب بطلت الكتابة، ولم يسقط عن المكاتب مال الحوالة؛ لأنّ المال صار لازماً للمحتال، والبطلان طارئ، ولا يضمن السيّد ما يغرمه من مال الحوالة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له على أجنبي دين، فأحال عليه بمال الكتابة صحّ؛ لأنّه یجب تسليمه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المكاتب، والمحتال هو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إذا كان للمكاتب دين على أجنبي غير السيّد فاحتال سيّده بمال الكتابة على ذلك الأجنبي، الذي للمكاتب عليه دين، صحّت الحوالة؛ لأنّه يجب على المديون دفع مال المكاتب إليه، أو إلى من يرتضيه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تبرأ ذمّة المكاتب من مال الكتابة ويتحرّر؛ لأنّ الحوالة بعد حلول المال بمنزلة الأداء، سواء أدّى المحال عليه المال إلى السيّد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الحوالة ببعض مال الكتابة كان بمنزلة قبض البعض حتّى لو أعتقه سقط عن المكاتب الباقي ولم تبطل الحوالة</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2019106_1067777946"/>
      <w:bookmarkStart w:id="1047" w:name="_Toc391"/>
      <w:bookmarkEnd w:id="1046"/>
      <w:r>
        <w:rPr>
          <w:rtl w:val="true"/>
        </w:rPr>
        <w:t>[</w:t>
      </w:r>
      <w:r>
        <w:rPr>
          <w:rtl w:val="true"/>
        </w:rPr>
        <w:t>أحكامها</w:t>
      </w:r>
      <w:r>
        <w:rPr>
          <w:rtl w:val="true"/>
        </w:rPr>
        <w:t>]</w:t>
      </w:r>
      <w:bookmarkEnd w:id="10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أحلتك عليه فقبض، فقال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الوكالة، وقال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أحلتني بما عليك، فالقول قول المحيل؛ لأنّه أعرف بلفظه، وفيه تردّد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التردّد ممّا ذكره المصنِّف من أنّ المحيل أعرف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والوكالة من العقود </w:t>
      </w:r>
    </w:p>
    <w:p>
      <w:pPr>
        <w:pStyle w:val="BookText"/>
        <w:rPr/>
      </w:pPr>
      <w:r>
        <w:rPr>
          <w:rFonts w:ascii="Amiri" w:hAnsi="Amiri" w:eastAsia="Amiri" w:cs="Amiri"/>
          <w:color w:val="111111"/>
          <w:sz w:val="28"/>
          <w:sz w:val="28"/>
          <w:szCs w:val="28"/>
          <w:rtl w:val="true"/>
          <w:lang w:bidi="ar-SA"/>
        </w:rPr>
        <w:t>الجائزة تتأدّى بلفظ الحوالة وغيرها ممّا يدلّ على المراد، ومن دلالة اللفظ ظاهراً على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واحتياج دلالته على الوكالة إلى القرائن، والأصل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تقديم قول المحتال؛ عملاً بالظاهر، إن لم تكن الحوالة حقيقة في معناها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يقبض ثمّ اختلفا،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أحلتني، فالقول قول المحيل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اشتراك المسألتين في اللفظ الظاهر في الحوالة المحتمل للوكالة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الأصل على الظاهر، كما هو الغالب، ولاعتضاده هنا بأصالة عدم ملك المحتال له، بخلاف ما في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الاحتمال قائم كالسابقة، والحكم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انعكس الفرض، فالقول قول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قال المديون بعد اتّفاقهما على جريان لفظ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الحوالة، وقال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وكّلتني، فيقدّم هنا قول مدّعي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لأصالة بقاء الحقّين السابقين، والمحيل يدّعي خلافهما وانتقالهما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هذا الاختلاف عند إفلاس المحال عليه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دين على اثنين، وكلّ منهما كفيل لصاحبه، وعليه لآخر مثل ذلك، فأحاله عليهما صحّ، وإنْ حصل الرفق في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بالكفالة هنا الضمان، ووجه الصحّة على القول المشهور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لأنّ كلّ واحد من الحقّين قد انتقل من ذمّة أحدهما إلى ذمّة الآخر، فكان كما لو أحاله عليهما ابتداء، ولا ارتفاق هنا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ذمّة إلى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للمحتال الارتفاق بمطالبة كلّ منهما بجميع المال، فمنع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من صحّة الحوالة </w:t>
      </w:r>
      <w:r>
        <w:rPr>
          <w:rStyle w:val="FootnoteAnchor"/>
          <w:rtl w:val="true"/>
        </w:rPr>
        <w:footnoteReference w:id="360"/>
      </w:r>
      <w:r>
        <w:rPr>
          <w:rFonts w:ascii="Amiri" w:hAnsi="Amiri" w:eastAsia="Amiri" w:cs="Amiri"/>
          <w:color w:val="111111"/>
          <w:sz w:val="28"/>
          <w:sz w:val="28"/>
          <w:szCs w:val="28"/>
          <w:rtl w:val="true"/>
          <w:lang w:bidi="ar-SA"/>
        </w:rPr>
        <w:t>هنا، بناءً على ذلك وعلى كلّ واحد من المبنيّ عليه والحكم والتعليل الصالح للمنع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 المشتري البائع بالثمن، ثمّ ردّ المبيع بالعيب السابق، بطلت الحوالة؛ لأنّها تبع البيع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الحوالة تابعة للبيع، فإذا بطل البيع بطلت؛ لاستحالة وجود التابع من حيث هو تابع بدون متبوعه، وهو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الحوالة ناقلة للمال إلى ذمّة المحال عليه فى حالة كون المحتال مستحقّاً للدين في ذمّة المشتري، فلايزيله الفسخ المتعقّب؛ لأنّه أبطل العقد من حينه لا من أصله </w:t>
      </w:r>
      <w:r>
        <w:rPr>
          <w:rStyle w:val="FootnoteAnchor"/>
          <w:rtl w:val="true"/>
        </w:rPr>
        <w:footnoteReference w:id="361"/>
      </w:r>
      <w:r>
        <w:rPr>
          <w:rFonts w:ascii="IRNazanin" w:hAnsi="IRNazanin" w:eastAsia="IRNazanin"/>
          <w:color w:val="111111"/>
          <w:sz w:val="28"/>
          <w:sz w:val="28"/>
          <w:szCs w:val="28"/>
          <w:rtl w:val="true"/>
          <w:lang w:bidi="fa-IR"/>
        </w:rPr>
        <w:t>وهذا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أحال البائع أجنبيّاً بالثمن على المشتري، ثمّ فسخ المشتري بالعيب، أو بأمر حادث، لم تبطل الحوالة؛ لأنّها تعلّقت بغير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بالتعليل إلى الفرق بين حوالة المشتري البائع وحوالة البائع الأجنبي على المشتري، فإنّ الحقّ في الأوّل كان مختصّاً بالمتايعين بسبب البيع، فإذا بطل السبب بطلت التوابع، بخلاف حوالة الأجنبي، فإنّها لا تبطل؛ لتعلّقها بغير المتعاقدين، حيث أنّ الثمن صار مملوكاً للمحتال الأجنبي قبل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هنا الإجماع على عدم البطلان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المحتال قد قبض وعدمه؛ لأنّ الناقل للملك هو</w:t>
      </w:r>
    </w:p>
    <w:p>
      <w:pPr>
        <w:pStyle w:val="BookText"/>
        <w:rPr/>
      </w:pPr>
      <w:r>
        <w:rPr>
          <w:rFonts w:ascii="Amiri" w:hAnsi="Amiri" w:eastAsia="Amiri" w:cs="Amiri"/>
          <w:color w:val="111111"/>
          <w:sz w:val="28"/>
          <w:sz w:val="28"/>
          <w:szCs w:val="28"/>
          <w:rtl w:val="true"/>
          <w:lang w:bidi="ar-SA"/>
        </w:rPr>
        <w:t>الحوالة لا القبض، وربما احتمل هنا البطلان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ثبت بطلان البيع بطلت الحوالة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موضع إحالة المشتري البائع وإحالة البائع الأجنبي على المشتري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الحوالة فرع ثبوت الثمن في ذمّة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الحوالة وقعت في نفسها باطلة لأنّها بطلت بظهور بطلان البيع، وإنّما كشف ظهور بطلانه عن بطلانها من رأس المال، وحينئذٍ فإن كان البائع أو المحتال لم يقبض فليس له القبض، وإن كان قد قبض رجع المشتري عليه لاعلى المحال عليه؛ لصدور القبض بإذنه</w:t>
      </w:r>
      <w:r>
        <w:rPr>
          <w:rFonts w:eastAsia="Amiri" w:cs="Amiri" w:ascii="Amiri" w:hAnsi="Amiri"/>
          <w:color w:val="111111"/>
          <w:sz w:val="28"/>
          <w:szCs w:val="28"/>
          <w:rtl w:val="true"/>
          <w:lang w:bidi="ar-SA"/>
        </w:rPr>
        <w:t xml:space="preserve">. </w:t>
      </w:r>
      <w:bookmarkStart w:id="1048" w:name="pg10178_83903"/>
    </w:p>
    <w:p>
      <w:pPr>
        <w:pStyle w:val="Heading3"/>
        <w:numPr>
          <w:ilvl w:val="2"/>
          <w:numId w:val="1"/>
        </w:numPr>
        <w:rPr/>
      </w:pPr>
      <w:bookmarkStart w:id="1049" w:name="__RefHeading___Toc2019108_1067777946"/>
      <w:bookmarkStart w:id="1050" w:name="_Toc392"/>
      <w:bookmarkEnd w:id="1048"/>
      <w:bookmarkEnd w:id="1049"/>
      <w:r>
        <w:rPr>
          <w:rtl w:val="true"/>
        </w:rPr>
        <w:t>[</w:t>
      </w:r>
      <w:r>
        <w:rPr>
          <w:rtl w:val="true"/>
        </w:rPr>
        <w:t>القسم الثالث في الكفالة</w:t>
      </w:r>
      <w:r>
        <w:rPr>
          <w:rtl w:val="true"/>
        </w:rPr>
        <w:t>]</w:t>
      </w:r>
      <w:bookmarkEnd w:id="1050"/>
    </w:p>
    <w:p>
      <w:pPr>
        <w:pStyle w:val="Heading4"/>
        <w:numPr>
          <w:ilvl w:val="3"/>
          <w:numId w:val="1"/>
        </w:numPr>
        <w:rPr/>
      </w:pPr>
      <w:bookmarkStart w:id="1051" w:name="__RefHeading___Toc2019110_1067777946"/>
      <w:bookmarkStart w:id="1052" w:name="_Toc393"/>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حالّة ومؤجّلة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للمكفول له مطالبة الكفيل بالمكفول عنه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سلّمه تسليماً تامّاً فقد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كان له حبسه حتّى يحضره، أو يؤدّي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بالتسليم التامّ أن يكون في الوقت والمكان المعيّن، إن عيّناهما في العقد، أو في بلد العقد مع الإطلاق، وأن لا يكون للمكفول له مانع من تسليمه، بأن لايكون في يد ظالمٍ، ولا متغلّبٍ يمنعه منه، ولا في موضعٍ لا يتمكّن من وضع يده عليه؛ لقوّة المكفول وضعف المكفول 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سلّمه كذلك برئ من عهدته، وإن لم يتسلّمه منه وأمكن تسليمه إلى الحاكم سلّمه إليه وبرئ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خلّى بينه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الإشهاد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بالكفيل إذا بذل، فأمّا إذا امتنع من التسليم التامّ ألزمه الحاكم به، فإن أبي حبسه حتّى يحضره، وله عقوبته عليه، كما في كلّ ممتنع من أداء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سلّمه بعد ذلك فلا كلام، وإنْ أبى وبذل ما عليه، فظاهر المصنّف الاكتفاء به في براءته، وعليه الأكثر </w:t>
      </w:r>
      <w:r>
        <w:rPr>
          <w:rStyle w:val="FootnoteAnchor"/>
          <w:rtl w:val="true"/>
        </w:rPr>
        <w:footnoteReference w:id="363"/>
      </w:r>
      <w:r>
        <w:rPr>
          <w:rFonts w:ascii="Amiri" w:hAnsi="Amiri" w:eastAsia="Amiri" w:cs="Amiri"/>
          <w:color w:val="111111"/>
          <w:sz w:val="28"/>
          <w:sz w:val="28"/>
          <w:szCs w:val="28"/>
          <w:rtl w:val="true"/>
          <w:lang w:bidi="ar-SA"/>
        </w:rPr>
        <w:t>لحصول الغرض من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تقدير تمامه إنّما يصحّ فيما يمكن أخذه من الكفيل كالمال، فلو لم يمكن، كالقصاص، وزوجيّة المرأة، والدعوى بعقوبة توجب حدّاً أو تعزيراً، فلابدّ من إلزامه بإحضاره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المكفول له قبول الحقّ مطلقاً، بل له إلزامه بإحضاره </w:t>
      </w:r>
      <w:r>
        <w:rPr>
          <w:rStyle w:val="FootnoteAnchor"/>
          <w:rtl w:val="true"/>
        </w:rPr>
        <w:footnoteReference w:id="364"/>
      </w:r>
      <w:r>
        <w:rPr>
          <w:rFonts w:ascii="IRNazanin" w:hAnsi="IRNazanin" w:eastAsia="IRNazanin"/>
          <w:color w:val="111111"/>
          <w:sz w:val="28"/>
          <w:sz w:val="28"/>
          <w:szCs w:val="28"/>
          <w:rtl w:val="true"/>
          <w:lang w:bidi="fa-IR"/>
        </w:rPr>
        <w:t>، وهذا هو الأقوى</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 كان علَيَّ كذا، لم يلزمه إلّا إحضاره دون المال، ولو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كذا إلى كذا إنْ لم أحضره، وجب عليه ماشرط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وجماعة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رواية داود بن الحصين عن أبي العبّاس عن الصادق علیه السلام </w:t>
      </w:r>
      <w:r>
        <w:rPr>
          <w:rStyle w:val="FootnoteAnchor"/>
          <w:rtl w:val="true"/>
        </w:rPr>
        <w:footnoteReference w:id="367"/>
      </w:r>
      <w:r>
        <w:rPr>
          <w:rFonts w:ascii="Amiri" w:hAnsi="Amiri" w:eastAsia="Amiri" w:cs="Amiri"/>
          <w:color w:val="111111"/>
          <w:sz w:val="28"/>
          <w:sz w:val="28"/>
          <w:szCs w:val="28"/>
          <w:rtl w:val="true"/>
          <w:lang w:bidi="ar-SA"/>
        </w:rPr>
        <w:t>، والمستند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 بين المسألتين على الوجه الذي ذكروه مشكل؛ إذ لافرق لغةً بين تقديم الشرط وتأخيره، مع أنّ الرواية لا تدلّ على ما أطلقوه، والمناسب للأصل بطلان الضمان المعلّق على الشرط مطلقاً، إلّا أن يكون المال المشروط بعدم إحضاره هو الحقّ المكفول لأجله، فيكون اشتراطه مؤكّداً لاقتضاء الكفالة إيّاه بدون الشرط، فتصحّ الكفالة، سواء تقدّم الشرط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حصل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الكفالة، وإلّا فالعبارة لا تقتضيه وقوله في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علیه ما شرط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بعدم إحضاره؛ لأنّه منصوص الرواية ومقتضى القاعدة، فترك ذكره</w:t>
      </w:r>
    </w:p>
    <w:p>
      <w:pPr>
        <w:pStyle w:val="BookText"/>
        <w:rPr/>
      </w:pPr>
      <w:r>
        <w:rPr>
          <w:rFonts w:ascii="Amiri" w:hAnsi="Amiri" w:eastAsia="Amiri" w:cs="Amiri"/>
          <w:color w:val="111111"/>
          <w:sz w:val="28"/>
          <w:sz w:val="28"/>
          <w:szCs w:val="28"/>
          <w:rtl w:val="true"/>
          <w:lang w:bidi="ar-SA"/>
        </w:rPr>
        <w:t>ضعفٌ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أطلق غريماً من يد صاحب الحقّ قهراً ضمن إحضاره، أو أداء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في الكفيل الممتنع من تسليم المكفول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يطالب بالتسليم مع الإمكان، لا أن يفوّض التخيير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يؤخذ منه المال لا رجوع له على الغريم؛ إذا لم يأمره بدفعه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قاتلاً لزمه إحضاره، أو دفع الدية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كون القتل عمداً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استمرّ القاتل هارباً ذهب المال على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 الوليّ منه وجب عليه ردّ الدية إلى الغارم وإن لم يقتصّ من القاتل</w:t>
      </w:r>
      <w:r>
        <w:rPr>
          <w:rFonts w:eastAsia="Amiri" w:cs="Amiri" w:ascii="Amiri" w:hAnsi="Amiri"/>
          <w:color w:val="111111"/>
          <w:sz w:val="28"/>
          <w:szCs w:val="28"/>
          <w:rtl w:val="true"/>
          <w:lang w:bidi="ar-SA"/>
        </w:rPr>
        <w:t xml:space="preserve">. </w:t>
      </w:r>
      <w:bookmarkStart w:id="1053" w:name="pg10178_83905"/>
    </w:p>
    <w:p>
      <w:pPr>
        <w:pStyle w:val="Heading4"/>
        <w:numPr>
          <w:ilvl w:val="3"/>
          <w:numId w:val="1"/>
        </w:numPr>
        <w:rPr/>
      </w:pPr>
      <w:bookmarkStart w:id="1054" w:name="__RefHeading___Toc2019112_1067777946"/>
      <w:bookmarkStart w:id="1055" w:name="_Toc394"/>
      <w:bookmarkEnd w:id="1053"/>
      <w:bookmarkEnd w:id="1054"/>
      <w:r>
        <w:rPr>
          <w:rtl w:val="true"/>
        </w:rPr>
        <w:t>[</w:t>
      </w:r>
      <w:r>
        <w:rPr>
          <w:rtl w:val="true"/>
        </w:rPr>
        <w:t>مسائل</w:t>
      </w:r>
      <w:r>
        <w:rPr>
          <w:rtl w:val="true"/>
        </w:rPr>
        <w:t>:]</w:t>
      </w:r>
      <w:bookmarkEnd w:id="10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أُحضر الغريم قبل الأجل، وجب تسليمه إذا كان لا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 بتسليمه مطلقاً انصرف إلى بلد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 في غيره لم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نقله كلفة، ولا في تسليمه ضرر، وجب تسليمه،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وجوب تسليمه في غير المشروط، وما ينصرف الإطلاق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تكفّل رجلان برجل، فسلّمه أحدهما، لم يبرأ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حسّنه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تكفّل لرجلين برجل، ثمّ سلّمه إلى أحدهما، لم يبرأ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المسألتين واضح، فإنّ العقد هنا مع الاثنين بمنزلة عقدين، فهو كما لو تكفّل لكلّ واحد منهما على انفراده، وكما لو ضمن دينين لشخصين فأدّى دَين أحدهما، فإنّه لا يبرأ من دين الآخر، بخلاف السابق، فإنّ الغرض من كفالتهما معاً إحضاره، وقد حصل، كما لو حضر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المكفول برئ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 لم يكن الغرض الشهادة على عينه، وإلّا وجب إحضاره ميّتاً مطلقاً، حيث تمكن الشهادة عليه، بأن لا يكون قد تغيّر بحيث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 قد دفن وعدمه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أبرأت المكفول فأنكر، فالقول قول المكفول له، فلو ردّ اليمين إلى الكفيل فحلف برئ من الكفالة </w:t>
      </w:r>
      <w:r>
        <w:rPr>
          <w:rStyle w:val="FootnoteAnchor"/>
          <w:rtl w:val="true"/>
        </w:rPr>
        <w:footnoteReference w:id="368"/>
      </w:r>
      <w:r>
        <w:rPr>
          <w:rFonts w:ascii="Amiri" w:hAnsi="Amiri" w:eastAsia="Amiri" w:cs="Amiri"/>
          <w:color w:val="111111"/>
          <w:sz w:val="28"/>
          <w:sz w:val="28"/>
          <w:szCs w:val="28"/>
          <w:rtl w:val="true"/>
          <w:lang w:bidi="ar-SA"/>
        </w:rPr>
        <w:t>، ولم يبرأ المكفول من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لاختلاف الدعويين، ولأنّ الإنسان لا يبرأ من الحقّ بيمين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حلف المكفول اليمين المردودة برئا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نكل المكفول له عن يمين المكفول فحلف هو برئا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كفل الكفيل آخر، وترامت الكفالة،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أحضر الكفيل الأخير مكفوله برئ من الكفالة خاصّة، وبقي على مكفوله إحضار مَن كفله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أحضر الكفيل الأوّل مكفوله برئ الجميع؛ لأنّهم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أحضر الكفيل الثاني الكفيل الأوّل برئ هو ومَنْ بعده، وهكذا لو أبرأ المكفول له الأوّل برثوا أجمع؛ لزوال الكفالة بسقوط الحقّ، ولو أبرأ غيره من كفالته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 عنه حقّ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مَن بعده دون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كفالة المكاتب، على تردّد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الصحّة مطلقاً</w:t>
      </w:r>
      <w:r>
        <w:rPr>
          <w:rFonts w:eastAsia="Amiri" w:cs="Amiri" w:ascii="Amiri" w:hAnsi="Amiri"/>
          <w:color w:val="111111"/>
          <w:sz w:val="28"/>
          <w:szCs w:val="28"/>
          <w:rtl w:val="true"/>
          <w:lang w:bidi="ar-SA"/>
        </w:rPr>
        <w:t xml:space="preserve">. </w:t>
      </w:r>
      <w:bookmarkStart w:id="1056" w:name="pg10178_83907"/>
    </w:p>
    <w:p>
      <w:pPr>
        <w:pStyle w:val="Heading2"/>
        <w:numPr>
          <w:ilvl w:val="1"/>
          <w:numId w:val="1"/>
        </w:numPr>
        <w:rPr/>
      </w:pPr>
      <w:bookmarkStart w:id="1057" w:name="__RefHeading___Toc2019114_1067777946"/>
      <w:bookmarkStart w:id="1058" w:name="_Toc395"/>
      <w:bookmarkEnd w:id="1056"/>
      <w:bookmarkEnd w:id="1057"/>
      <w:r>
        <w:rPr>
          <w:rtl w:val="true"/>
        </w:rPr>
        <w:t>كتاب الصلح</w:t>
      </w:r>
      <w:bookmarkEnd w:id="1058"/>
    </w:p>
    <w:p>
      <w:pPr>
        <w:pStyle w:val="Heading3"/>
        <w:numPr>
          <w:ilvl w:val="2"/>
          <w:numId w:val="1"/>
        </w:numPr>
        <w:rPr/>
      </w:pPr>
      <w:bookmarkStart w:id="1059" w:name="__RefHeading___Toc2019116_1067777946"/>
      <w:bookmarkStart w:id="1060" w:name="_Toc396"/>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عقد شُرِّع لقطع التجاذب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الأصل فيه ذلك، ولكنّه تعدّى إلى غير ذلك، وصار عقداً مستقلّاً، غير مشروط بذلك عند الأصحاب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فرعاً على غيره، وإنْ أفاد فائدته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نبّه بذلك على خلاف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المبسوط،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فرع علی عقود خمسة </w:t>
      </w:r>
      <w:r>
        <w:rPr>
          <w:rStyle w:val="FootnoteAnchor"/>
          <w:rtl w:val="true"/>
        </w:rPr>
        <w:footnoteReference w:id="369"/>
      </w:r>
      <w:r>
        <w:rPr>
          <w:rFonts w:ascii="Amiri" w:hAnsi="Amiri" w:eastAsia="Amiri" w:cs="Amiri"/>
          <w:color w:val="111111"/>
          <w:sz w:val="28"/>
          <w:sz w:val="28"/>
          <w:szCs w:val="28"/>
          <w:rtl w:val="true"/>
          <w:lang w:bidi="ar-SA"/>
        </w:rPr>
        <w:t>، فجعله فرع البيع إذا أفاد نقل الملك بعوض معلوم، وفرع الإجارة إذا وقع على منفعة مقدّرة بمدّة معلومة بعوض معلوم، وفرع الهبة إذا تضمّن ملك العين بغير عوض، وفرع العارية إذا تضمّن إباحة منفعة بغير عوض، وفرع الإبراء إذا تضمّن إسقاط دَين أو بعضه، فيلحقه حكم ما أُلحق به في ذلك الفرد الذي أُلحق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أنّه عقد مستقلّ وإنْ أفاد فائدة هذه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مع الإقرار والإنكار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بصحّته مع الإنكار صحّته بحسب الظاهر، وأمّا في نفس الأمر فلا يستبيح مَنْ هو غير محقّ في إنكاره ما حصل له بالصلح، فإذا أنكر المدّعى عليه المدّعى به ظاهراً، وصولح ببعض المدّعى، أو ببذله، لم يستبح الزائد عن العوض عيناً وديناً، حتّى لو كان </w:t>
      </w:r>
    </w:p>
    <w:p>
      <w:pPr>
        <w:pStyle w:val="BookText"/>
        <w:rPr/>
      </w:pPr>
      <w:r>
        <w:rPr>
          <w:rFonts w:ascii="Amiri" w:hAnsi="Amiri" w:eastAsia="Amiri" w:cs="Amiri"/>
          <w:color w:val="111111"/>
          <w:sz w:val="28"/>
          <w:sz w:val="28"/>
          <w:szCs w:val="28"/>
          <w:rtl w:val="true"/>
          <w:lang w:bidi="ar-SA"/>
        </w:rPr>
        <w:t>قد صالح عن العين بمال آخر فهي بأجمعها في يده مغصوبة، ولا يستثني له منها مقدار 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انعكس وكان المدّعي مبطلاً في نفس الأمر، لم يستبح الزائد ما صولح به مِن عينٍ 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بالصلح على استرقاق حرٍّ، واستباحة بُضعٍ لاسبب لإباحته غيره، ونحو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يطأ أحدهما حليلته، أو لا ينتفع بماله،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على هذا متّصل؛ لأنّ الصلح على مثل هذا باطل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بصلح المنكر على بعض المدّعيين، أو منفعته، مع كون أحدهما عالماً ببطلان الدعوى،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والبطلان على هذا في نفس الأمر، لا في الظاهر الذي هو مناط الأحكام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يصحّ مع علم المصطلحين بما وقعت المنازعة فيه، ومع جهالتهما به، دَيناً كان أو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مع علمهما معاً وجهلهما كذلك، أمّا لو علم أحدهما دون الآخر فإن كان الجاهل المستحقّ لم يصحّ الصلح في نفس الأمر، إلّا أن يعلمه بالقدر، أو يكون المصالَح به قدر حقّه مع كونه غير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فالعبرة بوصول الحقّ لا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بأن كان المستحقّ عالماً بالقدر والغريم جاهلاً ويريد التخلّص منه، لم يصحّ الصلح بزيادة عن الحقّ، بل بقدره فما دون، عكس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تقييد الحكم بكون المصالَح عليه متنازعاً فيه غير لازم، بل الحكم آتِ في مطلق المصالح وإن لم يكن بمنازع، مع علمهما بما يتصالحان عليه وجهلهما به، کوارثٍ تعذّر علمه بمقدار حصّته، وشريكٍ امتزج ماله بمال الآخر، بحيث لا يتميّز ولا يعلمان مقدار ما لكلّ منهما،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لازم من الطرفين، مع استكمال شرائطه، إلّا أن يتّفقا على فسخه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اتّفاقهما عليه بالتقايل بصيغته، لا مطلق الاتّفاق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اصطلح الشريكان على أن يكون الربح والخسران على أحدهما، وللآخر رأس ماله،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عند انتهاء الشركة وأرادا فسخها؛ لتكون الزيادة مع مَنْ هي معه بمنزلة الهبة، والخسران على مَنْ هو عليه بمنزلة الإبراء، أمّا قبله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اصطلح الشريكان على أن يكون الربح والخسران على أحدهما، وللآخر رأس ماله،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معهما درهمان فادّعاهما أحدهما، وادّعى الآخر أحدهما، كان لمدّعيهما درهم ونصف، وللآخر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كلّ منهما اليمين للآخر على استحقاق نصف ما تصادمت دعواهما فيه، فمن نكل منهما عن اليمين قضى به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أودعه أحدهما در همين، وآخر درهماً، وامتزج الجميع، ثمّ تلف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تلف بغير تفريط، فينحصر حقّهما في الدرهمين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هذه بالسابقة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رواية </w:t>
      </w:r>
      <w:r>
        <w:rPr>
          <w:rStyle w:val="FootnoteAnchor"/>
          <w:rtl w:val="true"/>
        </w:rPr>
        <w:footnoteReference w:id="370"/>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الفرق بينهما بأنّ التالف هنا لا يحتمل كونه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لأحدهما خاصّة؛ لعدم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 للقواعد الشرعيّة القول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لواحدٍ ثوب بعشرين درهماً، ولآخر ثوب بثلاثين، ثمّ اشتبها، فإنْ خيّر أحدهما صاحبه فقد أنصفه، وإنْ تعاسرا بيعا وقُسّم ثمنهما بينهما، وأُعطي صاحب العشرين سهمين من خمسة، والآخر ثلاثة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كالسابق 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رواية </w:t>
      </w:r>
      <w:r>
        <w:rPr>
          <w:rStyle w:val="FootnoteAnchor"/>
          <w:rtl w:val="true"/>
        </w:rPr>
        <w:footnoteReference w:id="371"/>
      </w:r>
      <w:r>
        <w:rPr>
          <w:rFonts w:ascii="Amiri" w:hAnsi="Amiri" w:eastAsia="Amiri" w:cs="Amiri"/>
          <w:color w:val="111111"/>
          <w:sz w:val="28"/>
          <w:sz w:val="28"/>
          <w:szCs w:val="28"/>
          <w:rtl w:val="true"/>
          <w:lang w:bidi="ar-SA"/>
        </w:rPr>
        <w:t>لا تخلو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ومناسبة القيمة للثمن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ابن إدريس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w:t>
      </w:r>
    </w:p>
    <w:p>
      <w:pPr>
        <w:pStyle w:val="BookText"/>
        <w:rPr/>
      </w:pPr>
      <w:r>
        <w:rPr>
          <w:rFonts w:ascii="Amiri" w:hAnsi="Amiri" w:eastAsia="Amiri" w:cs="Amiri"/>
          <w:color w:val="111111"/>
          <w:sz w:val="28"/>
          <w:sz w:val="28"/>
          <w:szCs w:val="28"/>
          <w:rtl w:val="true"/>
          <w:lang w:bidi="ar-SA"/>
        </w:rPr>
        <w:t>وحينئذٍ فيتعدّى الحكم إلى غير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يقتصر في الحكم على مورد النصّ، ويرجع فيما عداه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بتعديته مطلقاً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الصلح على عينٍ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صالحه على دراهم بدنانير، أو بدراهم صحّ، ولم يكن فرع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حيث جعله في هذا ونظائره فرع البيع، فيلحقه حكمه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الربا فالأقوى ثبوته فيه أيضاً، وإنْ لم نجعله فرعاً؛ لثبوته في كلّ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 على رجل ثوباً قيمته درهم، فصالحه عنه على درهمين صحّ،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يتمّ على القول بضمان القيمي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الأصحّ من ضمانه بقيمته فاللازم لذمّة المتلف إنّما هو الدرهم، فيستلزم الصلح عليه بدرهمين الربا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داراً، فأنكر مَن هي في يده، ثمّ صالحه المنكر على سكنى سنة صحّ، ولم يكن لأحدهما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هنا؛ لأنّه هنا فرع العارية،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 وقد تقدّم خلاف الشيخ في ذلك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اثنان داراً في يد ثالث، بسبب يوجب الشركة كالميراث، فصدّق المدّعى عليه أحدهما وصالحه على ذلك النصف، فإنْ كان بإذن صاحبه صحّ الصلح في النصف أجمع، وكان العوض بينهما، وإنْ كان بغير إذنه صحّ في حقّه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ادّعى النصف من غير سبب يوجب الشركة لم يشتركا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على تقدير وقوع الصلح على النصف الذي أقرّ به المقرّ؛ ليكون الصلح تابعاً للإقرار المنزّل على الإشاعة، فحيث يشتركان في أصله يشتركان في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صالحه </w:t>
      </w:r>
      <w:bookmarkStart w:id="1061" w:name="pg10178_83911"/>
    </w:p>
    <w:p>
      <w:pPr>
        <w:pStyle w:val="BookText"/>
        <w:rPr/>
      </w:pPr>
      <w:bookmarkEnd w:id="1061"/>
      <w:r>
        <w:rPr>
          <w:rFonts w:ascii="Amiri" w:hAnsi="Amiri" w:eastAsia="Amiri" w:cs="Amiri"/>
          <w:color w:val="111111"/>
          <w:sz w:val="28"/>
          <w:sz w:val="28"/>
          <w:szCs w:val="28"/>
          <w:rtl w:val="true"/>
          <w:lang w:bidi="ar-SA"/>
        </w:rPr>
        <w:t>على النصف مطلقاً انصرف إلى نصيبه، وإن كان السبب يقتضي الشركة؛ لأنّ البيع والصلح لا يُنزّلان على الإشاعة، بل على ما يملكه البائع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عليه فأنكر، فصالحه المدّعى عليه على سقي زرعه أو شجره بمائة،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مع ضبطه بمدّة معلومة، ومثله ما لو كان الماء معوّضاً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صالحه على إجراء الماء إلى سطحه، أو ساحته صحّ، بعد العلم بالموضع الذي يجري الماء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بعلم الموضع الذي يجري منه أن يقدّر مجراه طولاً وعرضاً؛ لترتفع الجهالة عن المحلّ المصالح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تعيين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جعله عوضاً بعد المنازعة وبين إيقاعه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مشاهدة الماء؛ لاختلاف الأغراض بقلّته وكثرته، أو وصفه بما يرفع الجهالة، فيعتبر ذلك في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صالِحْني عليه، لم يكن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أو ملِّكني، كان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كونه إقراراً بعدم ملك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ملكاً لمن طلب منه البيع والتملّك ففيه نظر؛ لأنّ ملك البيع أعمّ من ملك المبيع،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تحت يد المقرّ له ترجّح جانب ملكه؛ لدلالة اليد على الملكيّة مع عدم ظهور المنازع</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2019118_1067777946"/>
      <w:bookmarkStart w:id="1063" w:name="_Toc397"/>
      <w:bookmarkEnd w:id="1062"/>
      <w:r>
        <w:rPr>
          <w:rtl w:val="true"/>
        </w:rPr>
        <w:t>[</w:t>
      </w:r>
      <w:r>
        <w:rPr>
          <w:rtl w:val="true"/>
        </w:rPr>
        <w:t>أحكام النزاع في الأملاك</w:t>
      </w:r>
      <w:r>
        <w:rPr>
          <w:rtl w:val="true"/>
        </w:rPr>
        <w:t>]</w:t>
      </w:r>
      <w:bookmarkEnd w:id="10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الرواشِن والأجنحة إلى الطرق النافذة، إذا كانت عاليةً لا تضرّ بالمارّة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الروشن والجَناح يشتركان في إخراج خشب من الحائط إلى الطريق بحيث لا يصل </w:t>
      </w:r>
    </w:p>
    <w:p>
      <w:pPr>
        <w:pStyle w:val="BookText"/>
        <w:rPr/>
      </w:pPr>
      <w:r>
        <w:rPr>
          <w:rFonts w:ascii="Amiri" w:hAnsi="Amiri" w:eastAsia="Amiri" w:cs="Amiri"/>
          <w:color w:val="111111"/>
          <w:sz w:val="28"/>
          <w:sz w:val="28"/>
          <w:szCs w:val="28"/>
          <w:rtl w:val="true"/>
          <w:lang w:bidi="ar-SA"/>
        </w:rPr>
        <w:t>إلى الجدار المقابل ويبنى عليها، ولو وصلت فهو الساباط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فرِّق بينهما بأنّ الأجنحة ينضمّ إليها مع ما ذكر أنْ توضع لها أعمدةٌ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المارّة المتضرّرة ما يليق بتلك الطريق عادة، ويختلف ذلك باختلافهم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عارض فيها مسلم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به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حيث شرط في جواز وضعه عدم معارضة أحد من المسلمين له؛ لأنّه حقّ لجميع المسلمين، فيمنع بمعارضة واحد منهم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الغرض عدم التضرّر به للمارّة، فالمانع منهم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أظلم بها الطريق،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الخلاف ما إذا لم يذهب الضياء رأساً، وإلّامنع إجماعاً، والأصحّ اعتبار التضرّر وعدمه، ليلاً ونهاراً، لقويّ البصر وضعيفه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أراد فتح باب لا يستطرق فيه؛ دفعاً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لشبهة استحقاقه المرور فيه بعد تطاول الزمان، فإنّه إذا اشتبه حاله يشعر باستحقاق المرور؛ لأنّه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يحصل الفرق بين وضع الباب ورفع الحائط جملةً، فإنّ الثاني جائز دون الأوّل؛ لأنّ رفع الحائط لا يدلّ على استحقاق المرور مطلقاً، بخلاف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صالحهم على إحداث روشنٍ،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 لا يصحّ إفراد الهواء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التمس وضع جذوعه على حائط جاره، لم يجب على الجار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جاز له الرجوع قبل الوضع، وبعد الوضع لا يجوز؛ لأنّ المراد به التأبيد، والجواز حسن مع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الجواز مع ضمان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عوض ما نقص من آلات الواضع بالهدم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ما بين العامر والخراب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انهدم لم يعدّ الطرح إلّا بإذن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الآخر للشيخ </w:t>
      </w:r>
      <w:r>
        <w:rPr>
          <w:rStyle w:val="FootnoteAnchor"/>
          <w:rtl w:val="true"/>
        </w:rPr>
        <w:footnoteReference w:id="377"/>
      </w:r>
      <w:r>
        <w:rPr>
          <w:rFonts w:ascii="IRNazanin" w:hAnsi="IRNazanin" w:eastAsia="IRNazanin"/>
          <w:color w:val="111111"/>
          <w:sz w:val="28"/>
          <w:sz w:val="28"/>
          <w:szCs w:val="28"/>
          <w:rtl w:val="true"/>
          <w:lang w:bidi="fa-IR"/>
        </w:rPr>
        <w:t>بجواز إعادته بآلته الأُولى بدون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صالحه على الوضع ابتداءً جاز بعد أن يذكر عدد الخشب ووزنها وطولها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أيضاً ضبط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الآلات مشاهدة استغني عن اعتبارها بما ذكر، واكتفي بتعيين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تداعيا جداراً مطلقاً، ولا بيّنة، فمن حلف عليه مع نكول صاحبه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حلفا أو نكلا، قضي 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بالإطلاق هنا أن لا يكون مقيّداً بوجهٍ يوجب كونه لأحدهما شرعاً كاتّصاله ببناء أحدهما وما في حكمه ممّا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القيود كونه في أرض أحدهما، فإذا خلا عن ذلك كلّه لم يكن لهما عليه يد وكان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حينئذٍ أن تستوي نسبتهما إليه، وحكمه حينئذ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متّصلاً ببناء أحدهما، كان 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متّصلاً به اتّصال ترصيفٍ، وهو تداخل الأحجار واللبن على وجه يبعد كونه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لأحدهما عليه غرفة، أو 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اتّصل بهما كذلك، أو كان البناء لهما، أو اختصّ أحدهما بصفةٍ والآخر بأُخرى، فاليد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لأحدهما واحدة والباقي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لأحدهما عليه جذع أو جذوع،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ترجّح دعوى أحدهما بالخوارج التي في الحيطان، ولا الروازن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بالخوارج كلّ ما خرج عن وجه الحائط من نقش ووتدٍ ورفٍّ ونحو ذلك، فإنّه لا يفيد الترجيح لمالكه، لإمكان إحداثه له من جهته من غير شعور صاحب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الدواخل فيه، كالطاقات غير النافذة والروازن النافذة فيه،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خُصّ قضي لمن إليه معاقد القمط، عملاً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الذي يعمل من القصب </w:t>
      </w:r>
      <w:r>
        <w:rPr>
          <w:rStyle w:val="FootnoteAnchor"/>
          <w:rtl w:val="true"/>
        </w:rPr>
        <w:footnoteReference w:id="378"/>
      </w:r>
      <w:r>
        <w:rPr>
          <w:rFonts w:ascii="Amiri" w:hAnsi="Amiri" w:eastAsia="Amiri" w:cs="Amiri"/>
          <w:color w:val="111111"/>
          <w:sz w:val="28"/>
          <w:sz w:val="28"/>
          <w:szCs w:val="28"/>
          <w:rtl w:val="true"/>
          <w:lang w:bidi="ar-SA"/>
        </w:rPr>
        <w:t xml:space="preserve">والقمط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يشدّ به الخصّ، وبالضمّ جمع قماط </w:t>
      </w:r>
      <w:r>
        <w:rPr>
          <w:rStyle w:val="FootnoteAnchor"/>
          <w:rtl w:val="true"/>
        </w:rPr>
        <w:footnoteReference w:id="379"/>
      </w:r>
      <w:r>
        <w:rPr>
          <w:rFonts w:ascii="IRNazanin" w:hAnsi="IRNazanin" w:eastAsia="IRNazanin"/>
          <w:color w:val="111111"/>
          <w:sz w:val="28"/>
          <w:sz w:val="28"/>
          <w:szCs w:val="28"/>
          <w:rtl w:val="true"/>
          <w:lang w:bidi="fa-IR"/>
        </w:rPr>
        <w:t>، وهي سداد الخصّ من ليفٍ وخوصٍ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بذلك مرويّ عن النبيّ صلی الله علیه و آله و سلم </w:t>
      </w:r>
      <w:r>
        <w:rPr>
          <w:rStyle w:val="FootnoteAnchor"/>
          <w:rtl w:val="true"/>
        </w:rPr>
        <w:footnoteReference w:id="380"/>
      </w:r>
      <w:r>
        <w:rPr>
          <w:rFonts w:ascii="IRNazanin" w:hAnsi="IRNazanin" w:eastAsia="IRNazanin"/>
          <w:color w:val="111111"/>
          <w:sz w:val="28"/>
          <w:sz w:val="28"/>
          <w:szCs w:val="28"/>
          <w:rtl w:val="true"/>
          <w:lang w:bidi="fa-IR"/>
        </w:rPr>
        <w:t xml:space="preserve">، وعن الباقر علیه السلام، عن عليّ علیه السلام </w:t>
      </w:r>
      <w:r>
        <w:rPr>
          <w:rStyle w:val="FootnoteAnchor"/>
          <w:rtl w:val="true"/>
        </w:rPr>
        <w:footnoteReference w:id="381"/>
      </w:r>
      <w:r>
        <w:rPr>
          <w:rFonts w:ascii="Amiri" w:hAnsi="Amiri" w:eastAsia="Amiri" w:cs="Amiri"/>
          <w:color w:val="111111"/>
          <w:sz w:val="28"/>
          <w:sz w:val="28"/>
          <w:szCs w:val="28"/>
          <w:rtl w:val="true"/>
          <w:lang w:bidi="ar-SA"/>
        </w:rPr>
        <w:t>، وأكثر الأصحاب على العمل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يجبر صاحب السفل ولا العلوّ على بناء الجدار الذي يحمل العلوّ، ولو هدمه بغير إذن شريكه وجب عليه إعادته، وكذا لو هدمه بإذنه وشرط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المصنِّف وجوب الإعادة تبعاً للشيخ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النقصان الحاصل بالهدم غير مثلي فينبغي المصير إلى القيمة، وهو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بالأرش مطلقاً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Style w:val="FootnoteAnchor"/>
          <w:rtl w:val="true"/>
        </w:rPr>
        <w:footnoteReference w:id="383"/>
      </w:r>
      <w:r>
        <w:rPr>
          <w:rFonts w:ascii="Amiri" w:hAnsi="Amiri" w:eastAsia="Amiri" w:cs="Amiri"/>
          <w:color w:val="111111"/>
          <w:sz w:val="28"/>
          <w:sz w:val="28"/>
          <w:szCs w:val="28"/>
          <w:rtl w:val="true"/>
          <w:lang w:bidi="ar-SA"/>
        </w:rPr>
        <w:t>، فأوجب إعادته إن أمكنت المماثلة، كما في جدران بعض البساتين والمزارع، وإلّا 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صاحب السفل والعلوّ في جدران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تنازعا في السقف،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حلفا قضي به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بالسقف الحامل للغرفة المتوسّط بينهما وبين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الأقوال الوسط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وموضع الخلاف السقف الذي يمكن إحداثه بعد بناء البيت، أمّا ما لا يمكن كالأزَج </w:t>
      </w:r>
      <w:r>
        <w:rPr>
          <w:rStyle w:val="FootnoteAnchor"/>
          <w:rtl w:val="true"/>
        </w:rPr>
        <w:footnoteReference w:id="384"/>
      </w:r>
      <w:r>
        <w:rPr>
          <w:rFonts w:ascii="Amiri" w:hAnsi="Amiri" w:eastAsia="Amiri" w:cs="Amiri"/>
          <w:color w:val="111111"/>
          <w:sz w:val="28"/>
          <w:sz w:val="28"/>
          <w:szCs w:val="28"/>
          <w:rtl w:val="true"/>
          <w:lang w:bidi="ar-SA"/>
        </w:rPr>
        <w:t>، فإنّه يحكم به لصاحب السفل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أغصان شجرة إلى ملك الجار وجب عطفها إنْ أمكن، وإلّا قطعت من حدّ ملكه، وإنْ امتنع صاحبها قطعها الجار، ولا يتوقّف على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كون الوجوب بمعناه المتعارف، ويكون المحكوم عليه به مالك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الوجوب استلزام إبقاء الشجرة كذلك التصرّف في ملك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في العبارة </w:t>
      </w:r>
      <w:r>
        <w:rPr>
          <w:rStyle w:val="FootnoteAnchor"/>
          <w:rtl w:val="true"/>
        </w:rPr>
        <w:footnoteReference w:id="385"/>
      </w:r>
      <w:r>
        <w:rPr>
          <w:rFonts w:ascii="Amiri" w:hAnsi="Amiri" w:eastAsia="Amiri" w:cs="Amiri"/>
          <w:color w:val="111111"/>
          <w:sz w:val="28"/>
          <w:sz w:val="28"/>
          <w:szCs w:val="28"/>
          <w:rtl w:val="true"/>
          <w:lang w:bidi="ar-SA"/>
        </w:rPr>
        <w:t>اشتراط وجوب العطف بالإمكان، وترتيب القطع على عدمه، مع أنّ للمالك قطع شجرته بغير هذا السبب، فبِه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كونه بمعنى الثبوت، وهو أحد معانيه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ينافيه اشتراط وجوب العطف بالإمكان، وترتيب القطع على عدمه، مع أنّ للمالك قطع شجرته بغير هذا السبب، فبه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يليق ترتيب الأمرين المذكورين بالنسبة إلى مالك الأرض، إلا أنّ الوجوب فيه لايتمّ بالمعنى المتعارف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كونه بمعنى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على مالك الشجرة تفريغ أرض الغير، أو هوائه من ماله كيف ما أمكن، فإنْ امتنع فلمالك الأرض والهواء تولّي ذلك مقدّماً للعطف على القطع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يثبت الحكم في الأغصان فكذا في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مالك الأرض على حكم الحاكم حيث يمنع صاحب الشجرة، كما له إخراج بهيمة تدخل إلى ملكه بدون إذنه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الشجرة التراب المنتقل إلى ملك الغير، والحائط المائل كذلك، فتجب المبادرة إلى تخليص الأرض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ملّكه التراب وقبله سلم من حقّه، لامع امتناعه منه وإنْ شقّ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صالحه على إبقائه في الهواء لم يصحّ،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أقوى، مع ضبط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تنازع راكب الدابّة و قابض لجامها قضي للراكب مع يمينه،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في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التساوي بعد أنْ يحلف كلّ منهما لصاحبه إذا لم تكن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تنازعا ثوباً في يد أحدهما أكثره فهما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لاشتراكهما في مسمّى اليد، ولا ترجيح لقوّتها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الذي كان مع الراكب زائداً على اليد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المسألتين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تنازعا عبداً ولأحدهما عليه 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لبسها لا يرجّح يد أحدهما إذا كان لهما عليه يد؛ إذ لا دخل لها في الملك؛ لأنّه قد يلبسها بغير إذن مالكها، أو بقوله، أو بالعارية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تداعيا غرفةً على بيت أحدهما، وبابها إلى غرفة الآخر، كان الرجحان لدعوى صاحب البيت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من إليه الباب متصرّفاً فيها بسكنى أو غيره، وإلّا قدّم؛ لأنّ يده عليها بالذات، وثبوت يد مالك الهواء بالتبعيّة ليده التي هي على القرار</w:t>
      </w:r>
      <w:r>
        <w:rPr>
          <w:rFonts w:eastAsia="Amiri" w:cs="Amiri" w:ascii="Amiri" w:hAnsi="Amiri"/>
          <w:color w:val="111111"/>
          <w:sz w:val="28"/>
          <w:szCs w:val="28"/>
          <w:rtl w:val="true"/>
          <w:lang w:bidi="ar-SA"/>
        </w:rPr>
        <w:t xml:space="preserve">. </w:t>
      </w:r>
      <w:bookmarkStart w:id="1064" w:name="pg10178_83917"/>
    </w:p>
    <w:p>
      <w:pPr>
        <w:pStyle w:val="Heading2"/>
        <w:numPr>
          <w:ilvl w:val="1"/>
          <w:numId w:val="1"/>
        </w:numPr>
        <w:rPr/>
      </w:pPr>
      <w:bookmarkStart w:id="1065" w:name="__RefHeading___Toc2019120_1067777946"/>
      <w:bookmarkStart w:id="1066" w:name="_Toc398"/>
      <w:bookmarkEnd w:id="1064"/>
      <w:bookmarkEnd w:id="1065"/>
      <w:r>
        <w:rPr>
          <w:rtl w:val="true"/>
        </w:rPr>
        <w:t>كتاب الشركة</w:t>
      </w:r>
      <w:bookmarkEnd w:id="1066"/>
    </w:p>
    <w:p>
      <w:pPr>
        <w:pStyle w:val="Heading3"/>
        <w:numPr>
          <w:ilvl w:val="2"/>
          <w:numId w:val="1"/>
        </w:numPr>
        <w:rPr/>
      </w:pPr>
      <w:bookmarkStart w:id="1067" w:name="__RefHeading___Toc2019122_1067777946"/>
      <w:bookmarkStart w:id="1068" w:name="_Toc399"/>
      <w:bookmarkEnd w:id="1067"/>
      <w:r>
        <w:rPr>
          <w:rtl w:val="true"/>
        </w:rPr>
        <w:t>[</w:t>
      </w:r>
      <w:r>
        <w:rPr>
          <w:rtl w:val="true"/>
        </w:rPr>
        <w:t>الفصل الأوّل في أقسامها</w:t>
      </w:r>
      <w:r>
        <w:rPr>
          <w:rtl w:val="true"/>
        </w:rPr>
        <w:t>]</w:t>
      </w:r>
      <w:bookmarkEnd w:id="10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اجتماع حقوق الملّاك في الشيء الواحد على سبيل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الشركة بكسر الشين وإسكان الراء، وبفتح الشين وكسر الراء، وهي تطلق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تعريفه من أنّها اجتماع الحقوق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المتبادر من معنى الشركة لغةً وعرفاً، إلّا أنّه لا مدخل له في الحكم الشرعي المترتّب على الشركة من كونها من جملة العقود المفتقرة إلى الإيجاب والقبول والحكم عليها بالصحّة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الاجتماع يحصل بعقدٍ وغيره، بل بغيره أكثر، حتّى لو تعدّى أحدهما ومزج ماله بمال الآخر قهراً بحيث لا يتميّزان تحقّقت الشركة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ترتبط الشركة به بما قبلها وبعدها؛ لأنّ هذا معنى من المعاني دخوله في باب الأحكام أولى به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ثمرته جواز تصرّف الملاك للشيء الواحد على سبيل الشياع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الذي به تندرج الشركة في جملة العقود، ويلحقها الحكم بالصحّة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يشير المصنِّف فيما بعد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الشرط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تعريفها بهذا المعنى كان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المشترَك قد يكون عيناً، وقد يكون منفعة، وقد يكون حقّاً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الاشتراك في المنفعة بالإجارة والحبس والسكنى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والاشتراك في الحقّ </w:t>
      </w:r>
    </w:p>
    <w:p>
      <w:pPr>
        <w:pStyle w:val="BookText"/>
        <w:rPr/>
      </w:pPr>
      <w:r>
        <w:rPr>
          <w:rFonts w:ascii="Amiri" w:hAnsi="Amiri" w:eastAsia="Amiri" w:cs="Amiri"/>
          <w:color w:val="111111"/>
          <w:sz w:val="28"/>
          <w:sz w:val="28"/>
          <w:szCs w:val="28"/>
          <w:rtl w:val="true"/>
          <w:lang w:bidi="ar-SA"/>
        </w:rPr>
        <w:t>كالخيار والشفعة بالنسبة إلى الورثة والقصاص والحدّ والرهن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وسبب الشركة قد يكون إرثاً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في الحيازة اختصاص كلّ واحد بما 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إلّا أن ينوي كلّ واحد بعمله مشاركة الآخر على وجه التوكيل فيحصل الاشتراك أيضاً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مالين مزج أحدهما بالآخر بحيث لا يتميّزان، تحقّقت فيهما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لامثلَ له كالثوب والخشب والعبد، فلا يتحقّق فيه بالمزج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تحقّقه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ذوات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تمتزج الثياب المتعدّدة المتقاربة الأوصاف، والخشب كذلك بحيث 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عدم الامتياز، ولا خصوصيّة للمثلي والقيمي في ذلك، وحيث يتحقّق يكون بنسبة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عملا معاً لواحدٍ بأُجرةٍ، دفع إليهما شيئاً واحداً عوضاً عن أُجرتهما، تحقّقت الشركة في ذلك الشيء لا بالوجوه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يشترك اثنان وجيهان عند الناس لا مال لهما بعقدٍ لفظي؛ ليبتاعا في الذمّة إلى أجلٍ على أنّ ما يبتاعه كلّ واحد منهما يكون بينهما، فيبيعان ويؤدّيان الأثمان، وما فضل فهو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يبتاع وجيه في الذمّة ويفوّض بيعه إلى خاملٍ، ويشترط أن يكون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يشترك وجيه لا مال له وخامل ذو مال؛ ليكون العمل من الوجيه والمال من الخامل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يبيع الوجيه مال الخامل بزيادة ربح؛ ليكون بعض 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وجوّزها ابن الجنيد</w:t>
      </w:r>
      <w:r>
        <w:rPr>
          <w:rStyle w:val="FootnoteAnchor"/>
          <w:rtl w:val="true"/>
        </w:rPr>
        <w:footnoteReference w:id="386"/>
      </w:r>
      <w:r>
        <w:rPr>
          <w:rFonts w:ascii="Amiri" w:hAnsi="Amiri" w:eastAsia="Amiri" w:cs="Amiri"/>
          <w:color w:val="111111"/>
          <w:sz w:val="28"/>
          <w:sz w:val="28"/>
          <w:szCs w:val="28"/>
          <w:rtl w:val="true"/>
          <w:lang w:bidi="ar-SA"/>
        </w:rPr>
        <w:t>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العامّة </w:t>
      </w:r>
      <w:r>
        <w:rPr>
          <w:rStyle w:val="FootnoteAnchor"/>
          <w:rtl w:val="true"/>
        </w:rPr>
        <w:footnoteReference w:id="387"/>
      </w:r>
      <w:r>
        <w:rPr>
          <w:rFonts w:ascii="Amiri" w:hAnsi="Amiri" w:eastAsia="Amiri" w:cs="Amiri"/>
          <w:color w:val="111111"/>
          <w:sz w:val="28"/>
          <w:sz w:val="28"/>
          <w:szCs w:val="28"/>
          <w:rtl w:val="true"/>
          <w:lang w:bidi="ar-SA"/>
        </w:rPr>
        <w:t>بالمعاني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بطلانها مطلقاً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شركة المفاوضة</w:t>
      </w:r>
      <w:r>
        <w:rPr>
          <w:rFonts w:eastAsia="Amiri" w:cs="Amiri" w:ascii="Amiri" w:hAnsi="Amiri"/>
          <w:color w:val="111111"/>
          <w:sz w:val="28"/>
          <w:szCs w:val="28"/>
          <w:rtl w:val="true"/>
          <w:lang w:bidi="ar-SA"/>
        </w:rPr>
        <w:t xml:space="preserve">». </w:t>
      </w:r>
      <w:bookmarkStart w:id="1069" w:name="pg10178_83919"/>
    </w:p>
    <w:p>
      <w:pPr>
        <w:pStyle w:val="BookText"/>
        <w:rPr/>
      </w:pPr>
      <w:bookmarkEnd w:id="1069"/>
      <w:r>
        <w:rPr>
          <w:rFonts w:ascii="Amiri" w:hAnsi="Amiri" w:eastAsia="Amiri" w:cs="Amiri"/>
          <w:color w:val="111111"/>
          <w:sz w:val="28"/>
          <w:sz w:val="28"/>
          <w:szCs w:val="28"/>
          <w:rtl w:val="true"/>
          <w:lang w:bidi="ar-SA"/>
        </w:rPr>
        <w:t>هي أنْ يشترك شخصان فصاعداً على أنْ يكون بينهما ما يكتسبان ويربحان ويلتزمان من غرم ويحصل لهما من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لأحدهما زيادة في الربح، مع تساوي المالين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عملا في المال، أمّا لو كان العامل أحدهما، وشرطت الزيادة للعامل،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عملا معاً متفاضلين وشرطت الزيادة لمن زاد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التأجيل في الشركة لم يصحّ، ولكلّ منهما أنْ يرجع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بصحّة التأجيل المنفيّة ترتّب أثرها بحيث تكون لازمة إلى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الشرط عدم جواز تصرّفهما بعده إلّا بإذنٍ مستأنف؛ لعدم تناول الإذن والشرط له، وشرط الأجل أثر في الجملة</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2019124_1067777946"/>
      <w:bookmarkStart w:id="1071" w:name="_Toc400"/>
      <w:bookmarkEnd w:id="1070"/>
      <w:r>
        <w:rPr>
          <w:rtl w:val="true"/>
        </w:rPr>
        <w:t>[</w:t>
      </w:r>
      <w:r>
        <w:rPr>
          <w:rtl w:val="true"/>
        </w:rPr>
        <w:t>الفصل الثاني في القسمة</w:t>
      </w:r>
      <w:r>
        <w:rPr>
          <w:rtl w:val="true"/>
        </w:rPr>
        <w:t>]</w:t>
      </w:r>
      <w:bookmarkEnd w:id="10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إلّا باتّفاق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تصحّ مطلقاً، أو لا تصحّ من أحد الشركاء بدون مراجعة الشريك، أو من يقوم مقامه، وإلّا فسيأتي بعده بلا فصل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الممتنع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المجبر غير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يغني عن هذا الحكم ما بعده؛ لما فيه من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بتعديل السهام والقرعة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تكون القسمة الإجباريّة تامّة بذلك، فمتى حصلت القرعة لزمت، سواء كان المتولّي لذلك قاسم الإمام أم المتقاسمين، ولو اشتملت على ردٍّ وكان القاسم منصوباً لزمت أيضاً، وإلّا توقّفت على تراضيهما بعدها؛ لاشتمالها على المعاوضة، فلابدّ من لفظ يدلّ على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يقسم الوقف؛ لأنّ الحقّ ليس منحصراً في المتقاسمين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الواقف واحداً وإنّما التعدّد في الموقوف عليه، كالبطون المتعدّدة فإنّ </w:t>
      </w:r>
      <w:bookmarkStart w:id="1072" w:name="pg10178_83920"/>
    </w:p>
    <w:p>
      <w:pPr>
        <w:pStyle w:val="BookText"/>
        <w:rPr/>
      </w:pPr>
      <w:bookmarkEnd w:id="1072"/>
      <w:r>
        <w:rPr>
          <w:rFonts w:ascii="Amiri" w:hAnsi="Amiri" w:eastAsia="Amiri" w:cs="Amiri"/>
          <w:color w:val="111111"/>
          <w:sz w:val="28"/>
          <w:sz w:val="28"/>
          <w:szCs w:val="28"/>
          <w:rtl w:val="true"/>
          <w:lang w:bidi="ar-SA"/>
        </w:rPr>
        <w:t>الحقّ يتغيّر بزيادتها ونقصانها، فربّما استحقّ بعض بطون المتقاسمين أكثر ممّا ظهر بالقسمة لمورّثهم،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تعدّد الواقف واتّحد الموقوف عليه، كما لو وقف جماعة على شخص وعلى ذرّيّته وأراد بعض الذرّيّة القسمة لعين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تعدّد الواقف والموقوف عليه، كما لو وقف نصف عين على شخص وذرّيّته، وآخر على غيره كذلك، جاز للموقوف عليهما الاقتسام، بحيث يميّزان كلّ وقف على حدته، وكذا لذرّيّتهما دون الذرّيّة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التعدّد فيهما على غير هذا الوجه، كما لو وقف اثنان على كلّ واحد من الاثنين، فحكمه حكم المتّحد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الواقف الواحد لا تصحّ قسمته وإن تعدّد الواقف والمصرف، وهو المراد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الملك الواحد وقفاً وطِلقاً صحّ قسمته؛ لأنّه تمييز للوقف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يشتمل على ردٍّ، أو اشتمل وكان الردّ من الموقوف عليه، أمّا لو انعكس لم يصحّ؛ لأنّه كبيع جزءٍ من الوقف</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2019126_1067777946"/>
      <w:bookmarkStart w:id="1074" w:name="_Toc401"/>
      <w:bookmarkEnd w:id="1073"/>
      <w:r>
        <w:rPr>
          <w:rtl w:val="true"/>
        </w:rPr>
        <w:t>[</w:t>
      </w:r>
      <w:r>
        <w:rPr>
          <w:rtl w:val="true"/>
        </w:rPr>
        <w:t>الفصل الثالث في لواحق الشركة</w:t>
      </w:r>
      <w:r>
        <w:rPr>
          <w:rtl w:val="true"/>
        </w:rPr>
        <w:t>]</w:t>
      </w:r>
      <w:bookmarkEnd w:id="10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إنسان دابّةً، وآخر راوية إلى سقّاء على الاشتراك في الحاصل، لم تنعقد الشركة، وكان ما يحصل للسقّاء، وعليه أُجرة مثل الدابّة والراوية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كون الماء ملكاً للسقّاء، أو مباحاً ونوى الملك لنفسه، أو لم ينو شيئاً، أمّا لو نواه لهم جميعاً كان كالوكيل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أنّهم مشتركون فيه وتكون أُجرته وأُجرة الراوية والدابّة عليهم أثلاثاً، فيسقط عن كلّ واحد ثلث الأُجرة المنسوبة إليه، ويرجع على كلّ واحد بثلث، ويكون في سقيه للماء بمنزلة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حاش صيداً، أو احتطب، أو احتشّ بنيّة أنّه له ولغيره، لم تؤثّر تلك النيّة، وكان بأجمعه له خاصّة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وكيلاً للغير في ذلك، وإلّا فالأقوى اشتراكهما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يفتقر المحيز في تملّك المباح إلى نيّة التملّك؟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الافتقار إليها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المحيز نفسه، وأمّا بالنظر إلى غيره، فإذا رأى تحت يده شيئاً من ذلك يحكم له به ظاهراً؛ لأنّ اليد جعلها الشارع دليلاً ظاهراً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بينهما مال بالسويّة، فأذن أحدهما لصاحبه في التصرّف على أن يكون الربح بينهما نصفين، لم يكن قراضاً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المال المبعوث مع الغير؛ ليتّجر فيه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طائفة من مالٍ يبعثها للتجارة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هذا بضاعة؛ لأنّه لم يشركه في الربح، فلايكون قراضاً ولا شركةً؛ لأنّه لم يعمل معه، وبناء الشركة على عمل المشتركين، فإذا عمل الشريك وحده كان الربح بينهما على نسبة المال، وعمله معه معونةً وتبرّعاً، حيث لم يشرط لنفسه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تسليمه إلى الشريك فصدّقه البائع، لم يبرأ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في المسألتين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تقبل شهادة البائع للمشتري في قبض الشريك منه؛ لعدم التهمة، حيث إنّ الشريك ليس وكيلاً للبائع، وحقّ البائع باقٍ على المشتري على التقديرين، فليست الشهادة متبعّضة كالأُولى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الشريك مأذوناً في القبض تبعّضت إلّا أنّه غير مفروض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ما اختاره من المنع أنّه وإنْ لم يكن شريكاً له فيما قبضه إلّا أنّ الشهادة تجرّ نفعاً من حيث إنّه إذا قبض نصيبه بعد ذلك يسلّم له، ولا يشاركه فيه، بناءً على استحقاق المشاركة إذا لم يثبت القبض، وهذا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الشريك يتمكّن من قبض حقّه من المشترك بانفراده قبلت شهادته، ولا تهمة حينئذٍ</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البائع في هذه والشريك في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اثنان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بثمنٍ واحدٍ مع تفاوت قيمتهما،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الشريكان سلعةً صفقةً، ثمّ استوفى أحدهما منه شيئاً، شاركه الآخر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الحيلة على اختصاص الشريك بالمقبوض بغير إشكالٍ بأنْ يبيع حقّه للمديون على وجه يصحّ بثمن معيّنٍ، ليختصّ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الصلح عليه، بل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أبرأه من حقّه واستوهب عوضه، أو أحال به على المديون بما عليه وكان كالقبض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للاحتطاب أو الاحتشاش أو الاصطياد مدّةً معيّنةً صحّت الإجارة، ويملك المستأجر ما يحصل من ذلك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الاستئجار على ذلك مبنيٌّ على ما سلف من أنّ تملّكها هل يكفي فيه مجرّد الحيازة أم لا بدّ معها من نيّة التملّك </w:t>
      </w:r>
      <w:r>
        <w:rPr>
          <w:rStyle w:val="FootnoteAnchor"/>
          <w:rtl w:val="true"/>
        </w:rPr>
        <w:footnoteReference w:id="389"/>
      </w:r>
      <w:r>
        <w:rPr>
          <w:rFonts w:ascii="Amiri" w:hAnsi="Amiri" w:eastAsia="Amiri" w:cs="Amiri"/>
          <w:color w:val="111111"/>
          <w:sz w:val="28"/>
          <w:sz w:val="28"/>
          <w:szCs w:val="28"/>
          <w:rtl w:val="true"/>
          <w:lang w:bidi="ar-SA"/>
        </w:rPr>
        <w:t>؟ فإنْ اكتفينا بالحيازة لم يصحّ الاستئجار عليها ولا التوكيل فيها؛ لأنّ المستناب يملكها بمجرّد الحيازة، فلا يتصوّر ملك المستأجر والموكّل لها، وإنْ قلنا بافتقاره إلى النيّة صحّ الاستئجار والتوكيل أيضاً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هنا بالصحّة، مع تردّده فيما سبق في اشتراط النيّة، فهو إمّا رجوع إلى الجزم، أو اختيار لقول ثالث ذهب إليه بعض الأصحاب </w:t>
      </w:r>
      <w:r>
        <w:rPr>
          <w:rStyle w:val="FootnoteAnchor"/>
          <w:rtl w:val="true"/>
        </w:rPr>
        <w:footnoteReference w:id="390"/>
      </w:r>
      <w:r>
        <w:rPr>
          <w:rFonts w:ascii="Amiri" w:hAnsi="Amiri" w:eastAsia="Amiri" w:cs="Amiri"/>
          <w:color w:val="111111"/>
          <w:sz w:val="28"/>
          <w:sz w:val="28"/>
          <w:szCs w:val="28"/>
          <w:rtl w:val="true"/>
          <w:lang w:bidi="ar-SA"/>
        </w:rPr>
        <w:t>، وهو الاكتفاء في تملّك المباح بالحيازة مع عدم نيّة عدم التملّك، فلو نوى عدمه أُثرت، فيجري الحكم هنا إذا نوى بذلك المستأجر</w:t>
      </w:r>
      <w:r>
        <w:rPr>
          <w:rFonts w:eastAsia="Amiri" w:cs="Amiri" w:ascii="Amiri" w:hAnsi="Amiri"/>
          <w:color w:val="111111"/>
          <w:sz w:val="28"/>
          <w:szCs w:val="28"/>
          <w:rtl w:val="true"/>
          <w:lang w:bidi="ar-SA"/>
        </w:rPr>
        <w:t xml:space="preserve">. </w:t>
      </w:r>
      <w:bookmarkStart w:id="1075" w:name="pg10178_83923"/>
    </w:p>
    <w:p>
      <w:pPr>
        <w:pStyle w:val="Heading2"/>
        <w:numPr>
          <w:ilvl w:val="1"/>
          <w:numId w:val="1"/>
        </w:numPr>
        <w:rPr/>
      </w:pPr>
      <w:bookmarkStart w:id="1076" w:name="__RefHeading___Toc2019128_1067777946"/>
      <w:bookmarkStart w:id="1077" w:name="_Toc402"/>
      <w:bookmarkEnd w:id="1075"/>
      <w:bookmarkEnd w:id="1076"/>
      <w:r>
        <w:rPr>
          <w:rtl w:val="true"/>
        </w:rPr>
        <w:t>كتاب المضاربة</w:t>
      </w:r>
      <w:bookmarkEnd w:id="1077"/>
    </w:p>
    <w:p>
      <w:pPr>
        <w:pStyle w:val="Heading3"/>
        <w:numPr>
          <w:ilvl w:val="2"/>
          <w:numId w:val="1"/>
        </w:numPr>
        <w:rPr/>
      </w:pPr>
      <w:bookmarkStart w:id="1078" w:name="__RefHeading___Toc2019130_1067777946"/>
      <w:bookmarkStart w:id="1079" w:name="_Toc403"/>
      <w:bookmarkEnd w:id="1078"/>
      <w:r>
        <w:rPr>
          <w:rtl w:val="true"/>
        </w:rPr>
        <w:t>[</w:t>
      </w:r>
      <w:r>
        <w:rPr>
          <w:rtl w:val="true"/>
        </w:rPr>
        <w:t>في العقد</w:t>
      </w:r>
      <w:r>
        <w:rPr>
          <w:rtl w:val="true"/>
        </w:rPr>
        <w:t>]</w:t>
      </w:r>
      <w:bookmarkEnd w:id="10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جائز من الطرفين ولكلّ واحد منهما فسخه سواء نضّ المال، أو كان به 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بإنضاض المال صيرورته دراهم ودنانير كما كان أوّلاً، وتعلّق العروض به بالنظر إلى أصله، وإلّا فالعروض أيضاً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اشترط فيه الأجل لم يلزم، لكن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بك سنة فلا تشتر بعدها وبع،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تلزم مدّة الأجل، بل يصحّ فسخها قبله، ولكن العقد والشرط صحيحان، وفائدة الشرط المنع من التصرّف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اشترط أن يشتري أصلاً يشتركان في نمائه، كالشجر أو الغنم،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الفساد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وينفق في السفر كمالَ نفقته من أصل المال، على الأظهر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السفر أجمع والمراد به السفر العرفي لا الشرعي، وهو ما يقصّر فيه، لكن يعتبر كونه من ضروريّات التجارة، فلو أقام زيادة عنه لم تحتسب نفقته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من مأكول ومشروب وملبوس ومركوب، وآلات ذلك، مقتصداً مراعياً ما يليق بحاله عادة، وإذا انتهى السفر أعاد ما بقي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هناك ربح كانت النفقة منه، وإلّا فمن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ومؤونَة المرض والموت في السفر محسوبان على العامل خاصّة؛ إذ لا تعلّق لهما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لنفسه مال غير مال القراض، فالوجه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التقسيط بنسبة المالين وإن اختلف مقدار العمل، ولو كان معه قراض لأزيد من واحد وزّعت النفقة عليهما على نسبة المالين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وللعامل ابتياع المعيب، والردّ بالعيب، وأخذ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 وبين الوكيل أنّ الغرض الذاتي هنا الاسترباح، وهو يحصل بالصحيح والمعيب، فلا يتقيّد بالصحيح، بخلاف الوكيل، فإنّ شراءه ربما كان للقنية، والمعيب لا يناسبها غالباً، فيحمل الإطلاق على الصحيح عملاً بالمتعارف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 إطلاق الإذن في البيع نقداً؛ بثمن المثل من 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جوازه بغير نقد البلد مع الغبطة، كشراء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في الذمّة لا معه، ولم يذكر المالك، تعلّق الثمن بذمّته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يذكر المالك في الشراء لفظاً، وإلّا بطل العقد مع عدم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ذكره نيّةً خاصّة وقع للعامل ظاهراً كما ذكر، ووجب عليه التخلّص باطناً من حقّ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يذكره لفظاً ولا نيّةً وقع له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أمره بالسفر إلى جهة فسافر إلى غيرها، أو أمره بابتياع شيء معيّن فابتاع غيره،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المضاربة لا تبطل بهذه المخالفة، وإن وجب الضمان والإثم في التصرّف المخالف؛ لوقوعه بغير إذنٍ، فينبغي أن يكون فضولياً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تقييد المخالفة في جهة السفر بما إذا بيع المتاع في تلك الجهة بما يوافق </w:t>
      </w:r>
      <w:bookmarkStart w:id="1080" w:name="pg10178_83925"/>
    </w:p>
    <w:p>
      <w:pPr>
        <w:pStyle w:val="BookText"/>
        <w:rPr/>
      </w:pPr>
      <w:bookmarkEnd w:id="1080"/>
      <w:r>
        <w:rPr>
          <w:rFonts w:ascii="Amiri" w:hAnsi="Amiri" w:eastAsia="Amiri" w:cs="Amiri"/>
          <w:color w:val="111111"/>
          <w:sz w:val="28"/>
          <w:sz w:val="28"/>
          <w:szCs w:val="28"/>
          <w:rtl w:val="true"/>
          <w:lang w:bidi="ar-SA"/>
        </w:rPr>
        <w:t>قيمته في الجهة المعيّنة، أو يزيد، فلو كان ناقصاً بمالا يتغابن بمثله لم يصحّ، كما لو باع بدون ثمن المثل</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2019132_1067777946"/>
      <w:bookmarkStart w:id="1082" w:name="_Toc404"/>
      <w:bookmarkEnd w:id="1081"/>
      <w:r>
        <w:rPr>
          <w:rtl w:val="true"/>
        </w:rPr>
        <w:t>[</w:t>
      </w:r>
      <w:r>
        <w:rPr>
          <w:rtl w:val="true"/>
        </w:rPr>
        <w:t>في مال القراض</w:t>
      </w:r>
      <w:r>
        <w:rPr>
          <w:rtl w:val="true"/>
        </w:rPr>
        <w:t>]</w:t>
      </w:r>
      <w:bookmarkEnd w:id="10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شرطه أن يكون عيناً، وأن يكون دراهم أو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ذلك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مع ذلك بأنّ ما في الذمّة لابدّ من تحصيله أوّلاً، ولا يجوز ضمّ عمل إلى التجارة، وأنّ المضاربة معاملة تشتمل على غرر؛ إذ العمل مجهول، والربح غير معلوم، فيقتصر بها على موضع الحاجة، وتختصّ بما تسهل التجارة به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ربما زادت قيمة العروض عنها وقت العقد، فيفوت جزء من الربح بسببها، وربما نقصت فيدخل بعض المال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التعليلات مناسبات ضعيفة، والاعتماد على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القراض بالنقرة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التردّد من عدم كونها دراهم ودنانير، ومن مساواتها لهما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بالفلوس، ولا بالورق المغشوش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متعاملاً بالمغشوش، فلو كان معلوم الصرف بين الناس صحّ جعله مالاً للقراض، كما تجوز المعاملة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آلة الصيد كالشبكة بحصّة فاصطاد، كان للصائد، وعليه أُجرة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بكون الصيد للصائد مبني على عدم تصوّر التوكيل في تملّك المباح، وإلّا كان الصيد لهما على حسب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تكفي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الصحّة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أخذ من مال القراض ما يعجز عنه، ضمن</w:t>
      </w:r>
      <w:r>
        <w:rPr>
          <w:rFonts w:eastAsia="Amiri" w:cs="Amiri" w:ascii="Amiri" w:hAnsi="Amiri"/>
          <w:color w:val="111111"/>
          <w:sz w:val="28"/>
          <w:szCs w:val="28"/>
          <w:rtl w:val="true"/>
          <w:lang w:bidi="ar-SA"/>
        </w:rPr>
        <w:t xml:space="preserve">». </w:t>
      </w:r>
      <w:bookmarkStart w:id="1083" w:name="pg10178_83926"/>
    </w:p>
    <w:p>
      <w:pPr>
        <w:pStyle w:val="BookText"/>
        <w:rPr/>
      </w:pPr>
      <w:bookmarkEnd w:id="1083"/>
      <w:r>
        <w:rPr>
          <w:rFonts w:ascii="Amiri" w:hAnsi="Amiri" w:eastAsia="Amiri" w:cs="Amiri"/>
          <w:color w:val="111111"/>
          <w:sz w:val="28"/>
          <w:sz w:val="28"/>
          <w:szCs w:val="28"/>
          <w:rtl w:val="true"/>
          <w:lang w:bidi="ar-SA"/>
        </w:rPr>
        <w:t>هذا مع جهل المالك بعجزه، وإلّا فالتقصير مستند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الضمان يضمن الجميع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ولومات ربّ المال وبالمال متاع فأقرّه الوارث،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إقراره بعقد مستأنف، سواء كان بلفظ التقرير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من الصحّة كون المال عروضاً، ولو كان نقداً صحّ تجديده قطعاً، ولو بلفظ التقرير،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قدر رأس المال، فالقول قول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قد ظهر ربح، وإلّا فالأقوى تقديم قول المالك؛ لأنّ ذلك في قوّة اختلافهما في قدر حصّته منه، ولأنّ الأصل يقتضي كون جميعه للمالك فيقتصر فيما خالفه على المتيقّن</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2019134_1067777946"/>
      <w:bookmarkStart w:id="1085" w:name="_Toc405"/>
      <w:bookmarkEnd w:id="1084"/>
      <w:r>
        <w:rPr>
          <w:rtl w:val="true"/>
        </w:rPr>
        <w:t>[</w:t>
      </w:r>
      <w:r>
        <w:rPr>
          <w:rtl w:val="true"/>
        </w:rPr>
        <w:t>في الربح</w:t>
      </w:r>
      <w:r>
        <w:rPr>
          <w:rtl w:val="true"/>
        </w:rPr>
        <w:t>]</w:t>
      </w:r>
      <w:bookmarkEnd w:id="10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 الحصّة بالشرط دون الأُجرة،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مرجع هذا النزاع إلى أنّ المضاربة هل هي من العقود الصحيحة المشروعة أم لا؟ والأصحّ بل المذهب صحّتها فيلزم ما شرط من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الشيخان </w:t>
      </w:r>
      <w:r>
        <w:rPr>
          <w:rStyle w:val="FootnoteAnchor"/>
          <w:rtl w:val="true"/>
        </w:rPr>
        <w:footnoteReference w:id="391"/>
      </w:r>
      <w:r>
        <w:rPr>
          <w:rFonts w:ascii="Amiri" w:hAnsi="Amiri" w:eastAsia="Amiri" w:cs="Amiri"/>
          <w:color w:val="111111"/>
          <w:sz w:val="28"/>
          <w:sz w:val="28"/>
          <w:szCs w:val="28"/>
          <w:rtl w:val="true"/>
          <w:lang w:bidi="ar-SA"/>
        </w:rPr>
        <w:t xml:space="preserve">وجماعة </w:t>
      </w:r>
      <w:r>
        <w:rPr>
          <w:rStyle w:val="FootnoteAnchor"/>
          <w:rtl w:val="true"/>
        </w:rPr>
        <w:footnoteReference w:id="392"/>
      </w:r>
      <w:r>
        <w:rPr>
          <w:rFonts w:ascii="Amiri" w:hAnsi="Amiri" w:eastAsia="Amiri" w:cs="Amiri"/>
          <w:color w:val="111111"/>
          <w:sz w:val="28"/>
          <w:sz w:val="28"/>
          <w:szCs w:val="28"/>
          <w:rtl w:val="true"/>
          <w:lang w:bidi="ar-SA"/>
        </w:rPr>
        <w:t>إلى أنّ الربح كلّه للمالك، وللعامل الأُجرة، بناءً على فساد المعاملة بجهالة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أن يكون الربح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 والربح لي، فسد، ويمكن أن يجعل بضاعة، نظراً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فحينئذٍ لا أُجرة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فاتّجر به والربح لي، كان بضاعةً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هذه والسابقة اشتمال الأولى على ضميمة منافيةٍ للقرض والبضاعة، وهي </w:t>
      </w:r>
    </w:p>
    <w:p>
      <w:pPr>
        <w:pStyle w:val="BookText"/>
        <w:rPr/>
      </w:pPr>
      <w:r>
        <w:rPr>
          <w:rFonts w:ascii="Amiri" w:hAnsi="Amiri" w:eastAsia="Amiri" w:cs="Amiri"/>
          <w:color w:val="111111"/>
          <w:sz w:val="28"/>
          <w:sz w:val="28"/>
          <w:szCs w:val="28"/>
          <w:rtl w:val="true"/>
          <w:lang w:bidi="ar-SA"/>
        </w:rPr>
        <w:t>التصريح بالقراض، وهو حقيقة شرعيّة في العقد المخصوص بخلاف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أطلق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قصد القرض والبضاعة، ولو قصد في الثانية القراض ففيه ما سبق من الخلاف؛ لصلاحية اللفظ له مؤيّداً بانضمام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لك النصف،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 النصف واقتصر، لم يصحّ؛ لأنّه لم يعيّن للعامل 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الصيغتين أنّ الربح لمّا كان تابعاً للعامل، والأصل كونه للمالك، لم يفتقر إلى تعيين حصّته فإن عيّنها كان تأكيداً، وأمّا تعيين حصّة العامل فلابدّ منه؛ لعدم استحقاقها بدونه،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لك، كان تعييناً لحصّة العامل، وبقي الباقي على حكم الأصل، بخلاف ما إذا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لغلامه حصّة معهما، صحّ، عمل الغلام أو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لأجنبي وكان عاملاً،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الربح أن يكون بين العامل والمالك خاصّة على ما يشترطانه فلا يصحّ شرطه 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كونه عاملاً كان بمنزلة العامل المتعدّد، فلا يكون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شرطه لغلام أحدهما الرقّ، فهو كشرطه لمالكه، فيصحّ؛ لأنّ العبد لا يملك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يملكه كان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شرط لأجنبي شرط عمل فلابدّ من ضبط العمل بما يرفع الجهالة، وكونه من أعمال التجارة، لئلّا يتجاوز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وصفه بالأجنبيّة مع كونه عاملاً؛ لأنّ المراد بالعامل هنا مَن يكون إليه التصرّف في جميع ما يقتضيه العقد، وهذا المشروط له ليس كذلك، بل إنّما شرط عليه عمل مخصوص، بأن يحمل لهم المتاع إلى السوق، أو يدلّل عليه، ونحو ذلك من الأعمال الجزئية المنضبطة، ولو جعل عاملاً في جميع الأعمال كان العامل متعدّداً، وهي غير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ما قيل من أنّ شرط العمل ينافي كونه أجنبياً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الآخر الذي أشار إليه المصنِّف في الأجنبي،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شرط للأجنبي يصحّ الشرط وإنْ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 xml:space="preserve">. </w:t>
      </w:r>
      <w:bookmarkStart w:id="1086" w:name="pg10178_83928"/>
    </w:p>
    <w:p>
      <w:pPr>
        <w:pStyle w:val="BookText"/>
        <w:rPr/>
      </w:pPr>
      <w:bookmarkEnd w:id="108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قراضاً في مرض الموت، وشرط ربحاً صحّ، وملك العامل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كون الحصّة المشروطة للعامل بقدر أُجرة المثل وأزيد؛ إذ لا تفويت في ذلك على الوارث حتّى يعتبر من الثلث، فإنّ الربح أمر معدوم متوقّع الحصول، وليس مالاً للمريض، وعلى تقدير حصوله فهو أمر جديد حصل بسعي العامل، وحدث على ملكه بعد العقد، فلم يكن للوارث فيه اعتراض</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2019136_1067777946"/>
      <w:bookmarkStart w:id="1088" w:name="_Toc406"/>
      <w:bookmarkEnd w:id="1087"/>
      <w:r>
        <w:rPr>
          <w:rtl w:val="true"/>
        </w:rPr>
        <w:t>[</w:t>
      </w:r>
      <w:r>
        <w:rPr>
          <w:rtl w:val="true"/>
        </w:rPr>
        <w:t>في اللواحق</w:t>
      </w:r>
      <w:r>
        <w:rPr>
          <w:rtl w:val="true"/>
        </w:rPr>
        <w:t>]</w:t>
      </w:r>
      <w:bookmarkEnd w:id="10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مقبول في التلف، وهل يقبل في الردّ؟ فيه تردّد، أظهره أنّه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 ينعتق على 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حسن؛ لأنّ هذا الشراء ليس من متعلّق عقد المضاربة، فلا يستحقّ به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وجبت الأُجرة من حيث أمر المالك له بعمل له أُجرة؛ لأنّه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المال لامرأةٍ فاشترى زوجها ، فإنْ كان بإذنها بطل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بغير إذنها،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ببطلانه كونه موقوفاً على إجازتها، فيبطل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المالك صحّ، وكان للعامل أُجرة المثل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بالمال عروض،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أنْ يبيع، والوجه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مات ربّ المال وهو عروض، كان له البيع، إلّا أن يمنعه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أنّه ليس للعامل البيع وإنْ لم يمنعه الوارث؛ لأنّ المال حقّ لغير مَن أذن فيه أوّلاً، فلا يجوز التصرّف فيه إلّا بإذنه؛ لبطلان العقد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قارض العامل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بغير إذنه لم يصحّ القراض الثاني فإنْ ربح كان نصف الربح للمالك، والنصف الآخر للعامل الأوّل وعليه أُجرة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التفصيل، وهو أنّ العقد وقع موقوفاً على إجازة المالك، فإنْ أجازه فالربح بينه وبين الثاني على الشرط، وإنْ لم يجزه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الشراء إنْ كان بالعين وقف على إجازة المالك، فإنْ أجاز فالملك له خاصّة، ولاشيء لهما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فلعدم العمل، وأمّا الثاني فلعدم الإذن له، وعدم وقوع العقد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وللثاني أُجرة مثل عمله على الأوّل مع جهله، لا 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الشراء في الذمّة ونوى صاحب المال فكذلك، وإنْ نوى مَن عامله وقع الشراء له؛ لأنّه وكيله، وإن لم ينوِ شيئاً أو نوى نفسه فالعقد له، وضمان المال عليه، لتعدّيه بمخالفة مقتضى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يقع العقد للعامل الثاني فله الأُجرة على الأوّل مع جهله، إنْ لم يتعدّ مقتضى المضاربة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مال القراض أو بعضه، بعد دورانه في التجارة، احتسب التالف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تلف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أنّ جميع مال القراض تلف، وحينئذٍ فجبره بالربح بعد الدوران ممكن، أمّا قبله فإنّه يوجب بطلان العقد، فلا يمكن جبره إلّا أنْ يحمل على ما لو أذن له في الشراء في الذمّة، فاشترى، ثمّ تلف المال ونقد عنه الثمن، فإنّ القراض يستمرّ ويمكن جبره حينئذٍ بالربح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التالف بعض المال أمكن جبره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مع بقاء العقد عدم الفرق بين حصول التلف قبل دورانه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دورانه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 بالبيع والشراء، لا مجرّد السفر به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قارض اثنان واحداً، وشرطا له النصف منهما، وتفاضلا في النصف الآخر مع التساوي في المال، كان فاسداً؛ لفساد الشرط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عبداً للقراض فتلف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قبل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صاحب المال ثمنه دائماً، ويكون الجميع رأس ماله،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أذن له في الشراء في الذمة فكذلك، وإلّا كان باطلاً، ولا يلزم الثمن أحدهما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التفصيل، وهو أنّه إنْ كان العامل اشتراه في الذمّة بإذن المالك في الشراء </w:t>
      </w:r>
    </w:p>
    <w:p>
      <w:pPr>
        <w:pStyle w:val="BookText"/>
        <w:rPr/>
      </w:pPr>
      <w:r>
        <w:rPr>
          <w:rFonts w:ascii="IRNazanin" w:hAnsi="IRNazanin" w:eastAsia="IRNazanin"/>
          <w:color w:val="111111"/>
          <w:sz w:val="28"/>
          <w:sz w:val="28"/>
          <w:szCs w:val="28"/>
          <w:rtl w:val="true"/>
          <w:lang w:bidi="fa-IR"/>
        </w:rPr>
        <w:t>فيها، لزمه دفع الثمن ثانياً وثالثاً دائماً، وإلّا فإنْ صرّح بكون الشراء له وقف علی إجازته، فإنْ أجاز لزمه الثمن، وإلّا بطل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يذكره لفظاً وقع الشراء للعامل والثمن عليه، ويبقى فيما لو نواه فأمر، وإنْ كان اشتراه بعين المال فهلك قبل دفعه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يلزم المالك الثمن ثانياً يكون الجميع رأس ماله، يجبر جميعه بالربح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نَضّ قدر الربح، فطلب أحدهما القسمة، فإنْ اتّفقا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المالك 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اقتسما وبقي رأس المال معه فخسر، ردّ العامل أقلّ الأمرين واحتسب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بأقلّ الأمرين ممّا وصل إليه من الربح وممّا يصيبه من الخسران؛ لأنّ الأقلّ إنْ كان هو الخسران فلا يلزمه سوى جبر المال والفاضل له، وإنْ كان هو الربح فلا يلزمه الجبر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يحتسب المالك، أي يحتسب رجوع أقلّ الأمرين إليه من رأس المال، فيكون رأس المال ما أخذه هو والعامل وما بقي إنْ احتيج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مالاً قراضاً وشرط أنْ يأخذ له بضاعة،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بصحّتها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للمضارب أنْ يشتري جاريةً يطؤها، وإنْ أذن له المالك،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أحلّها بعد شرائها،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ظهر فيها الربح، وإلّا بني على تحليل أحد الشريكين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وفي يده أموال مضاربةٍ، فإنْ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كونه مضاربةً، قضي به ميراثاً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يعلم وجوده في التركة في الجملة، إمّا باعتراف العامل في وقت لا يمكن تجدّد تلفه فيه عادة، أو بشهادة عدلين فصاحبه كالشريك، أو علم تلفه بتقصير، أو بقاؤه إلى بعد الموت مع تقصير العامل في ترك الوصيّة، فصاحبه أسوة الغرماء</w:t>
      </w:r>
      <w:r>
        <w:rPr>
          <w:rFonts w:eastAsia="Amiri" w:cs="Amiri" w:ascii="Amiri" w:hAnsi="Amiri"/>
          <w:color w:val="111111"/>
          <w:sz w:val="28"/>
          <w:szCs w:val="28"/>
          <w:rtl w:val="true"/>
          <w:lang w:bidi="ar-SA"/>
        </w:rPr>
        <w:t xml:space="preserve">. </w:t>
      </w:r>
      <w:bookmarkStart w:id="1089" w:name="pg10178_83931"/>
    </w:p>
    <w:p>
      <w:pPr>
        <w:pStyle w:val="Heading2"/>
        <w:numPr>
          <w:ilvl w:val="1"/>
          <w:numId w:val="1"/>
        </w:numPr>
        <w:rPr/>
      </w:pPr>
      <w:bookmarkStart w:id="1090" w:name="__RefHeading___Toc2019138_1067777946"/>
      <w:bookmarkStart w:id="1091" w:name="_Toc407"/>
      <w:bookmarkEnd w:id="1089"/>
      <w:bookmarkEnd w:id="1090"/>
      <w:r>
        <w:rPr>
          <w:rtl w:val="true"/>
        </w:rPr>
        <w:t>كتاب المزارعة والمساقاة</w:t>
      </w:r>
      <w:bookmarkEnd w:id="1091"/>
    </w:p>
    <w:p>
      <w:pPr>
        <w:pStyle w:val="Heading3"/>
        <w:numPr>
          <w:ilvl w:val="2"/>
          <w:numId w:val="1"/>
        </w:numPr>
        <w:rPr/>
      </w:pPr>
      <w:bookmarkStart w:id="1092" w:name="__RefHeading___Toc2019140_1067777946"/>
      <w:bookmarkStart w:id="1093" w:name="_Toc408"/>
      <w:bookmarkEnd w:id="1092"/>
      <w:r>
        <w:rPr>
          <w:rtl w:val="true"/>
        </w:rPr>
        <w:t>[</w:t>
      </w:r>
      <w:r>
        <w:rPr>
          <w:rtl w:val="true"/>
        </w:rPr>
        <w:t>المزارعة</w:t>
      </w:r>
      <w:r>
        <w:rPr>
          <w:rtl w:val="true"/>
        </w:rPr>
        <w:t>]</w:t>
      </w:r>
      <w:bookmarkEnd w:id="1093"/>
    </w:p>
    <w:p>
      <w:pPr>
        <w:pStyle w:val="Heading4"/>
        <w:numPr>
          <w:ilvl w:val="3"/>
          <w:numId w:val="1"/>
        </w:numPr>
        <w:rPr/>
      </w:pPr>
      <w:bookmarkStart w:id="1094" w:name="__RefHeading___Toc2019142_1067777946"/>
      <w:bookmarkStart w:id="1095" w:name="_Toc409"/>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المزارعة فهي معاملة على الأرض، بحصّةٍ من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أو ازرع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اختصّ هذا العقد بالمساهلة في عبارته وانتشارِها وتأديتها بلفظ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العقود اللازمة المنحصرة في صيغة الماضي الصريحة في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الاكتفاء بصيغة الامر في بعض الأخبار </w:t>
      </w:r>
      <w:r>
        <w:rPr>
          <w:rStyle w:val="FootnoteAnchor"/>
          <w:rtl w:val="true"/>
        </w:rPr>
        <w:footnoteReference w:id="393"/>
      </w:r>
      <w:r>
        <w:rPr>
          <w:rFonts w:ascii="Amiri" w:hAnsi="Amiri" w:eastAsia="Amiri" w:cs="Amiri"/>
          <w:color w:val="111111"/>
          <w:sz w:val="28"/>
          <w:sz w:val="28"/>
          <w:szCs w:val="28"/>
          <w:rtl w:val="true"/>
          <w:lang w:bidi="ar-SA"/>
        </w:rPr>
        <w:t>، وهو أبعد من غيره من الصيغ المفيدة للمطلوب، فاستفيد غير الأمر بطريق أولى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لقصور المستند عن إفادة التعدية، وإخراجه عن نظائره</w:t>
      </w:r>
      <w:r>
        <w:rPr>
          <w:rStyle w:val="FootnoteAnchor"/>
          <w:rtl w:val="true"/>
        </w:rPr>
        <w:footnoteReference w:id="394"/>
      </w:r>
      <w:r>
        <w:rPr>
          <w:rFonts w:ascii="Amiri" w:hAnsi="Amiri" w:eastAsia="Amiri" w:cs="Amiri"/>
          <w:color w:val="111111"/>
          <w:sz w:val="28"/>
          <w:sz w:val="28"/>
          <w:szCs w:val="28"/>
          <w:rtl w:val="true"/>
          <w:lang w:bidi="ar-SA"/>
        </w:rPr>
        <w:t xml:space="preserve">، ولم يتعرّض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للقبول، بل حصر عبارتها في الإيجاب المؤذن بعدم اعتبار القبول اللفظي، وهو أحد القولين </w:t>
      </w:r>
      <w:r>
        <w:rPr>
          <w:rStyle w:val="FootnoteAnchor"/>
          <w:rtl w:val="true"/>
        </w:rPr>
        <w:footnoteReference w:id="395"/>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اعتباره كنظائره</w:t>
      </w:r>
      <w:r>
        <w:rPr>
          <w:rFonts w:eastAsia="Amiri" w:cs="Amiri" w:ascii="Amiri" w:hAnsi="Amiri"/>
          <w:color w:val="111111"/>
          <w:sz w:val="28"/>
          <w:szCs w:val="28"/>
          <w:rtl w:val="true"/>
          <w:lang w:bidi="ar-SA"/>
        </w:rPr>
        <w:t xml:space="preserve">. </w:t>
      </w:r>
      <w:bookmarkStart w:id="1096" w:name="pg10178_83932"/>
    </w:p>
    <w:p>
      <w:pPr>
        <w:pStyle w:val="Heading4"/>
        <w:numPr>
          <w:ilvl w:val="3"/>
          <w:numId w:val="1"/>
        </w:numPr>
        <w:rPr/>
      </w:pPr>
      <w:bookmarkStart w:id="1097" w:name="__RefHeading___Toc2019144_1067777946"/>
      <w:bookmarkStart w:id="1098" w:name="_Toc410"/>
      <w:bookmarkEnd w:id="1096"/>
      <w:bookmarkEnd w:id="1097"/>
      <w:r>
        <w:rPr>
          <w:rtl w:val="true"/>
        </w:rPr>
        <w:t>[</w:t>
      </w:r>
      <w:r>
        <w:rPr>
          <w:rtl w:val="true"/>
        </w:rPr>
        <w:t>شروط المزارعة</w:t>
      </w:r>
      <w:r>
        <w:rPr>
          <w:rtl w:val="true"/>
        </w:rPr>
        <w:t>:]</w:t>
      </w:r>
      <w:bookmarkEnd w:id="1098"/>
    </w:p>
    <w:p>
      <w:pPr>
        <w:pStyle w:val="Heading5"/>
        <w:numPr>
          <w:ilvl w:val="4"/>
          <w:numId w:val="1"/>
        </w:numPr>
        <w:rPr/>
      </w:pPr>
      <w:bookmarkStart w:id="1099" w:name="__RefHeading___Toc2019146_1067777946"/>
      <w:bookmarkStart w:id="1100" w:name="_Toc411"/>
      <w:bookmarkEnd w:id="1099"/>
      <w:r>
        <w:rPr>
          <w:rtl w:val="true"/>
        </w:rPr>
        <w:t>[</w:t>
      </w:r>
      <w:r>
        <w:rPr>
          <w:rtl w:val="true"/>
        </w:rPr>
        <w:t>الأوّل</w:t>
      </w:r>
      <w:r>
        <w:rPr>
          <w:rtl w:val="true"/>
        </w:rPr>
        <w:t xml:space="preserve">: </w:t>
      </w:r>
      <w:r>
        <w:rPr>
          <w:rtl w:val="true"/>
        </w:rPr>
        <w:t>أن يكون النماء مشاعاً بينهما</w:t>
      </w:r>
      <w:r>
        <w:rPr>
          <w:rtl w:val="true"/>
        </w:rPr>
        <w:t>]</w:t>
      </w:r>
      <w:bookmarkEnd w:id="11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اختصّ كلّ واحد منهما بنوع من الزرع دون صاحبه، كأنْ يشترط أحدهما الهَرْف والآخر الأَفل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من الزرع والثمرة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والجداول جمع جدول، وهو النهر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قطعة من الأرض يجمع حولها التراب، وكلاهما يشتركان في عدم جواز اشتراطه؛ لأنّ الشرط إشاعة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شرط أحدهما على الآخر، شيئاً يضمنه له من غير الحاصل مضافاً إلى الحصّة،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الصحّة، وهي مشروطة بالسلامة، كاستثناء أرطالٍ معلومة من الثمرة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البعض سقط منه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إجارة الأرض للزراعة بالحنطة أو الشعير، ممّا يخرج منها، والمنع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2019148_1067777946"/>
      <w:bookmarkStart w:id="1102" w:name="_Toc412"/>
      <w:bookmarkEnd w:id="1101"/>
      <w:r>
        <w:rPr>
          <w:rtl w:val="true"/>
        </w:rPr>
        <w:t>[</w:t>
      </w:r>
      <w:r>
        <w:rPr>
          <w:rtl w:val="true"/>
        </w:rPr>
        <w:t>الثاني</w:t>
      </w:r>
      <w:r>
        <w:rPr>
          <w:rtl w:val="true"/>
        </w:rPr>
        <w:t xml:space="preserve">: </w:t>
      </w:r>
      <w:r>
        <w:rPr>
          <w:rtl w:val="true"/>
        </w:rPr>
        <w:t>تعيين المدّة</w:t>
      </w:r>
      <w:r>
        <w:rPr>
          <w:rtl w:val="true"/>
        </w:rPr>
        <w:t>]</w:t>
      </w:r>
      <w:bookmarkEnd w:id="11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اقتصر على تعيين المزروع من غير ذكر المدّة،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 لكلّ زرعٍ أمداً، فيبنى على العادة كالقراض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اشتراط تعيين المدّة على الوجه السابق، ويخالف القراض بأنّه عقد جائز لا فائدة في ضبط أجله؛ لجواز الرجوع قبله، بخلافها، فكان إلحاقها بالإجارة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مضت المدّة والزرع باقٍ كان للمالك إزالته، على الأشبه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ولا 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القلع فالحاصل لهما، بناء على المشهور من أنّ الزارع </w:t>
      </w:r>
      <w:bookmarkStart w:id="1103" w:name="pg10178_83933"/>
    </w:p>
    <w:p>
      <w:pPr>
        <w:pStyle w:val="BookText"/>
        <w:rPr/>
      </w:pPr>
      <w:bookmarkEnd w:id="1103"/>
      <w:r>
        <w:rPr>
          <w:rFonts w:ascii="Amiri" w:hAnsi="Amiri" w:eastAsia="Amiri" w:cs="Amiri"/>
          <w:color w:val="111111"/>
          <w:sz w:val="28"/>
          <w:sz w:val="28"/>
          <w:szCs w:val="28"/>
          <w:rtl w:val="true"/>
          <w:lang w:bidi="ar-SA"/>
        </w:rPr>
        <w:t>يملك حصّته وإنْ لم ينعقد الحبّ، ولا أُجرة على ما مضى من المدّة لو لم ينتفع بالمقلوع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الزراعة، حتّى انقضت المدّة، لزمه أُجرة المثل، فلو كان استأجرها لزمت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تمكين المالك له منها وتسليمه إيّاها، وإلّا لم يستحقّ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يلزمه ضمان الأُجرة يلزمه أرشها لو نقصت بترك الزرع، كما يتّفق في بعض الأرضين؛ لاستناد النقص إلى تفريطه</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2019150_1067777946"/>
      <w:bookmarkStart w:id="1105" w:name="_Toc413"/>
      <w:bookmarkEnd w:id="1104"/>
      <w:r>
        <w:rPr>
          <w:rtl w:val="true"/>
        </w:rPr>
        <w:t>[</w:t>
      </w:r>
      <w:r>
        <w:rPr>
          <w:rtl w:val="true"/>
        </w:rPr>
        <w:t>الثالث</w:t>
      </w:r>
      <w:r>
        <w:rPr>
          <w:rtl w:val="true"/>
        </w:rPr>
        <w:t xml:space="preserve">: </w:t>
      </w:r>
      <w:r>
        <w:rPr>
          <w:rtl w:val="true"/>
        </w:rPr>
        <w:t>أن تكون الأرض ممّا يمكن الانتفاع بها</w:t>
      </w:r>
      <w:r>
        <w:rPr>
          <w:rtl w:val="true"/>
        </w:rPr>
        <w:t>]</w:t>
      </w:r>
      <w:bookmarkEnd w:id="11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انقطع في أثناء المدّة، فللزارع الخيار؛ لعدم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إمكان الزرع شرط صحّة المزارعة، كما مرّ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الشرط في الابتداء ثمّ تجدّد انقطاع الماء فمقتضى القاعدة بطلان العقد؛ لفوات الشرط لباقي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المصنِّف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Style w:val="FootnoteAnchor"/>
          <w:rtl w:val="true"/>
        </w:rPr>
        <w:footnoteReference w:id="398"/>
      </w:r>
      <w:r>
        <w:rPr>
          <w:rFonts w:ascii="Amiri" w:hAnsi="Amiri" w:eastAsia="Amiri" w:cs="Amiri"/>
          <w:color w:val="111111"/>
          <w:sz w:val="28"/>
          <w:sz w:val="28"/>
          <w:szCs w:val="28"/>
          <w:rtl w:val="true"/>
          <w:lang w:bidi="ar-SA"/>
        </w:rPr>
        <w:t>أطلقا القول بعدم البطلان، بل حكما بتسلّطه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الإجارة، فإنْ كان قد استأجرها للزارعة فكذلك؛ لاشتراكهما في المعنى، أمّا لو استأجرها مطلقاً لم يتخيّر، مع إمكان الانتفاع بها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زارع عليها أو استأجرها للزارعة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 المزارعة زرع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البذر من عنده، ولو كان من عند صاحب الأرض فالتخيير إليه بطريق أولى، لا إلى المزارع</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زرع ما هو أضرّ والحال هذه، كان لمالكها أُجرة المثل إنْ شاء، أو المسمّى مع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التخيير أنّ مقدار المنفعة المعقود عليها قد استوفي بزيادة في ضمن زرع الأضرّ، فيتخيّر بين أخذ المسمّى في مقابلة مقدار المنفعة المعيّنة مع أخذ الأرش في مقابلة الزائد الموجب لضرر الأرض بغير إذن مالكها، وبين أخذ أُجرة المثل؛ لزرع ذلك الأضرّ من غير نظر إلى المسمّى والأرش؛ لأنّ المزروع بتمامه واقع بغير إذن المالك؛ لأنه غير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الحكم الأوّل من التخيير بأنّ الحصّة المسمّاة إنّما وقعت في مقابلة الزرع المعيّن ولم يحصل، والذي زرع لم يتناوله العقد ولا الإذن، فلا وجه لاستحقاق المالك فيه الحصّة، فوجوب أُجرة المثل خاصّةً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أقلّ ضرراً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ثبوت أُجرة المثل خاصّة، كما ذكر في زرع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زارع عليها، أو آجرها للزراعة ولا ماء لها، مع علم المزارع لم يتخيّر، ومع الجهالة له الفسخ</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من شرط صحّة المزارعة على الأرض أن يكون لها ماء معتاد للسقي غالباً بحيث يمكن الانتفاع بالزرع، فبدونه لا يصحّ العقد؛ لفقد الشرط، وإنْ رضي كلّ من المالك والعامل؛ لأنّه تصرّف في حكمٍ لم يرد الإذن فيه شرعاً، ولانتفاء الفائدة المطلوبة من الزراعة، وهو ينافي ما ذكر من جواز المزارعة على ما لا ماء لها، مع العلم بغير تخيير، ولا معه مع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بطلان المزارعة هنا، سواء علم أو لم يعلم، ولأنّ الحكم بالتخيير فرع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شارك العملّاةُ المصنِّفَ في كتبه </w:t>
      </w:r>
      <w:r>
        <w:rPr>
          <w:rStyle w:val="FootnoteAnchor"/>
          <w:rtl w:val="true"/>
        </w:rPr>
        <w:footnoteReference w:id="399"/>
      </w:r>
      <w:r>
        <w:rPr>
          <w:rFonts w:ascii="Amiri" w:hAnsi="Amiri" w:eastAsia="Amiri" w:cs="Amiri"/>
          <w:color w:val="111111"/>
          <w:sz w:val="28"/>
          <w:sz w:val="28"/>
          <w:szCs w:val="28"/>
          <w:rtl w:val="true"/>
          <w:lang w:bidi="ar-SA"/>
        </w:rPr>
        <w:t>على مثل هذه العبارة، وزاد عليه التصريح بأنّه لو ساقاه على ما لا ماء لها غالباً لم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في التذكرة </w:t>
      </w:r>
      <w:r>
        <w:rPr>
          <w:rStyle w:val="FootnoteAnchor"/>
          <w:rtl w:val="true"/>
        </w:rPr>
        <w:footnoteReference w:id="400"/>
      </w:r>
      <w:r>
        <w:rPr>
          <w:rFonts w:ascii="Amiri" w:hAnsi="Amiri" w:eastAsia="Amiri" w:cs="Amiri"/>
          <w:color w:val="111111"/>
          <w:sz w:val="28"/>
          <w:sz w:val="28"/>
          <w:szCs w:val="28"/>
          <w:rtl w:val="true"/>
          <w:lang w:bidi="ar-SA"/>
        </w:rPr>
        <w:t xml:space="preserve">في الصحّة مع ندور </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البطلان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استأجرها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استأجرها مطلقاً، ولم يشترط الزراعة، لم يفسخ؛ لإمكان الانتفاع بها بغير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بعدم الفسخ يقتضي أنّ الحكم فيما لو لم يكن المستأجر عالماً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لا يتوهّم جواز فسخه، بل إمّا أنْ يصحّ أو يبطل مطلقاً،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هنا بين كون الغالب على الأرض الزراعة وعدمه؛ لأنّ الغلبة لا تقيّد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 للزراعة مالا ينحسر عنه الماء لم يجز؛ لعدم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رضي بذلك المستأجر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بالمنع؛ لجهالة الأرض،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التعليل لا يدلّ على البطلان مطلقاً ؛ لإمكان العلم بالأرض مع وجود الماء سابقاً، أو مع صفاء الماء، ولو فرض الجهل بها على كلّ حال فالمنع متوجّه،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الماء ينحسر عنها تدريجاً لم يصحّ؛ لجهالة وقت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التعليل أنّه لافرق بين رضى المستأجر بذلك وعدمه؛ لأنّ رضاه بما هو فاقد لشرط الصحّة غير كافٍ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قيّد المنع بعدم رضى المستأجر </w:t>
      </w:r>
      <w:r>
        <w:rPr>
          <w:rStyle w:val="FootnoteAnchor"/>
          <w:rtl w:val="true"/>
        </w:rPr>
        <w:footnoteReference w:id="401"/>
      </w:r>
      <w:r>
        <w:rPr>
          <w:rFonts w:ascii="Amiri" w:hAnsi="Amiri" w:eastAsia="Amiri" w:cs="Amiri"/>
          <w:color w:val="111111"/>
          <w:sz w:val="28"/>
          <w:sz w:val="28"/>
          <w:szCs w:val="28"/>
          <w:rtl w:val="true"/>
          <w:lang w:bidi="ar-SA"/>
        </w:rPr>
        <w:t>، وما ذكره المصنِّف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الزرع والغرس، افتقر إلى تعيين مقدار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الصحّة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التنصيف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استأجرها لهما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استأجرها مطلقاً، أو بما شاء منهما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 أرضاً مدّةً معينةً ليغرس فيها ما يبقى بعد المدّة غالباً،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المالك إبقاؤه، أو إزالته مع الأرش،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إزالته، كما لو غرس بعد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الأقوى الثاني</w:t>
      </w:r>
      <w:r>
        <w:rPr>
          <w:rFonts w:eastAsia="Amiri" w:cs="Amiri" w:ascii="Amiri" w:hAnsi="Amiri"/>
          <w:color w:val="111111"/>
          <w:sz w:val="28"/>
          <w:szCs w:val="28"/>
          <w:rtl w:val="true"/>
          <w:lang w:bidi="ar-SA"/>
        </w:rPr>
        <w:t xml:space="preserve">. </w:t>
      </w:r>
      <w:bookmarkStart w:id="1106" w:name="pg10178_83936"/>
    </w:p>
    <w:p>
      <w:pPr>
        <w:pStyle w:val="Heading4"/>
        <w:numPr>
          <w:ilvl w:val="3"/>
          <w:numId w:val="1"/>
        </w:numPr>
        <w:rPr/>
      </w:pPr>
      <w:bookmarkStart w:id="1107" w:name="__RefHeading___Toc2019152_1067777946"/>
      <w:bookmarkStart w:id="1108" w:name="_Toc414"/>
      <w:bookmarkEnd w:id="1106"/>
      <w:bookmarkEnd w:id="1107"/>
      <w:r>
        <w:rPr>
          <w:rtl w:val="true"/>
        </w:rPr>
        <w:t>[</w:t>
      </w:r>
      <w:r>
        <w:rPr>
          <w:rtl w:val="true"/>
        </w:rPr>
        <w:t>أحكامها</w:t>
      </w:r>
      <w:r>
        <w:rPr>
          <w:rtl w:val="true"/>
        </w:rPr>
        <w:t>]</w:t>
      </w:r>
      <w:bookmarkEnd w:id="11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أحدهما الأرض، ومن الآخر البذر والعمل والعوامل،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 الصور الممكنة في اشتراك هذه الأربعة بينهما، كلّاً وبعضاً،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كانا اثنين خاصّة، ولو كانوا ثلاثة فصاعداً وشرط على كلّ واحد بعض الأربعة، ففي جوازه وجهان، والصحّة لا تخلو من قرب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كلّ منهما بيّنةً، قُدّمت بيّنة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أقام كلّ منهما بيّنة بني على تقديم بيّنة الداخل أو الخارج، المشهور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خارج بالنسبة إلى دعوى المدّة؛ لأنّ مالك الأرض يدّعي تقليلها، ويكون القول قوله، والبيّنة بيّنة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زيادة الحصّة فهي ممّن ليس البذر منه، سواء في ذلك العامل ومالك الأرض فتكون البيّنة بيّنة من لا بذر له، فلا يتمّ إطلاق تقديم بيّنة العامل، بل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بيّنة الآخر، كما صنع غيره </w:t>
      </w:r>
      <w:r>
        <w:rPr>
          <w:rStyle w:val="FootnoteAnchor"/>
          <w:rtl w:val="true"/>
        </w:rPr>
        <w:footnoteReference w:id="403"/>
      </w:r>
      <w:r>
        <w:rPr>
          <w:rFonts w:ascii="Amiri" w:hAnsi="Amiri" w:eastAsia="Amiri" w:cs="Amiri"/>
          <w:color w:val="111111"/>
          <w:sz w:val="28"/>
          <w:sz w:val="28"/>
          <w:szCs w:val="28"/>
          <w:rtl w:val="true"/>
          <w:lang w:bidi="ar-SA"/>
        </w:rPr>
        <w:t>، أو يصرّح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بالقرعة هنا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فقال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وأنكر المالك وادّعى الحصّة أو الأُجرة ولا بيّنة، فالقول قول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 القول قول صاحب الأرض في عدم الإعارة، لا فيما يدّعيه؛ لأنّه منكر لها فيقدّم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قول الزارع في عدم المزارعة والإجارة؛ لأنّه منكر لهما و حينئذٍ فيحلف كلّ منهما على نفي ما يدّعيه الآخر، ويبقى على الزارع أنّه انتفع بأرض غيره مع عدم ثبوت التبرّع، فيلزمه أُجرة المثل لذلك الزرع إلى أوان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يزد الأُجرة عمّا يدّعيه المالك من الحصّة، أو الأُجرة المعيّنة، وإلّا ثبت له ما يدّعيه </w:t>
      </w:r>
    </w:p>
    <w:p>
      <w:pPr>
        <w:pStyle w:val="BookText"/>
        <w:rPr/>
      </w:pPr>
      <w:r>
        <w:rPr>
          <w:rFonts w:ascii="Amiri" w:hAnsi="Amiri" w:eastAsia="Amiri" w:cs="Amiri"/>
          <w:color w:val="111111"/>
          <w:sz w:val="28"/>
          <w:sz w:val="28"/>
          <w:szCs w:val="28"/>
          <w:rtl w:val="true"/>
          <w:lang w:bidi="ar-SA"/>
        </w:rPr>
        <w:t>خاصّة؛ لاعترافه بأنّه لا يستحقّ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وقع النزاع بعد الزرع، كما يقتضيه السياق، فلو كان قبله وتحالفا انتفت العارية والإجارة والمزارعة، فليس للعامل أنْ يزرع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إذا كان الواجب للمالك بعد يمينه أقلّ الأمرين ممّا يدّعيه وأُجرة المثل، وكان الأقلّ هو ما يدّعيه، فلا وجه ليمين الزارع؛ لأنّه لو اعترف له بما يدّعيه لم يكن له أزيد منه، وكذا لو حلف أو ردّ اليمين، وما هذا شأنه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يدّعيه أزيد من أُجرة المثل اتّجهت فائدة يمين الزارع؛ لأنّها تنفي الزائد ممّا يدّعيه المالك عن الأُجرة، ولو ردّها أو اعترف للزم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بالقرعة ضعيف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أنْ يشارك غيره، وأن يزارع عليها غيره، ولا يتوقّف على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شرط المالك الزرع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المشاركة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مبنيّ على الغالب؛ إذ الأصل في وضع المزارعة من </w:t>
      </w:r>
      <w:r>
        <w:rPr>
          <w:rStyle w:val="FootnoteAnchor"/>
          <w:rtl w:val="true"/>
        </w:rPr>
        <w:footnoteReference w:id="404"/>
      </w:r>
      <w:r>
        <w:rPr>
          <w:rFonts w:ascii="Amiri" w:hAnsi="Amiri" w:eastAsia="Amiri" w:cs="Amiri"/>
          <w:color w:val="111111"/>
          <w:sz w:val="28"/>
          <w:sz w:val="28"/>
          <w:szCs w:val="28"/>
          <w:rtl w:val="true"/>
          <w:lang w:bidi="ar-SA"/>
        </w:rPr>
        <w:t>كون البذر على العامل، وحينئذٍ فتمليك الحصّة منوط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يفرّق بين عامل المزارعة والمساقاة، حيث لا يجوز أنْ يساقي غيره؛ لأنّ النماء تابع للأصل، فلا يتسلّط العامل على نقله عن ملكه بدون إذنه، وحيث جاز له أنْ يزارع غيره أو يشاركه، فليس له أنْ يسلّمه الأرض إلّا بإذن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مثله في الإجارة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ومؤونتها على صاحبها، إلّا أن يشترط على الزارع</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بمؤونة الأرض هنا ما لا يتعلّق بتنمية الزرع، ولا يتكرّر كلّ سنةٍ، كإصلاح الحائط والدولاب ونحوهما ممّا يذكر في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المؤونة المتعلّقة بالزرع المتكرّر، كالحرث والسقي وتبقية الزرع ونحوها، فعلى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يشترط شيء من ذلك على العامل يعتبر ضبطه قدراً ووصفاً؛ لترتفع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يصحّ </w:t>
      </w:r>
    </w:p>
    <w:p>
      <w:pPr>
        <w:pStyle w:val="BookText"/>
        <w:rPr/>
      </w:pPr>
      <w:r>
        <w:rPr>
          <w:rFonts w:ascii="IRNazanin" w:hAnsi="IRNazanin" w:eastAsia="IRNazanin"/>
          <w:color w:val="111111"/>
          <w:sz w:val="28"/>
          <w:sz w:val="28"/>
          <w:szCs w:val="28"/>
          <w:rtl w:val="true"/>
          <w:lang w:bidi="fa-IR"/>
        </w:rPr>
        <w:t>اشتراط إخراجه من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يحكم فيه ببطلان المزارعة، تجب لصاحب الأرض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البذر من الزارع، فلو كان من صاحب الأرض فهو له، وعلى العامل والعوامل أُجرة المثل، ولو كان منهما فالحاصل بينهما على نسبة الأصل، ولكلّ منهما على الآخر أُجرة مثلِ ما يخصّه على نسبة ما للآخر من الحصّة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الأرض أنْ يخرص على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كان استقرار ذلك مشروطاً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مشهور بين الأصحاب، ومستنده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أنّه عقد لازم وإنْ ترتّب عليه تلك الأحكام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بلفظ البيع ففي صحّته إشكال، من حيث إنّه محاقلة </w:t>
      </w:r>
      <w:r>
        <w:rPr>
          <w:rStyle w:val="FootnoteAnchor"/>
          <w:rtl w:val="true"/>
        </w:rPr>
        <w:footnoteReference w:id="406"/>
      </w:r>
      <w:r>
        <w:rPr>
          <w:rFonts w:ascii="Amiri" w:hAnsi="Amiri" w:eastAsia="Amiri" w:cs="Amiri"/>
          <w:color w:val="111111"/>
          <w:sz w:val="28"/>
          <w:sz w:val="28"/>
          <w:szCs w:val="28"/>
          <w:rtl w:val="true"/>
          <w:lang w:bidi="ar-SA"/>
        </w:rPr>
        <w:t>، إلّا أنْ يجعل ذلك مستثنى منها</w:t>
      </w:r>
      <w:r>
        <w:rPr>
          <w:rFonts w:eastAsia="Amiri" w:cs="Amiri" w:ascii="Amiri" w:hAnsi="Amiri"/>
          <w:color w:val="111111"/>
          <w:sz w:val="28"/>
          <w:szCs w:val="28"/>
          <w:rtl w:val="true"/>
          <w:lang w:bidi="ar-SA"/>
        </w:rPr>
        <w:t xml:space="preserve">. </w:t>
      </w:r>
      <w:bookmarkStart w:id="1109" w:name="pg10178_83939"/>
    </w:p>
    <w:p>
      <w:pPr>
        <w:pStyle w:val="Heading3"/>
        <w:numPr>
          <w:ilvl w:val="2"/>
          <w:numId w:val="1"/>
        </w:numPr>
        <w:rPr/>
      </w:pPr>
      <w:bookmarkStart w:id="1110" w:name="__RefHeading___Toc2019154_1067777946"/>
      <w:bookmarkStart w:id="1111" w:name="_Toc415"/>
      <w:bookmarkEnd w:id="1109"/>
      <w:bookmarkEnd w:id="1110"/>
      <w:r>
        <w:rPr>
          <w:rtl w:val="true"/>
        </w:rPr>
        <w:t>[</w:t>
      </w:r>
      <w:r>
        <w:rPr>
          <w:rtl w:val="true"/>
        </w:rPr>
        <w:t>المساقاة</w:t>
      </w:r>
      <w:r>
        <w:rPr>
          <w:rtl w:val="true"/>
        </w:rPr>
        <w:t>]</w:t>
      </w:r>
      <w:bookmarkEnd w:id="1111"/>
    </w:p>
    <w:p>
      <w:pPr>
        <w:pStyle w:val="Heading4"/>
        <w:numPr>
          <w:ilvl w:val="3"/>
          <w:numId w:val="1"/>
        </w:numPr>
        <w:rPr/>
      </w:pPr>
      <w:bookmarkStart w:id="1112" w:name="__RefHeading___Toc2019156_1067777946"/>
      <w:bookmarkStart w:id="1113" w:name="_Toc416"/>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معاملة على أُصول ثابتة، بحصّة من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اشتقاقها بالسقي من بين الأعمال التي تتوقّف عليها؛ لأنّها أظهرها وأنفعها في الأصل الذي شرّعت فيه، وهو النخل بالحجاز، الذي يسقى من الآبار ويكثر مؤونته ونفعه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المستقرّة في الأرض أزيد من سَنةٍ، كالأشجار المغروسة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بها عن مثل الخضروات التي لا تبقى في الأرض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المعهودة، مع احتمال إرادة مطلق النماء؛ ليشمل الورد والورق، حيث تجوز المساقاة على ما يراد منه</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2019158_1067777946"/>
      <w:bookmarkStart w:id="1115" w:name="_Toc417"/>
      <w:bookmarkEnd w:id="1114"/>
      <w:r>
        <w:rPr>
          <w:rtl w:val="true"/>
        </w:rPr>
        <w:t>[</w:t>
      </w:r>
      <w:r>
        <w:rPr>
          <w:rtl w:val="true"/>
        </w:rPr>
        <w:t>في العقد</w:t>
      </w:r>
      <w:r>
        <w:rPr>
          <w:rtl w:val="true"/>
        </w:rPr>
        <w:t>]</w:t>
      </w:r>
      <w:bookmarkEnd w:id="111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وصيغة الإيجاب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ساقيتك، أو عاملتك، أو 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اللفظي، ولا بدّ منه، والمعتبر منه كلّ لفظ دلّ على الرضى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قبل 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بعد ظهورها؟ فيه تردّد، والأظهر الجواز، بشرط أنْ يبقى للعامل عمل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 بموت المساقي، ولا بموت العامل، على الأشبه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متعلّق بموت كلّ منهما، فقد حكم الشيخ في المبسوط ببطلان المساقاة بموت كلّ منهما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عدم البطلان، إلّا أن يكون قد شرط على العامل العمل </w:t>
      </w:r>
      <w:bookmarkStart w:id="1116" w:name="pg10178_83940"/>
    </w:p>
    <w:p>
      <w:pPr>
        <w:pStyle w:val="BookText"/>
        <w:rPr/>
      </w:pPr>
      <w:bookmarkEnd w:id="1116"/>
      <w:r>
        <w:rPr>
          <w:rFonts w:ascii="Amiri" w:hAnsi="Amiri" w:eastAsia="Amiri" w:cs="Amiri"/>
          <w:color w:val="111111"/>
          <w:sz w:val="28"/>
          <w:sz w:val="28"/>
          <w:szCs w:val="28"/>
          <w:rtl w:val="true"/>
          <w:lang w:bidi="ar-SA"/>
        </w:rPr>
        <w:t>بنفسه، فتبطل بموته قبل 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البطلان مطلقاً</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2019160_1067777946"/>
      <w:bookmarkStart w:id="1118" w:name="_Toc418"/>
      <w:bookmarkEnd w:id="1117"/>
      <w:r>
        <w:rPr>
          <w:rtl w:val="true"/>
        </w:rPr>
        <w:t>[</w:t>
      </w:r>
      <w:r>
        <w:rPr>
          <w:rtl w:val="true"/>
        </w:rPr>
        <w:t>مايساقی عليه</w:t>
      </w:r>
      <w:r>
        <w:rPr>
          <w:rtl w:val="true"/>
        </w:rPr>
        <w:t>]</w:t>
      </w:r>
      <w:bookmarkEnd w:id="11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المساقاة على النخل، والكرم، وشجر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حذف المضاف، أي وما في شجر الفواكه، أو عطف العامّ على الخاصّ؛ لأنّ النخل والكرم من جملة شجر الفواكه، بل هي أظهرها، ولذلك 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وفيما لا ثمر له إذا كان ورقه ينتفع به، كالتوت والحنّاء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ساقى على وديّ، أو شجر غير ثابت،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المهملة بعد الواو المفتوحة، والياء المشدّدة أخيراً بوزن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 النخل</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2019162_1067777946"/>
      <w:bookmarkStart w:id="1120" w:name="_Toc419"/>
      <w:bookmarkEnd w:id="1119"/>
      <w:r>
        <w:rPr>
          <w:rtl w:val="true"/>
        </w:rPr>
        <w:t>[</w:t>
      </w:r>
      <w:r>
        <w:rPr>
          <w:rtl w:val="true"/>
        </w:rPr>
        <w:t>مفاد العمل</w:t>
      </w:r>
      <w:r>
        <w:rPr>
          <w:rtl w:val="true"/>
        </w:rPr>
        <w:t>]</w:t>
      </w:r>
      <w:bookmarkEnd w:id="11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المساقاة يقتضي قيام العامل بما فيه زيادة النماء، من الرفق وإصلاح الأجاجين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الحُفَر التي يقف فيها الماء في أُصول الشجر التي تحتاج إلى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وتهذيب الجريد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قطع ما يحتاج إلى قطعه منه في إصلاح الشجرة أو الثمرة، يابساً كان أم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وتعديل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إصلاحها بإزالة ما يضرّها من الأغصان والورق؛ ليصل إليها الهواء وما تحتاج إليه من الشمس، ونحو ذلك</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والكُشّ للتلقيح،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bookmarkStart w:id="1121" w:name="pg10178_83941"/>
    </w:p>
    <w:p>
      <w:pPr>
        <w:pStyle w:val="BookText"/>
        <w:rPr/>
      </w:pPr>
      <w:bookmarkEnd w:id="1121"/>
      <w:r>
        <w:rPr>
          <w:rFonts w:ascii="Amiri" w:hAnsi="Amiri" w:eastAsia="Amiri" w:cs="Amiri"/>
          <w:color w:val="111111"/>
          <w:sz w:val="28"/>
          <w:sz w:val="28"/>
          <w:szCs w:val="28"/>
          <w:rtl w:val="true"/>
          <w:lang w:bidi="ar-SA"/>
        </w:rPr>
        <w:t>الأقوى الرجوع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انتفائها أو اضطرابها يرجع إلى العادة بحسب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أنْ يعمل غلام المالك معه صحّ؛ لأنّه ضمّ مال إلى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بالتعليل إلى جواب بعض العامّة </w:t>
      </w:r>
      <w:r>
        <w:rPr>
          <w:rStyle w:val="FootnoteAnchor"/>
          <w:rtl w:val="true"/>
        </w:rPr>
        <w:footnoteReference w:id="408"/>
      </w:r>
      <w:r>
        <w:rPr>
          <w:rFonts w:ascii="Amiri" w:hAnsi="Amiri" w:eastAsia="Amiri" w:cs="Amiri"/>
          <w:color w:val="111111"/>
          <w:sz w:val="28"/>
          <w:sz w:val="28"/>
          <w:szCs w:val="28"/>
          <w:rtl w:val="true"/>
          <w:lang w:bidi="ar-SA"/>
        </w:rPr>
        <w:t>المانع من ذلك؛ محتجّاً بأنّ يده كيد مالكه و عمله كعمله، فكما لا يصحّ اشتراط عمل المالك فكذا غلامه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 أنّ عمل غلام المالك مال له، فهو ضَمّ مال إلى مال، كما يجوز في القراض أنْ يدفع إلى العامل بهيمة يحمل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الغلام وسيّده ظاهر، فإنّ عمل العبد يجوز أن يكون تابعاً لعمل العامل، ولا يجوز أن يكون عمل المالك تابعاً لعمله؛ لأنّه هو الأصل، ويجوز في التابع ما لا يجوز في المنفرد، مع أنّنا نمنع حكم الأصل، فإنّا قد جوّزنا أن يشترط على المالك أكثر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شرط أن يعمل الغلام لخاصّ العامل، لم يجز، وفيه تردّد، والجواز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بالشرط هنا أن يعمل الغلام في الملك المختصّ بالعامل أو العمل المختصّ به، أي الخارج عن المال المشترك بينه وبين سيّده المساقي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شرط سائغ فيجوز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أنّه شَرَطَ عملاً في مقابلة عمله، فصار في قوّة اشتراط جميع العمل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بل المذهب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شرط عليه أُجرة الأُجراء، أو شرط خروج أُجرتهم صحّ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الجواز فيهما</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2019164_1067777946"/>
      <w:bookmarkStart w:id="1123" w:name="_Toc420"/>
      <w:bookmarkEnd w:id="1122"/>
      <w:r>
        <w:rPr>
          <w:rtl w:val="true"/>
        </w:rPr>
        <w:t>[</w:t>
      </w:r>
      <w:r>
        <w:rPr>
          <w:rtl w:val="true"/>
        </w:rPr>
        <w:t>في الفائدة</w:t>
      </w:r>
      <w:r>
        <w:rPr>
          <w:rtl w:val="true"/>
        </w:rPr>
        <w:t>]</w:t>
      </w:r>
      <w:bookmarkEnd w:id="11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مع الحصّة من النماء حصّة من الأصل الثابت لم يصحّ وفيه تردّد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المنع</w:t>
      </w:r>
      <w:r>
        <w:rPr>
          <w:rFonts w:eastAsia="IRNazanin" w:cs="IRNazanin"/>
          <w:color w:val="111111"/>
          <w:sz w:val="28"/>
          <w:szCs w:val="28"/>
          <w:rtl w:val="true"/>
          <w:lang w:bidi="fa-IR"/>
        </w:rPr>
        <w:t xml:space="preserve">. </w:t>
      </w:r>
      <w:bookmarkStart w:id="1124" w:name="pg10178_83942"/>
    </w:p>
    <w:p>
      <w:pPr>
        <w:pStyle w:val="BookText"/>
        <w:rPr/>
      </w:pPr>
      <w:bookmarkEnd w:id="112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ساقاه بالنصف إنْ سقى بالناضح، وبالثلث إنْ سقى بالسائح، بطلت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جهالة العمل والنصيب، ومن تعيّنهما على التقديرين، فيرتفع الغرر، كما لو قال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روميّاً فلك كذا، أو إن خطته فارسيّاً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البطلان، ومسألة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يشترط ربّ الأرض على العامل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الثمرة لم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مشهور بين الأصحاب، وفي اشتراط لزوم المشروط بسلامة الثمن مخالفة للأصل، فيقتصر فيه على مورده، فلو كان التالف البعض، أو الشارط العامل على ربّ الأرض، فالوجه عدم سقوط شيء بالتلف</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2019166_1067777946"/>
      <w:bookmarkStart w:id="1126" w:name="_Toc421"/>
      <w:bookmarkEnd w:id="1125"/>
      <w:r>
        <w:rPr>
          <w:rtl w:val="true"/>
        </w:rPr>
        <w:t>[</w:t>
      </w:r>
      <w:r>
        <w:rPr>
          <w:rtl w:val="true"/>
        </w:rPr>
        <w:t>في أحكامها</w:t>
      </w:r>
      <w:r>
        <w:rPr>
          <w:rtl w:val="true"/>
        </w:rPr>
        <w:t>]</w:t>
      </w:r>
      <w:bookmarkEnd w:id="11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أجيراً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ببعضها،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واشتراطه القطع مبنيّ على مذهبه في البيع، وكان عليه أنْ يضمّ إليه الضميمة أيضاً، فإنّه يكتفي بها في البيع عن شرط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ساقيتك على هذا البستان بكذا، على أنْ أُساقيك على الآخر بكذا،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يفسخ، وتعذّر الوصول إلى الحاكم كان له أنْ يشهد أنّه يستأجر عنه، ويرجع عليه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يشهد لم يرجع</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الوصول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الوصول إلى إذنه، سواء كان موجوداً لم يمكن استئذانه؛ لعدم إمكان إثبات الحقّ عنده، أم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تعذّره بعده عنه بحيث يتوقّف الوصول إليه على مشقّه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فهل له أن يشهد ويرجع؟ تردّد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من لزوم الضرر بدونه، ومن أصالة عدم </w:t>
      </w:r>
    </w:p>
    <w:p>
      <w:pPr>
        <w:pStyle w:val="BookText"/>
        <w:rPr/>
      </w:pPr>
      <w:r>
        <w:rPr>
          <w:rFonts w:ascii="Amiri" w:hAnsi="Amiri" w:eastAsia="Amiri" w:cs="Amiri"/>
          <w:color w:val="111111"/>
          <w:sz w:val="28"/>
          <w:sz w:val="28"/>
          <w:szCs w:val="28"/>
          <w:rtl w:val="true"/>
          <w:lang w:bidi="ar-SA"/>
        </w:rPr>
        <w:t>ثبوت شيء في ذمّة الغير بغير أمره وما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الرجوع حينئذٍ مع نيّته وإنْ لم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أنّ العامل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ثبوت الخيانة هل ترفع يده، أو يستأجر مَن يكون معه من أصل الثمرة؟ الوجه أنّ يده لا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اقتسما الثمرة وتلفت كان للمالك الرجوع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الأقوى جواز رجوعه عليه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تملك بالظهور، وتجب الزكاة فيها على كلّ واحدٍ منهما إذا بلغ نصيبه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الأصحّ، بل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فيه السيّد أبو المكارم بن زهرة </w:t>
      </w:r>
      <w:r>
        <w:rPr>
          <w:rStyle w:val="FootnoteAnchor"/>
          <w:rtl w:val="true"/>
        </w:rPr>
        <w:footnoteReference w:id="409"/>
      </w:r>
      <w:r>
        <w:rPr>
          <w:rFonts w:ascii="Amiri" w:hAnsi="Amiri" w:eastAsia="Amiri" w:cs="Amiri"/>
          <w:color w:val="111111"/>
          <w:sz w:val="28"/>
          <w:sz w:val="28"/>
          <w:szCs w:val="28"/>
          <w:rtl w:val="true"/>
          <w:lang w:bidi="ar-SA"/>
        </w:rPr>
        <w:t>، فجعل الملك لمن كان البذر منه والزكاة عليه، وجعل الحصّة للآخر كالأُجرة،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أرضاً إلى غيره؛ ليغرسها على أنّ الغرس بينهما، كانت المغارسة باطلة، والغرس لصاحبه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المغارسة معاملة خاصّة على الأرض؛ ليغرسها العامل على أنْ يكون الغرس بينهما، وهي باطلة عندنا؛ لعدم ثبوت شرعيّتها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فالغرس لصاحبه، فإنْ كان لصاحب الأرض فعليه للعامل أُجرة مثل عمله؛ لأنّه لم يعمل مجّاناً، بل بحصّة لم تسلم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للعامل فعليه أُجرة المثل للأرض عن مدّة شغله لها، ولصاحب الأرض قلعه، لكن بالأرش، وهو هنا تفاوت ما بين قيمته في حالتيه على الموضع الذي هو عليه، وهو كونه حال غرسه باقياً بأُجرة ومستحقّاً للقلع بالأرش، وكونه مقلوعاً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لاتفاوت ما بين قيمته قائماً مطلقاً ومقلوعاً؛ إذ لا حقّ له في القيام كذلك، ولا تفاوت ما بين كونه قائماً بأُجرة ومقلوعاً؛ لأنّ استحقاقه للقلع بالأرش من جملة أوصافه، ولا تفاوت ما بین </w:t>
      </w:r>
    </w:p>
    <w:p>
      <w:pPr>
        <w:pStyle w:val="BookText"/>
        <w:rPr/>
      </w:pPr>
      <w:r>
        <w:rPr>
          <w:rFonts w:ascii="Amiri" w:hAnsi="Amiri" w:eastAsia="Amiri" w:cs="Amiri"/>
          <w:color w:val="111111"/>
          <w:sz w:val="28"/>
          <w:sz w:val="28"/>
          <w:szCs w:val="28"/>
          <w:rtl w:val="true"/>
          <w:lang w:bidi="ar-SA"/>
        </w:rPr>
        <w:t>كونه قائماً ومستحقّاً للقلع ومقلوعاً؛ لتخلّف بعض أوصافه أيضاً، ولا بين كونه قائماً مستحقّاً للقلع بالأرش ومقلوعاً؛ لتخلّف وصف القيام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المنفيّة ذهب إلى كلّ منها بعض </w:t>
      </w:r>
      <w:r>
        <w:rPr>
          <w:rStyle w:val="FootnoteAnchor"/>
          <w:rtl w:val="true"/>
        </w:rPr>
        <w:footnoteReference w:id="410"/>
      </w:r>
      <w:r>
        <w:rPr>
          <w:rFonts w:ascii="Amiri" w:hAnsi="Amiri" w:eastAsia="Amiri" w:cs="Amiri"/>
          <w:color w:val="111111"/>
          <w:sz w:val="28"/>
          <w:sz w:val="28"/>
          <w:szCs w:val="28"/>
          <w:rtl w:val="true"/>
          <w:lang w:bidi="ar-SA"/>
        </w:rPr>
        <w:t>، ويجب على العامل مع ذلك أرش الأرض لو نقصت، وطمّ الحفر، وقلع العروق المتخلّفة عن المقلوع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 المصنِّف وغيره عدم الفرق بين العالم بالبطلان والجاهل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bookmarkStart w:id="1127" w:name="pg10178_83945"/>
    </w:p>
    <w:p>
      <w:pPr>
        <w:pStyle w:val="Heading2"/>
        <w:numPr>
          <w:ilvl w:val="1"/>
          <w:numId w:val="1"/>
        </w:numPr>
        <w:rPr/>
      </w:pPr>
      <w:bookmarkStart w:id="1128" w:name="__RefHeading___Toc2019168_1067777946"/>
      <w:bookmarkStart w:id="1129" w:name="_Toc422"/>
      <w:bookmarkEnd w:id="1127"/>
      <w:bookmarkEnd w:id="1128"/>
      <w:r>
        <w:rPr>
          <w:rtl w:val="true"/>
        </w:rPr>
        <w:t>كتاب الوديعة</w:t>
      </w:r>
      <w:bookmarkEnd w:id="1129"/>
    </w:p>
    <w:p>
      <w:pPr>
        <w:pStyle w:val="Heading3"/>
        <w:numPr>
          <w:ilvl w:val="2"/>
          <w:numId w:val="1"/>
        </w:numPr>
        <w:rPr/>
      </w:pPr>
      <w:bookmarkStart w:id="1130" w:name="__RefHeading___Toc2019170_1067777946"/>
      <w:bookmarkStart w:id="1131" w:name="_Toc423"/>
      <w:bookmarkEnd w:id="1130"/>
      <w:r>
        <w:rPr>
          <w:rtl w:val="true"/>
        </w:rPr>
        <w:t>[</w:t>
      </w:r>
      <w:r>
        <w:rPr>
          <w:rtl w:val="true"/>
        </w:rPr>
        <w:t>النظر الأوّل في العقد</w:t>
      </w:r>
      <w:r>
        <w:rPr>
          <w:rtl w:val="true"/>
        </w:rPr>
        <w:t>]</w:t>
      </w:r>
      <w:bookmarkEnd w:id="11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استنابة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العقد منحصراً في الإيجاب الذي هو الاستنابة في الحفظ، إمّا بناءً على عدم اعتبار القبول القولي، وكأنّ المتوقّف عليه العقد اللفظي هو الإيجاب خاصّة، أو لأنّ تحقّق الاستنابة يقتضي قبولها؛ لبطلانها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كون المقصود بالذات هو الاستنابة فتخرج الوكالة؛ لأنّها وإن استلزمت الاستنابة في حفظ ما وكّل في بيعه ونحوه، إلّا أنّ ذلك ثابت لها بالعرض، والمقصود بالذات منها الإذن فيما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الفعل الدالّ على القبول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 المصنِّف وجماعة </w:t>
      </w:r>
      <w:r>
        <w:rPr>
          <w:rStyle w:val="FootnoteAnchor"/>
          <w:rtl w:val="true"/>
        </w:rPr>
        <w:footnoteReference w:id="411"/>
      </w:r>
      <w:r>
        <w:rPr>
          <w:rFonts w:ascii="Amiri" w:hAnsi="Amiri" w:eastAsia="Amiri" w:cs="Amiri"/>
          <w:color w:val="111111"/>
          <w:sz w:val="28"/>
          <w:sz w:val="28"/>
          <w:szCs w:val="28"/>
          <w:rtl w:val="true"/>
          <w:lang w:bidi="ar-SA"/>
        </w:rPr>
        <w:t>الاكتفاء بالقبول الفعلي هنا مع جعلهم له عقداً؛ نظراً إلى أنّ الغاية منها إنّما هو الرضى 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الفعل أقوى من القول باعتبار التزامه به ودخوله في ضمانه حينئذٍ لو قصّر؛ بخلاف القبول القولي، فإنّه وإنْ لزمه ذلك شرعاً إلّا أنّه يجوز له فسخه حينئذٍ فيزول أثره بمجرّده، واليد توجب الحفظ إلى أن يردّه إلى مالكه، ومع ذلك لا يخلو من خروج عن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ذهب بعضهم إلى أنّها </w:t>
      </w:r>
    </w:p>
    <w:p>
      <w:pPr>
        <w:pStyle w:val="BookText"/>
        <w:rPr/>
      </w:pPr>
      <w:r>
        <w:rPr>
          <w:rFonts w:ascii="Amiri" w:hAnsi="Amiri" w:eastAsia="Amiri" w:cs="Amiri"/>
          <w:color w:val="111111"/>
          <w:sz w:val="28"/>
          <w:sz w:val="28"/>
          <w:szCs w:val="28"/>
          <w:rtl w:val="true"/>
          <w:lang w:bidi="ar-SA"/>
        </w:rPr>
        <w:t>إذن مجرّد لا عقد، وفرّع عليه عدم اعتبار القبول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تجب مقارنة القبول هنا للإيجاب، سواء اعتبرناه قولياً أم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طرح الوديعة عنده لم يلزمه حفظها إذا لم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بالقبول هنا القبول الفعلي خاصّة؛ لأنّ القبول اللفظي غير كاف في تحقّق الوديعة، بل لا بدّ معه من الإيجاب، ولم يحصل هنا بمجرّد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الفعلي فيجب معه الحفظ سواء تحقّقت به الوديعة أم لا؛ نظراً إلى ثبوت حكم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يحصل القبول الفعلي هنا إنّما يجب حفظها؛ لأنّها تصير وديعة، لأنّ طرح المالك لها أعمّ من اقترانه بما يوجب الإيجاب، وهو الإتيان بما يدلّ على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الإيجاب يحصل بالقول الصريح والإشارة والتلويح، نُظِر هنا إنْ حصل مع الطرح ما يفيد ذلك كان القبول في قول المصنِّف أعمّ من كونه قوليّاً و فعليّاً، وإنْ لم يحصل معه ما يدلّ على الإيجاب فالمعتبر في وجوب الحفظ القبول الفعلي خاصّة؛ 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طرح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قرينة أن يريد بالطرح الإيداع؛ بواسطة تسميتها وديعةً، لغةً وعرفاً،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يستدعي سبق الإيجاب، فيؤذن بأنّه استفاد الطرح الإيجابَ، وأمّا تسليمها بالفعل فلا يسمّى قبولاً من دون سبق إيجاب وإنْ وجب حفظها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استودع وجب عليه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قبل الوديعة، وإنْ كان الاستيداع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الحفظ ما دام مستودَعاً؛ لأنّ ذلك هو مقتضى تعليق الحكم على الوصف، وإلّا فإنّ الوديعة من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ردّها في كلّ وقت ينافي وجوب الحفظ إلّا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يلزمه دركها لو تلفت من غير تفريط، أو أخذت منه قهراً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سبباً في الأخذ القهري، كما لو كان هو الساعي بها إلى الظالم، أو الدالّ السارق، ثمّ لم يقدر بعد ذلك على دفعه، فإنّه يضمن؛ لتفريطه في الحفظ، بخلاف ما لو كان السبب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تمكّن من الدفع وجب، ولو لم يفعل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تمكّن من دفع الظالم عنها بالوسائل وغيرها، حتّى بالاختفاء عنه، فإنّه يجب عليه حينئذٍ؛ لقدرته على حفظها به الواجب عليه مطلقاً، ولو أمكن دفعه بشيء منها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الدفع عنها ببعضها وما في حكمه مع إمكانه ضمن ما يزيد عمّا يندفع به لا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تحمّل الضرر الكثير بالدفع كالجرح وأخذ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 مطلق أخذ المال ضرر كثير لا يجب تحمّله وإنْ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المطلوب الذي لا يندفع عنها بدونه بقدرها لم يجب بذله قطعاً؛ لانتفاء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أنكرها فطولب باليمين ظلماً، جاز أنْ يحلف مورّياً ما يخرج به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هنا بالمعنى الأعمّ، والمراد منه الوجوب؛ لأنّ حفظ الوديعة لمّا كان واجباً و توقّف على اليمين وجبت وإنّما تجب التورية عليه مع معرفته لها، وإلّا وجب له الحلف بدونها، ومتى تركه حيث يتوقّف حفظ المال عليه فأخذها الظالم ضمن؛ للتفريط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وتحفظ الوديعة بما جرت العادة بحفظها، كالثوب في الصندوق، والدابّة في الإصطبل، والشاة في المراح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لافرق في وجوب الحفظ بما جرت به العادة بين علم المودع بأنّ المستودَع قادر على تحصيل الحرز المعتبر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ليس مطلق الصندوق كافياً في الحفظ، بل لا بدّ من كونه محرزاً عن غيره، إمّا بأنْ لا تشاركه في البيت الذي فيه الصندوق يدٌ أُخرى، أو كون الصُنْدُوق محرزاً بالفعل كذلك، وكذا القول في الاصطبل والمُراح وغيرهما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ويلزمه سقي الدابّة وعلفها، أمره بذلك أو لم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أمره له يرجع عليه به مع نيّته، وإلّا توصّل إلى إذنه، أو إذن وكيله فيه، فإن تعذّر رفع أمره إلى الحاكم؛ ليأمره به إنْ شاء، أو يستدين عليه، أو يبيع بعضه للنفقة، أو </w:t>
      </w:r>
    </w:p>
    <w:p>
      <w:pPr>
        <w:pStyle w:val="BookText"/>
        <w:rPr/>
      </w:pPr>
      <w:r>
        <w:rPr>
          <w:rFonts w:ascii="Amiri" w:hAnsi="Amiri" w:eastAsia="Amiri" w:cs="Amiri"/>
          <w:color w:val="111111"/>
          <w:sz w:val="28"/>
          <w:sz w:val="28"/>
          <w:szCs w:val="28"/>
          <w:rtl w:val="true"/>
          <w:lang w:bidi="ar-SA"/>
        </w:rPr>
        <w:t>ينصب أميناً عليه، فإنْ تعذّر الحاكم أنفق هو وأشهد عليه ورجع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مع نهي المالك إيّاه عن الإنفاق، ولو تعذّر الإشهاد اقتصر على نيّة الرجوع، والأقوى عدم اعتباره في الرجوع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يسقيها بنفسه وبغلامه؛ اتّباعاً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يجوز تولّي الغلام لذلك، مع اطّلاع المستودع على ديانته أو كونه أميناً، وإلّا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الغلام غيره ممّن يستنيبه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قيّدناه لا فرق بين من يعتاد مباشرته لذلك الفعل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إخراجها من منزله لذلك إلّا مع الضرورة؛ لعدم التمكّن من سقيها أو علفها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ذلك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المنع من إخراجها لذلك بين كون الطريق آمناً وعدمه، ولا بين أن تكون العادة مطّردة بالإخراج لذلك وعدمه، ولا بين كونه متولّياً لذلك بنفسه وغلامه، مع صحبته له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بجواز إخراجها له مع أمن الطريق واطّراد العادة بذلك و مصاحبته لها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له موضع الاحتفاظ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نقلها ضمن إلّا إلى الأحرزَ، أو مثله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نقلها إلى ما دونه وإنْ كان حرزاً، إلّا مع الخوف من إبقائها فيه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المحكي في النقل إلى الأحرز والمساوي معاً، فإنّه قول </w:t>
      </w:r>
      <w:r>
        <w:rPr>
          <w:rStyle w:val="FootnoteAnchor"/>
          <w:rtl w:val="true"/>
        </w:rPr>
        <w:footnoteReference w:id="412"/>
      </w:r>
      <w:r>
        <w:rPr>
          <w:rFonts w:ascii="Amiri" w:hAnsi="Amiri" w:eastAsia="Amiri" w:cs="Amiri"/>
          <w:color w:val="111111"/>
          <w:sz w:val="28"/>
          <w:sz w:val="28"/>
          <w:szCs w:val="28"/>
          <w:rtl w:val="true"/>
          <w:lang w:bidi="ar-SA"/>
        </w:rPr>
        <w:t xml:space="preserve">لجماعة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ويحتمل تعلّقه 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النقل إلى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كما ذهب إليه بعضهم </w:t>
      </w:r>
      <w:r>
        <w:rPr>
          <w:rStyle w:val="FootnoteAnchor"/>
          <w:rtl w:val="true"/>
        </w:rPr>
        <w:footnoteReference w:id="41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يجوز النقل إلى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وحيث لا يسوغه ضمن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النقل إلى الأحرز والمساوي مشروط </w:t>
      </w:r>
    </w:p>
    <w:p>
      <w:pPr>
        <w:pStyle w:val="BookText"/>
        <w:rPr/>
      </w:pPr>
      <w:r>
        <w:rPr>
          <w:rFonts w:ascii="IRNazanin" w:hAnsi="IRNazanin" w:eastAsia="IRNazanin"/>
          <w:color w:val="111111"/>
          <w:sz w:val="28"/>
          <w:sz w:val="28"/>
          <w:szCs w:val="28"/>
          <w:rtl w:val="true"/>
          <w:lang w:bidi="fa-IR"/>
        </w:rPr>
        <w:t xml:space="preserve">بالضمان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تنقلها من هذا الحرز، ضمن بالنقل كيف كان، إلّا أنْ يخاف تلفها فيه،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يجوز النقل مع النهي لو توقّف على مؤونةٍ لم يرجع بها على المالك؛ لأنّه متبرّع مع احتمال الرجوع؛ لإذن الشارع له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للمودع أمارة الموت وجب الإشهاد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إشهاد من يمكن إثباتها بشهادته، وحيث يخلّ به يضمن، لكن لا يستقرّ التفريط إلى أنْ يموت، فيكشف عن حصوله في أوّل زمان ظهرت فيه أمارة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إعادة الوديعة على المودع مع المطالبة، وإنْ كان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يشمل إطلاقه الكافر الحربي وغيره من أنواع الكفّار ممّن يباح تناول ماله بغير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استثناء الوديعة من غيرها من العقود؛ نظراً إلى عموم الأمر بردّ الأمانة، ولرواية الفضيل عن الرضا علیه السلام </w:t>
      </w:r>
      <w:r>
        <w:rPr>
          <w:rStyle w:val="FootnoteAnchor"/>
          <w:rtl w:val="true"/>
        </w:rPr>
        <w:footnoteReference w:id="416"/>
      </w:r>
      <w:r>
        <w:rPr>
          <w:rFonts w:ascii="Amiri" w:hAnsi="Amiri" w:eastAsia="Amiri" w:cs="Amiri"/>
          <w:color w:val="111111"/>
          <w:sz w:val="28"/>
          <w:sz w:val="28"/>
          <w:szCs w:val="28"/>
          <w:rtl w:val="true"/>
          <w:lang w:bidi="ar-SA"/>
        </w:rPr>
        <w:t xml:space="preserve">، وغيرها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المودع غاصباً لها فيُمنع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إعادتها على المغصوب منه إنْ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عُرّفت سنة، ثمّ جاز التصدّق بها عن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بجواز الصدقة بها على هذا الوجه مع اليأس من مالكها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رواية </w:t>
      </w:r>
      <w:r>
        <w:rPr>
          <w:rStyle w:val="FootnoteAnchor"/>
          <w:rtl w:val="true"/>
        </w:rPr>
        <w:footnoteReference w:id="418"/>
      </w:r>
      <w:r>
        <w:rPr>
          <w:rFonts w:ascii="Amiri" w:hAnsi="Amiri" w:eastAsia="Amiri" w:cs="Amiri"/>
          <w:color w:val="111111"/>
          <w:sz w:val="28"/>
          <w:sz w:val="28"/>
          <w:szCs w:val="28"/>
          <w:rtl w:val="true"/>
          <w:lang w:bidi="ar-SA"/>
        </w:rPr>
        <w:t>ضعيفة، لكنّها مناسبة لحكم ما يجهل من المال كذلك</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ابن إدريس دفعها إلى الحاكم </w:t>
      </w:r>
      <w:r>
        <w:rPr>
          <w:rStyle w:val="FootnoteAnchor"/>
          <w:rtl w:val="true"/>
        </w:rPr>
        <w:footnoteReference w:id="419"/>
      </w:r>
      <w:r>
        <w:rPr>
          <w:rFonts w:ascii="Amiri" w:hAnsi="Amiri" w:eastAsia="Amiri" w:cs="Amiri"/>
          <w:color w:val="111111"/>
          <w:sz w:val="28"/>
          <w:sz w:val="28"/>
          <w:szCs w:val="28"/>
          <w:rtl w:val="true"/>
          <w:lang w:bidi="ar-SA"/>
        </w:rPr>
        <w:t xml:space="preserve">، فإنْ تعذّر أبقاها أمانةً، ثمّ أوصى بها إلى </w:t>
      </w:r>
      <w:bookmarkStart w:id="1132" w:name="pg10178_83950"/>
    </w:p>
    <w:p>
      <w:pPr>
        <w:pStyle w:val="BookText"/>
        <w:rPr/>
      </w:pPr>
      <w:bookmarkEnd w:id="1132"/>
      <w:r>
        <w:rPr>
          <w:rFonts w:ascii="Amiri" w:hAnsi="Amiri" w:eastAsia="Amiri" w:cs="Amiri"/>
          <w:color w:val="111111"/>
          <w:sz w:val="28"/>
          <w:sz w:val="28"/>
          <w:szCs w:val="28"/>
          <w:rtl w:val="true"/>
          <w:lang w:bidi="ar-SA"/>
        </w:rPr>
        <w:t>عدل إلى حين التمكّن من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الغاصب مَزَجها بماله، ثمّ أودع الجميع، فإنْ أمكن المستودَع تمييز المالَيْن ردّ عليه ماله ومنع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تميزها وجب إعادتها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أطلق المصنِّف وجماعة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بتسليط الغاصب على مال غيره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ردّه إلى الحاكم إنْ أمكن؛ ليقسمه ويردّ على الغاصب ماله، فإنْ تعذّر وكان مثليّاً وقدرُ حقّ الغاصب معلوماً نوى الودعي القسمة على الأقوى، وإنْ لم يمكن قسمته على هذا الوجه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دفعه إلى الغاصب مطلقاً مع الإمكان متوجّه</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2019172_1067777946"/>
      <w:bookmarkStart w:id="1134" w:name="_Toc424"/>
      <w:bookmarkEnd w:id="1133"/>
      <w:r>
        <w:rPr>
          <w:rtl w:val="true"/>
        </w:rPr>
        <w:t>[</w:t>
      </w:r>
      <w:r>
        <w:rPr>
          <w:rtl w:val="true"/>
        </w:rPr>
        <w:t>النظر الثاني في موجبات الضمان</w:t>
      </w:r>
      <w:r>
        <w:rPr>
          <w:rtl w:val="true"/>
        </w:rPr>
        <w:t>]</w:t>
      </w:r>
      <w:bookmarkEnd w:id="1134"/>
    </w:p>
    <w:p>
      <w:pPr>
        <w:pStyle w:val="Heading4"/>
        <w:numPr>
          <w:ilvl w:val="3"/>
          <w:numId w:val="1"/>
        </w:numPr>
        <w:rPr/>
      </w:pPr>
      <w:bookmarkStart w:id="1135" w:name="__RefHeading___Toc2019174_1067777946"/>
      <w:bookmarkStart w:id="1136" w:name="_Toc425"/>
      <w:bookmarkEnd w:id="1135"/>
      <w:r>
        <w:rPr>
          <w:rtl w:val="true"/>
        </w:rPr>
        <w:t>[</w:t>
      </w:r>
      <w:r>
        <w:rPr>
          <w:rtl w:val="true"/>
        </w:rPr>
        <w:t>التفريط</w:t>
      </w:r>
      <w:r>
        <w:rPr>
          <w:rtl w:val="true"/>
        </w:rPr>
        <w:t>]</w:t>
      </w:r>
      <w:bookmarkEnd w:id="11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وينظّمها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بينهما أنّ التفريط أمر عدمي، وهو ترك ما يجب فعله من الحفظ ونحوه، والتعدّي أمرٌ وجودي، وهو مالا يجوز فعله، كلبس الثوب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يودعها من غير ضرورة ولا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عدم جواز إيداعها من دون إذن مالكها وعدم الضرورة بين أنْ يودعها لزوجته وولده ومملوكه وغيرهم، ولابين الثقة وغيره، ولا بين أنْ يجعل ذلك الغير مستقلّاً بها وشريكاً في الحفظ بحيث يغيب عن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يضطرّ إلى إيداعها؛ لخوف عليها، أو لسفر ضروري، يودعها للعدل، ومع إذن المالك يجوز على حسب ما يقيّده رتبةً ووصفاً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ترك سقي الدابّة وعلفها مدّة لا تصبر عليها في العادة فماتت به</w:t>
      </w:r>
      <w:r>
        <w:rPr>
          <w:rFonts w:eastAsia="Amiri" w:cs="Amiri" w:ascii="Amiri" w:hAnsi="Amiri"/>
          <w:color w:val="111111"/>
          <w:sz w:val="28"/>
          <w:szCs w:val="28"/>
          <w:rtl w:val="true"/>
          <w:lang w:bidi="ar-SA"/>
        </w:rPr>
        <w:t xml:space="preserve">». </w:t>
      </w:r>
      <w:bookmarkStart w:id="1137" w:name="pg10178_83951"/>
    </w:p>
    <w:p>
      <w:pPr>
        <w:pStyle w:val="BookText"/>
        <w:rPr/>
      </w:pPr>
      <w:bookmarkEnd w:id="1137"/>
      <w:r>
        <w:rPr>
          <w:rFonts w:ascii="Amiri" w:hAnsi="Amiri" w:eastAsia="Amiri" w:cs="Amiri"/>
          <w:color w:val="111111"/>
          <w:sz w:val="28"/>
          <w:sz w:val="28"/>
          <w:szCs w:val="28"/>
          <w:rtl w:val="true"/>
          <w:lang w:bidi="ar-SA"/>
        </w:rPr>
        <w:t>الواجب سقي الدابّة وعلفها بالمعتاد لأمثالها، فالنقصان عنه تفريط، سواء صبرت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عدّ تفريطاً صار ضامناً لها وإنْ ماتت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المصنّف موتها وكون الترك ممّا لا يُصبر عليه واقعٌ على وجه المثال لا الحصر، ولا إشكال في حكمه، وإنْ كان تخصيصه خالياً عن الفائدة</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2019176_1067777946"/>
      <w:bookmarkStart w:id="1139" w:name="_Toc426"/>
      <w:bookmarkEnd w:id="1138"/>
      <w:r>
        <w:rPr>
          <w:rtl w:val="true"/>
        </w:rPr>
        <w:t>[</w:t>
      </w:r>
      <w:r>
        <w:rPr>
          <w:rtl w:val="true"/>
        </w:rPr>
        <w:t>التعدّي</w:t>
      </w:r>
      <w:r>
        <w:rPr>
          <w:rtl w:val="true"/>
        </w:rPr>
        <w:t>]</w:t>
      </w:r>
      <w:bookmarkEnd w:id="11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الثاني في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يلبس الثوب، أو يركب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لبسه للانتفاع به أو من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توقّف حفظه على لبسه، كالثوب الصوف ليدفع عنه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يندفع بنشره وعرضه على البرد والهواء لم يكن تعدّياً، بل واجباً يضمن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ركوب الدابّة لو توقّف نقلها إلى الحرز وسقيها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طلبت منه فامتنع من الردّ مع القدرة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بالردّ الواجب رفع يده عنها وتمكين مالكها منها، لا مباشرة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الشرعيّة، فإنّ من كان في فريضة لا يعدّ قادراً شرعاً إلى أنْ يفرغ، والنافلة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والتعقيب ونحوهما من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جحد ثمّ قامت عليه بيّنة أو اعترف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تحقّق الضمان بالجحود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طلب المالك لها منه، فلو جحدها ابتداءً عند سؤال غيره لم يضرّ، ولو لم يطلبها المالك لكن سأله عنها فأنكر ففي الضمان قولان، أجودهما الضمان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يظهر بجحوده عذراً بنسيان أو غلط أو نحوهما، فإنّه لا يضمن إنْ صدّقه المالك على العذر، وإلّا فوجهان، أجودهما العدم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لمصلحة الوديعة، بأنْ يقصد به دفع ظالم أو متغلّب على المالك، أو نحو ذلك؛ لأنّه به محسِنٌ</w:t>
      </w:r>
      <w:r>
        <w:rPr>
          <w:rFonts w:eastAsia="Amiri" w:cs="Amiri" w:ascii="Amiri" w:hAnsi="Amiri"/>
          <w:color w:val="111111"/>
          <w:sz w:val="28"/>
          <w:szCs w:val="28"/>
          <w:rtl w:val="true"/>
          <w:lang w:bidi="ar-SA"/>
        </w:rPr>
        <w:t xml:space="preserve">. </w:t>
      </w:r>
      <w:bookmarkStart w:id="1140" w:name="pg10178_83952"/>
    </w:p>
    <w:p>
      <w:pPr>
        <w:pStyle w:val="BookText"/>
        <w:rPr/>
      </w:pPr>
      <w:bookmarkEnd w:id="114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أودعه كيسين فمزجهما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يتميّز، أو كانا مختومين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ضمن المخرج خاصّة والمختوم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جعلها المالك في حرز مُقفَل، ثمّ أودعها، ففتح المودَع الحرزَ وأخذ بعضها ضمن الجميع، ولو لم تكن مودعةً في حرز، أو كانت مودعة في حرز المودَع، فأخذ بعضها ضمن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الأمرين أنّه في الأوّل تعدّى بفتح الحرز المقفل من المالك، فيضمن الجميع بنفس الفتح، فمع الأخذ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كانت مودعة في حرز المودَع، فإنّ له التصرّف بفتحه في كلّ وقت، فلا يعد متعدّياً بذلك بل بالأخذ، فيضمن ما أخذ، وأولى منه ما إذا لم يكن في حرز</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2019178_1067777946"/>
      <w:bookmarkStart w:id="1142" w:name="_Toc427"/>
      <w:bookmarkEnd w:id="1141"/>
      <w:r>
        <w:rPr>
          <w:rtl w:val="true"/>
        </w:rPr>
        <w:t>[</w:t>
      </w:r>
      <w:r>
        <w:rPr>
          <w:rtl w:val="true"/>
        </w:rPr>
        <w:t>النظر الثالث في اللواحق</w:t>
      </w:r>
      <w:r>
        <w:rPr>
          <w:rtl w:val="true"/>
        </w:rPr>
        <w:t>]</w:t>
      </w:r>
      <w:bookmarkEnd w:id="11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السفر بالوديعة إذا خاف تلفها بالإقامة، ثمّ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يجوز السفر بها مع الخوف عليها وتعذّر ردّها على المالك ووكيله والحاكم، وإيداعها الثقة حيث لا يكون في إيداعه خطر عليها، فلو قدر على أحدهم لم يكن له السفر بها وإنْ خاف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السفر فدفنها ضمن، إلّا أنْ يخشى المعاجلة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المعاجلة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معاجلة السرّاق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لأنّ حفظها حينئذٍ لا يكون إلّا بالدفن، فيجب ويجزئ؛ لأنّه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كونه في حرز مع الإمكان، ولا شبهة حينئذٍ في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معاجلة الرفقة إذا أراد السفر وكان ضروريّاً والتخلّف عنها مضرّاً، فإنّه حينئذٍ يدفنها في حرز ولا ضمان عليه؛ لمكان الحاجة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انكر الوديعة، أو اعترف وادّعى التلف، أو ادّعى الردّ ولا بيّنة، </w:t>
      </w:r>
    </w:p>
    <w:p>
      <w:pPr>
        <w:pStyle w:val="BookText"/>
        <w:rPr/>
      </w:pPr>
      <w:r>
        <w:rPr>
          <w:rFonts w:ascii="Amiri" w:hAnsi="Amiri" w:eastAsia="Amiri" w:cs="Amiri"/>
          <w:color w:val="111111"/>
          <w:sz w:val="28"/>
          <w:sz w:val="28"/>
          <w:szCs w:val="28"/>
          <w:rtl w:val="true"/>
          <w:lang w:bidi="ar-SA"/>
        </w:rPr>
        <w:t>فالقول قوله، وللمالك إحلافه، على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قوله في دعوى الردّ، فإنّه وإنْ كان على خلاف الأصل إلّا أنّ الأشهر قبول قوله بيمينه فيه، من حيث إنّه محسن وقابض لمصلحة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ادّعى ردّها على مَن ائتمنه، فلو ادّعاه على غيره كالوارث لم يقبل وكان عليه البيّنة؛ عملاً بالأصل في غير محلّ الضرورة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التلف، والمشهور قبول قوله فيه أيضاً، وإنْ كان فيه مدّعياً ومخالفاً للأصل، سواء ادّعى تلفه بسبب ظاهر كالحرق أم خفيّ كالسرق، خلافاً للشيخ حيث فرّق في المبسوط </w:t>
      </w:r>
      <w:r>
        <w:rPr>
          <w:rStyle w:val="FootnoteAnchor"/>
          <w:rtl w:val="true"/>
        </w:rPr>
        <w:footnoteReference w:id="421"/>
      </w:r>
      <w:r>
        <w:rPr>
          <w:rFonts w:ascii="Amiri" w:hAnsi="Amiri" w:eastAsia="Amiri" w:cs="Amiri"/>
          <w:color w:val="111111"/>
          <w:sz w:val="28"/>
          <w:sz w:val="28"/>
          <w:szCs w:val="28"/>
          <w:rtl w:val="true"/>
          <w:lang w:bidi="ar-SA"/>
        </w:rPr>
        <w:t>بينهما وقَبِل قوله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صدّقه على الإذن لم يضمن وإنْ ترك الإشهاد،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المأمور بدفعه ديناً ونحوه اتّجه الضمان؛ لبناء الوديعة على الإخفاء بخلاف قضاء الدين، إلّا أنْ يدفعه بحضرة الموكّل فلا ضمان؛ لأنّ التقصير مستند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المالك البيّنة على الوديعة بعد الإنكار، فصدّقها ثمّ ادّعى التلف قبل الإنكار لم تسمع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دعواه وتقبل بيّنته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التفصيل، وهو أنّه إنْ أظهر لإنكاره تأويلاً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وديعة يلزمني ردّها أو ضمانها، ونحو ذلك، قبلت دعواه وسمعت بيّنته، وإنْ لم يُظهر له تأويلاً لم تقبل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الجحود بإنكار أصل الإيداع، وأمّا لو كانت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لايلزمني شيء، أو تسليم شيءٍ إليك، أو ما لك عندي وديعة، ونحو ذلك، سمعت بيّنته ودعواه؛ لعدم التناقض بين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قلنا بقبول بيّنته إنْ شهدت بتلفها قبل الجحود برئ من الضمان، وإنْ شهدت بتلفها بعده ضمن بجنايته بالجحود ومنع المالك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 بالوديعة ثمّ مات وجهلت عينها،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أصل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غرماء وضاقت التركة حاصّهم المستودِع،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إنْ علم بقاء عينها إلى بعد الموت ولم تتميّز قدّم مالكها على الغرماء، وكان بمنزلة الشريك، وإنْ علم تلفها بتفريطٍ فهو أُسوة الغرماء، وإلّا فلا ضمان أصلاً؛ لأصالة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بقائها إلى الآن لو سلمت لا يقتضي تعلّقها بالذمّة، ومثله الكلام في الرهن </w:t>
      </w:r>
      <w:r>
        <w:rPr>
          <w:rStyle w:val="FootnoteAnchor"/>
          <w:rtl w:val="true"/>
        </w:rPr>
        <w:footnoteReference w:id="422"/>
      </w:r>
      <w:r>
        <w:rPr>
          <w:rFonts w:ascii="IRNazanin" w:hAnsi="IRNazanin" w:eastAsia="IRNazanin"/>
          <w:color w:val="111111"/>
          <w:sz w:val="28"/>
          <w:sz w:val="28"/>
          <w:szCs w:val="28"/>
          <w:rtl w:val="true"/>
          <w:lang w:bidi="fa-IR"/>
        </w:rPr>
        <w:t xml:space="preserve">ومال القراض </w:t>
      </w:r>
      <w:r>
        <w:rPr>
          <w:rStyle w:val="FootnoteAnchor"/>
          <w:rtl w:val="true"/>
        </w:rPr>
        <w:footnoteReference w:id="423"/>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فرّط واختلفا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الغارم،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المودِع سلِّمت الوديعة إلى الوارث، فإنْ كانوا جماعةً سلّمت إلى الكلّ، أو إلى مَن يقوم مقامهم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يقوم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وكيلهم، أو وليّهم، أو وصيّ مورّثهم لو كانوا أطفالاً، أو الحاكم مع غيبتهم أو عدم وجود وليّ خاصّ لهم، وتجب المبادرة إلى التسليم المذكور؛ لأنّها بموت المودِع صارت أمانة شرعيّة، ولافرق في وجوب المبادرة بين علم الورثة بالوديعة وعدمه</w:t>
      </w:r>
      <w:r>
        <w:rPr>
          <w:rFonts w:eastAsia="Amiri" w:cs="Amiri" w:ascii="Amiri" w:hAnsi="Amiri"/>
          <w:color w:val="111111"/>
          <w:sz w:val="28"/>
          <w:szCs w:val="28"/>
          <w:rtl w:val="true"/>
          <w:lang w:bidi="ar-SA"/>
        </w:rPr>
        <w:t xml:space="preserve">. </w:t>
      </w:r>
      <w:bookmarkStart w:id="1143" w:name="pg10178_83955"/>
    </w:p>
    <w:p>
      <w:pPr>
        <w:pStyle w:val="Heading2"/>
        <w:numPr>
          <w:ilvl w:val="1"/>
          <w:numId w:val="1"/>
        </w:numPr>
        <w:rPr/>
      </w:pPr>
      <w:bookmarkStart w:id="1144" w:name="__RefHeading___Toc2019180_1067777946"/>
      <w:bookmarkStart w:id="1145" w:name="_Toc428"/>
      <w:bookmarkEnd w:id="1143"/>
      <w:bookmarkEnd w:id="1144"/>
      <w:r>
        <w:rPr>
          <w:rtl w:val="true"/>
        </w:rPr>
        <w:t>كتاب العارية</w:t>
      </w:r>
      <w:bookmarkEnd w:id="1145"/>
    </w:p>
    <w:p>
      <w:pPr>
        <w:pStyle w:val="Heading3"/>
        <w:numPr>
          <w:ilvl w:val="2"/>
          <w:numId w:val="1"/>
        </w:numPr>
        <w:rPr/>
      </w:pPr>
      <w:bookmarkStart w:id="1146" w:name="__RefHeading___Toc2019182_1067777946"/>
      <w:bookmarkStart w:id="1147" w:name="_Toc429"/>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 ثمرته التبرّع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اسم للإيجاب والقبول، وتعليق الثمرة عليه يقتضي أنّ للقبول مدخلاً فيها، مع أنّ التبرّع بالمنفعة يتحقّق بالإيجاب خاصّة؛ لأنّ المتبرّع هو باذل العين لا المنتفع بها، إلّا أنّ القبول لمّا كان شرطاً في صحّة العارية لم تتحقّق الثمرة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وينتقض في طرده بالسُكنى والعُمرى والحبس والوصيّة بالمنفعة، فإنّ هذه كلّها عقود تثمر التبرّع بالمنفعة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في معنى العارية لا يقتضي إدراجها فيها؛ لأنّ هذه العقود اصطلاحاً مباينة لها، مخالفة في الصيغ وكثير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ويقع بكلّ لفظٍ يشتمل على الإذن في الانتفاع، وليس بلازم لأحد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الإعارة للرهن 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وإعارة الأرض للدفن إلى أن يندرس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قبل وضع الميّت في القبر، أو قبل مواراته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أعار لوحاً ونحوه لإصلاح السفينة فإنّه لا يرجع فيها مادامت في اللجّة </w:t>
      </w:r>
      <w:r>
        <w:rPr>
          <w:rStyle w:val="FootnoteAnchor"/>
          <w:rtl w:val="true"/>
        </w:rPr>
        <w:footnoteReference w:id="424"/>
      </w:r>
      <w:r>
        <w:rPr>
          <w:rFonts w:ascii="Amiri" w:hAnsi="Amiri" w:eastAsia="Amiri" w:cs="Amiri"/>
          <w:color w:val="111111"/>
          <w:sz w:val="28"/>
          <w:sz w:val="28"/>
          <w:szCs w:val="28"/>
          <w:rtl w:val="true"/>
          <w:lang w:bidi="ar-SA"/>
        </w:rPr>
        <w:t>، بحيث يخاف من نزعه على نفس محترمة، أو مال</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2019184_1067777946"/>
      <w:bookmarkStart w:id="1149" w:name="_Toc430"/>
      <w:bookmarkEnd w:id="1148"/>
      <w:r>
        <w:rPr>
          <w:rtl w:val="true"/>
        </w:rPr>
        <w:t>[</w:t>
      </w:r>
      <w:r>
        <w:rPr>
          <w:rtl w:val="true"/>
        </w:rPr>
        <w:t>المعير</w:t>
      </w:r>
      <w:r>
        <w:rPr>
          <w:rtl w:val="true"/>
        </w:rPr>
        <w:t>]</w:t>
      </w:r>
      <w:bookmarkEnd w:id="114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أن يكون مكلّفاً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إعارة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يليها عن </w:t>
      </w:r>
      <w:bookmarkStart w:id="1150" w:name="pg10178_83956"/>
    </w:p>
    <w:p>
      <w:pPr>
        <w:pStyle w:val="BookText"/>
        <w:rPr/>
      </w:pPr>
      <w:bookmarkEnd w:id="1150"/>
      <w:r>
        <w:rPr>
          <w:rFonts w:ascii="Amiri" w:hAnsi="Amiri" w:eastAsia="Amiri" w:cs="Amiri"/>
          <w:color w:val="111111"/>
          <w:sz w:val="28"/>
          <w:sz w:val="28"/>
          <w:szCs w:val="28"/>
          <w:rtl w:val="true"/>
          <w:lang w:bidi="ar-SA"/>
        </w:rPr>
        <w:t>نفسه كذا لا تصحّ ولايته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يعلم المستعير بكون المالك قد أذن للصبيّ في الإعارة، وإلّا صحّ، وإنْ كانت العبرة بإذن المالك، كما مرّ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2019186_1067777946"/>
      <w:bookmarkStart w:id="1152" w:name="_Toc431"/>
      <w:bookmarkEnd w:id="1151"/>
      <w:r>
        <w:rPr>
          <w:rtl w:val="true"/>
        </w:rPr>
        <w:t>[</w:t>
      </w:r>
      <w:r>
        <w:rPr>
          <w:rtl w:val="true"/>
        </w:rPr>
        <w:t>المستعير</w:t>
      </w:r>
      <w:r>
        <w:rPr>
          <w:rtl w:val="true"/>
        </w:rPr>
        <w:t>]</w:t>
      </w:r>
      <w:bookmarkEnd w:id="11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الصيد في يد مُحرمٍ فاستعاره المُحلّ جاز؛ لأنّ ملك المُحرم زال عنه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حكم بزوال ملك المُحرِم عن الصيد صار فيه بمنزلة الأجنبي، فإطلاق الجواز على إعارته يشكل بأنّ الإعارة شرطها كون المعار ملكاً للمعير،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تسليمه للمُحِلّ إعانةٌ على الصيد وإثبات سلطنة للغير عليه، وهو محرَّمٌ على المُحرِم، فلا يناسبه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تسليمه إذا كان محرَّماً على المُحرِم يحرم قبوله من المُحِلّ؛ لإعانته له على الإثم والعدوان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الحكم بتحريم الإعارة المذكورة، أعني إثبات صورتها وإنْ كان الملك غير متحقّق، وتحريم أخذ المُحِلّ له من يده، لكن لو فعل ذلك لم يلزم المُحِلّ سوى الإثم، ولا شيء للمحرم عليه؛ لزوال ملكه، وعلى المحرم الفداء لو تلف في يد المحلّ؛ لتعدّيه بالإعارة، فإنّه كان يجب عليه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بذلك أنّ في العبارة تساهلاً في اللفظ، وإشكالاً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استعاره من الغاصب، وهو لا يعلم، كان الضمان على الغاصب، وللمالك إلزام المستعير بما استوفاه 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تعلّق الضمان بالغاصب حسب</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تخيير المالك بين الرجوع على كلّ من الغاصب والمستعير، فإنْ رجع على المستعير الجاهل بالحال رجع المستعير على الغاصب إنْ لم تكن العارية مضمونة، وإلّا </w:t>
      </w:r>
      <w:bookmarkStart w:id="1153" w:name="pg10178_83957"/>
    </w:p>
    <w:p>
      <w:pPr>
        <w:pStyle w:val="BookText"/>
        <w:rPr/>
      </w:pPr>
      <w:bookmarkEnd w:id="1153"/>
      <w:r>
        <w:rPr>
          <w:rFonts w:ascii="Amiri" w:hAnsi="Amiri" w:eastAsia="Amiri" w:cs="Amiri"/>
          <w:color w:val="111111"/>
          <w:sz w:val="28"/>
          <w:sz w:val="28"/>
          <w:szCs w:val="28"/>
          <w:rtl w:val="true"/>
          <w:lang w:bidi="ar-SA"/>
        </w:rPr>
        <w:t xml:space="preserve">رجع عليه بعين ما قدم على ضمانه </w:t>
      </w:r>
      <w:r>
        <w:rPr>
          <w:rStyle w:val="FootnoteAnchor"/>
          <w:rtl w:val="true"/>
        </w:rPr>
        <w:footnoteReference w:id="426"/>
      </w:r>
      <w:r>
        <w:rPr>
          <w:rFonts w:ascii="IRNazanin" w:hAnsi="IRNazanin" w:eastAsia="IRNazanin"/>
          <w:color w:val="111111"/>
          <w:sz w:val="28"/>
          <w:sz w:val="28"/>
          <w:szCs w:val="28"/>
          <w:rtl w:val="true"/>
          <w:lang w:bidi="fa-IR"/>
        </w:rPr>
        <w:t>، ولافرق في ذلك بین المنفعة والعين وأجزائها</w:t>
      </w:r>
      <w:r>
        <w:rPr>
          <w:rFonts w:eastAsia="IRNazanin" w:cs="IRNazanin"/>
          <w:color w:val="111111"/>
          <w:sz w:val="28"/>
          <w:szCs w:val="28"/>
          <w:rtl w:val="true"/>
          <w:lang w:bidi="fa-IR"/>
        </w:rPr>
        <w:t>.</w:t>
      </w:r>
    </w:p>
    <w:p>
      <w:pPr>
        <w:pStyle w:val="Heading3"/>
        <w:numPr>
          <w:ilvl w:val="2"/>
          <w:numId w:val="1"/>
        </w:numPr>
        <w:rPr/>
      </w:pPr>
      <w:bookmarkStart w:id="1154" w:name="__RefHeading___Toc2019188_1067777946"/>
      <w:bookmarkStart w:id="1155" w:name="_Toc432"/>
      <w:bookmarkEnd w:id="1154"/>
      <w:r>
        <w:rPr>
          <w:rtl w:val="true"/>
        </w:rPr>
        <w:t>[</w:t>
      </w:r>
      <w:r>
        <w:rPr>
          <w:rtl w:val="true"/>
        </w:rPr>
        <w:t>العين المُعارة</w:t>
      </w:r>
      <w:r>
        <w:rPr>
          <w:rtl w:val="true"/>
        </w:rPr>
        <w:t>]</w:t>
      </w:r>
      <w:bookmarkEnd w:id="11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كلّ ما يصحّ الانتفاع به مع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بحسب الأصل أو الغالب، وإلّا فسيأتي جواز إعارة المنحة، والمستوفى منها أعيان لا منافع، كالصوف والشعر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ويقتصر المستعير على القدر المأذون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يستبيح ما دونه 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جواز التخطّي مع اليقين مطلقاً، فإنْ فعل لزمه أُجرة مجموع ما فعل، ولا يسقط منها مقدار أُجرة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استعارة الشاة للحلب، وهي المنحة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 الشاة والناقة أحلبها حلباً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المستعارة لذلك، وجواز إعارة الشاة لذلك ثابت بالنصّ على خلاف الأصل؛ لأنّ اللبن المقصود من الإعارة عينٌ لا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تعدية الحكم إلى غير الشاة ممّا يتّخذ للحلب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في البناء والغرس، ثمّ أمره بالإزالة وجبت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الزرع ولو قبل إدراكه،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في حكم الزرع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فأوجب على المعير الوفاء بالعارية إلى حين إدراكه، ففرّق بينه وبين الغرس والبناء بأنّ له وقتاً ينتهي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عدم الفرق</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الآذِن الأرش</w:t>
      </w:r>
      <w:r>
        <w:rPr>
          <w:rFonts w:eastAsia="IRNazanin" w:cs="IRNazanin"/>
          <w:color w:val="111111"/>
          <w:sz w:val="28"/>
          <w:szCs w:val="28"/>
          <w:rtl w:val="true"/>
          <w:lang w:bidi="fa-IR"/>
        </w:rPr>
        <w:t xml:space="preserve">». </w:t>
      </w:r>
      <w:bookmarkStart w:id="1156" w:name="pg10178_83958"/>
    </w:p>
    <w:p>
      <w:pPr>
        <w:pStyle w:val="BookText"/>
        <w:rPr/>
      </w:pPr>
      <w:bookmarkEnd w:id="1156"/>
      <w:r>
        <w:rPr>
          <w:rFonts w:ascii="Amiri" w:hAnsi="Amiri" w:eastAsia="Amiri" w:cs="Amiri"/>
          <w:color w:val="111111"/>
          <w:sz w:val="28"/>
          <w:sz w:val="28"/>
          <w:szCs w:val="28"/>
          <w:rtl w:val="true"/>
          <w:lang w:bidi="ar-SA"/>
        </w:rPr>
        <w:t>هو تفاوت ما بين كونه منزوعاً من الأرض وثابتاً فيها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أعاره أرضاً للدفن لم يكن له إجباره على قلع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بالميّت هنا المسلم ومن بحكمه، وغاية المنع اندراس عظامه وصيرورته رميماً، والمرجع فيه الظنّ الغالب بحسب الترب والأهوية، ولو ظنّ الاندراس فتبيّن عدمه وجب طمّه وإبقاؤه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وللمستعير أنْ يدخل إلى الأرض ويستظلّ بشجرها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ذلك للمعير، ولو خصّه بالذكر، أو أبدله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غيره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أعاره حائطاً لطرح خشبة فطالبه بإزالتها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الجواز مع الأرش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أذن له في غرس شجرة فانقلعت جاز أن يغرس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إذن مستأنف،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إعارة العين المستعارة إلّا بإذن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يعير المستعير بدون إذن المالك فله الرجوع بأُجرة المثل عن مدّة الإعارة الثانية على من شاء منهما، وببذل العين لو تلفت، فإنْ رجع على المعير لم يرجع على المستعير الجاهل بالحال، إلّا أنْ تكون العارية مضمونة، فيرجع عليه ببدل العين خاصّة، ولو كان عالماً استقرّ الضمان عليه كالغاصب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على المستعير یرجع علی المعير بما لا يرجع عليه به لو رجع عليه</w:t>
      </w:r>
      <w:r>
        <w:rPr>
          <w:rFonts w:eastAsia="IRNazanin" w:cs="IRNazanin"/>
          <w:color w:val="111111"/>
          <w:sz w:val="28"/>
          <w:szCs w:val="28"/>
          <w:rtl w:val="true"/>
          <w:lang w:bidi="fa-IR"/>
        </w:rPr>
        <w:t>.</w:t>
      </w:r>
    </w:p>
    <w:p>
      <w:pPr>
        <w:pStyle w:val="Heading3"/>
        <w:numPr>
          <w:ilvl w:val="2"/>
          <w:numId w:val="1"/>
        </w:numPr>
        <w:rPr/>
      </w:pPr>
      <w:bookmarkStart w:id="1157" w:name="__RefHeading___Toc2019190_1067777946"/>
      <w:bookmarkStart w:id="1158" w:name="_Toc433"/>
      <w:bookmarkEnd w:id="1157"/>
      <w:r>
        <w:rPr>
          <w:rtl w:val="true"/>
        </w:rPr>
        <w:t>[</w:t>
      </w:r>
      <w:r>
        <w:rPr>
          <w:rtl w:val="true"/>
        </w:rPr>
        <w:t>في الأحكام المتعلّقة بالعارية</w:t>
      </w:r>
      <w:r>
        <w:rPr>
          <w:rtl w:val="true"/>
        </w:rPr>
        <w:t>]</w:t>
      </w:r>
      <w:bookmarkEnd w:id="115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أمانة، لا تضمن إلّا بالتفريط في الحفظ، أو التعدّي، أو اشتراط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وتستثنى أيضاً العارية من غير المالك، وعارية الصيد للمُحرِم، وعارية الذهب والفضّة، إلّا أنْ يشترط سقوطه، كما سيأتي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أحكام هذه المسائل أنّ العارية بالنسبة إلى الضمان وعدمه، مع الشرط وعدمه،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يضمن وإنْ اشترط عدم الضمان، كحالة التفريط وعارية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مضموناً وإنْ اشترط الضمان، وهو استعارة المُحلّ الصيد من المُحرِم، بناء على ما أطلقه المصنِّف من تسميته إعارة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مضموناً إلّا أنْ يشترط عدم الضمان، وهو استعارة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يكون مضموناً إلّا أن يشترط الضمان، وهو باقي أقسامها عدا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استعار الدابّة إلى مسافة فجاوزها ضمن، ولو أعادها إلى الأُولى لم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ضمان العين من حين الأخذ في تجاوز المأذون ويستمرّ إلى أن يردّها إلى المالك،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ضمان المنفعة، فتثبت في المسافة الزائدة على المأذون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العارية مضمونة في أصلها ضمنها من حين أخذها إلى أنْ يأخذ في تجاوز المأذون ضمان العارية، وهو ضمان العين دون المنفعة، وفي المتجاوز ضمان الغصب إلى أنْ يعود إلى المأذون فيه، ومنه إلى أنْ يصل إلى المالك ضمان العارية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للمستعير بيع غروسه وأبنيته في الأرض المستعارة للمعير ولغيره، على الأشبه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في بيعه لغير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المشتري جاهلاً بالحال فله الفسخ؛ لأنّ ذلك 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الأهوية أو السيول حبّاً إلى أرض إنسان فنبت، كان لصاحب الأرض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مطالبة المالك بإزالته، وله أُجرة الأرض عن المدّة المتأخّرة عن المطالبة والتمكّن من إزالته، وعلى المالك تسوية الأرض وطمّ الحُفَر، فإنْ امتنع أُجبر عليه، ولو لم يعلم مالكه كان بمنزلة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انحصر في قوم منحصرين وجب مراجعتهم فيما يراجع فيه المالك المعيّن، ولو أعرض عنه المالك فلمالك الأرض تملّكه، وطرحه من أرضه، كغيره ممّا يعرض عنه المالك من الثمار والسنبل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بالاستعمال ثمّ تلفت، وقد شرط ضمانها، ضمن قيمتها يوم تلفها؛ لأنّ النقصان المذكور غير 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شرط ضمان المستعار فقد شرط ضمان عينه على تقدير التلف، وضمان نقصانه على تقديره، وضمانهما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اشتراط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ولاشبهة في اتّباع مقتضى شرطه في الثلاثة الأُوَل، فيضمن العين خاصّة في الأوّل، والنقصان خاصّة في الثاني إلى أن تنتهي حالات تقویمه باقياً، ويضمنهما معاً في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الكلام عند إطلاق اشتراط الضمان، وهو مسألة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بأنّ الإطلاق منزّل على ضمان العين خاصّة، فيضمن قيمتها يوم التلف؛ لأنّ النقص حصل بفعل مأذون فيه فلا يكون مضموناً، ولأنّها لو لم تتلف ورَدّها على تلك الحال لم يجب عليه شيء، فإذا تلفت وجب ضمانها في ذلك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ضمان النقص أيضاً، فيضمن أعلى القيم من حين القبض إلى حين التلف إنْ كان اختلافها من حيث الأجزاء، كالثوب يلبس ویبلی علی التدريج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الاختلاف بسبب السوق لم يضمن الزائد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وقال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آجرتكها، فالقول قول الراكب،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أنّهما يتحالفان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 المالك على نفي الإعارة، ويحلف الراكب على نفي الإجارة، وحينئذٍ يثبت أقلّ الأمرين من المسمّى وأُجرة المثل؛ لانتفاء الزائد عن الأوّل بيمين المستعير، وانتفاء الزائد عن الثاني باعتراف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فرّط في العارية كان عليه قيمتها عند التلف، إذا لم يكن لها مثل،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الخلاف ما لو كان الاختلاف بسبب السوق، أمّا لو كان بسبب نقص في العين، فلا إشكال في ضمانه؛ لأنّ ضمان العين يقتضي ضمان أجزائها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في القيمة كان القول قول المستعير،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9" w:name="pg10178_83963"/>
      <w:bookmarkStart w:id="1160" w:name="pg10178_83963"/>
      <w:bookmarkEnd w:id="1160"/>
    </w:p>
    <w:p>
      <w:pPr>
        <w:pStyle w:val="Heading2"/>
        <w:numPr>
          <w:ilvl w:val="1"/>
          <w:numId w:val="1"/>
        </w:numPr>
        <w:rPr/>
      </w:pPr>
      <w:bookmarkStart w:id="1161" w:name="pg10178_83963"/>
      <w:bookmarkStart w:id="1162" w:name="__RefHeading___Toc2019192_1067777946"/>
      <w:bookmarkStart w:id="1163" w:name="_Toc434"/>
      <w:bookmarkEnd w:id="1161"/>
      <w:bookmarkEnd w:id="1162"/>
      <w:r>
        <w:rPr>
          <w:rtl w:val="true"/>
        </w:rPr>
        <w:t>كتاب الإجارة</w:t>
      </w:r>
      <w:bookmarkEnd w:id="1163"/>
    </w:p>
    <w:p>
      <w:pPr>
        <w:pStyle w:val="Heading3"/>
        <w:numPr>
          <w:ilvl w:val="2"/>
          <w:numId w:val="1"/>
        </w:numPr>
        <w:rPr/>
      </w:pPr>
      <w:bookmarkStart w:id="1164" w:name="__RefHeading___Toc2019194_1067777946"/>
      <w:bookmarkStart w:id="1165" w:name="_Toc435"/>
      <w:bookmarkEnd w:id="1164"/>
      <w:r>
        <w:rPr>
          <w:rtl w:val="true"/>
        </w:rPr>
        <w:t>[</w:t>
      </w:r>
      <w:r>
        <w:rPr>
          <w:rtl w:val="true"/>
        </w:rPr>
        <w:t>الفصل الأوّل في العقد</w:t>
      </w:r>
      <w:r>
        <w:rPr>
          <w:rtl w:val="true"/>
        </w:rPr>
        <w:t>]</w:t>
      </w:r>
      <w:bookmarkEnd w:id="11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ويفتقر إلى الإيجاب والقبول والعبارة الصريحة عن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ملّكتك سكنى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اختصّ التمليك القائم مقام الإيجار بالسكنى؛ لأنّه يفيد نقل ما تعلّق به، فإذا ورد على الأعيان أفاد نقل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ورد على المنفعة أفاد نقلها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الإجارة أنْ تبقى العين على ملك المؤجر مع انتقال المنفعة إلى ملك المستأجر، فتعيّن اختصاص التمليك بالمنفعة، بخلاف ما لو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يتعلّقان بالعين ليستوفي المنفعة منها، فلو أوردهما في المنفعة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آجرتك منفعة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إلى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المشبّه به سابقاً المشار إليه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بالصحّة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سكناها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المنع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الإجارة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الأظهر البطلان</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والإجارة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بالبيع ولا بالعذر مهما كان الانتفاع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الانتفاع الذي تضمنّه عقد الإجارة بالتعيين أو الإطلاق، فلا عبرة بإمكان </w:t>
      </w:r>
      <w:bookmarkStart w:id="1166" w:name="pg10178_83964"/>
    </w:p>
    <w:p>
      <w:pPr>
        <w:pStyle w:val="BookText"/>
        <w:rPr/>
      </w:pPr>
      <w:bookmarkEnd w:id="1166"/>
      <w:r>
        <w:rPr>
          <w:rFonts w:ascii="Amiri" w:hAnsi="Amiri" w:eastAsia="Amiri" w:cs="Amiri"/>
          <w:color w:val="111111"/>
          <w:sz w:val="28"/>
          <w:sz w:val="28"/>
          <w:szCs w:val="28"/>
          <w:rtl w:val="true"/>
          <w:lang w:bidi="ar-SA"/>
        </w:rPr>
        <w:t>الانتفاع بغير المعيّن، كما لو استأجر الأرض للزراعة فغرقت وأمكن الانتفاع بها بغيرها، فإنّ ذلك كتلف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إمكان الانتفاع بها كذلك ناقصاً يتخيّر المستأجر بين الفسخ والإمساك بتمام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تبطل بالموت؟ المشهور بين الأصحاب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بموت أحدهما،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عدم البطلان مطلقاً إلّا أنْ يشترط على المستأجر استيفاء المنفعة بنفسه فإنّها تبطل بموته، إلّا أنْ يكون المؤجر موقوفاً عليه، فيؤجر ثمّ يموت قبل انتهاء المدّة فإنّها تبطل بموته أيضاً، إلّا أنْ يكون ناظراً على الوقف وآجره لمصلحة العين بالنسبة إلى البطون، أو إلى الجميع، فلا تبطل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الموصى له بالمنفعة مدّة حياته لو آجرها مدّةً ومات في أثنائها، فإنّها تبطل أيضاً؛ لانتهاء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صحّ إعارته صحّ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صحّ إعارته بحسب الأصل؛ لئلّا تردّ المنحة </w:t>
      </w:r>
      <w:r>
        <w:rPr>
          <w:rStyle w:val="FootnoteAnchor"/>
          <w:rtl w:val="true"/>
        </w:rPr>
        <w:footnoteReference w:id="431"/>
      </w:r>
      <w:r>
        <w:rPr>
          <w:rFonts w:ascii="Amiri" w:hAnsi="Amiri" w:eastAsia="Amiri" w:cs="Amiri"/>
          <w:color w:val="111111"/>
          <w:sz w:val="28"/>
          <w:sz w:val="28"/>
          <w:szCs w:val="28"/>
          <w:rtl w:val="true"/>
          <w:lang w:bidi="ar-SA"/>
        </w:rPr>
        <w:t>، فإنّه تصحّ إعارتها ولا تصحّ إجارتها، لكنّ حكمها ليس ثابتاً بحسب الأصل أي القاعدة المعروفة والمقتضية لكون المستعار ما صحّ الانتفاع به مع بقاء عينه، أو أراد الكلّية بحسب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المستأجرة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ضمانها من غير ذلك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ويتبعه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الإجارة خيار المجلس، ولو شرط الخيار لأحدهما أولهما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ضبط مدّته، فلو شرط خيار المجلس مطلقاً لم يصحّ على الأقوى؛ لاختلافه بالزيادة والنقصان</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2019196_1067777946"/>
      <w:bookmarkStart w:id="1168" w:name="_Toc436"/>
      <w:bookmarkEnd w:id="1167"/>
      <w:r>
        <w:rPr>
          <w:rtl w:val="true"/>
        </w:rPr>
        <w:t>[</w:t>
      </w:r>
      <w:r>
        <w:rPr>
          <w:rtl w:val="true"/>
        </w:rPr>
        <w:t>الفصل الثاني في شرائطها</w:t>
      </w:r>
      <w:r>
        <w:rPr>
          <w:rtl w:val="true"/>
        </w:rPr>
        <w:t>]</w:t>
      </w:r>
      <w:bookmarkEnd w:id="116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المتعاقدان كاملين جائزي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أجر المجنون لم تنعقد </w:t>
      </w:r>
    </w:p>
    <w:p>
      <w:pPr>
        <w:pStyle w:val="BookText"/>
        <w:rPr/>
      </w:pPr>
      <w:r>
        <w:rPr>
          <w:rFonts w:ascii="Amiri" w:hAnsi="Amiri" w:eastAsia="Amiri" w:cs="Amiri"/>
          <w:color w:val="111111"/>
          <w:sz w:val="28"/>
          <w:sz w:val="28"/>
          <w:szCs w:val="28"/>
          <w:rtl w:val="true"/>
          <w:lang w:bidi="ar-SA"/>
        </w:rPr>
        <w:t>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المميّز إلّا أنْ يأذن له وليّه، 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البطلان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معلومة بالوزن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تكفي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وتملك الأُجرة بنفس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يجب تسليم الأُجرة إلّا بتسليم العين المؤجرة، أو بالعمل إنْ كانت الإجارة على عمل، حتّى لو كان المستأجر وصيّاً لم يجز له التسليم قبله إلّا مع الإذن صريحاً، أو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توقفُ العمل على الأُجرة كالحجّ وامتنع المستأجر من التسليم فالظاهر جواز فسخ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تعجيلها مع الإطلاق، ومع اشتراط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بتعجيلها مع الإطلاق في أوّل أوقات وجوب دفعها، وهو تمام العمل، وتسليم العين المؤجرة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الشرط مع أنّ الإطلاق يقتضيه مجرّد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يفيد فائدة أُخرى، وهو تسلّط المؤجر على الفسخ لو شرط التعجيل مدّة مضبوطة فأخلّ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شرطا القبض قبل العمل، أو قبل تسليم العين المؤجرة، صحّ ووجب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وقف المؤجر على عيبٍ في الأجرة، سابقٍ على القبض، كان له الفسخ أو المطالبة بالعوض، إنْ كانت الأُجرة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معيّنة كان له الردّ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يجوز الفسخ في المطلقة مع تعذّر العوض؛ لأنّ الإطلاق إنّما يحمل على الصحيح، وهو أمر كلّي لا ينحصر في المدفوع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الفسخ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العوض توجّه الفسخ، وله حينئذٍ الرضى بالعيب، فيطالب بالأرش عوض الفائت بالعيب؛ لتعيّن المدفوع إليه؛ لأنْ يكون عوضاً بتعذّر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المعيّنة فيتخيّر مع ظهور عيبه، كما ذكر؛ لاقتضاء الإطلاق السليم، وتعيّنه مانع من البدل كالبيع</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يؤجّر المسكن ولا الخان ولا الأجير بأكثر ممّا استأجره، إلّا أنْ يؤجر بغير جنس الأُجرة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الأقوى 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استأجره؛ ليحمل له متاعاً إلى موضع معيّن، بأُجرة معيّنة في وقت معيّن، فإنْ قصر عنه نقص عن أُجرته شيئاً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سقوط الأُجرة إنْ لم يوصله فيه لم يجز، وكان 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مذهب الأكثر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رواية صحيحة عن الباقر علیه السلام </w:t>
      </w:r>
      <w:r>
        <w:rPr>
          <w:rStyle w:val="FootnoteAnchor"/>
          <w:rtl w:val="true"/>
        </w:rPr>
        <w:footnoteReference w:id="43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لاختلاف مال الإجارة على التقديرين، كما لو باعه بثمنين على تقديرين، وحملت الرواية على وقوع ذلك جعالةً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بكذا صحّ في شهرٍ، وله فى الزائد أُجرة المثل إنْ سكن،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لجهل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البطلان مطلقاً؛ للجهالة المقتضية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فارسيّاً فَلَكَ درهم، وإنْ خطته روميّاً فلك درهمان،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تردّد، أظهره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البطلان فيهما، إلّا أنْ يقع على وجه الجعالة، فيصحّ</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ويستحقّ الأجير الأُجرة بنفس العمل، سواء كان في ملكه أو ملك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تسليم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الأجير يملك الأُجرة بالعقد </w:t>
      </w:r>
      <w:r>
        <w:rPr>
          <w:rStyle w:val="FootnoteAnchor"/>
          <w:rtl w:val="true"/>
        </w:rPr>
        <w:footnoteReference w:id="435"/>
      </w:r>
      <w:r>
        <w:rPr>
          <w:rFonts w:ascii="Amiri" w:hAnsi="Amiri" w:eastAsia="Amiri" w:cs="Amiri"/>
          <w:color w:val="111111"/>
          <w:sz w:val="28"/>
          <w:sz w:val="28"/>
          <w:szCs w:val="28"/>
          <w:rtl w:val="true"/>
          <w:lang w:bidi="ar-SA"/>
        </w:rPr>
        <w:t>، فالمراد باستحقاقها هنا استحقاق المطالبة بها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توقّف المطالبة بها على تسليم العين، وإنْ كان العمل في المستأجر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موضعٍ يبطل فيه عقد الإجارة تجب فيه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ذلك ما لو كان الفساد باشتراط عدم الأُجرة في العقد أو متضمّناً له، كما لو لم يذكر له أُجرة، فإنّه لا أُجرة حينئذٍ مطلقاً؛ لدخول العامل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يستعمل الأجير قبل أنْ يقاطع على الأُجرة، وأن يُضمّن، إلّا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شاهدان على تفريطه، فإنّه يكره تضمينه للعين إذا لم يكن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تقم عليه بيّنة وتوجّه عليه اليمين كره تحليفه ليضمّنه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عن اليمين وقضينا بالنكول كره تضمينه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ضمانه وإنْ لم يفرّط، كما إذا كان صانعاً، يكره تضمينه مع عدم تهمته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له أنْ يشترط عليه الضمان بدون التفريط، على القول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المستأجر شاهداً عليه بالتفريط كره له أنْ يحلف معه؛ ليضمّنه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يقض بالنكول يكره له أنْ يحلف لتضمينه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والأربعة الأُوَل سديدة، والخامس مبنيّ على صحّة الشرط، وقد تقدّم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فيهما أنّ المستأجر لا يمكنه الحلف إلّا مع العلم بالسبب الذي يوجب الضمان، ومع فرضه لا يكره تضمينه؛ لاختصاص الكراهة بعدم تهمته، فكيف مع تيقّن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وللمستأجر أنْ يؤجر إلّا أنْ يشترط عليه استيفاء المنفعة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جواز تسليم العين للمستأجر الثاني، وإنّما تمنع الإجارة مع شرط استيفاء المنفعة بنفسه مع اشتراط استيفائها لنفسه أيضاً، وإلّا فلا منافاة بين استيفائها بنفسه وبين إيجارها بغيره إذا شرط استيفاءها له على جهة الوكالة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فاستيفاؤها بنفسه أعمّ من استيفائها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آجر ذلك غير المالك تبرّعاً،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إجازة المالك،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معلومة، إمّا بتقدير العمل، كخياطة الثوب المعلوم، وإمّا بتقدير المدّة كسكنى الدار، والعمل على الدابّة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التخيير في ذلك كلّياً، بل المراد أنّ كلّ منفعة يمكن ضبطها بالعمل أو بالزمان يكفي تقديرها بأيّهما كان، وذلك كاستئجار الآدمي والدابّة، فإنّه يمكن استئجارهما بالزمان كخياطة شهر وركوبه، وبالعمل كخياطة الثوب وركوبها إلى موضع معيّن، ومالا يمكن ضبطه إلّا بالزمان كالعقار والإرضاع، فلابدّ من تقديره به وضبطه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العلم بالمنفعة على أحد الوجهين، ومدار العلم على 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ولوقدّر بالمدّة والعمل، مثل أنْ يستأجره ليخيط هذا الثوب في هذا اليوم،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استيفاء العلم في المدّة قد لا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هذا التعليل أنّ استيفاء العمل في المدّة المعيّنة على وجه التطابق، بحيث يتمّان معاً قد لا يتّفق غالباً؛ لأنّ هذا هو الذي علّل به القائل بالبطلان، لا مايشعر به ظاهر التعليل من كون المدّة ظرفاً للفعل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البطلان إلّا مع إرادة الظرفية المطلقة وإمكان وقوع 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والأجير الخاصّ، وهو الذي يستأجر مدّة معيّنة، لا يجوز له العمل لغير المستأجر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الأجير الخاصّ هو الذي يستأجر للعمل بنفسه مدّة معيّنة، أو عملاً معيّناً مع تعيّن أول زمانه، كعمل شيء معيّن أوّل زمانه اليوم بحيث لا يتوانى في فعله حتى يفرغ منه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العمل مطلقاً اقتضى استئجاره على هذا الوجه ملك جميع منافعه في الوقت الذي جرت العادة بالعمل فيه، فليس له أنْ يعمل لغيره فيه عملاً إلّا بإذن المستأجر، وله ذلك فيما لم تجر العادة بالعمل فيه للمستأجر، كالليل، إذا لم يؤدّ إلى ضعفٍ في العمل المستأجَر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وسمّي هذا الأجير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انحصار منفعته المخصوصة في شخص معيّنٍ، بحيث لا يجوز له العمل لغيره على ذلك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وإطلاق الخصوص عليه بضرب من المجاز، ولو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أولى؛ لأنّه في مقابلة المشترك لا في مقابلة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ستعلمه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هذا الأجير لغير المستأجر عملاً في الوقت المنهي عن العمل فيه، فإنْ كان عمله بعقدٍ تخيّر المستأجر بين فسخ عقده وإبقائه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اختار الفسخ وكان ذلك قبل أنْ يعمل الأجير شيئاً فلا شيء عليه، وإنْ كان بعده تبعّضت الإجارةُ ولزمه من المسمّى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البقاء على إجارته تخيّر في فسخ العقد الطارئ وإجارته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فسخ رجع إلى أُجرة المثل عن المدّة الفائتة؛ لأنّها قيمة العمل المستَحَقِّ له بعقد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في الرجوع بما على الأجير و </w:t>
      </w:r>
      <w:r>
        <w:rPr>
          <w:rStyle w:val="FootnoteAnchor"/>
          <w:rtl w:val="true"/>
        </w:rPr>
        <w:footnoteReference w:id="436"/>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أجازه ثبت له المسمّى فيه، فإنْ كان قبل قبض الأجير له فالمطالب به المستأجر، وإنْ كان بعد القبض وكانت الأُجرة معيّنة فالمطالَب بها مَن هي في يده، وإنْ كانت مطلقة فإنْ أجاز القبض أيضاً فالمطالب الأجير، وإلّا المستأجر، ثمّ المستأجر يرجع على الأجير بما قبض مع جهله، أو علمه وبقاء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عمل الأجير لغيره تبرّعاً فإنْ كان العمل ممّا له أُجرة في العادة تخيّر مع عدم فسخ عقده بین مطالبة مَن شاء منهما بأُجرة المثل، وإلّا فلا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معنى التبرّع عمله لنفسه، فلو حاز شيئاً من المباحات ونوى تملّكه لنفسه ملكه، وكان حكم الزمان المصروف في ذلك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مشتركاً جاز، وهو الذي يستأجر لعمل مجرّد عن المدّة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الأجير المشترك هو الذي يستأجر لعمل مجرّدٍ عن المباشرة مع تعيّن المدّة، أو عن </w:t>
      </w:r>
    </w:p>
    <w:p>
      <w:pPr>
        <w:pStyle w:val="BookText"/>
        <w:rPr/>
      </w:pPr>
      <w:r>
        <w:rPr>
          <w:rFonts w:ascii="Amiri" w:hAnsi="Amiri" w:eastAsia="Amiri" w:cs="Amiri"/>
          <w:color w:val="111111"/>
          <w:sz w:val="28"/>
          <w:sz w:val="28"/>
          <w:szCs w:val="28"/>
          <w:rtl w:val="true"/>
          <w:lang w:bidi="ar-SA"/>
        </w:rPr>
        <w:t>المدّة مع تعيّن المباشرة، أو مجرّد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كأنْ يستأجره على تحصيل الخياطة يوماً مثلاً، والثاني كأنْ يستأجر، ليخيط له ثوباً بنفسه من غير تعرّض لوقت، والثالث كأنْ يستأجره على تحصيل خياطة ثوب مجرّد عن تعيّن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انحصار منفعته في شخص معيّن، أو له أنْ يعمل لنفسه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الاشتراك عليه حقيقة بسبب استحقاقه العمل لغير المستأجر، لا لأنّ منفعته مشتركة بالفعل بين المستأجر وشخص آخر غير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سمّاه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الشهيد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لأنّه في مقابلة المقيّد وهو الخاصّ، وهو باعتباراته الثلاثة مباين للخاصّ؛ إذ الأوّل مطلق بالنسبة إلى المباشر، والثاني بالنسبة إلى المدّة، والثالث بالنسبة إليهما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اتّصال مدّة الإجارة بالعقد؟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يقتضي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على الإطلاق إنْ دلّ العرف على الاتّصال، وإلّا فلا؛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شهراً متأخّراً عن العقد،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العين المستأجرة، ومضت مدّة يمكن فيها استيفاء المنفعة، لزمت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بالمدّة التي يمكن فيها الاستيفاء ما تعيّنت شرعاً للاستيفاء، إمّا بالتعيين، أو مافي حكمه، كما إذا عيّنت المنفعة بالعمل، فإنّ مدّتها هي الزمان الذي يسعها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التسليم ما إذا بذل العين فلم يأخذها المستأجر حتّى انقضت المدّة، أو مضت مدّةً يمكنه الاستيفاء فتستقرّ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الذي أشار إليه المصنِّف ما ذكره الشيخ في المبسوط من أنّ الأُجرة إنّما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تستقرّ في المعيّنة لا المطلقة مع احتماله إرادة غيره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استأجره لقلع ضرسه، فمضت المدّة التي يمكنه إيقاع ذلك فيها، فلم يقلعه المستأجر استقرّت الأُجرة، أمّا لو زال الألم عقيب العقد سقطت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الأجير سلّم نفسه للعمل، وامتنع المستأجر من غير عذر، فإنّ الأُجرة تستقرّ حينئذٍ بالتمكين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سقطت الأُجرة بالبرء، لبطلان الإجارة من حيث تعلّقها بمنفعة لا يجوز استيفاؤها شرعاً؛ إذ لا يجوز قلع الضرس وإدخال الضرر على نفسه لغير ضرورة، فلا يصحّ الاستيجار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 شيئاً، فتلف قبل قبضه، 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تلف عقيب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انقضى بعض المدّة ثمّ تلف،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بالتالف المعيّن في عقد الإجارة استيفاء المنفعة منه، فلو كانت في الذمّة وسلّم عيناً للاستيفاء منها فتلفت فالإجارة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بتلفها عقيب القبض وقوعه بغير فصل، بحيث لم يمض زمان يمكنه استيفاء بعض المنفعة، كما يرشد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انقضى بعض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منها ما هو أعمّ من المعيّنة بخصوصها وما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يبطل في البعض يقسّط المسمّى على جميع المدّة ويثبت للماضي ما قابله منها، فإنْ كانت متساوية الأجزاء فظاهر، وإلّا فطريق التقسيط أنْ تقوّم أُجرة مثل جميع المدّة، ثمّ تقوّم الأجزاء السابقة على التلف وينسب إلى المجموع، فيؤخذ من المسمّى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بعض العين فالحكم في التالف كما مرّ، ويتخيّر في الباقي بين الفسخ وإمساك الحصّة بقسطها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يتلف شيء لكن نقصت المنفعة بطروء عيب بأنْ نقص ماء الأرض أو الرحى، أو عرجت الدابّة، أو مرض الأجير، يثبت للمستأجر الفسخ</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ذكر المحمل مجرّداً عن الصفة ولا راكبٍ غير معيّن؛ لتحقّق 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الأخيرة، كمجلس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المحامل، وهو شقّان على البعير يحمل فيهما العديلان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إمّا بالمشاهدة أو الوزن مع ذكر الطول والعرض؛ لاختلافه باختلافهما في السهولة والصعوبة وإن اتّفق وزنه، ولو عهد اتّفاق المحامل، أو اتّفاق جنسٍ منها كفى ذكر ذلك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يعتبر معرفة قدر وطائه وغطائه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الراكب فيعتبر بالمشاهدة أو الوزن مع عدمها، أو الوصف الرافع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يكفي ذكر الآلات المحمولة ما لم يعلم قدرها وجنسها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بالآلات هنا ما يصحبه معه المستأجر في السفر من نحو السفرة والقِربة </w:t>
      </w:r>
      <w:r>
        <w:rPr>
          <w:rStyle w:val="FootnoteAnchor"/>
          <w:rtl w:val="true"/>
        </w:rPr>
        <w:footnoteReference w:id="439"/>
      </w:r>
      <w:r>
        <w:rPr>
          <w:rFonts w:ascii="Amiri" w:hAnsi="Amiri" w:eastAsia="Amiri" w:cs="Amiri"/>
          <w:color w:val="111111"/>
          <w:sz w:val="28"/>
          <w:sz w:val="28"/>
          <w:szCs w:val="28"/>
          <w:rtl w:val="true"/>
          <w:lang w:bidi="ar-SA"/>
        </w:rPr>
        <w:t xml:space="preserve">والإداوَة </w:t>
      </w:r>
      <w:r>
        <w:rPr>
          <w:rStyle w:val="FootnoteAnchor"/>
          <w:rtl w:val="true"/>
        </w:rPr>
        <w:footnoteReference w:id="440"/>
      </w:r>
      <w:r>
        <w:rPr>
          <w:rFonts w:ascii="Amiri" w:hAnsi="Amiri" w:eastAsia="Amiri" w:cs="Amiri"/>
          <w:color w:val="111111"/>
          <w:sz w:val="28"/>
          <w:sz w:val="28"/>
          <w:szCs w:val="28"/>
          <w:rtl w:val="true"/>
          <w:lang w:bidi="ar-SA"/>
        </w:rPr>
        <w:t xml:space="preserve">والقِدر </w:t>
      </w:r>
      <w:r>
        <w:rPr>
          <w:rStyle w:val="FootnoteAnchor"/>
          <w:rtl w:val="true"/>
        </w:rPr>
        <w:footnoteReference w:id="441"/>
      </w:r>
      <w:r>
        <w:rPr>
          <w:rFonts w:ascii="Amiri" w:hAnsi="Amiri" w:eastAsia="Amiri" w:cs="Amiri"/>
          <w:color w:val="111111"/>
          <w:sz w:val="28"/>
          <w:sz w:val="28"/>
          <w:szCs w:val="28"/>
          <w:rtl w:val="true"/>
          <w:lang w:bidi="ar-SA"/>
        </w:rPr>
        <w:t>، فإنّه إذا شرط حملها وجب معرفتها بالمشاهدة أو الوزن أو الوصف الرافع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يشترطها لم يدخل في الإطلاق إلّا مع جريان العادة بها بحيث لا يحصل القصد بدونها، فيتوجّه حينئذٍ بطلان الإجارة لو لم يعرف قدرها؛ لأنّ ذلك بمنزلة الشرط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يكفي اشتراط حمل الزاد ما لم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فَني ليس له حمل بدله ما لم يشرطه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فني بالأكل المعتاد، فلو فني بغيره كضيافة غير معتادة، أو أكلٍ كذلك، أو ذهَب بسرقة أو شبهها، فله إبداله؛ تنزيلاً للإطلاق على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حمل زادٍ زائد عن العادة فله إبداله، كالمحمول المطلق، إلّا أنْ يريد جعل الجميع زاداً 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الإبدال في الجميع،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رفع المحمل وشدّه تردّد، أظهره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أن يستأجر اثنان جَملاً أو غيره للعُقبة، ويرجع في التناوب إلى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النوبة </w:t>
      </w:r>
      <w:r>
        <w:rPr>
          <w:rStyle w:val="FootnoteAnchor"/>
          <w:rtl w:val="true"/>
        </w:rPr>
        <w:footnoteReference w:id="442"/>
      </w:r>
      <w:r>
        <w:rPr>
          <w:rFonts w:ascii="Amiri" w:hAnsi="Amiri" w:eastAsia="Amiri" w:cs="Amiri"/>
          <w:color w:val="111111"/>
          <w:sz w:val="28"/>
          <w:sz w:val="28"/>
          <w:szCs w:val="28"/>
          <w:rtl w:val="true"/>
          <w:lang w:bidi="ar-SA"/>
        </w:rPr>
        <w:t>، وهما يتعاقبان على الراحلة، إذا ركب هذا تارة وهذا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هناك عادة مضبوطة بالزمان أو المسافة حمل الإطلاق عليها، وإلّا وجب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تعيين مبدأ الركوب ومَن يركب منهما أوّلاً، ولو أطلقا اتّجه الابتداء بالقرعة، وفاقاً للتذكرة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كبحها باللجام من غير ضرورةٍ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كبحها باللجام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جذبها به لتقف ولا تجري،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كَبَحْتُها وأكبحتها، ذكره الجوهري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حفر بعض ما يقطع عليه، ثمّ تعذّر حفر الباقي إمّا لصعوبة الأرض، أو مرض الأجير، أو غير ذلك، قوّم حفره وما حفره منها، ويرجع عليه بنسبته 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قول آخر مستند إلى رواية مهجورة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المذكور للشيخ في النهاية </w:t>
      </w:r>
      <w:r>
        <w:rPr>
          <w:rStyle w:val="FootnoteAnchor"/>
          <w:rtl w:val="true"/>
        </w:rPr>
        <w:footnoteReference w:id="445"/>
      </w:r>
      <w:r>
        <w:rPr>
          <w:rFonts w:ascii="IRNazanin" w:hAnsi="IRNazanin" w:eastAsia="IRNazanin"/>
          <w:color w:val="111111"/>
          <w:sz w:val="28"/>
          <w:sz w:val="28"/>
          <w:szCs w:val="28"/>
          <w:rtl w:val="true"/>
          <w:lang w:bidi="fa-IR"/>
        </w:rPr>
        <w:t>، ومحصّله ما تضمّنته رواية أبي شعيب المحاملي عن الرفاعي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قبّل رجلاً يحفر له بئراً عشر قامات بعشرة دراهم، فحفر له قامة ثمّ عجز،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تقسّم عشرة على خمسة وخمسين جزءاً، فما أصاب واحداً فهو للقامة الأُولى، والاثنين للاثنين، والثلاث للثلاث، وهكذا إلى العاشرة</w:t>
      </w:r>
      <w:r>
        <w:rPr>
          <w:rFonts w:eastAsia="IRNazanin" w:cs="IRNazanin"/>
          <w:color w:val="111111"/>
          <w:sz w:val="28"/>
          <w:szCs w:val="28"/>
          <w:rtl w:val="true"/>
          <w:lang w:bidi="fa-IR"/>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استيفاء الخمسة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الرواية على ما إذا تناسبت القامات على هذا الوجه، مع أنّها في واقعةٍ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العمل بمضمونها يقتصر بها على موردها من العدد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بل المذهب ما اختاره المصنِّف من ثبوت أُجرة ما عمل من المسمّى منسوباً إلى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وطريق معرفته أنْ تنسب أُجرة مثل ما عمل إلى أُجرة مثل المجموع، فيستحقّ من المسمّى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تساوي نسبة الأجزاء فله من الأُجرة بقدر ما عمل، فلو استأجره على حفر بئرٍ عشرة أذرع طولاً وعرضاً وعمقاً فحفر خمساً في الأبعاد الثلاثة فهو ثُمن القدر المشروط، فمع التساوي له ثُمن الأُجرة، ومع الاختلاف بالحساب،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استئجار المرأة للرضاع مدّةً معيّنةً بإذن الزوج، فإنْ لم يأذن فيه تردّد، والجواز أشبه إذا لم يمنع الرضاع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مشاهدة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ذكر الموضع الذي ترضعه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الاشتراط قوّة، وفي حكمه كلّ موضع تختلف نسبة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الصبيّ، أو المرضعة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أبوه هل يبطل؟ يُبنى على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القولين للعهد الذِكري، وهما ما تقدّم من أنّ موت المستأجر هل يبطل الإجارة أم لا؟ وقد عرفت أنّ الأقوى عدم البطلان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 شيئاً مدّة معيّنة لم يجب تقسيط الأُجرة على أجزائها، سواء كانت قصيرة أو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w:t>
      </w:r>
      <w:r>
        <w:rPr>
          <w:rStyle w:val="FootnoteAnchor"/>
          <w:rtl w:val="true"/>
        </w:rPr>
        <w:footnoteReference w:id="448"/>
      </w:r>
      <w:r>
        <w:rPr>
          <w:rFonts w:ascii="Amiri" w:hAnsi="Amiri" w:eastAsia="Amiri" w:cs="Amiri"/>
          <w:color w:val="111111"/>
          <w:sz w:val="28"/>
          <w:sz w:val="28"/>
          <w:szCs w:val="28"/>
          <w:rtl w:val="true"/>
          <w:lang w:bidi="ar-SA"/>
        </w:rPr>
        <w:t>، حيث أوجب تقسيط الأُجرة في متن العقد على أجزاء المدّة إنْ كانت سنتين فصاعداً؛ حذراً من الاحتياج إلى تقسيط الأُجرة على المدّة على تقدير لحوق الانفساخ بتلف العين وغيره، وضعفه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استئجار الأرض ليعمل مسجداً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جعله محلّاً للصلاة، كالمسجد الذي يعدّه الإنسان في بيته لها، ولا تثبت له </w:t>
      </w:r>
    </w:p>
    <w:p>
      <w:pPr>
        <w:pStyle w:val="BookText"/>
        <w:rPr/>
      </w:pPr>
      <w:r>
        <w:rPr>
          <w:rFonts w:ascii="Amiri" w:hAnsi="Amiri" w:eastAsia="Amiri" w:cs="Amiri"/>
          <w:color w:val="111111"/>
          <w:sz w:val="28"/>
          <w:sz w:val="28"/>
          <w:szCs w:val="28"/>
          <w:rtl w:val="true"/>
          <w:lang w:bidi="ar-SA"/>
        </w:rPr>
        <w:t xml:space="preserve">حرمة المسجديّة، لأنّ شرطه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والوَقْفُ يقتضي التأبيد؛ لكن يحصل له مزيّةً وفضيلةً على غيره من البقاع التي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آجره مسكناً؛ ليحرز فيه خمراً،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بالتحريم وانعقاد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غير المحرّمة، وهي المتّخذة للشرب، فلو كان الاتّخاذ للتخليل أو طرأ قصده قبل الإجارة صحّت، وإلّا صحّ تحريم العقد وبطلانه مع قصد الصفة المحرّمة، أو العلم باستعماله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استئجار الحائط المزوّق للتنزّه؟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مقدوراً على تسليمها، ولو آجر عبداً آبقاً لم يصحّ ولو ضمّ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الاقتصار بالحكم في الآبق على موضع الوفاق، وهو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المستأجر قادراً على تحصيله جاز من غير ضميمة،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المغصوب لو آجره للغاصب، أو لمن يتمكّن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منعه المؤجر منه سقطت الأُجرة، وهل له أنْ يلزم ويطالب المؤجر بالتفاوت؟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الأُجرة مشروط بالفسخ لا بمطلق منع المؤجر، وما اختاره المصنِّف من التخيير حسن، فإنْ اختار الفسخ سقط المسمّى، وإنْ بقي أخذ عوض المنفعة وهو أُجرة مثلها، ورجع بالتفاوت وهو زيادة أُجرة المثل عن المسمّى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بعد القبض لم يبطل وكان له الرجوع على الظالم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الفسخ؛ لأنّ البطلان منتفٍ على التقديرين فليس هو موضع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الغصب بعد القبض بين كونه في ابتداء المدّة وفي خلالها؛ لحصوله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بين كون الغاصب هو المؤجر أو غيره</w:t>
      </w:r>
      <w:r>
        <w:rPr>
          <w:rFonts w:eastAsia="Amiri" w:cs="Amiri" w:ascii="Amiri" w:hAnsi="Amiri"/>
          <w:color w:val="111111"/>
          <w:sz w:val="28"/>
          <w:szCs w:val="28"/>
          <w:rtl w:val="true"/>
          <w:lang w:bidi="ar-SA"/>
        </w:rPr>
        <w:t xml:space="preserve">. </w:t>
      </w:r>
      <w:bookmarkStart w:id="1169" w:name="pg10178_83976"/>
    </w:p>
    <w:p>
      <w:pPr>
        <w:pStyle w:val="BookText"/>
        <w:rPr/>
      </w:pPr>
      <w:bookmarkEnd w:id="116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انهدم المسكن كان للمستأجر فسخ الإجارة، إلّا أنْ يعيده صاحبه ويمكّنه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جواز الفسخ أنّ العقد لا ينفسخ بنفسه، ولا بدّ من تقييده بإمكان إزالة المانع، أو بقاء أصل الانتفاع، فلو انتفيا معاً انفسخت الإجارة؛ لتعذّر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بإعادة المالك المستثناة لرفع الخيار ما كانت بسرعةٍ، بحيث لا يفوت شيء من المنافع وإنْ قلَّ، وإلّا بقي الخيار بغير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التردّد على تقدير إعادته كذلك من زوال المانع مع عدم فوات شيء من المنافع، ومن ثبوت الخيار بالانهدام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2019198_1067777946"/>
      <w:bookmarkStart w:id="1171" w:name="_Toc437"/>
      <w:bookmarkEnd w:id="1170"/>
      <w:r>
        <w:rPr>
          <w:rtl w:val="true"/>
        </w:rPr>
        <w:t>[</w:t>
      </w:r>
      <w:r>
        <w:rPr>
          <w:rtl w:val="true"/>
        </w:rPr>
        <w:t>الفصل الثالث في أحكامها</w:t>
      </w:r>
      <w:r>
        <w:rPr>
          <w:rtl w:val="true"/>
        </w:rPr>
        <w:t>]</w:t>
      </w:r>
      <w:bookmarkEnd w:id="11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المستأجر بالعين المستأجَرة عيباً كان له الفسخ، أو الرضى بالأُجرة من غير نقصان، ولو كان العيب ممّا يفوت به بعض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المعيب هو العين وحقّه منها هو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الإجارة هو العين؛ ليستوفي منها المنفعة، وهي تابعة في الماليّة للعين، فيلزمه من نقصها نقص مالية المنفعة، فله الفسخ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له أرش على تقدير الرضى؛ لأنّ العقد جرى على المجموع وهو باقٍ، فإمّا أنْ يرضى بالجميع، أو يفسخ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ثبوت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معرفته أن ينظر إلى أُجرة مثلها سليمةً ومعيبةً، وينظر إلى التفاوت بينهما ويرجع من المسمّى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اختار الفسخ، فإنْ كان قبل أنْ يمضي من المدّة مالَه أُجرة فلا شيء عليه، وإنْ كان بعد مضي بعض المدّة واستيفاء منفعتها فعليه من المسمّى بقدر ما مضى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كانت الإجارة واردة على العين، فلو وردت على الذمّة فدفع إليه عيناً فظهرت معيبة لم يكن له الفسخ، بل على المؤجر إبدالها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تعذّر الإبدال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لعجزه أو امتناعه ولم يمكن إجباره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المستأجر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في العين المستأجرة ضمن قيمتها وقت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ضمان أعلى القيم من حين العدوان إلى حين التلف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اختلفا في القيمة كان القول 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تقبّل عملاً لم يجز أنْ يُقبّله غيرَه بنقيصةٍ،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إذا لم يعيّن العامل في العقد، وإلّا فلا إشكال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تسليمها إلى غيره، إلّا بإذن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من غير إذن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بالتسليم المنهي عنه على تقدير عدم جواز تقبيلها لغيره، وأنْ يريد به في صورة الجواز والأعمّ؛ لأنّه مال الغير، فلا يصحّ تسليمه إلى غير من استأمنه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إجارته لاينافيه، بل يستأذن المالك، فإنْ امتنع رفع أمره إلى الحاكم، فإنْ تعذّر اتّجه جواز التسليم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والأقوى جواز التسليم حيث تجوز الإجارة؛ لصحيحة عليّ بن جعفر عن أخيه موسى علیه السلام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تقييده بكون المدفوع إليه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المستأجر سقي الدابّة وعلفها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أهمل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أنّ ذلك لازم للمستأجر بدون الشرط من ماله من غير أنْ يرجع به علی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جماعة من الأصحاب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وجوبهما على المالك إلّا مع الشرط</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حاضراً معه، وإلّا استأذنه في الإنفاق ورجع عليه، فإن تعذّر استأذن الحاكم، فإنْ تعذّر أنفق ورجع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الإشهاد عليه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الصانع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تلف في يد الصانع لا بسببه من 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يضمن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الملّاح والمكاري، لا يضمنان إلّا ما يتلف عن تفريط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استأجر أجيراً لينفذه في حوائجه كانت نفقته على المستأجر، إلّا أنْ يشترط على الأجير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مستند ذلك رواية سليمان بن سالم عن الرضا علیه السلام </w:t>
      </w:r>
      <w:r>
        <w:rPr>
          <w:rStyle w:val="FootnoteAnchor"/>
          <w:rtl w:val="true"/>
        </w:rPr>
        <w:footnoteReference w:id="452"/>
      </w:r>
      <w:r>
        <w:rPr>
          <w:rFonts w:ascii="Amiri" w:hAnsi="Amiri" w:eastAsia="Amiri" w:cs="Amiri"/>
          <w:color w:val="111111"/>
          <w:sz w:val="28"/>
          <w:sz w:val="28"/>
          <w:szCs w:val="28"/>
          <w:rtl w:val="true"/>
          <w:lang w:bidi="ar-SA"/>
        </w:rPr>
        <w:t>، وبها خرجت هذه عن حكم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كغيره لا تجب نفقته إلّا مع الشرط، وحيث يشترط على المستأجر يعتبر ضبطها، بخلاف ما لو قيل بوجوبها عليه ابتداءً، فإنّه يجب عليه القيام بعادة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مملوكاً له فأفسد، كان ذلك لازماً لمولاه في سعيه، وكذا لو آجر نفسه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الإفساد إنْ كان في الذي يعمل فيه بغير تفريطٍ تعلّق بكسبه كما ذكروه، وإنْ كان بتفريطٍ تعلّق بذمّته يتبع به إذا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بإذن المولى تعلّق به وإنْ كان بجناية على نفسٍ أو طرفٍ تعلّق برقبة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وللمولى فداؤه بأقلّ الأمرين من القيمة والأرش، سواء كان بإذن المولى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آجر الوصي صبيّاً مدّةً يعلم بلوغه فيها، بطلت في المتيقّن وصحّت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للصبيّ الفسخ بعد بلوغه؟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فسخه في الزائد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سلعةً إلى غيره ليعمل فيها عملاً، فإنْ كان ممّن عادته أنْ يستأجر لذلك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أُجرة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عادة وكان العمل ممّا له أُجرة، فله المطالبة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الأُجرة أحد الأمرين، إمّا كون العامل من </w:t>
      </w:r>
      <w:bookmarkStart w:id="1172" w:name="pg10178_83979"/>
    </w:p>
    <w:p>
      <w:pPr>
        <w:pStyle w:val="BookText"/>
        <w:rPr/>
      </w:pPr>
      <w:bookmarkEnd w:id="1172"/>
      <w:r>
        <w:rPr>
          <w:rFonts w:ascii="Amiri" w:hAnsi="Amiri" w:eastAsia="Amiri" w:cs="Amiri"/>
          <w:color w:val="111111"/>
          <w:sz w:val="28"/>
          <w:sz w:val="28"/>
          <w:szCs w:val="28"/>
          <w:rtl w:val="true"/>
          <w:lang w:bidi="ar-SA"/>
        </w:rPr>
        <w:t xml:space="preserve">عادته أنْ يستأجر بمثل ذلك العمل، أو كون العمل له أُجرة في العادة واعتبر غيره </w:t>
      </w:r>
      <w:r>
        <w:rPr>
          <w:rStyle w:val="FootnoteAnchor"/>
          <w:rtl w:val="true"/>
        </w:rPr>
        <w:footnoteReference w:id="453"/>
      </w:r>
      <w:r>
        <w:rPr>
          <w:rFonts w:ascii="Amiri" w:hAnsi="Amiri" w:eastAsia="Amiri" w:cs="Amiri"/>
          <w:color w:val="111111"/>
          <w:sz w:val="28"/>
          <w:sz w:val="28"/>
          <w:szCs w:val="28"/>
          <w:rtl w:val="true"/>
          <w:lang w:bidi="ar-SA"/>
        </w:rPr>
        <w:t>الثاني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 المصنِّف أقوى لأنّ استيفاء العمل المحترم بالأمر لا يحلّ بدون العوض إلّا بإباحة مالكه ولم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يتوقّف عليه توفية المنفعة فعلى المؤجر، كالخيوط في الخياطة، والمداد فى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الرجوع فيهما إلى العرف المطّرد، فإنْ انتفى أو اضطرب، فعلى المستأجر</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2019200_1067777946"/>
      <w:bookmarkStart w:id="1174" w:name="_Toc438"/>
      <w:bookmarkEnd w:id="1173"/>
      <w:r>
        <w:rPr>
          <w:rtl w:val="true"/>
        </w:rPr>
        <w:t>[</w:t>
      </w:r>
      <w:r>
        <w:rPr>
          <w:rtl w:val="true"/>
        </w:rPr>
        <w:t>الفصل الرابع في التنازع</w:t>
      </w:r>
      <w:r>
        <w:rPr>
          <w:rtl w:val="true"/>
        </w:rPr>
        <w:t>]</w:t>
      </w:r>
      <w:bookmarkEnd w:id="117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الصانع أو الملّاح أو المكاري هلاك المتاع، وأنكر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مع اليمين؛ لأنّهم 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الخياط ثوباً قباءً وقال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بقطعه قميصاً، فالقول قول المالك مع يمينه،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تقديم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أُجرة للخيّاط، وعليه أرش الثوب ما بين كونه مقطوعاً قميصاً وقباءاً ممّا يصلح لهما من القطع لا أرش له، ولو كانت الخيوط للخيّاط فالأقوى جواز نزعه لها وإنْ لم يبق لها قيمة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5" w:name="pg10178_83981"/>
      <w:bookmarkStart w:id="1176" w:name="pg10178_83981"/>
      <w:bookmarkEnd w:id="1176"/>
    </w:p>
    <w:p>
      <w:pPr>
        <w:pStyle w:val="Heading2"/>
        <w:numPr>
          <w:ilvl w:val="1"/>
          <w:numId w:val="1"/>
        </w:numPr>
        <w:rPr/>
      </w:pPr>
      <w:bookmarkStart w:id="1177" w:name="pg10178_83981"/>
      <w:bookmarkStart w:id="1178" w:name="__RefHeading___Toc2019202_1067777946"/>
      <w:bookmarkStart w:id="1179" w:name="_Toc439"/>
      <w:bookmarkEnd w:id="1177"/>
      <w:bookmarkEnd w:id="1178"/>
      <w:r>
        <w:rPr>
          <w:rtl w:val="true"/>
        </w:rPr>
        <w:t>كتاب الوكالة</w:t>
      </w:r>
      <w:bookmarkEnd w:id="1179"/>
    </w:p>
    <w:p>
      <w:pPr>
        <w:pStyle w:val="Heading3"/>
        <w:numPr>
          <w:ilvl w:val="2"/>
          <w:numId w:val="1"/>
        </w:numPr>
        <w:rPr/>
      </w:pPr>
      <w:bookmarkStart w:id="1180" w:name="__RefHeading___Toc2019204_1067777946"/>
      <w:bookmarkStart w:id="1181" w:name="_Toc440"/>
      <w:bookmarkEnd w:id="1180"/>
      <w:r>
        <w:rPr>
          <w:rtl w:val="true"/>
        </w:rPr>
        <w:t>[</w:t>
      </w:r>
      <w:r>
        <w:rPr>
          <w:rtl w:val="true"/>
        </w:rPr>
        <w:t>الفصل الأوّل في العقد</w:t>
      </w:r>
      <w:r>
        <w:rPr>
          <w:rtl w:val="true"/>
        </w:rPr>
        <w:t>]</w:t>
      </w:r>
      <w:bookmarkEnd w:id="11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تأخّر القبول عن الإيجاب لم يقدح في الصحّة، فإنّ الغائب يوكّل والقبول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ظاهرهم أنّ هذا الحكم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الذي ذكره المصنِّف من وكالة الغائب فهو فرع جواز تأخّر القبول، فلايكون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شرطها أنْ تقع منجّزة، فلو عُلّقت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عدم صحّتها حينئذٍ أنّه يصحّ تصرّف الوكيل كذلك ولو بعد حصول الشرط؛ لأنّ لازم البطلان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بعضهم </w:t>
      </w:r>
      <w:r>
        <w:rPr>
          <w:rStyle w:val="FootnoteAnchor"/>
          <w:rtl w:val="true"/>
        </w:rPr>
        <w:footnoteReference w:id="454"/>
      </w:r>
      <w:r>
        <w:rPr>
          <w:rFonts w:ascii="Amiri" w:hAnsi="Amiri" w:eastAsia="Amiri" w:cs="Amiri"/>
          <w:color w:val="111111"/>
          <w:sz w:val="28"/>
          <w:sz w:val="28"/>
          <w:szCs w:val="28"/>
          <w:rtl w:val="true"/>
          <w:lang w:bidi="ar-SA"/>
        </w:rPr>
        <w:t>التصرّف بعده وإنْ فسدت الوكالة؛ عملاً بالإذن السابق وفائدة الفساد فساد الجعل المسمّى في عقد الوكالة إنْ كان والرجوع إلى المثل، كما في المضاربة الفاسدة، حيث حكم فيها بعدم استحقاقه الحصّة المشروطة، ووجب للعامل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 في شراء عبدٍ افتقر إلى وصفه؛ لينتفي الغرر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صحّة الوكالة على هذا الوجه؛ لأنّ الغرر يندفع بما يجب على الوكيل اعتباره من المصلحة، وإنْ كان اعتبار الوصف أحوط؛ لاختلاف الأغراض في العبد بقصد القنْية والتجارة المقتضية لاختلاف المصلحة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 مطلقاً لم يصحّ على قول، والوجه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 جائز من طرفيه، فللوكيل أنْ يعزل نفسه مع حضور الموكّل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مقتضاه عدم نفوذ تصرّفه بعد العزل، سواء علم الموكّل بعزله نفسه أم لا؛ لانتفاء الوكالة التي هي مناط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ينعزل بذلك ما لم يعلم الموكّل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456"/>
      </w:r>
      <w:r>
        <w:rPr>
          <w:rFonts w:ascii="Amiri" w:hAnsi="Amiri" w:eastAsia="Amiri" w:cs="Amiri"/>
          <w:color w:val="111111"/>
          <w:sz w:val="28"/>
          <w:sz w:val="28"/>
          <w:szCs w:val="28"/>
          <w:rtl w:val="true"/>
          <w:lang w:bidi="ar-SA"/>
        </w:rPr>
        <w:t>؛ نظراً إلى أنّ الوكالة إباحة فلا تبطل بردّها، كالمأذون في تناول الطعام ونحوه؛ وعملاً بالإذن السابق كما مرّ،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وللموكّل أنْ يعزله، بشرط أنْ يعلمه العزل، ولو لم يُعلمه لم ينعزل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تعذّر إعلامه فأشهد انعزل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لا ينعزل إلّا أنْ يبلغه العزل، ولو بإخبار ثقةٍ، لا مطلق البلوغ، ولا يعتبر بلوغ الخبر حدّ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الوكالة يقتضي الابتياع بثمن المثل، بنقد البلد،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ثمن المثل النقصان عنه بالشيء اليسير الذي يتسامح الناس بمثله، كدرهمٍ في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تسويغ البيع بثمن المثل مبنيّ على الغالب من عدم بذل أزيد منه، فلو اتّفق باذل للأزيد لم يصحّ البيع به، حتّى لو باع بخيارٍ لنفسه فوجد في مدّة الخيار باذل زيادةٍ وجب عليه الفسخ إنْ كانت وكالته متناولة لذلك، وليس كذلك ما لو عيّن له قدراً فوجد باذلاً لأزيد، فإنّه لا يجب عليه هنا بيعه بالأزيد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يبتاع الصحيح دون المعيب</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عالماً بالعيب، أمّا مع جهله به فإنّه يقع عن الموكّل؛ لأنّه مكلّف بالظاهر والوقوف على الباطن قد يعجز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العيب ظاهراً، بحيث يكون جهل الوكيل به مستنداً إلى تقصيره، اتّجه وقوفه على الإجازة، كالعالم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باع الوكيل بثمن فأنكر المالك الإذن في ذلك القدر، كان القول قوله مع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الدلّال إتمام ما حلف عليه المالك،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الاختلاف راجع إلى صفة الوكالة، وكما يقبل قول الموكّل في أصلها فكذلك في صفتها؛ لأنّه فعله فهو أعرف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الذي حكاه المصنِّف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تصادق الوكيل والمشتري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للموكّل الرجوع على أيّهما شاء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رجع الموكّل على المشتري لا يرجع المشتري على الوكيل؛ لتصديقه له في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قد قبض الوكيل الثمن منه، وإلّا رجع عليه بأقلّ الأمرين أيضاً ممّا غرمه من الثمن؛ لأنّ الوكيل لا يستحقّ الثمن والموكّل لا يدّعيه؛ لعدم تعيّنه ثمناً له، وقد أغرم المشتري عوض المال فيرجع على الوكيل بما دفعه إليه إنْ كان بقدر القيمة أو أقلّ، وإلّا رجع بقدر ما غرم، وبقي الباقي في يد الوكيل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المشتري مصدّقاً على الوكالة رجع على الوكيل بما غرمه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الثمن أزيد</w:t>
      </w:r>
    </w:p>
    <w:p>
      <w:pPr>
        <w:pStyle w:val="BookText"/>
        <w:rPr/>
      </w:pPr>
      <w:r>
        <w:rPr>
          <w:rFonts w:ascii="Amiri" w:hAnsi="Amiri" w:eastAsia="Amiri" w:cs="Amiri"/>
          <w:color w:val="111111"/>
          <w:sz w:val="28"/>
          <w:sz w:val="28"/>
          <w:szCs w:val="28"/>
          <w:rtl w:val="true"/>
          <w:lang w:bidi="ar-SA"/>
        </w:rPr>
        <w:t>وقد دفعه إلى الوكيل رجع به أيضاً؛ لفساد البيع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الوكالة في البيع يقتضي تسليم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يقتضي الإذن في البيع قبض الثمن؛ لأنّه قد لا يؤمن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تدلّ القرائن على الإذن فيهما، كما لو وكّله في شراء عينٍ من مكان بعيد يخاف مع عدم قبض الوكيل إيّاها ذهابها، فيجب قبضها فضلاً عن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أمره بالبيع في موضع يضيع الثمن بترك قبضه بحيث تدلّ القرينة على أنّه أذن له في القبض، حتّى لو أخلّ الوكيل به حينئذٍ ضمن؛ لتضييعه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وللوكيل أنْ يردّ بالعيب؛ لأنّه مصلحة العقد</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جواز الردّ بالعيب مطلقاً، وما ذكره من التعليل لا يفيد المطلوب</w:t>
      </w:r>
      <w:r>
        <w:rPr>
          <w:rFonts w:eastAsia="Amiri" w:cs="Amiri" w:ascii="Amiri" w:hAnsi="Amiri"/>
          <w:color w:val="111111"/>
          <w:sz w:val="28"/>
          <w:szCs w:val="28"/>
          <w:rtl w:val="true"/>
          <w:lang w:bidi="ar-SA"/>
        </w:rPr>
        <w:t xml:space="preserve">. </w:t>
      </w:r>
      <w:bookmarkStart w:id="1182" w:name="pg10178_83984"/>
    </w:p>
    <w:p>
      <w:pPr>
        <w:pStyle w:val="Heading3"/>
        <w:numPr>
          <w:ilvl w:val="2"/>
          <w:numId w:val="1"/>
        </w:numPr>
        <w:rPr/>
      </w:pPr>
      <w:bookmarkStart w:id="1183" w:name="__RefHeading___Toc2019206_1067777946"/>
      <w:bookmarkStart w:id="1184" w:name="_Toc441"/>
      <w:bookmarkEnd w:id="1182"/>
      <w:bookmarkEnd w:id="1183"/>
      <w:r>
        <w:rPr>
          <w:rtl w:val="true"/>
        </w:rPr>
        <w:t>[</w:t>
      </w:r>
      <w:r>
        <w:rPr>
          <w:rtl w:val="true"/>
        </w:rPr>
        <w:t>الفصل الثاني فيما لاتصحّ فيه النيابة وما تصحّ فيه</w:t>
      </w:r>
      <w:r>
        <w:rPr>
          <w:rtl w:val="true"/>
        </w:rPr>
        <w:t>]</w:t>
      </w:r>
      <w:bookmarkEnd w:id="118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لا تدخله النيابة فضابطه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قصد الشارع بإيقاعه من المكلّف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معرفة قصد الشارع وغرضه في ذلك إلى النقل، إذ ليس له قاعدة كليّة لا تنخرم، وإنْ كانت بحسب التقريب منحصرة فيما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العبادات فالمقصود منها فعل المكلّف ما أمر به وانقياده وتذلله، وذلك لا يحصل إلّا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يفترق الأمر بين حالتي القدرة والعجز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تخلّف الحكم في مواضع أشار المصنِّف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أعضاء الطهارة ومسحها إذا عجز المكلّف عنه، فإنّه يجوز له الاستنابة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توكيلاً حقيقيّاً، ومن ثَمّ يقع بتولّي من لا يصحّ توكيله كالمجنون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وذلك في ركعتي الطواف على بعض الوجوه، والطواف المندوب، وأداء الزكاة، وعتق العبد عن الكفّارة، والحجّ المنذور مطلقاً، والحجّ الواجب على بعض الوجوه، وغير ذلك من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والالتقاط والاحتطاب والاحتشاش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كونه يملك بمجرّد الحيازة، فلا يتصوّر فيه الاستنابة على وجه يفيد ملكيّة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الأقوى جواز التوكيل فيه </w:t>
      </w:r>
      <w:r>
        <w:rPr>
          <w:rStyle w:val="FootnoteAnchor"/>
          <w:rtl w:val="true"/>
        </w:rPr>
        <w:footnoteReference w:id="457"/>
      </w:r>
      <w:r>
        <w:rPr>
          <w:rFonts w:ascii="Amiri" w:hAnsi="Amiri" w:eastAsia="Amiri" w:cs="Amiri"/>
          <w:color w:val="111111"/>
          <w:sz w:val="28"/>
          <w:sz w:val="28"/>
          <w:szCs w:val="28"/>
          <w:rtl w:val="true"/>
          <w:lang w:bidi="ar-SA"/>
        </w:rPr>
        <w:t>، ويملك الموكّل مع نيّة الوكيل الملك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وجه الشهادة على الشهادة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كون الاستثناء منقطعاً؛ لأنّ الشهادة على الشهادة ليست بطريق الوكالة، بل هي شهادة بكون فلان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مشابهة الوكالة من حيث الصورة بسبب استنادها إلى قول الشاهد الأصل، وبواسطة ذلك تكون شهادة مجازاً فجاز استثناؤها منها كذلك</w:t>
      </w:r>
      <w:r>
        <w:rPr>
          <w:rFonts w:eastAsia="Amiri" w:cs="Amiri" w:ascii="Amiri" w:hAnsi="Amiri"/>
          <w:color w:val="111111"/>
          <w:sz w:val="28"/>
          <w:szCs w:val="28"/>
          <w:rtl w:val="true"/>
          <w:lang w:bidi="ar-SA"/>
        </w:rPr>
        <w:t xml:space="preserve">. </w:t>
      </w:r>
      <w:bookmarkStart w:id="1185" w:name="pg10178_83985"/>
    </w:p>
    <w:p>
      <w:pPr>
        <w:pStyle w:val="BookText"/>
        <w:rPr/>
      </w:pPr>
      <w:bookmarkEnd w:id="118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تدخله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استيفاء الحدود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كانت لآدمي كحدّ السرقة والقذف، أم لله تعالى كحدّ الزني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استيفاؤها بعد ثبوتها عند الحاكم بمعنى مباشرتها أو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w:t>
      </w:r>
      <w:r>
        <w:rPr>
          <w:rStyle w:val="FootnoteAnchor"/>
          <w:rtl w:val="true"/>
        </w:rPr>
        <w:footnoteReference w:id="458"/>
      </w:r>
      <w:r>
        <w:rPr>
          <w:rFonts w:ascii="Amiri" w:hAnsi="Amiri" w:eastAsia="Amiri" w:cs="Amiri"/>
          <w:color w:val="111111"/>
          <w:sz w:val="28"/>
          <w:sz w:val="28"/>
          <w:szCs w:val="28"/>
          <w:rtl w:val="true"/>
          <w:lang w:bidi="ar-SA"/>
        </w:rPr>
        <w:t>حيث منع من استيفاء حدود الآدميّين في غيبة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إثبات حدود الآدميّين، أمّا حدود الله سبحانه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المنع في حدود الله تعالى أنّها مبنيّة على التخفيف، والأقوى الجواز مطلقاً، كما تجوز الاستنابة في الأحكام مطلقاً المتناولة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 على كلّ قليل وكثير،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لما يتطرّق من احتمال الضرر،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ويندفع الحال باعتبار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الجواز مطلقاً</w:t>
      </w:r>
      <w:r>
        <w:rPr>
          <w:rFonts w:eastAsia="IRNazanin" w:cs="IRNazanin"/>
          <w:color w:val="111111"/>
          <w:sz w:val="28"/>
          <w:szCs w:val="28"/>
          <w:rtl w:val="true"/>
          <w:lang w:bidi="fa-IR"/>
        </w:rPr>
        <w:t>.</w:t>
      </w:r>
    </w:p>
    <w:p>
      <w:pPr>
        <w:pStyle w:val="Heading3"/>
        <w:numPr>
          <w:ilvl w:val="2"/>
          <w:numId w:val="1"/>
        </w:numPr>
        <w:rPr/>
      </w:pPr>
      <w:bookmarkStart w:id="1186" w:name="__RefHeading___Toc2019208_1067777946"/>
      <w:bookmarkStart w:id="1187" w:name="_Toc442"/>
      <w:bookmarkEnd w:id="1186"/>
      <w:r>
        <w:rPr>
          <w:rtl w:val="true"/>
        </w:rPr>
        <w:t>[</w:t>
      </w:r>
      <w:r>
        <w:rPr>
          <w:rtl w:val="true"/>
        </w:rPr>
        <w:t>الفصل الثالث في الموكّل</w:t>
      </w:r>
      <w:r>
        <w:rPr>
          <w:rtl w:val="true"/>
        </w:rPr>
        <w:t>]</w:t>
      </w:r>
      <w:bookmarkEnd w:id="11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فيه البلوغ وكمال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عشراً جاز أنْ يوكّل فيما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جواز تصرّفه في شيء مباشرةً فتجوز الاستنابة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للعبد القِنّ أنْ يوكّل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القول بملكه؛ لأنّه محجور عليه على تقديره، ولو أحلنا ملكه فإنْ لم يكن مأذوناً لم يصحّ توكيله مطلقاً، إلّا ما يجوز له مباشرته كالطلاق، وإنْ كان مأذوناً جاز له التوكيل فيما جرت العادة بالتوكيل فيه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 إنسان في شراء نفسه من مولاه 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أنّه وكّله بإذن مولاه؛ لما سيأتي من توقّف وكالته على إذنه </w:t>
      </w:r>
      <w:r>
        <w:rPr>
          <w:rStyle w:val="FootnoteAnchor"/>
          <w:rtl w:val="true"/>
        </w:rPr>
        <w:footnoteReference w:id="459"/>
      </w:r>
      <w:r>
        <w:rPr>
          <w:rFonts w:ascii="Amiri" w:hAnsi="Amiri" w:eastAsia="Amiri" w:cs="Amiri"/>
          <w:color w:val="111111"/>
          <w:sz w:val="28"/>
          <w:sz w:val="28"/>
          <w:szCs w:val="28"/>
          <w:rtl w:val="true"/>
          <w:lang w:bidi="ar-SA"/>
        </w:rPr>
        <w:t>، فالصحّة من حيث كونه وكيلاً في ذلك، وهو لا ينافي توقّفه على 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هذه الصورة؛ لدفع احتمال البطلان هنا من حيث إنّ الشراء يستدعي مغايرة المشتري للمبيع، وجوابه أنّ المغايرة الاعتباريّة كافية كنظائره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الحكم مبتنياً على جواز توكيله بدون إذن مولاه إذا لم يمنع شيئاً من حقوقه، كما هو أحد الأقوال في المسألة </w:t>
      </w:r>
      <w:r>
        <w:rPr>
          <w:rStyle w:val="FootnoteAnchor"/>
          <w:rtl w:val="true"/>
        </w:rPr>
        <w:footnoteReference w:id="460"/>
      </w:r>
      <w:r>
        <w:rPr>
          <w:rFonts w:ascii="Amiri" w:hAnsi="Amiri" w:eastAsia="Amiri" w:cs="Amiri"/>
          <w:color w:val="111111"/>
          <w:sz w:val="28"/>
          <w:sz w:val="28"/>
          <w:szCs w:val="28"/>
          <w:rtl w:val="true"/>
          <w:lang w:bidi="ar-SA"/>
        </w:rPr>
        <w:t>، والأمر هنا كذلك؛ إذ لامنع من حقوق المولى بحضرته وكلامه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للوكيل أنْ يوكِّل إلّا بإذن الموكِّل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أو عموماً أو إطلاقاً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ما شئت أو مفوّضاً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يأذن له كذلك ولكن دلّت القرائن على الإذن، كما لو وكّله فيما لا يباشره، مثله؛ لترفّعه، أو عجزه عنه أو عن بعضه، فالأقوى الجواز، لكن يجب تقييده بعلم الموكّل بهما، وإلّا لم يجز؛ لانتفاء القرينة التي هي مناط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ويقتصر في التوكيل علی ما يعجز عنه، وعلى موضع الحاجة وحيث يأذن له في التوكيل بأنْ صرّح بكونه وكيلاً عن الوكيل لَحِقه أحكام الموكَّل، وإنْ صرّح بكونه وكيلاً عن الموكّل أو أطلق كان وكيلاً آخر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يوكّل المحرم في عقد النكاح، ولا إيداع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من ذلك إيقاع الفعل في حال الإحرام، والتوكيل فيه كذلك، فإنْ حصلت الوكالة حالته ليوقعه في حالة الإحلال، فالأظهر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التوكيل في إيداع الصيد التوكيل في شرائه وبيعه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المُحرِم المعتكف فيما لا يسوغ له فعله كالبيع</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الوكالة في الطلاق للغائب إجماعاً، وللحاضر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1188" w:name="pg10178_83987"/>
    </w:p>
    <w:p>
      <w:pPr>
        <w:pStyle w:val="Heading3"/>
        <w:numPr>
          <w:ilvl w:val="2"/>
          <w:numId w:val="1"/>
        </w:numPr>
        <w:rPr/>
      </w:pPr>
      <w:bookmarkStart w:id="1189" w:name="__RefHeading___Toc2019210_1067777946"/>
      <w:bookmarkStart w:id="1190" w:name="_Toc443"/>
      <w:bookmarkEnd w:id="1188"/>
      <w:bookmarkEnd w:id="1189"/>
      <w:r>
        <w:rPr>
          <w:rtl w:val="true"/>
        </w:rPr>
        <w:t>[</w:t>
      </w:r>
      <w:r>
        <w:rPr>
          <w:rtl w:val="true"/>
        </w:rPr>
        <w:t>الفصل الرابع في الوكيل</w:t>
      </w:r>
      <w:r>
        <w:rPr>
          <w:rtl w:val="true"/>
        </w:rPr>
        <w:t>]</w:t>
      </w:r>
      <w:bookmarkEnd w:id="119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تتوكّل المرأة في طلاق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تصحّ في طلاق نفسها؟ قيل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الأصحّ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يتوكّل المسلم للذمّي على المسلم؟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 الوكالة بالنسبة إلى إسلام الوكيل والموكَّل والموكِّل عليه وكفرهم والتفريق ثمانية، فإنّ الموكَّل إمّا مسلم،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فالوكيل إمّا مسلم،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الأربعة فالموكّل عليه إمّا مسلم، أو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صورتان لاتصحّ الوكالة فيها عندنا، وهما ما نسب المصنِّف الحكم فيهما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Style w:val="FootnoteAnchor"/>
          <w:rtl w:val="true"/>
        </w:rPr>
        <w:footnoteReference w:id="461"/>
      </w:r>
      <w:r>
        <w:rPr>
          <w:rFonts w:ascii="Amiri" w:hAnsi="Amiri" w:eastAsia="Amiri" w:cs="Amiri"/>
          <w:color w:val="111111"/>
          <w:sz w:val="28"/>
          <w:sz w:val="28"/>
          <w:szCs w:val="28"/>
          <w:rtl w:val="true"/>
          <w:lang w:bidi="ar-SA"/>
        </w:rPr>
        <w:t xml:space="preserve">ادّعى الإجماع عليهما، وهما وكالة الكافر المسلم لكافر أو مسلمٍ، وباقي الصور تصحّ الوكالة فيها من غير كراهة إلّا صورة واحدة، وهي وكالة المسلم لكافر على المسلم، فإنّ المشهور فيها الكراهة، بل ادّعى في التذكرة </w:t>
      </w:r>
      <w:r>
        <w:rPr>
          <w:rStyle w:val="FootnoteAnchor"/>
          <w:rtl w:val="true"/>
        </w:rPr>
        <w:footnoteReference w:id="462"/>
      </w:r>
      <w:r>
        <w:rPr>
          <w:rFonts w:ascii="Amiri" w:hAnsi="Amiri" w:eastAsia="Amiri" w:cs="Amiri"/>
          <w:color w:val="111111"/>
          <w:sz w:val="28"/>
          <w:sz w:val="28"/>
          <w:szCs w:val="28"/>
          <w:rtl w:val="true"/>
          <w:lang w:bidi="ar-SA"/>
        </w:rPr>
        <w:t>الإجماع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فيها ثمّ 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الشيخ في النهاية </w:t>
      </w:r>
      <w:r>
        <w:rPr>
          <w:rStyle w:val="FootnoteAnchor"/>
          <w:rtl w:val="true"/>
        </w:rPr>
        <w:footnoteReference w:id="463"/>
      </w:r>
      <w:r>
        <w:rPr>
          <w:rFonts w:ascii="Amiri" w:hAnsi="Amiri" w:eastAsia="Amiri" w:cs="Amiri"/>
          <w:color w:val="111111"/>
          <w:sz w:val="28"/>
          <w:sz w:val="28"/>
          <w:szCs w:val="28"/>
          <w:rtl w:val="true"/>
          <w:lang w:bidi="ar-SA"/>
        </w:rPr>
        <w:t>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المصنِّف والجماعة عبّروا عن الكافر بالذمّي ولافرق من حيث الحكم، فكان التعبير بالكافر الشامل له ولغيره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أمره ببيعه في سوقٍ مخصوصة، فباع في غيرها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إذ الغرض تحصيل الثمن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يتعلّق غرض الموكّل بالسوق المعيّن بسبب جودة نقده أو حِلّه ونحوه وإلّا لم يصحّ، ويعتبر في الصحّة عدم العلم بالغرض؛ نظراً إلى الغالب،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العلم </w:t>
      </w:r>
    </w:p>
    <w:p>
      <w:pPr>
        <w:pStyle w:val="BookText"/>
        <w:rPr/>
      </w:pPr>
      <w:r>
        <w:rPr>
          <w:rFonts w:ascii="IRNazanin" w:hAnsi="IRNazanin" w:eastAsia="IRNazanin"/>
          <w:color w:val="111111"/>
          <w:sz w:val="28"/>
          <w:sz w:val="28"/>
          <w:szCs w:val="28"/>
          <w:rtl w:val="true"/>
          <w:lang w:bidi="fa-IR"/>
        </w:rPr>
        <w:t xml:space="preserve">بعدم الغرض </w:t>
      </w:r>
      <w:r>
        <w:rPr>
          <w:rStyle w:val="FootnoteAnchor"/>
          <w:rtl w:val="true"/>
        </w:rPr>
        <w:footnoteReference w:id="464"/>
      </w:r>
      <w:r>
        <w:rPr>
          <w:rFonts w:ascii="Amiri" w:hAnsi="Amiri" w:eastAsia="Amiri" w:cs="Amiri"/>
          <w:color w:val="111111"/>
          <w:sz w:val="28"/>
          <w:sz w:val="28"/>
          <w:szCs w:val="28"/>
          <w:rtl w:val="true"/>
          <w:lang w:bidi="ar-SA"/>
        </w:rPr>
        <w:t>، فلا يجوز التخطّي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ابتاع الوكيل وقع الشراء عن الموكّل، فلا يدخل في ملك الوكيل؛ لأنّه لو دخل في ملكه لزم أن ينعتق عليه أبوه وولده لو اشتراهما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w:t>
      </w:r>
      <w:r>
        <w:rPr>
          <w:rStyle w:val="FootnoteAnchor"/>
          <w:rtl w:val="true"/>
        </w:rPr>
        <w:footnoteReference w:id="465"/>
      </w:r>
      <w:r>
        <w:rPr>
          <w:rFonts w:ascii="Amiri" w:hAnsi="Amiri" w:eastAsia="Amiri" w:cs="Amiri"/>
          <w:color w:val="111111"/>
          <w:sz w:val="28"/>
          <w:sz w:val="28"/>
          <w:szCs w:val="28"/>
          <w:rtl w:val="true"/>
          <w:lang w:bidi="ar-SA"/>
        </w:rPr>
        <w:t>حيث ذهب إلى انتقاله إلى ملك الوكيل أوّلاً، مع حكمه بعدم انعتاق الأب على ولده لو كان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موضع يبطل الشراء للموكّل، فإنْ كان سمّاه عند العقد لم يقع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سمّاه قضي به على الوكيل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نفس الأمر مع عدم إجازة الموكّل فيجب عليه التخلّص بحسب الإمكان، وسيأتي بيانه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تقييد ذلك أيضاً بعدم الشراء بعين مال الموكّل، وإلّا بطل العقد مع عدم إجازته وإنْ لم يذكره؛ لأنّه يصير كظهور استحقاق أحد العوضين المعيّنين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نفس الأمر، وأمّا بحسب الظاهر فإنْ صدّق البائع على ذلك أو قامت به البيّنة ثبت البطلان ظاهراً وباطناً، ووجب عليه ردّ ما أخذه، وإلّا ثبت ظاهراً ووجب على الوكيل عوض المدفوع للموكّل؛ لتعذّر تحصيله شرعاً؛ لاعترافه بالتفريط بسبب المخالفة، وعلى البائع الحلف على نفي العلم بالحال إنْ ادّعى عليه ذلك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أنكر الموكّل الوكالة لكن إنْ كان الوكيل مبطلاً فالملك له، ظاهراً وباطناً، وإنْ كان محقّاً كان الشراء للموكّل باطناً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اشترى مدّعي الوكالة ولم تثبت وكالته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لدعوى المخالفة أو لإنكار أصل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 اشترى بعين مال الموكّل ولو بحسب الدعوى، أو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البائع عالماً بالثمن لمالكه، أو تقوم البيّنة بذلك،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يصرّح بكون الشراء للموكّل، أو ينوي ذلك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إمّا </w:t>
      </w:r>
    </w:p>
    <w:p>
      <w:pPr>
        <w:pStyle w:val="BookText"/>
        <w:rPr/>
      </w:pPr>
      <w:r>
        <w:rPr>
          <w:rFonts w:ascii="Amiri" w:hAnsi="Amiri" w:eastAsia="Amiri" w:cs="Amiri"/>
          <w:color w:val="111111"/>
          <w:sz w:val="28"/>
          <w:sz w:val="28"/>
          <w:szCs w:val="28"/>
          <w:rtl w:val="true"/>
          <w:lang w:bidi="ar-SA"/>
        </w:rPr>
        <w:t>أنْ يكون الموكّل صادقاً بحسب الواقع، أو كاذباً، فهذه أقسام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وحكمها أنّه متى كان الشراء بالعين فهو فضولي، سواء ذكر الموكّل أم لا، وسواء نوى الشراء للموكّل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يجز المالك وقد ذكره صريحاً، أو كان له بيّنة أنّ العين له، أو البائع عالماً بذلك، فإنْ كان الوكيل صادقاً فالعقد صحیح باطناً فاسدٌ ظاهراً، فإنْ رجع المالك في العين وأخذها من البائع رجع إليه مبيعه، وإنْ رجع بالعين على الوكيل؛ لتعذّر أخذها من البائع أخذ الوكيل المبيع قصاصاً، وتوصّل إلى ردّ ما فضل منه عن حقّه إنْ كان هناك فضلٌ، وإنْ تلفت تخيّر في الرجوع، فإنْ رجع على البائع رجع على الوكيل، فإنْ رجع على الوكيل لم يرجع على البائع؛ لاعترافه بظلم الموكّل في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يعلم البائع بالحال ولم يحصل الوصفان الآخران لم يجب عليه الدفع، بل يحلف على نفي العلم إنْ ادّعي عليه، ثمّ يغرم الوكيل ويأخذ العين قصاصاً 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الوكيل كاذباً بحسب الواقع بطل الشراء بالعين مطلقاً، وأتى فيه التفصيل، لكن إنْ كانت العين قد تلفت عند البائع وجب على الوكيل ردّ المبيع إليه، وإنْ كانت باقيةً عنده فخلاص الوكيل أيضاً أنْ يصالح الموكّل عليها بما دفعه من المثل أو القيمة ثمّ يصالح البائع على العين به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الشراء في الذمّة وذكر الموكّل وقع له باطناً إنْ كان محقّاً وبطل ظاهراً، فيأخذه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يذكره لفظاً ولانيّةً فالشراء للوكيل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نواه خاصّة فالسلعة للبائع باطناً، فيشتريها منه بالثمن إنْ كان باقياً، وإلّا دفعها إليه ولاشيء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ينوه وقع الشراء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التخلّص أنْ يقول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فقد بعته من الوكيل، فيصحّ البيع، ولا يكون هذا تعليقاً للبيع على الشرط</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الشرط المبطل ما أوجب توقّف العقد على أمر مترتّب، وهذا أمر واقعٌ يعلم الموكّل حاله، فلا يضرّ جعله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شرطٍ علم وجوده</w:t>
      </w:r>
      <w:r>
        <w:rPr>
          <w:rFonts w:eastAsia="Amiri" w:cs="Amiri" w:ascii="Amiri" w:hAnsi="Amiri"/>
          <w:color w:val="111111"/>
          <w:sz w:val="28"/>
          <w:szCs w:val="28"/>
          <w:rtl w:val="true"/>
          <w:lang w:bidi="ar-SA"/>
        </w:rPr>
        <w:t xml:space="preserve">. </w:t>
      </w:r>
      <w:bookmarkStart w:id="1191" w:name="pg10178_83990"/>
    </w:p>
    <w:p>
      <w:pPr>
        <w:pStyle w:val="BookText"/>
        <w:rPr/>
      </w:pPr>
      <w:bookmarkEnd w:id="119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 اثنين، فإنْ شرط الاجتماع، لم يجز لأحدهما أنْ ينفرد بشيء من التصرّف وكذا لو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باجتماعهما على العقد صدوره عن رأيهما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إيقاع كلّ منهما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جائزاً أيضاً فلو وكّل أحدهما الآخر أو وكّلا ثالثاً صحّ إنْ اقتضت وكالتهما جواز التوكيل وهذا بخلاف الوصيّين على الاجتماع، فإنّ توكيل أحدهما الآخر وثالثاً جائز والفرق أنّ الوصيّ يتصرّف بالولاية كالأب؛ بخلاف الوكيل، فإنّه يتصرّف بالإذن فيتّبع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أذن لعبده في التصرّف في ماله، ثمّ أعتقه، بطل الإذن؛ لأنّه ليس على حدّ الوكالة، بل هو إذنٌ تابع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كلّ واحد من الوكالة والإذن لا يختصّ بلفظٍ، بل يتأدّى بما دلّ على الإذن في التصرّف، كان في الفرق بين الوكالة التي لا تبطل بالبيع والإذن الذي يبطل به خفاءٌ، والقرائن الحاليّة أو المقاليّة هي الكاشفة عنهما وإن اشتركا 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قبض حقّي من فلان، فمات لم يكن له مطالبة الورثة،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قبض حقّي الذي على فلان،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الصيغتين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بالقبض، ومبدؤها المديون، ففيها تعينٌ لمبدأ القبض ومنشئه، وهو فلانُ المديون فلا يتعدّى الأمر إلى وارثه؛ لأنّ قبضه من الوارث ليس قبضاً من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القبض من وكيل المديون؛ لأنّ يده يده وهو نائب عنه، بخلاف الوارث، فإنّ الملك لم ينتقل إليه بحقّ النيابة، ومِن ثَمَّ يحنث لو حلف على فعل شيء بفعل وكيله إيّاه لا بفعل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جملة الموصول والصلة فيه صفة للحقّ وليس فيه تعيين للمقبوض منه بوجهٍ، بل الإذن تعلّق بقبض الحقّ الموصوف بكونه في ذمّة زيد، فالوكيل يتبع الحقّ حيث ما انتقل</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2019212_1067777946"/>
      <w:bookmarkStart w:id="1193" w:name="_Toc444"/>
      <w:bookmarkEnd w:id="1192"/>
      <w:r>
        <w:rPr>
          <w:rtl w:val="true"/>
        </w:rPr>
        <w:t>[</w:t>
      </w:r>
      <w:r>
        <w:rPr>
          <w:rtl w:val="true"/>
        </w:rPr>
        <w:t>الفصل الخامس فيما به تثبت الوكالة</w:t>
      </w:r>
      <w:r>
        <w:rPr>
          <w:rtl w:val="true"/>
        </w:rPr>
        <w:t>]</w:t>
      </w:r>
      <w:bookmarkEnd w:id="1193"/>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يحكم بالوكالة بدعوى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تثبت بشهادة النساء، ولابشاهد واحدٍ </w:t>
      </w:r>
    </w:p>
    <w:p>
      <w:pPr>
        <w:pStyle w:val="BookText"/>
        <w:rPr/>
      </w:pPr>
      <w:r>
        <w:rPr>
          <w:rFonts w:ascii="Amiri" w:hAnsi="Amiri" w:eastAsia="Amiri" w:cs="Amiri"/>
          <w:color w:val="111111"/>
          <w:sz w:val="28"/>
          <w:sz w:val="28"/>
          <w:szCs w:val="28"/>
          <w:rtl w:val="true"/>
          <w:lang w:bidi="ar-SA"/>
        </w:rPr>
        <w:t>وامرأتين ولا بشاهد ويمين، 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المذهب لا نعلم فيه مخالفاً، لكن لو اشتملت الدعوى على المال، كما لو ادّعى شخص على آخر أنّه وكّله بجُعْلٍ وأقام شاهداً وامرأتين أو شاهداً وحلف معه، فالظاهر ثبوت المال مع فعل متعلّقه دون الوكالة، ولا يقدح ببعض الشهادة، كما لو أقام ذلك بالسرقة، فإنّه يثبت المال لا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قبل العمل لم يثبت؛ لبطلان الوكالة بإنكارها والمال لم يثبت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الوكالة عن غائب في قبض ماله من 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عيناً لم يؤمر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الحقّ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العين والدَين هنا الموجب للجزم بعدم وجوب تسليم العين والتردّد في الدَين أنّ الإقرار بالعين يتعلّق بحقّ مالكها فلا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تسليمه؛ إذ لا منازع غيرهما الآن، ويبقى المالك على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أنكر فالقول قوله مع يمينه، ثمّ إنْ كانت العين موجودة أخذها، وإنْ تعذّر ردّها؛ لتلف أو غيره، تخيّر في الرجوع على مَن شاء منهما، فإنْ رجع على الوكيل لم يرجع على الغريم مطلقاً؛ لاعترافه ببراءته، وإنْ رجع على الغريم لم يرجع على الوكيل إنْ تلفت في يده بغير تفريط، وإلّا 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الدَين؛ لأنّ تصديقه إنّما اقتضى وجوب التسليم من مال نفسه وإنكار الغائب لايؤثّر في ذلك، فلا مانع من نفوذه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ومن أنّ التسليم لا يؤمر به إلّا إذا كان مبرئاً للذمّة، ومِن ثَمَّ يجوز لمن عليه الحقّ الامتناع من تسليمه لمالكه حتّى يشهد عليه، وهنا ليس كذلك؛ لأنّ الغائب يبقى على حجّته فيه، مع توقّف وجوب التسليم على وقوعه مبرئاً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w:t>
      </w:r>
      <w:bookmarkStart w:id="1194" w:name="pg10178_83992"/>
    </w:p>
    <w:p>
      <w:pPr>
        <w:pStyle w:val="BookText"/>
        <w:rPr/>
      </w:pPr>
      <w:bookmarkEnd w:id="1194"/>
      <w:r>
        <w:rPr>
          <w:rFonts w:ascii="Amiri" w:hAnsi="Amiri" w:eastAsia="Amiri" w:cs="Amiri"/>
          <w:color w:val="111111"/>
          <w:sz w:val="28"/>
          <w:sz w:val="28"/>
          <w:szCs w:val="28"/>
          <w:rtl w:val="true"/>
          <w:lang w:bidi="ar-SA"/>
        </w:rPr>
        <w:t>الامتناع للإشهاد إنّما يقتضيه على المدفوع إليه، وهو ممكن بالنسبة إلى مدّعي الوكالة، فوجوب الدفع هنا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حضر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الغريمَ لا الوكيلَ وإنْ كانت العين باقية؛ لأنّه لم يقبض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للغريم العود على الوكيل مع بقاء العين أو تلفها بتفريطٍ، لابدونهما</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2019214_1067777946"/>
      <w:bookmarkStart w:id="1196" w:name="_Toc445"/>
      <w:bookmarkEnd w:id="1195"/>
      <w:r>
        <w:rPr>
          <w:rtl w:val="true"/>
        </w:rPr>
        <w:t>[</w:t>
      </w:r>
      <w:r>
        <w:rPr>
          <w:rtl w:val="true"/>
        </w:rPr>
        <w:t>الفصل السادس في اللواحق</w:t>
      </w:r>
      <w:r>
        <w:rPr>
          <w:rtl w:val="true"/>
        </w:rPr>
        <w:t>]</w:t>
      </w:r>
      <w:bookmarkEnd w:id="11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الوكيل تسليم ما في يده إلى الموكّل مع المطالبة وعدم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بعد ذلك أنّ تلفَ المال قبل الامتناع، أو ادّعى الردّ قبل المطالبة،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دعواه وإنْ أقام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إنْ أظهر للإنكار السابق تأويلاً محتملاً قبلت دعواه،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على الموكّل العلم بصحّة دعواه فله إحلافه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يده مال لغيره، أو في ذمّته، له أنْ يمتنع من التسليم حتّى يشهد صاحب الحقّ بالقبض ويستوي في ذلك ما يقبل قوله في 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إلّا ببيّنة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بأنّ ما يقبل قول الدافع في ردّه ليس له الامتناع؛ إذ لا ضرر عليه بترك الإشهاد؛ لأنّ قبول قوله يدفع الغرم عن نفسه، بخلاف ما لا يقبل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آخرون بأنّه إنْ كان بالحقِّ بيّنة فله الامتناع حتّى يشهد وإلّا فلا؛ لأنّه وإنْ لم يقبل قوله لو أقرّ لكن يمكنه إنكار أصل الحقّ على وجه يصدق، فيقبل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أجود؛ لأنّ تكليف اليمين ضرر وإنْ كان صادقاً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الإيداع إذا لم يُشهد على الودَعي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وكيلاً في قضاء الدين فلم يشهد بالقبض ضمن،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الإيداع مبنيّ على الإخفاء بخلاف قضاء الدين، ولأنّ الودعي قوله مقبول في الردّ والتلف فلا يؤثّر الإشهاد في تغريمه، بخلاف المديون</w:t>
      </w:r>
      <w:r>
        <w:rPr>
          <w:rFonts w:eastAsia="Amiri" w:cs="Amiri" w:ascii="Amiri" w:hAnsi="Amiri"/>
          <w:color w:val="111111"/>
          <w:sz w:val="28"/>
          <w:szCs w:val="28"/>
          <w:rtl w:val="true"/>
          <w:lang w:bidi="ar-SA"/>
        </w:rPr>
        <w:t xml:space="preserve">. </w:t>
      </w:r>
      <w:bookmarkStart w:id="1197" w:name="pg10178_83993"/>
    </w:p>
    <w:p>
      <w:pPr>
        <w:pStyle w:val="BookText"/>
        <w:rPr/>
      </w:pPr>
      <w:bookmarkEnd w:id="1197"/>
      <w:r>
        <w:rPr>
          <w:rFonts w:ascii="Amiri" w:hAnsi="Amiri" w:eastAsia="Amiri" w:cs="Amiri"/>
          <w:color w:val="111111"/>
          <w:sz w:val="28"/>
          <w:sz w:val="28"/>
          <w:szCs w:val="28"/>
          <w:rtl w:val="true"/>
          <w:lang w:bidi="ar-SA"/>
        </w:rPr>
        <w:t>ووجه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ومن عدم دلالة مطلق الأمر على الإشهاد فيحصل الامتثال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يضمن على تقديره إذا لم يقع الدفع بحضرة الموكّل؛ لأنّ التفريط حينئذٍ مستند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لوكيله في بيع ماله من نفسه فباع جاز،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الجواز فيهما</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2019216_1067777946"/>
      <w:bookmarkStart w:id="1199" w:name="_Toc446"/>
      <w:bookmarkEnd w:id="1198"/>
      <w:r>
        <w:rPr>
          <w:rtl w:val="true"/>
        </w:rPr>
        <w:t>[</w:t>
      </w:r>
      <w:r>
        <w:rPr>
          <w:rtl w:val="true"/>
        </w:rPr>
        <w:t>الفصل السابع في التنازع</w:t>
      </w:r>
      <w:r>
        <w:rPr>
          <w:rtl w:val="true"/>
        </w:rPr>
        <w:t>]</w:t>
      </w:r>
      <w:bookmarkEnd w:id="11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اختلفا في التلف فالقول قول الوكيل؛ لأنّه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تلف المال الذي بيده على وجه الأمانة؛ لتدخل فيه العين الموكّل في بيعها قبله، وثمنها حيث يجوز له قبضه بعده، والعين الموكَّل في شرائها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يدّعي التلف بسبب ظاهرٍ كالغرق، وخفيّ كالسرق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دفع المال إلى الموكّل، فإنْ كان بجُعْلٍ، كلّف البيّنة؛ لأنّه مُدّعٍ، ولو كان بغير جُعل،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قوله كالوديعة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الوكيل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الموكّل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 امرأة، فأنكر الوكالة ولا بيّنة، كان القول قول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الوكيل مهرها، و روي نصف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إلّا أنْ يضمن الوكيل المهر أو بعضه، فيلزمه ما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الرواية </w:t>
      </w:r>
      <w:r>
        <w:rPr>
          <w:rStyle w:val="FootnoteAnchor"/>
          <w:rtl w:val="true"/>
        </w:rPr>
        <w:footnoteReference w:id="46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للمرأة التزويج مع حلفه إذا لم تصدّق الوكيل عليها، وإلّا لم يجز </w:t>
      </w:r>
    </w:p>
    <w:p>
      <w:pPr>
        <w:pStyle w:val="BookText"/>
        <w:rPr/>
      </w:pPr>
      <w:r>
        <w:rPr>
          <w:rFonts w:ascii="Amiri" w:hAnsi="Amiri" w:eastAsia="Amiri" w:cs="Amiri"/>
          <w:color w:val="111111"/>
          <w:sz w:val="28"/>
          <w:sz w:val="28"/>
          <w:szCs w:val="28"/>
          <w:rtl w:val="true"/>
          <w:lang w:bidi="ar-SA"/>
        </w:rPr>
        <w:t>لها؛ لأنّها زوجة باعترافها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في ابتياع عبدٍ، فاشتراه بمائة،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بثمانين، فالقول قول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الموكّل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أنّ المبيع يساوي مائة، وإلّا لم يكن الشراء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فتقديم قول الوكيل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لموكّله كان البائع بالخيار، إنْ شاء طالب الوكيل، وإنْ شاء طالب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اختصاص المطالبة بالموكّل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بقبض دينه من غريمٍ له، فأقرّ الوكيل بالقبض، وصدّقه الغريم، وأنكر الموكّل، فالقول قول الموكّل،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تقديم قول الوكيل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أمره ببيع سلعةٍ وتسليمها وقبض ثمنها وتلف من غير تفريط، فأقرّ الوكيل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تقديم قول الوكيل في الموضعين، فينتفي الفرق</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في المبيع عيب ردّه على الوكيل دون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بردّ المبيع على الموكّل 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1200" w:name="pg10178_83995"/>
    </w:p>
    <w:p>
      <w:pPr>
        <w:pStyle w:val="Heading2"/>
        <w:numPr>
          <w:ilvl w:val="1"/>
          <w:numId w:val="1"/>
        </w:numPr>
        <w:rPr/>
      </w:pPr>
      <w:bookmarkStart w:id="1201" w:name="__RefHeading___Toc2019218_1067777946"/>
      <w:bookmarkStart w:id="1202" w:name="_Toc447"/>
      <w:bookmarkEnd w:id="1200"/>
      <w:bookmarkEnd w:id="1201"/>
      <w:r>
        <w:rPr>
          <w:rtl w:val="true"/>
        </w:rPr>
        <w:t>كتاب الوقوف والصدقات</w:t>
      </w:r>
      <w:bookmarkEnd w:id="1202"/>
    </w:p>
    <w:p>
      <w:pPr>
        <w:pStyle w:val="Heading3"/>
        <w:numPr>
          <w:ilvl w:val="2"/>
          <w:numId w:val="1"/>
        </w:numPr>
        <w:rPr/>
      </w:pPr>
      <w:bookmarkStart w:id="1203" w:name="__RefHeading___Toc2019220_1067777946"/>
      <w:bookmarkStart w:id="1204" w:name="_Toc448"/>
      <w:bookmarkEnd w:id="1203"/>
      <w:r>
        <w:rPr>
          <w:rtl w:val="true"/>
        </w:rPr>
        <w:t>[</w:t>
      </w:r>
      <w:r>
        <w:rPr>
          <w:rtl w:val="true"/>
        </w:rPr>
        <w:t>الوقف</w:t>
      </w:r>
      <w:r>
        <w:rPr>
          <w:rtl w:val="true"/>
        </w:rPr>
        <w:t>]</w:t>
      </w:r>
      <w:bookmarkEnd w:id="1204"/>
    </w:p>
    <w:p>
      <w:pPr>
        <w:pStyle w:val="Heading4"/>
        <w:numPr>
          <w:ilvl w:val="3"/>
          <w:numId w:val="1"/>
        </w:numPr>
        <w:rPr/>
      </w:pPr>
      <w:bookmarkStart w:id="1205" w:name="__RefHeading___Toc2019222_1067777946"/>
      <w:bookmarkStart w:id="1206" w:name="_Toc449"/>
      <w:bookmarkEnd w:id="1205"/>
      <w:r>
        <w:rPr>
          <w:rtl w:val="true"/>
        </w:rPr>
        <w:t>[</w:t>
      </w:r>
      <w:r>
        <w:rPr>
          <w:rtl w:val="true"/>
        </w:rPr>
        <w:t>العقد</w:t>
      </w:r>
      <w:r>
        <w:rPr>
          <w:rtl w:val="true"/>
        </w:rPr>
        <w:t>]</w:t>
      </w:r>
      <w:bookmarkEnd w:id="12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وسبَّلت،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وقفاً إلّا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الإيجاب ولم يتعرّض للقبول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معتبر في الوقف مطلقاً، وهو أحد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مطلقاً، وأظهرها اعتباره إنْ كان على جهة خاصّة، كشخص معيّن أو جماعة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جهة عامّة، كالفقراء والمسلمين والمسجد، لم يعتبر؛ لأنّه حينئذٍ فكّ ملك، ولأنّ الملك ينتقل فيه إلى الله تعالى، بخلاف الأوّل فإنّه ينتقل إلى الموقوف عليه، وحيث يعتبر القبول يعتبر فيه ما يعتبر في غيره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وقف في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من أصل التركة، 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لو أوصى بوصايا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المتقدّم،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الجميع بالحصص، ولو اعتبر ذلك بالقرعة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شاةً، كان صوفها ولبنها الموجود داخلاً في الوقف، مالم يستثنه؛ نظراً إلى العرف، كما لو باعها</w:t>
      </w:r>
      <w:r>
        <w:rPr>
          <w:rFonts w:eastAsia="Amiri" w:cs="Amiri" w:ascii="Amiri" w:hAnsi="Amiri"/>
          <w:color w:val="111111"/>
          <w:sz w:val="28"/>
          <w:szCs w:val="28"/>
          <w:rtl w:val="true"/>
          <w:lang w:bidi="ar-SA"/>
        </w:rPr>
        <w:t xml:space="preserve">». </w:t>
      </w:r>
      <w:bookmarkStart w:id="1207" w:name="pg10178_83996"/>
    </w:p>
    <w:p>
      <w:pPr>
        <w:pStyle w:val="BookText"/>
        <w:rPr/>
      </w:pPr>
      <w:bookmarkEnd w:id="1207"/>
      <w:r>
        <w:rPr>
          <w:rFonts w:ascii="Amiri" w:hAnsi="Amiri" w:eastAsia="Amiri" w:cs="Amiri"/>
          <w:color w:val="111111"/>
          <w:sz w:val="28"/>
          <w:sz w:val="28"/>
          <w:szCs w:val="28"/>
          <w:rtl w:val="true"/>
          <w:lang w:bidi="ar-SA"/>
        </w:rPr>
        <w:t xml:space="preserve">نبّه بالنظر إلى العرف على أنّ حقّهما أنْ لا يدخلا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منافع خارجة عن حقيقة الشاة التي تعلّقت صيغة الوقف بها، لكن لمّا دلّ العرف على كونهما كالجزء منها تناولهما العقد كما يتناولهما البيع، بخلاف الحمل، فإنّه وإنْ كان بمثابتهما في الاتّصال الذي هو في قوّة الانفصال إلّا أنّ العرف لم يجعله كالجزء، والأصل 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الصوف واللبن موجودان على الظهر وفي الضرع، فلو احتلب اللبن وجُزَّ الصوف لم يدخل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أنّ تناول العقد لهما يقتضي كونهما من جملة الموقوف؛ عملاً بمقتضى العقد، فلا يجوز التصرّف فيهما كالأصل، لأنّا نمنع من كون تناول العقد يقتضي ذلك، وإنّما يقتضي تحبيس الأصل وإطلاق الثمرة، وهما من جملة الثمرة فيلحقهما حكمها، كما يتناولهما اسم الثمرة إذا تجدّدا، وإنّما دخلا في العقد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الموقوف شجرة فنماؤها الموجود للواقف، والمتجدّد للموقوف عليه، كالحمل</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2019224_1067777946"/>
      <w:bookmarkStart w:id="1209" w:name="_Toc450"/>
      <w:bookmarkEnd w:id="1208"/>
      <w:r>
        <w:rPr>
          <w:rtl w:val="true"/>
        </w:rPr>
        <w:t>[</w:t>
      </w:r>
      <w:r>
        <w:rPr>
          <w:rtl w:val="true"/>
        </w:rPr>
        <w:t>في الشرائط</w:t>
      </w:r>
      <w:r>
        <w:rPr>
          <w:rtl w:val="true"/>
        </w:rPr>
        <w:t>]</w:t>
      </w:r>
      <w:bookmarkEnd w:id="1209"/>
    </w:p>
    <w:p>
      <w:pPr>
        <w:pStyle w:val="Heading5"/>
        <w:numPr>
          <w:ilvl w:val="4"/>
          <w:numId w:val="1"/>
        </w:numPr>
        <w:rPr/>
      </w:pPr>
      <w:bookmarkStart w:id="1210" w:name="__RefHeading___Toc2019226_1067777946"/>
      <w:bookmarkStart w:id="1211" w:name="_Toc451"/>
      <w:bookmarkEnd w:id="1210"/>
      <w:r>
        <w:rPr>
          <w:rtl w:val="true"/>
        </w:rPr>
        <w:t>[</w:t>
      </w:r>
      <w:r>
        <w:rPr>
          <w:rtl w:val="true"/>
        </w:rPr>
        <w:t>شرائط الموقوف</w:t>
      </w:r>
      <w:r>
        <w:rPr>
          <w:rtl w:val="true"/>
        </w:rPr>
        <w:t>]</w:t>
      </w:r>
      <w:bookmarkEnd w:id="12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يصحّ وقف الدراهم والدنانير؟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لفائدة التحلّي بها، والتزيين، والضرب على سكّتها،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منافع مقصودة وإنْ كان غيرها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انتفت هذه المنافع عادةً في بعض الأزمان والأمكنة، اتّجه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ما لا يملكه لم يصحّ 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أجاز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2019228_1067777946"/>
      <w:bookmarkStart w:id="1213" w:name="_Toc452"/>
      <w:bookmarkEnd w:id="1212"/>
      <w:r>
        <w:rPr>
          <w:rtl w:val="true"/>
        </w:rPr>
        <w:t>[</w:t>
      </w:r>
      <w:r>
        <w:rPr>
          <w:rtl w:val="true"/>
        </w:rPr>
        <w:t>شرائط الواقف</w:t>
      </w:r>
      <w:r>
        <w:rPr>
          <w:rtl w:val="true"/>
        </w:rPr>
        <w:t>]</w:t>
      </w:r>
      <w:bookmarkEnd w:id="1213"/>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وقف من بلغ عشراً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جواز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المنع</w:t>
      </w:r>
      <w:r>
        <w:rPr>
          <w:rFonts w:eastAsia="Amiri" w:cs="Amiri" w:ascii="Amiri" w:hAnsi="Amiri"/>
          <w:color w:val="111111"/>
          <w:sz w:val="28"/>
          <w:szCs w:val="28"/>
          <w:rtl w:val="true"/>
          <w:lang w:bidi="ar-SA"/>
        </w:rPr>
        <w:t xml:space="preserve">». </w:t>
      </w:r>
      <w:bookmarkStart w:id="1214" w:name="pg10178_83997"/>
    </w:p>
    <w:p>
      <w:pPr>
        <w:pStyle w:val="BookText"/>
        <w:rPr/>
      </w:pPr>
      <w:bookmarkEnd w:id="1214"/>
      <w:r>
        <w:rPr>
          <w:rFonts w:ascii="Amiri" w:hAnsi="Amiri" w:eastAsia="Amiri" w:cs="Amiri"/>
          <w:color w:val="111111"/>
          <w:sz w:val="28"/>
          <w:sz w:val="28"/>
          <w:szCs w:val="28"/>
          <w:rtl w:val="true"/>
          <w:lang w:bidi="ar-SA"/>
        </w:rPr>
        <w:t>بل الأصحّ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يجعل الواقف النظر لنفسه ولغيره، فإنْ لم يعيّن الناظر كان النظر إلى الموقوف عليهم، بناء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بجعل النظر لنفسه أو لغيره في عقد الوقف، فإنْ شرط الواقف لأحدٍ اتُّبع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بني الحكم على انتقال الملك، فإنْ جعلناه للواقف أو للموقوف عليه مطلقاً فالنظر له، وإنْ جعلناه للموقوف عليه كان معيّناً، والله تعالى إنْ كان على جهة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في الأوّل إلى الموقوف عليه، وللحاكم الشرعي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اتّحد الناظر العامّ أو الخاصّ اختصّ به، وإنْ تعدّد اشتركوا فيه، فليس لأحدهم التصرّف بدون إذن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ووظيفة الناظر العمارة أوّلاً، وتحصيل الرَيع، وقسمته على المستحقّين، وحفظ الأصل والغلّة، وغير ذلك من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الإطلاق، ولو فُوّض إليه بعضُها 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شرط له شيءٌ من الريع أو غيره جاز، وكان ذلك أُجرة عمله مطلقاً، وإنْ أطلق فله أُجرة مثل عمله على الأقوى</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2019230_1067777946"/>
      <w:bookmarkStart w:id="1216" w:name="_Toc453"/>
      <w:bookmarkEnd w:id="1215"/>
      <w:r>
        <w:rPr>
          <w:rtl w:val="true"/>
        </w:rPr>
        <w:t>[</w:t>
      </w:r>
      <w:r>
        <w:rPr>
          <w:rtl w:val="true"/>
        </w:rPr>
        <w:t>شرائط الموقوف عليه</w:t>
      </w:r>
      <w:r>
        <w:rPr>
          <w:rtl w:val="true"/>
        </w:rPr>
        <w:t>]</w:t>
      </w:r>
      <w:bookmarkEnd w:id="121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وقف على معدومٍ ابتداءً لم يصحّ، كمن يقف على مَن سيولد له، أو علی حمْلٍ لم ينفصل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تفريع الحمل على المعدوم لا يخلو من تجوّز؛ لأنّه في نفسه موجود غايته استتاره، وإنّما يشاركه في الحكم بعدم صحّة الوقف عليه من جهة أُخرى، وهي عدم أهليّته للتملّك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بدأ بالمعدوم ثمّ بعده على الموجود،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علی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وقف على مَن لا يملك، ثمّ على من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التردّد، والمنع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على المملوك، ولا ينصرف الوقف إلى مولاه؛ لأنّه لم يقصده بالوقفيّة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أنّه لا يملك شيئاً، أو يملك ما لا يدخل فيه الوقف، كفاضل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بملكه مطلقاً صحّ الوقف عليه وإنْ كان محجوراً عليه، إنْ لم يعتبر القبول، أو قَبِل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ينصرف الوقف إلى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w:t>
      </w:r>
      <w:r>
        <w:rPr>
          <w:rStyle w:val="FootnoteAnchor"/>
          <w:rtl w:val="true"/>
        </w:rPr>
        <w:footnoteReference w:id="469"/>
      </w:r>
      <w:r>
        <w:rPr>
          <w:rFonts w:ascii="Amiri" w:hAnsi="Amiri" w:eastAsia="Amiri" w:cs="Amiri"/>
          <w:color w:val="111111"/>
          <w:sz w:val="28"/>
          <w:sz w:val="28"/>
          <w:szCs w:val="28"/>
          <w:rtl w:val="true"/>
          <w:lang w:bidi="ar-SA"/>
        </w:rPr>
        <w:t>حيث جوّز الوقف عليه وجعله مصروفاً إلى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 يقصده بالوقفيّة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 ردّه، فإنّ العقود ونحوها تابعة للقصد ومولاه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الوقف على المصالح، كالقناطر والمساجد؛ لأنّ الوقف في الحقيقة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بالتعليل إلى جواب سؤال يرد على صحّة الوقف المذكور، من حيث إنّ هذه المصالح المذكورة وشبهها لا تقبل التملّك، وهو شرط الوقف،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وإن كان لفظه متعلّقاً بالجهات المذكورة إلّا أنّه في الحقيقة وقف على المسلمين القابلين للتملّك، غايته أنّه وقف على المسلمين باعتبار مصلحةٍ خاصّة؛ لأنّهم المنتفعون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من المسجد تردّدهم إليه للعبادة وإقامة شعار الدين ونحوه، فكأنّه وقف عليهم بشرط صرفه على وجه مخصوص، وهو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الكنائس والبيع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على معونة الزُناة أو قطّاع الطريق أو شاربي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وقف عليهم من حيث إنّهم كذلك، بأنْ جعل الوصف مناط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وقف على شخصٍ متّصفٍ بذلك لا من حيث كون الوصف مناطه صحّ، سواء أطلق أم قصد جهةً محلَّلة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المسلمين انصرف إلى مَن صلّى إلى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من اعتقد وجوب الصلاة إليها حيث تكون الصلاة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انصرافه إلى مَن دان بالشهادتين، واعترف بما علم من الدين ضرورة، ومنه الصلاة إليها وإنْ لم يصلّ حيث لا يكفر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أطفاله ومجانينه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المؤمنين انصرف إلى الاثني عشريّة،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مجتنبي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الإيمان يطلق على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 هو التصديق القلبي بما جاء به النبيّ صلی الله علیه و آله و سلم، والإقرار باللسان كاشف عنه، وهو أخصّ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هو المراد حيث يطلق المؤمنون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والخاصّ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مع العمل الصالح، بمعنى كون العمل جزءاً منه، وصاحب الكبيرة ليس بمؤمن، وهذا مذهب الوعيديّة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إمامة الأئمّة الاثني عشر، وهذا هو المعنى المتعارف بين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واقفٌ على المؤمنين وأطلق فإنْ كان من الإماميّة انصرف الوقف إلى الاثني عشرية؛ لأنّه المعروف عنده من هذا الإطلاق، وإنْ كان من غيرهم فظاهر المصنِّف والأكثر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لأنّ ذلك غير معروف عنده، ولا قصده متوجّه إليه، فكيف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الحكم فيه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لفظه عامّ فينصرف إلى ما دلّ عليه اللفظ وإنْ خالف معتقد الواقف، كما قرّرناه من إطلاقه على معانٍ تختلف بحسب المصطلحين، والمعنى الذي اعتبره أكثر المسلمين هو المعنى الأوّل،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عليه إذا كان الواقف غير إمامي كان حسناً،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المعنى الذي يعتقده الواقف بشهادة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أنّه لا يشترط اجتناب الكبائر،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وقف على الشيعة فهم الإماميّة والجاروديّة دون غيرهم من فرق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الشيعة يطلق على من قدَّم عليّاً علیه السلام في الإمامة على غيره بعد النبيّ صلی الله علیه و آله و سلم، ولا شبهة </w:t>
      </w:r>
    </w:p>
    <w:p>
      <w:pPr>
        <w:pStyle w:val="BookText"/>
        <w:rPr/>
      </w:pPr>
      <w:r>
        <w:rPr>
          <w:rFonts w:ascii="Amiri" w:hAnsi="Amiri" w:eastAsia="Amiri" w:cs="Amiri"/>
          <w:color w:val="111111"/>
          <w:sz w:val="28"/>
          <w:sz w:val="28"/>
          <w:szCs w:val="28"/>
          <w:rtl w:val="true"/>
          <w:lang w:bidi="ar-SA"/>
        </w:rPr>
        <w:t>في كون الإماميّة منهم، وكذا الجاروديّة من فرق الزيديّة، وكذا الإسماعيليّة حيث لا يكونون ملاحدة، وأمّا باقي فرق الشيعة كالكيسانيّة والواقفيّة والفطحيّة فداخلة، لكن لانقراضهم استغني عن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بانصرافه إلى من ذكر هو المشهور بين الأصحاب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ابن إدريس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الواقف من إحدى فرق الشيعة صرف في أهل نحلته دون من عداهم، عملاً بشاهد الحال </w:t>
      </w:r>
      <w:r>
        <w:rPr>
          <w:rStyle w:val="FootnoteAnchor"/>
          <w:rtl w:val="true"/>
        </w:rPr>
        <w:footnoteReference w:id="471"/>
      </w:r>
      <w:r>
        <w:rPr>
          <w:rFonts w:ascii="Amiri" w:hAnsi="Amiri" w:eastAsia="Amiri" w:cs="Amiri"/>
          <w:color w:val="111111"/>
          <w:sz w:val="28"/>
          <w:sz w:val="28"/>
          <w:szCs w:val="28"/>
          <w:rtl w:val="true"/>
          <w:lang w:bidi="ar-SA"/>
        </w:rPr>
        <w:t>، وهو حسن مع قيام القرينة على ذلك وإلّا فالعبرة بعموم اللفظ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لمن ولّده أبوطالب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ويشترك الذكور والإناث المنسوبون إليه من جهة الأب؛ نظراً إلى العرف، وفيه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الحكم بالمتقرّب بالأب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الجيران رجع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يلي داره إلى أربعين ذراعاً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داراً من كلّ جانب، وهو مُطَّرحٌ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حسّنه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الأكثر </w:t>
      </w:r>
      <w:r>
        <w:rPr>
          <w:rStyle w:val="FootnoteAnchor"/>
          <w:rtl w:val="true"/>
        </w:rPr>
        <w:footnoteReference w:id="472"/>
      </w:r>
      <w:r>
        <w:rPr>
          <w:rFonts w:ascii="Amiri" w:hAnsi="Amiri" w:eastAsia="Amiri" w:cs="Amiri"/>
          <w:color w:val="111111"/>
          <w:sz w:val="28"/>
          <w:sz w:val="28"/>
          <w:szCs w:val="28"/>
          <w:rtl w:val="true"/>
          <w:lang w:bidi="ar-SA"/>
        </w:rPr>
        <w:t>ولا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الأخير مرويّ </w:t>
      </w:r>
      <w:r>
        <w:rPr>
          <w:rStyle w:val="FootnoteAnchor"/>
          <w:rtl w:val="true"/>
        </w:rPr>
        <w:footnoteReference w:id="473"/>
      </w:r>
      <w:r>
        <w:rPr>
          <w:rFonts w:ascii="Amiri" w:hAnsi="Amiri" w:eastAsia="Amiri" w:cs="Amiri"/>
          <w:color w:val="111111"/>
          <w:sz w:val="28"/>
          <w:sz w:val="28"/>
          <w:szCs w:val="28"/>
          <w:rtl w:val="true"/>
          <w:lang w:bidi="ar-SA"/>
        </w:rPr>
        <w:t>لكن القائل به من الأصحاب غير معلوم، والأظهر الرجوع إلى العرف؛ لأنّه المحكم حيث لامعيّن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الأخبار إمّا مطَّرح؛ لعدم صحّته وإنْ كان بعضه حسناً، أو لشذوذه من حيث عدم القائل بمضمونه ظاهر وندوره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معنى اعتبر الجار لا يشترط فيه ملكيّة الدار، فلو كان مستأجراً، أو مستعيراً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من الدار اعتبر في بقاء استحقاقه صدق اسمه عليه عرفاً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وقف في وجوه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في الفقراء والمساكين، وكلّ مصلحة يتقرّب بها إلى الله تعالى</w:t>
      </w:r>
      <w:r>
        <w:rPr>
          <w:rFonts w:eastAsia="Amiri" w:cs="Amiri" w:ascii="Amiri" w:hAnsi="Amiri"/>
          <w:color w:val="111111"/>
          <w:sz w:val="28"/>
          <w:szCs w:val="28"/>
          <w:rtl w:val="true"/>
          <w:lang w:bidi="ar-SA"/>
        </w:rPr>
        <w:t xml:space="preserve">». </w:t>
      </w:r>
      <w:bookmarkStart w:id="1217" w:name="pg10178_84001"/>
    </w:p>
    <w:p>
      <w:pPr>
        <w:pStyle w:val="BookText"/>
        <w:rPr/>
      </w:pPr>
      <w:bookmarkEnd w:id="1217"/>
      <w:r>
        <w:rPr>
          <w:rFonts w:ascii="Amiri" w:hAnsi="Amiri" w:eastAsia="Amiri" w:cs="Amiri"/>
          <w:color w:val="111111"/>
          <w:sz w:val="28"/>
          <w:sz w:val="28"/>
          <w:szCs w:val="28"/>
          <w:rtl w:val="true"/>
          <w:lang w:bidi="ar-SA"/>
        </w:rPr>
        <w:t>معنى وجوه البرِّ وجوه الخير والطاعة لله تعالى، فيصرف إلى القربات كلّها، كنفع الفقراء والمساكين وعمارة المساجد والمدارس والقناطر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وقف على بني تميم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لأنّهم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وقف على الذمّي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يشترط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الحربي تردّد، أشبهه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2019232_1067777946"/>
      <w:bookmarkStart w:id="1219" w:name="_Toc454"/>
      <w:bookmarkEnd w:id="1218"/>
      <w:r>
        <w:rPr>
          <w:rtl w:val="true"/>
        </w:rPr>
        <w:t>[</w:t>
      </w:r>
      <w:r>
        <w:rPr>
          <w:rtl w:val="true"/>
        </w:rPr>
        <w:t>شرائط الوقف</w:t>
      </w:r>
      <w:r>
        <w:rPr>
          <w:rtl w:val="true"/>
        </w:rPr>
        <w:t>]</w:t>
      </w:r>
      <w:bookmarkEnd w:id="12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والتنجيز، والإقباض، وإخراجه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قرنه بمدّة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انقرضوا رجع إلى ورثة الواقف،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ورثة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والمعتبر وارثه حين انقراض الموقوف عليه كالولاء، فلو مات الواقف عن ولدين ثمّ مات أحدهما عن ولد قبل الانقراض، رجع إلى الولد الباقي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أولاده الأصاغر، كان قبضه قبضاً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الوصيّ تردّد، أظهره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نفسه،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على نفسه ثمّ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في حقّ نفسه، ويصحّ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وقف على الفقراء ثمّ صار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له المشاركة في الانتفاع</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أنّ ذلك ليس وقفاً على نفسه ولا على جماعة هو منهم، فإنّ الوقف على ذلك ليس وقفاً على الأشخاص المتّصفين بهذا الوصف، بل على الجهة المخصوصة، ولهذا لا يعتبر قبولهم ولا بعضهم، ولا قبضه وإنْ أمكن، ولا ينتقل الملك إليهم بل إلى الله </w:t>
      </w:r>
    </w:p>
    <w:p>
      <w:pPr>
        <w:pStyle w:val="BookText"/>
        <w:rPr/>
      </w:pPr>
      <w:r>
        <w:rPr>
          <w:rFonts w:ascii="Amiri" w:hAnsi="Amiri" w:eastAsia="Amiri" w:cs="Amiri"/>
          <w:color w:val="111111"/>
          <w:sz w:val="28"/>
          <w:sz w:val="28"/>
          <w:szCs w:val="28"/>
          <w:rtl w:val="true"/>
          <w:lang w:bidi="ar-SA"/>
        </w:rPr>
        <w:t>تعالى، ولا يجب صرف النماء في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يسمّى وقفاً على الجهة، بمعنى أنّ الواقف ينظر إلى جهة الفقر والمسكنة مثلاً ويقصد نفع موصوف بها لاشخصٍ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فرق فى صحّة المشاركة بين كون الواقف كذلك متّصفاً بالصفة من حين الوقف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عوده إليه عند حاجته، صحّ الشرط وبطل الوقف، وصار حبساً ويعود إليه مع الحاجة ويورث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كونه يورث أنّه يبطل بالموت ويرجع إلى ورثة الواقف وإنْ لم يحصل الشرط، وهو الحاجة حال الحياة؛ لأنّ هذا مقتضى صيرورته 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على الحبس رجوعه في حياته أيضاً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فيها إلى العرف إذا لم يشترط لها قدراً مخصوصاً وإلّا 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عوده مع الحاجة أنّه لا يحتاج معها إلى فسخ العقد، بل ينفسخ بمجرّد ظهورها، وهذا هو الظاهر من شرطه ويحتمل توقّفه على فسخه؛ لأنّ ذلك بمنزلة شرط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الأصاغر جاز أنْ يشترك معهم وإنْ لم يشترط، 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المنع إلّا أنْ يشترط ذلك في عقد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الفقراء أو على الفقهاء فلابدّ من نصب قيِّمٍ لقبض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والناصب الحاكم إنْ اتّفق، وإلّا تولّاه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نصبه قبل إيقاع الصيغة إن اعتبرنا فوريّته، وإلّا جاز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مسجداً صحّ الوقف ولو صلّى فيه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مقبرةً تصير وقفاً بالدفن فيها ولو واحداً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صحّة قبضه كذلك وقوع الفعل بإذن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يقبضه الحاكم أو منصوبه، وإلّا اكتفي به إذا وقع بإذن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الصلاة بين الواجبة والمندوبة، ولابين وقوعها من الواقف وغيره، ولافي المدفون بين الصغير والكبير إذا كان من جملة </w:t>
      </w:r>
      <w:bookmarkStart w:id="1220" w:name="pg10178_84003"/>
    </w:p>
    <w:p>
      <w:pPr>
        <w:pStyle w:val="BookText"/>
        <w:rPr/>
      </w:pPr>
      <w:bookmarkEnd w:id="1220"/>
      <w:r>
        <w:rPr>
          <w:rFonts w:ascii="Amiri" w:hAnsi="Amiri" w:eastAsia="Amiri" w:cs="Amiri"/>
          <w:color w:val="111111"/>
          <w:sz w:val="28"/>
          <w:sz w:val="28"/>
          <w:szCs w:val="28"/>
          <w:rtl w:val="true"/>
          <w:lang w:bidi="ar-SA"/>
        </w:rPr>
        <w:t>الموقوف عليهم ومن في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صرّف الناس في الصلاة في المسجد أو في الدفن، ولم يتلفّظ بالوقف لم يخرج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 أذن لهم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بالحكم على خلاف بعض العامّة </w:t>
      </w:r>
      <w:r>
        <w:rPr>
          <w:rStyle w:val="FootnoteAnchor"/>
          <w:rtl w:val="true"/>
        </w:rPr>
        <w:footnoteReference w:id="474"/>
      </w:r>
      <w:r>
        <w:rPr>
          <w:rFonts w:ascii="Amiri" w:hAnsi="Amiri" w:eastAsia="Amiri" w:cs="Amiri"/>
          <w:color w:val="111111"/>
          <w:sz w:val="28"/>
          <w:sz w:val="28"/>
          <w:szCs w:val="28"/>
          <w:rtl w:val="true"/>
          <w:lang w:bidi="ar-SA"/>
        </w:rPr>
        <w:t>، حيث اكتفى بذلك في تحقّق الوقف؛ قياساً على تقديم الطعام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ظاهر، فإنّ تقديم الطعام إباحةٌ لا يفتقر إلى عقدٍ ولا قبضٍ، بخلاف الوقف</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2019234_1067777946"/>
      <w:bookmarkStart w:id="1222" w:name="_Toc455"/>
      <w:bookmarkEnd w:id="1221"/>
      <w:r>
        <w:rPr>
          <w:rtl w:val="true"/>
        </w:rPr>
        <w:t>[</w:t>
      </w:r>
      <w:r>
        <w:rPr>
          <w:rtl w:val="true"/>
        </w:rPr>
        <w:t>النظر الثالث في اللواحق</w:t>
      </w:r>
      <w:r>
        <w:rPr>
          <w:rtl w:val="true"/>
        </w:rPr>
        <w:t>]</w:t>
      </w:r>
      <w:bookmarkEnd w:id="12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ينتقل إلى مُلك الموقوف عليه؛ لأنّ فائدة الملك موجودة فيه، والمنع من البيع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على منحصرٍ، وإلّا فالأقوى أنّ الملك فيه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انفكاك الموقوف عن ملك الآدميّين واختصاصهم، لاكونه مباحاً كغيره ممّا يملكه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أعتقه الشريك مضى العتق في حصّته ولم يقوّم عليه؛ لأنّ العتق لا ينفذ فيه مباشرةً، فأولى أنْ لا ينفذ 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القول بانتقاله إلى الموقوف عليهم انفكاكه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الأولويّة أنّ العتق مباشرة أقوى من العتق بالسراية؛ لأنّه يؤثّر فى إزالة الملك بلاواسطة، وهي إنّما تؤثّر فيه بواسطة المباشرة، ولأنّها من خواصّ عتق المباشرة وتوابعه، فإذا لم يؤثر الأقوى المتبوع وذو الخاصّة فالأضعف والتابع أولى</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واللزوم الذي ادّعاه المصنِّف على تقدير القول بملك الموقوف عليه غير واضحٍ؛ لأنّ المانع من عتق الموقوف عليه ليس منحصراً في حقّ الشركاء، بل هو ممنوع من التصرّف سواء كان معه شريك أم لا؛ لاقتضاء الوقف بحبس الأصل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فرق بين العتق مباشرةً وسرايةً، وحينئذٍ فعَدم السراية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مملوكاً، كانت نفقته في كسبه، اشترط ذلك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الاكتساب كانت نفقته على الموقوف عليهم، ولو قيل في المسألتين كذلك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ثبوتها على الموقوف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صار مُقعداً انعتق عندنا، فتسقط عنه الخدمة وعن مولاه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تسقط عن مولاه نفقته من حيث هو مملوك، لكنّها حينئذٍ تجب مع عجزه عنها على المسلمين كفايةً كغيره من المضطرّين، والموقوف عليه من الجملة فيجب عليه من هذه الحيثيّة لا من حيث المملوكيّة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الجناية خطأً تعلّقت بمال الموقوف عليه؛ لتعذّر استيفائه من رقبته،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يقام بها مقامه؟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وجوب الشراء ولو لشقص حيث لا يفي بقيمة كامل، كما يجب </w:t>
      </w:r>
      <w:r>
        <w:rPr>
          <w:rStyle w:val="FootnoteAnchor"/>
          <w:rtl w:val="true"/>
        </w:rPr>
        <w:footnoteReference w:id="475"/>
      </w:r>
      <w:r>
        <w:rPr>
          <w:rFonts w:ascii="Amiri" w:hAnsi="Amiri" w:eastAsia="Amiri" w:cs="Amiri"/>
          <w:color w:val="111111"/>
          <w:sz w:val="28"/>
          <w:sz w:val="28"/>
          <w:szCs w:val="28"/>
          <w:rtl w:val="true"/>
          <w:lang w:bidi="ar-SA"/>
        </w:rPr>
        <w:t>شراء أزيد من واحد لو فرض زيادتها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وسبيل الثواب وسبيل الخير كان واحداً، ولا يجب قسمة الفائدة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قسمته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إلى الغزاة والحجّ والعمرة وهو سبيل الله، وثلاثة إلى الفقراء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بأقاربه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سبيل الثواب وثلاثة إلى خمسة أصناف من الذين ذكرهم الله تعالى في آية الصدقات، وهم الفقراء والمساكين وابن السبيل والغارمون والرقاب وهو سبيل الخير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مستند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الثلاثة بمعنى واحد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موالٍ من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أنّه أراد </w:t>
      </w:r>
    </w:p>
    <w:p>
      <w:pPr>
        <w:pStyle w:val="BookText"/>
        <w:rPr/>
      </w:pPr>
      <w:r>
        <w:rPr>
          <w:rFonts w:ascii="Amiri" w:hAnsi="Amiri" w:eastAsia="Amiri" w:cs="Amiri"/>
          <w:color w:val="111111"/>
          <w:sz w:val="28"/>
          <w:sz w:val="28"/>
          <w:szCs w:val="28"/>
          <w:rtl w:val="true"/>
          <w:lang w:bidi="ar-SA"/>
        </w:rPr>
        <w:t>أحدهما انصرف الوقف إليه وإنْ لم يعلم انصرف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البطلان إلّا أنْ تدلّ القرينة على إرادة أحد المعيّنين أو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يقصد شيئاً وإلّا فالمعتبر ما قصده ويقبل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على أولاده انصرف إلى أولاده لصلبه، ولم يدخل معهم أولاد الأولاد،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يشترك الجميع،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تدلّ القرينة الحاليّة أو المقاليّة على تناول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والثانية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 بعد بطنٍ،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فإذا انقرضوا وانقرض أولاد أولادي فعلى الفقراء، فالوقف لأولاده، فإذا انقرضوا،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إلى 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إلى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دخول أولاد الأولاد في هذا الوقف، فيكون منقطع الوسط، فيبطل ما بعد الانقطاع ويصير حبساً على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أخذ السيل ميّتاً، فيُئس منه، كان الكفن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من التركة، أمّا لو كان من جهة غيرها كالزكاة أو الوقف رجع إلى أصله، ولو كان من باذلٍ 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وقع بين الموقوف عليهم خُلْفٌ، بحيث يخشى خرابه، جاز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يقع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البيع أنفع لهم،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والوجه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انقلعت نخلة من الوقف،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التفصيل الجامع بين القولين، بأنّه إنْ أمكن الانتفاع بها بالإجارة؛ للتسقيف ونحوه من وجوه الانتفاع مع بقاء عينها، لم يصحّ البيع، وإلّا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انكسر جذع من الشجرة، أو زمنت الدابّة،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جاز البيع وجب أنْ يشترى بقيمته ما يكون وقفاً، مراعياً للأقرب إلى وضع الأوّل فالأقرب</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البطن الأوّل الوقف مدّةً، ثمّ انقرضوا في أثنائها، فإن قلنا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الموت يبطل الإجارة فلا كلام، وإنْ لم نقل فهل يبطل هنا؟ فيه تردّد، أظهره البطلان؛ لأنّا بيّنّا أنّ هذه المدّة ليست للموجودين، فيكون للبطن الثاني الخيار بين الإجازة في الباقي وبين الفسخ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قويٌّ، إلّا أنْ يكون المؤجر ناظراً على الوقف وآجر لمصلحة الوقف لا 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المؤجر هو الناظر ولم يكن موقوفاً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بالبطلان وقوفه على إجازة البطن المتلقّي له، كما يدلّ عليه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للبطن الثاني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الفقراء، انصرف إلى فقراء البلد ومن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تتبّع من لم 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البلد الذي فيه الوقف لا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النصّ </w:t>
      </w:r>
      <w:r>
        <w:rPr>
          <w:rStyle w:val="FootnoteAnchor"/>
          <w:rtl w:val="true"/>
        </w:rPr>
        <w:footnoteReference w:id="477"/>
      </w:r>
      <w:r>
        <w:rPr>
          <w:rFonts w:ascii="Amiri" w:hAnsi="Amiri" w:eastAsia="Amiri" w:cs="Amiri"/>
          <w:color w:val="111111"/>
          <w:sz w:val="28"/>
          <w:sz w:val="28"/>
          <w:szCs w:val="28"/>
          <w:rtl w:val="true"/>
          <w:lang w:bidi="ar-SA"/>
        </w:rPr>
        <w:t>والأقوى وجوب استيعاب من حضر بالقسمة وإنْ لم تكن 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الاقتصار على أقلّ الجمع </w:t>
      </w:r>
      <w:r>
        <w:rPr>
          <w:rStyle w:val="FootnoteAnchor"/>
          <w:rtl w:val="true"/>
        </w:rPr>
        <w:footnoteReference w:id="478"/>
      </w:r>
      <w:r>
        <w:rPr>
          <w:rFonts w:ascii="Amiri" w:hAnsi="Amiri" w:eastAsia="Amiri" w:cs="Amiri"/>
          <w:color w:val="111111"/>
          <w:sz w:val="28"/>
          <w:sz w:val="28"/>
          <w:szCs w:val="28"/>
          <w:rtl w:val="true"/>
          <w:lang w:bidi="ar-SA"/>
        </w:rPr>
        <w:t>مراعاةً للّفظ، مع كونه مصرفاً لا مستحقّاً محضاً، وإلّا لوجب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الوقف على من لا يحضر في ابتداء الوقف واستدامته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تصير أُمّ 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وتنعتق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عدم صيرورتها أُمّ ولد بذلك؛ لتعلّق حقّ البطون بها سابقاً عليه فيقدّم، كما يقدّم حقّ المرتهن لو أولدها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تزويج الأمة الموقوفة، ومهرها للموجودين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فائدةٌ كأُجرة الدار</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بذلك على خلاف بعض العامّة </w:t>
      </w:r>
      <w:r>
        <w:rPr>
          <w:rStyle w:val="FootnoteAnchor"/>
          <w:rtl w:val="true"/>
        </w:rPr>
        <w:footnoteReference w:id="479"/>
      </w:r>
      <w:r>
        <w:rPr>
          <w:rFonts w:ascii="Amiri" w:hAnsi="Amiri" w:eastAsia="Amiri" w:cs="Amiri"/>
          <w:color w:val="111111"/>
          <w:sz w:val="28"/>
          <w:sz w:val="28"/>
          <w:szCs w:val="28"/>
          <w:rtl w:val="true"/>
          <w:lang w:bidi="ar-SA"/>
        </w:rPr>
        <w:t xml:space="preserve">، حيث منع منه من حيث إنّها إذا حبلت منعت </w:t>
      </w:r>
      <w:bookmarkStart w:id="1223" w:name="pg10178_84007"/>
    </w:p>
    <w:p>
      <w:pPr>
        <w:pStyle w:val="BookText"/>
        <w:rPr/>
      </w:pPr>
      <w:bookmarkEnd w:id="1223"/>
      <w:r>
        <w:rPr>
          <w:rFonts w:ascii="Amiri" w:hAnsi="Amiri" w:eastAsia="Amiri" w:cs="Amiri"/>
          <w:color w:val="111111"/>
          <w:sz w:val="28"/>
          <w:sz w:val="28"/>
          <w:szCs w:val="28"/>
          <w:rtl w:val="true"/>
          <w:lang w:bidi="ar-SA"/>
        </w:rPr>
        <w:t>عن العمل، وربما ماتت في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المصنّف إلى ردّه بما أشار إليه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فائدة من فوائدها وعوض عن منفعتها المختصّة بهم، فلا يقدح فيه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تزويجها الموقوف عليه إنْ قلنا بانتقال الملك إليه، وعلى القول بانتقاله إلى الله تعالى يزوّجها الحاكم، ولو كانت موقوفة على جهة عامّة زوّجها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وطئها الحرّ بشبهة كان ولده حرّاً، وعليه قيمته للموقوف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كون القيمة للموقوف عليهم على وجه الملك التامّ، لاعلى وجه الوقف على أصحّ القولين، كالولد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وطئها الواقف كان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انتقال الملك عنه، إمّا إلى الله تعالى أو إلى الموقوف عليه، ولو قلنا ببقاء ملكه فلا حدّ عليه؛ لشبهة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نفوذ الاستيلاد الخلاف السابق؛ لتعلّق حقّ الموقوف عليه، وأولى بالمنع هنا الصدقة</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2019236_1067777946"/>
      <w:bookmarkStart w:id="1225" w:name="_Toc456"/>
      <w:bookmarkEnd w:id="1224"/>
      <w:r>
        <w:rPr>
          <w:rtl w:val="true"/>
        </w:rPr>
        <w:t>[</w:t>
      </w:r>
      <w:r>
        <w:rPr>
          <w:rtl w:val="true"/>
        </w:rPr>
        <w:t>الصدقة</w:t>
      </w:r>
      <w:r>
        <w:rPr>
          <w:rtl w:val="true"/>
        </w:rPr>
        <w:t>]</w:t>
      </w:r>
      <w:bookmarkEnd w:id="12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الصدقة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الرجوع فيها بعد القبض على الأصحّ؛ لأنّ المقصود بها الأجر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صدقة التطوّع عندنا بمنزلة الهبة في جميع الأحكام</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المقصود بها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جوابه لو سلّم مساواتها للهبة؛ فإنّ الهبة لو جعل لها عوض لا يجوز الرجوع فيها مطلقاً، والصدقة تستلزم العوض دائماً، وهو القربة، فكانت كالمعوّض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 في الهبة التقرّب كان عوضاً كالصدقة ولم يجز الرجوع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 الشيخ ضعيف، أو محمول على عدم اشتراط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والصدقة المفروضة محرّمة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بالصدقة المندوبة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إطلاقه تحريم المفروضة ونفي البأس عن المندوبة وعدم الفرق في المفروضة بين الزكاة وغيرها، وهو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اختصاص الواجبة في غير النبيّ صلى الله عليه و آله و سلم من بني هاشم، ويتّجه فيه تحريم الصدقة مطلقاً، كما اختاره في التذكرة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في الصدقة بعد القبض، سواء عوّض عنها أم لم يعوَّض، لرحم كانت أو لأجنبي،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أفضل من صدقة الجهر، إلّا أنْ يتّهم بترك المواساة، فيظهرها دفعاً للتهمة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قصد بإظهارها متابعة الناس له في ذلك واقتداءهم به؛ لما فيه من التحريض على نفع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الصدقة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المفروضة فإظهارها مطلقاً أفضل؛ للرواية </w:t>
      </w:r>
      <w:r>
        <w:rPr>
          <w:rStyle w:val="FootnoteAnchor"/>
          <w:rtl w:val="true"/>
        </w:rPr>
        <w:footnoteReference w:id="482"/>
      </w:r>
      <w:r>
        <w:rPr>
          <w:rFonts w:ascii="Amiri" w:hAnsi="Amiri" w:eastAsia="Amiri" w:cs="Amiri"/>
          <w:color w:val="111111"/>
          <w:sz w:val="28"/>
          <w:sz w:val="28"/>
          <w:szCs w:val="28"/>
          <w:rtl w:val="true"/>
          <w:lang w:bidi="ar-SA"/>
        </w:rPr>
        <w:t>، ولأنّ الرياء لا يتطرّق إليها غالباً، ولاستحباب حملها إلى الإمام</w:t>
      </w:r>
      <w:r>
        <w:rPr>
          <w:rFonts w:eastAsia="Amiri" w:cs="Amiri" w:ascii="Amiri" w:hAnsi="Amiri"/>
          <w:color w:val="111111"/>
          <w:sz w:val="28"/>
          <w:szCs w:val="28"/>
          <w:rtl w:val="true"/>
          <w:lang w:bidi="ar-SA"/>
        </w:rPr>
        <w:t xml:space="preserve">. </w:t>
      </w:r>
      <w:bookmarkStart w:id="1226" w:name="pg10178_84009"/>
    </w:p>
    <w:p>
      <w:pPr>
        <w:pStyle w:val="Heading2"/>
        <w:numPr>
          <w:ilvl w:val="1"/>
          <w:numId w:val="1"/>
        </w:numPr>
        <w:rPr/>
      </w:pPr>
      <w:bookmarkStart w:id="1227" w:name="__RefHeading___Toc2019238_1067777946"/>
      <w:bookmarkStart w:id="1228" w:name="_Toc457"/>
      <w:bookmarkEnd w:id="1226"/>
      <w:bookmarkEnd w:id="1227"/>
      <w:r>
        <w:rPr>
          <w:rtl w:val="true"/>
        </w:rPr>
        <w:t>كتاب السكنى والحبس</w:t>
      </w:r>
      <w:bookmarkEnd w:id="12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عقد يفتقر إلى الإيجاب والقبول والقبض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يعود إلى السكني بقرينة التأنيث وإنْ كان الحكم في الحبس كذلك، وكان الأولى عوده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تغليب السكنى على ما يعمّ العمرى والرقبى تجوّزٌ آخر، فإنّهما أعمّ منها من وجهٍ، فلو جعل عنوان الكتاب السكنى وتوابعها كان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وتختلف عليها الأسماء بحسب اختلاف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اقترنت بالعمر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وبالإسكان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سكنی، وبالمدّة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الأسماء الثلاثة عليها إنّما يتمّ إذا تعلّقت بالمسكن، وحينئذٍ فيكون السكنی أعمّ منهما؛ لشمولها ما لو أسكنه مدّة مخصوصة، أو عمر أحدهما، أو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سيأتي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صحّ وقفه صحّ إعماره</w:t>
      </w:r>
      <w:r>
        <w:rPr>
          <w:rFonts w:eastAsia="IRNazanin" w:cs="IRNazanin"/>
          <w:color w:val="111111"/>
          <w:sz w:val="28"/>
          <w:szCs w:val="28"/>
          <w:rtl w:val="true"/>
          <w:lang w:bidi="fa-IR"/>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والرقبى بمعناها فلا تختصّان بالمسكن، فيكونان أعمّ منها من هذا الوجه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كانت السكنى أعمّ منهما في عبارته؛ لأنّ مناط إطلاق العمرى اقتران السكنی بالعمر، ومناط الرقبى اقترانها بالمدّة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والسكنى ذكر الإسكان، وذلك يتحقّق بذكر ما اعتبر اقترانه في العقد كيف كان،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اسكنتك هذه الدار مدّة عمرك تحقّقت السكنی؛ لاقترانها بها، والعمرى لاقترانها بالعمر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أعمرتكها عمرك تحقّقت العمرى خاصّة، وإنْ قال أسكنتكها مدّة كذا وكذا تحقّقت السكنى والرقبى، وإنْ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أرقبتكها تحقّقت الرقبی خاصّة، فبينهما عموم وخصوص من وجه، وبين العمرى والرقبى تباينٌ، وحينئذٍ فاختلاف الأسماء عليها كما ذكره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يتمّ مع تعلّقها بالمسكن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 بالقبض،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إنْ قصد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من مذهب الأصحاب هو القول الأوّل،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أعمرتك هذه الدار لك ولعقبك، كان عُمَرى ولم تنتقل إلى المُعمَر، وكان كما لو لم يذكر العقب على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المدّة ولم يعيّنها، كان له الرجوع متى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محصّل هذه الأحكام أنّ السكنى وأُختيها من العقود اللازمة إلّا في صورة واحدة، وهي ما لو أطلق السكنى ولم يعيّن لها وقتاً، فإنّها حينئذٍ من العقود الجائزة مطلقاً على أصحّ القولين؛ لحسنة الحلبي عن الصادق علیه السلام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الإطلاق يلزم الإسكان في مسمّى العقد ولو يوماً؛ ليتحقّق مسمّى الإسكان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والمذهب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 أنّها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باطلة؛ لأنّ مفهومها لا يتحقّق بدون الاقتران بالعمر، بخلاف الرقبی؛ لجواز أخذها من رقبة الملك الذي لا ينافي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 بالبيع، بل يجب أن يُوفَى المعمَر ما شُرِطَ له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خصّ العمرى بالحكم؛ لأنّها صورة النفي بصحّة البيع، ويلحق بها الرقبی بطريق أولى؛ لانضباطها بالمدّة الرافعة للجهالة عن وقت استحقاق المشتري للانتفاع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السكنى إنْ قرنت بمدّة، ولو أُطلقت بطلت بالبيع، كغيرها من العقود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ولافرق </w:t>
      </w:r>
    </w:p>
    <w:p>
      <w:pPr>
        <w:pStyle w:val="BookText"/>
        <w:rPr/>
      </w:pPr>
      <w:r>
        <w:rPr>
          <w:rFonts w:ascii="Amiri" w:hAnsi="Amiri" w:eastAsia="Amiri" w:cs="Amiri"/>
          <w:color w:val="111111"/>
          <w:sz w:val="28"/>
          <w:sz w:val="28"/>
          <w:szCs w:val="28"/>
          <w:rtl w:val="true"/>
          <w:lang w:bidi="ar-SA"/>
        </w:rPr>
        <w:t>بين كون المشتري هو المعمَر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علم بالحال انتظر انقضاء المدّة أو العمر، وله قبل ذلك أنْ يبيع ويهب ويعتق وغير ذلك ممّا لا يتعلّق بالمنفعة المستحقّة، وإنْ كان جاهلاً تخيّر بين الصبر مجّاناً إلى انقضاء المدّة وبين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السكنى يقتضي أنْ يسكن بنفسه وأهله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يسكن غيرهم إلّا أنْ يشترط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إسكان من جرت العادة بإسكانه معه، كجاريته ومرضعة ولده وضيفه ودابّته إذا كان في الدار موضع يصلح لها عادة، وكذا إحراز الغلّة فيها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بعض الأصحاب له إسكان من شاء مطلقاً وإجارته ونقل ملك المنفعة كيف شاء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والأشهر ما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حبس فرسه في سبيل الله أوغلامه في خدمة البيت أو المسجد 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الحبس مورد الوقف، وصحّ حبس كلّ عين ينتفع بها مع بقاء عينها بالشرائط المتقدّمة على الإنسان مطلقاً وعلى القرب؛ حيث يمكن الانتفاع بها فيها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على آدمي بطل بموت الحابس، وإن عيّن مدّةً لزم فيها أجمع، وإن وقع لغيره كالجهات المذكورة من سبيل الله ونحوه لزم أبداً، ولم يصحّ الرجوع فيه مطلقاً</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9" w:name="pg10178_84013"/>
      <w:bookmarkStart w:id="1230" w:name="pg10178_84013"/>
      <w:bookmarkEnd w:id="1230"/>
    </w:p>
    <w:p>
      <w:pPr>
        <w:pStyle w:val="Heading2"/>
        <w:numPr>
          <w:ilvl w:val="1"/>
          <w:numId w:val="1"/>
        </w:numPr>
        <w:rPr/>
      </w:pPr>
      <w:bookmarkStart w:id="1231" w:name="pg10178_84013"/>
      <w:bookmarkStart w:id="1232" w:name="__RefHeading___Toc2019240_1067777946"/>
      <w:bookmarkStart w:id="1233" w:name="_Toc458"/>
      <w:bookmarkEnd w:id="1231"/>
      <w:bookmarkEnd w:id="1232"/>
      <w:r>
        <w:rPr>
          <w:rtl w:val="true"/>
        </w:rPr>
        <w:t>كتاب الهبات</w:t>
      </w:r>
      <w:bookmarkEnd w:id="1233"/>
    </w:p>
    <w:p>
      <w:pPr>
        <w:pStyle w:val="Heading3"/>
        <w:numPr>
          <w:ilvl w:val="2"/>
          <w:numId w:val="1"/>
        </w:numPr>
        <w:rPr/>
      </w:pPr>
      <w:bookmarkStart w:id="1234" w:name="__RefHeading___Toc2019242_1067777946"/>
      <w:bookmarkStart w:id="1235" w:name="_Toc459"/>
      <w:bookmarkEnd w:id="1234"/>
      <w:r>
        <w:rPr>
          <w:rtl w:val="true"/>
        </w:rPr>
        <w:t>اشارة</w:t>
      </w:r>
      <w:bookmarkEnd w:id="1235"/>
    </w:p>
    <w:p>
      <w:pPr>
        <w:pStyle w:val="BookText"/>
        <w:rPr/>
      </w:pPr>
      <w:r>
        <w:rPr>
          <w:rFonts w:ascii="Amiri" w:hAnsi="Amiri" w:eastAsia="Amiri" w:cs="Amiri"/>
          <w:color w:val="111111"/>
          <w:sz w:val="28"/>
          <w:sz w:val="28"/>
          <w:szCs w:val="28"/>
          <w:rtl w:val="true"/>
          <w:lang w:bidi="ar-SA"/>
        </w:rPr>
        <w:t xml:space="preserve">كتاب الهبات </w:t>
      </w:r>
      <w:r>
        <w:rPr>
          <w:rStyle w:val="FootnoteAnchor"/>
          <w:rtl w:val="true"/>
        </w:rPr>
        <w:footnoteReference w:id="487"/>
      </w:r>
    </w:p>
    <w:p>
      <w:pPr>
        <w:pStyle w:val="Heading3"/>
        <w:numPr>
          <w:ilvl w:val="2"/>
          <w:numId w:val="1"/>
        </w:numPr>
        <w:rPr/>
      </w:pPr>
      <w:bookmarkStart w:id="1236" w:name="__RefHeading___Toc2019244_1067777946"/>
      <w:bookmarkStart w:id="1237" w:name="_Toc460"/>
      <w:bookmarkEnd w:id="1236"/>
      <w:r>
        <w:rPr>
          <w:rtl w:val="true"/>
        </w:rPr>
        <w:t>[</w:t>
      </w:r>
      <w:r>
        <w:rPr>
          <w:rtl w:val="true"/>
        </w:rPr>
        <w:t>حقيقة الهبة</w:t>
      </w:r>
      <w:r>
        <w:rPr>
          <w:rtl w:val="true"/>
        </w:rPr>
        <w:t>]</w:t>
      </w:r>
      <w:bookmarkEnd w:id="12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الهبة هي العقد المقتضي تمليك العين من 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المعنى المطلوب من هذه الألفاظ على العقد الدالّ عليها مجاز، من باب إطلاق اسم السبب على المسبّب، وقد تقدّم </w:t>
      </w:r>
      <w:r>
        <w:rPr>
          <w:rStyle w:val="FootnoteAnchor"/>
          <w:rtl w:val="true"/>
        </w:rPr>
        <w:footnoteReference w:id="488"/>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فإنّ التعريف منتقضٌ في عکسه بالهبة المشروط فيها الثواب والمتقرّب بها، فإنّ القربة وإن لم تشترط فيها إلّا أنّها لا تنافيها، بل المتقرّب بها أكمل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ينتقض بالوقف والسكنى وما يلحق بها، بناءً على الأصحّ من عدم اشتراط القربة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يعبّر عنها بالنحلة والعطيّة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للعطيّة، والمصدر النُحل بالضمّ، والعطيّة تطلق على مطلق الإعطاء المتبرّع به، فيشمل الوقف والصدقة والهبة والهديّة والسكنی</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أطلق بعض الفقهاء </w:t>
      </w:r>
      <w:r>
        <w:rPr>
          <w:rStyle w:val="FootnoteAnchor"/>
          <w:rtl w:val="true"/>
        </w:rPr>
        <w:footnoteReference w:id="489"/>
      </w:r>
      <w:r>
        <w:rPr>
          <w:rFonts w:ascii="Amiri" w:hAnsi="Amiri" w:eastAsia="Amiri" w:cs="Amiri"/>
          <w:color w:val="111111"/>
          <w:sz w:val="28"/>
          <w:sz w:val="28"/>
          <w:szCs w:val="28"/>
          <w:rtl w:val="true"/>
          <w:lang w:bidi="ar-SA"/>
        </w:rPr>
        <w:t>عليها اسم العطايا وجمعها في كتاب واحد، فيكون أعمّ من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والنِحلة في معناها، وحينئذٍ فإطلاقها على الهبة كإطلاق الجنس على النوع، لا لكونهما مرادفين لها، كما يظهر من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 الإبراء القبول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ويتأدّى بلفظ الإبراء والصدقة والعفو والإسقاط والهبة وما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بالهبة والإقباض، حُكِم عليه بإقراره، ولو كانت في يد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بعد ذلك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ادّعى المواطأة على الإقرار، وأنّه لم يكن واقعاً، توجّه له اليمين على المتّهب على حصول القبض، أو على عدم المواطأة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 ما هو في يد الموهوب له صحّ، ولم يفتقر إلى إذن الواهب في القبض، ولا أنْ يمضي زمان يمكن فيه القبض، وربما صار إلى ذلك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بذلك تعود إلى مضيّ الزمان خاصّة؛ بمعنى أنّه لا يعتبر تجديد الإذن في القبض لكن يفتقر إلى مضيّ زمان يمكن فيه القبض، وهو ظاهر كلام الشيخ في المبسوط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عوده إلى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ما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وهبة المشاع جائزة، وقبضه كقبضه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التخلية إنْ لم يكن منقولاً، وإلّا اعتبر نقله بإذن الشريك، فإنْ امتنع نصب الحاكم أميناً للقبض، فإنْ تعذّر جاز استقلال المتّهب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القسم الأوّل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قبضت الهبة فإنْ كانت للأبوين لم يكن للواهب الرجوع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ذا رحم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لزوم الهبة بالقبض للقربة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الرحم في هذا الباب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تلزم بالتصرّف؟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اللزوم مع كون التصرّف مغيّراً للعين، أو ناقلاً للملك على وجه لازم، أو مانعاً من الردّ كالاستيلاد، وإلّا فلا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العطيّة لذوي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والتسوية بين الأولاد في العطيّة</w:t>
      </w:r>
      <w:r>
        <w:rPr>
          <w:rFonts w:eastAsia="Amiri" w:cs="Amiri" w:ascii="Amiri" w:hAnsi="Amiri"/>
          <w:color w:val="111111"/>
          <w:sz w:val="28"/>
          <w:szCs w:val="28"/>
          <w:rtl w:val="true"/>
          <w:lang w:bidi="ar-SA"/>
        </w:rPr>
        <w:t xml:space="preserve">». </w:t>
      </w:r>
      <w:bookmarkStart w:id="1238" w:name="pg10178_84015"/>
    </w:p>
    <w:p>
      <w:pPr>
        <w:pStyle w:val="BookText"/>
        <w:rPr/>
      </w:pPr>
      <w:bookmarkEnd w:id="1238"/>
      <w:r>
        <w:rPr>
          <w:rFonts w:ascii="IRNazanin" w:hAnsi="IRNazanin" w:eastAsia="IRNazanin"/>
          <w:color w:val="111111"/>
          <w:sz w:val="28"/>
          <w:sz w:val="28"/>
          <w:szCs w:val="28"/>
          <w:rtl w:val="true"/>
          <w:lang w:bidi="fa-IR"/>
        </w:rPr>
        <w:t>المراد بالتسوية جعل أنصباء الأولاد متساوية، ذكوراً وإناثاً، فتعطى الأُنثى مقدار ما يعطى الذكر وإنْ كان له ضعفها في الإرث،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ساووا بين أولادكم في العطيّة، فلو كنت مفضّلاً أحداً لفضّلت البنات</w:t>
      </w:r>
      <w:r>
        <w:rPr>
          <w:rFonts w:eastAsia="IRNazanin" w:cs="IRNazanin"/>
          <w:color w:val="111111"/>
          <w:sz w:val="28"/>
          <w:szCs w:val="28"/>
          <w:rtl w:val="true"/>
          <w:lang w:bidi="fa-IR"/>
        </w:rPr>
        <w:t xml:space="preserve">» </w:t>
      </w:r>
      <w:r>
        <w:rPr>
          <w:rStyle w:val="FootnoteAnchor"/>
          <w:rtl w:val="true"/>
        </w:rPr>
        <w:footnoteReference w:id="491"/>
      </w:r>
      <w:r>
        <w:rPr>
          <w:rFonts w:ascii="Amiri" w:hAnsi="Amiri" w:eastAsia="Amiri" w:cs="Amiri"/>
          <w:color w:val="111111"/>
          <w:sz w:val="28"/>
          <w:sz w:val="28"/>
          <w:szCs w:val="28"/>
          <w:rtl w:val="true"/>
          <w:lang w:bidi="ar-SA"/>
        </w:rPr>
        <w:t>واستثني من ذلك ترجيح ذي المزيّة؛ لفضيلته، أو زمانة ونحوها،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الرجوع فيما تهبه الزوجة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يجريان مجرى ذوي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قوّة</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2019246_1067777946"/>
      <w:bookmarkStart w:id="1240" w:name="_Toc461"/>
      <w:bookmarkEnd w:id="1239"/>
      <w:r>
        <w:rPr>
          <w:rtl w:val="true"/>
        </w:rPr>
        <w:t>[</w:t>
      </w:r>
      <w:r>
        <w:rPr>
          <w:rtl w:val="true"/>
        </w:rPr>
        <w:t>في حكم الهبات</w:t>
      </w:r>
      <w:r>
        <w:rPr>
          <w:rtl w:val="true"/>
        </w:rPr>
        <w:t>]</w:t>
      </w:r>
      <w:bookmarkEnd w:id="12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فأقبض ثمّ باع من آخر، فإن كان الموهوب له رحماً لم يصحّ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أجنبيّاً ولم يعوّض،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صحّة البيع والفسخ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القول في بيع ذي الخيار وبیع المدبّر والموصى به مطلقاً، والمكاتب حيث يجوز فسخها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الهبة فاسدة صحّ البيع على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تفصيله من كون الهبة لرحم أو غيره، عوِّض عنها أو لم يعوَّض</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يريد به ما هو أعمّ من ذلك، بحيث يشمل ما لو علم الفسادَ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مع عدم العلم قبولُ قوله في عدم القصد إليه على تقدير ملكه، ثمّ أنكر القبض؛ لأنّه يمكن أنْ يخبر عن وهمه، بأنْ يوهم أنّ مجرّد العقد يوجب الملك وإنْ لم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بعض العامّة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دعواه عدم القبض حيث يمكن في حقّه توهّم ذلك وإنْ </w:t>
      </w:r>
    </w:p>
    <w:p>
      <w:pPr>
        <w:pStyle w:val="BookText"/>
        <w:rPr/>
      </w:pPr>
      <w:r>
        <w:rPr>
          <w:rFonts w:ascii="Amiri" w:hAnsi="Amiri" w:eastAsia="Amiri" w:cs="Amiri"/>
          <w:color w:val="111111"/>
          <w:sz w:val="28"/>
          <w:sz w:val="28"/>
          <w:szCs w:val="28"/>
          <w:rtl w:val="true"/>
          <w:lang w:bidi="ar-SA"/>
        </w:rPr>
        <w:t>لم يكن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أجود من قول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اعتقد رأي مالك</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ونحو ذلك، فإنّ ذلك غير شرط، بل مجرّد احتمل فهمه ذلك كافٍ في قبول عذره؛ لأنّها مسألة اجتهاديّة فجاز توهّمه فيها غير ما ينبغي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ذلك كلّه غير شرط؛ لأنّ الخلاف واقع بين أصحابنا في أنّ القبض هل هو شرط في صحّة الهبة، أو في لزومها؟ فعلى الثاني يحصل الملك وإنْ كان متزلزلاً، كما يحصل لذي الخيار، فجاز استناده في حكمه بالملك إلى ذلك، بل يمكن أنْ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عقد الهبة؛ لأنّها تقع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عطف التمليك على الهبة معتدّاً للتاكيد، وهو مقبول وإنْ كانت فائدة التأسيس أقوى، وأولى بالقبول ما لو اقتصر</w:t>
      </w:r>
    </w:p>
    <w:p>
      <w:pPr>
        <w:pStyle w:val="BookText"/>
        <w:rPr/>
      </w:pPr>
      <w:r>
        <w:rPr>
          <w:rFonts w:ascii="Amiri" w:hAnsi="Amiri" w:eastAsia="Amiri" w:cs="Amiri"/>
          <w:color w:val="111111"/>
          <w:sz w:val="28"/>
          <w:sz w:val="28"/>
          <w:szCs w:val="28"/>
          <w:rtl w:val="true"/>
          <w:lang w:bidi="ar-SA"/>
        </w:rPr>
        <w:t xml:space="preserve">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احتمال إرادة الهبة من غير أنْ يعارضه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وأطلق، لم تكن الهبة مشروطة بالثواب، فإنْ أثاب لم يكن للواهب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وهب شيئاً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يشترط الواهب على المتّهب الثواب، أو التعويض على الهبة، أو يشترط عدمه،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اشتراط الثواب إمّا أنْ يعيّنه في قدر مخصوص، أو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اشتراط عدم الثواب لا يلزم مطلقاً، ومع اشتراطه يلزم ما شرطه مطلقاً،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ما عيّن، بمعنى أنّ المتّهب إنْ دفع المشروط وإلّا يسلّط الواهب على الفسخ، وإنْ أطلق اشتراط الثواب لزم الوفاء به، لكن إنْ اتّفقا بعد ذلك على قدر فذاك وإلّا وجب إثابة مقدار الموهوب عيناً أو قيمة، ولا تجب الزيادة وإنْ طلبها الواهب، كما لا يجبر الواهب على قبول الأقلّ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يشترط الثواب فالهبة جائزة من قِبَل الواهب إلّا أنْ يثيبه المتَّهب بما يتّفقان عليه، أو بمثله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هبة الأعلى للأدنى وعكسه والمساوي على 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تلفت والحال هذه أو عابت، لم يضمن الموهوب له؛ لأنّ ذلك حدث في ملكه،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تلفت العين الموهوبة المشروط فيها الثواب، أو تلفت الهبة بمعنى الموهوب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التردّد في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حدوث التلف والنقص في ملك المتّهب فلا يتعقّب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 قبضها على وجه مضمون بعينها أو عوضها، أو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فالواجب عليه 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العوض المشروط، وبذل التالف من العين وأجزائها وأوصافها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صبغ الموهوب له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إذا كان الموهوب له أجنبيّاً كان شريكاً بقيمة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بنسبة قيمته إلى قيمة الثوب، فلو كان الثوب يساوي مائة فصبَغه بعشرين، وصار يساوي مائة وعشرين فصاعداً، وصار شريكاً بالسدس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نقص عن القيمتين فإنْ كان النقص بسبب الصبغ فالذاهب على المتّهب، أو بسب الثوب فعلى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العين المشتملة على الصفة كالصبغ، والصفة المحضة كالقصارة والطحن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الزيادة عيناً محضة كالغرس فلكلّ منهما ماله، وللمالك طلب الإزالة مع الأرش، أو الإبقاء بالأُجرة مع اتّفاقهما عليه كالعارية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في مرضه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مرضه ولم تجز الورثة اعتبرت من الثلث، على الأظهر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اعتبار المرض المتّصل بالموت، سواء كان مخوفاً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 حكماً وبياناً</w:t>
      </w:r>
      <w:r>
        <w:rPr>
          <w:rFonts w:eastAsia="Amiri" w:cs="Amiri" w:ascii="Amiri" w:hAnsi="Amiri"/>
          <w:color w:val="111111"/>
          <w:sz w:val="28"/>
          <w:szCs w:val="28"/>
          <w:rtl w:val="true"/>
          <w:lang w:bidi="ar-SA"/>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1" w:name="pg10178_84019"/>
      <w:bookmarkStart w:id="1242" w:name="pg10178_84019"/>
      <w:bookmarkEnd w:id="1242"/>
    </w:p>
    <w:p>
      <w:pPr>
        <w:pStyle w:val="Heading2"/>
        <w:numPr>
          <w:ilvl w:val="1"/>
          <w:numId w:val="1"/>
        </w:numPr>
        <w:rPr/>
      </w:pPr>
      <w:bookmarkStart w:id="1243" w:name="pg10178_84019"/>
      <w:bookmarkStart w:id="1244" w:name="__RefHeading___Toc2019248_1067777946"/>
      <w:bookmarkStart w:id="1245" w:name="_Toc462"/>
      <w:bookmarkEnd w:id="1243"/>
      <w:bookmarkEnd w:id="1244"/>
      <w:r>
        <w:rPr>
          <w:rtl w:val="true"/>
        </w:rPr>
        <w:t>كتاب السبق والرماية</w:t>
      </w:r>
      <w:bookmarkEnd w:id="1245"/>
    </w:p>
    <w:p>
      <w:pPr>
        <w:pStyle w:val="Heading3"/>
        <w:numPr>
          <w:ilvl w:val="2"/>
          <w:numId w:val="1"/>
        </w:numPr>
        <w:rPr/>
      </w:pPr>
      <w:bookmarkStart w:id="1246" w:name="__RefHeading___Toc2019250_1067777946"/>
      <w:bookmarkStart w:id="1247" w:name="_Toc463"/>
      <w:bookmarkEnd w:id="1246"/>
      <w:r>
        <w:rPr>
          <w:rtl w:val="true"/>
        </w:rPr>
        <w:t>[</w:t>
      </w:r>
      <w:r>
        <w:rPr>
          <w:rtl w:val="true"/>
        </w:rPr>
        <w:t>الفصل الأوّل في الألفاظ المستعملة فيه</w:t>
      </w:r>
      <w:r>
        <w:rPr>
          <w:rtl w:val="true"/>
        </w:rPr>
        <w:t>]</w:t>
      </w:r>
      <w:bookmarkEnd w:id="12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فالسابق هو الذي يتقدَّم بالعُنق والكتِد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بأُذنه، والأوّل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مجمع الكتفين، وهو العالي بين أصل العنق والظهر، وقد يطلق على الكاهل، وعلى ما بينه وبين الظهر، ذكره في القاموس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بالاكتفاء بالأُذن في التقدّم لابن الجنيد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اعتبار التعيين في العقد؛ لعدم دليل صالح على ترجيح أحد الأُمور المعتبرة في التقدّم عند الإطلاق، وإنْ كان المشهور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والمصلّي هو الذي يحاذي رأسه صَلَوى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معرفة المصلّي تظهر على تقدير شرط عوض له، بأنْ يجعل للسابق عوضاً وللمصلّي دونه وهكذا، فيحتاج إلى معرفته أسماء المتسابقين إذا ترتّبوا في الحلبة، وقد جرت العادة بتسمية عشرة منها، وليس لِما بعد العاشر منها اسم إلّا الذي يجيء آخر الخيل كلّها فيقال له الفِسكِل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والكاف وبضمّهما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السابق، سمّي بذلك؛ لأنّه جلّى عن نفسه، أي أظهرها، أو جلّى عن صاحبه وأظهر فروسيّته، أو جلّى همّه حيث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سمّي بذلك لما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البارع؛ لأنّه برع المتأخّر عنه وفاقه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المرتاح، كما ارتاح ونشط فلحق بالسوابق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الحظي، كأنّه حظي عند صاحبه حين لحق بالسوابق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 لأنّه عطف إلى السوابق، أي مال إليها، أو كرّ عليها فلحقها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 لأنّه يؤمّل اللحوق بالسوابق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اللطيم، فعيل بمعنى مفعول؛ لأنّه يلطم إذا أراد الدخول إلى المكان الجامع للسوابق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السكيت، مصغّراً مخفّفاً، ويجوز تشديده، سمّي بذلك؛ لسكوت صاحبه إذا قيل لمن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السكيت آخر خيل الحلبة كالفسكل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Style w:val="FootnoteAnchor"/>
          <w:rtl w:val="true"/>
        </w:rPr>
        <w:footnoteReference w:id="49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الصحاح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وبالتحريك العوض المبذول للسابق وما في معناه،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فالمهملة المفتوحتين،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والمحلّل هو الذي يدخل بين المتراهنين</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المحلّل هو الذي يدخل فرسه بين المتراهنين ولا يبذل معهما عوضاً، بل يُجري فرسه بينهما، أو على أحد الجانبين على وجه يتناوله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سَبَق أخذ </w:t>
      </w:r>
    </w:p>
    <w:p>
      <w:pPr>
        <w:pStyle w:val="BookText"/>
        <w:rPr/>
      </w:pPr>
      <w:r>
        <w:rPr>
          <w:rFonts w:ascii="Amiri" w:hAnsi="Amiri" w:eastAsia="Amiri" w:cs="Amiri"/>
          <w:color w:val="111111"/>
          <w:sz w:val="28"/>
          <w:sz w:val="28"/>
          <w:szCs w:val="28"/>
          <w:rtl w:val="true"/>
          <w:lang w:bidi="ar-SA"/>
        </w:rPr>
        <w:t xml:space="preserve">العوض المبذول للسابق، وإنْ سُبِق لم يغرم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العقد لا يحلّ بدونه عند بعض أصحابنا </w:t>
      </w:r>
      <w:r>
        <w:rPr>
          <w:rStyle w:val="FootnoteAnchor"/>
          <w:rtl w:val="true"/>
        </w:rPr>
        <w:footnoteReference w:id="500"/>
      </w:r>
      <w:r>
        <w:rPr>
          <w:rFonts w:ascii="Amiri" w:hAnsi="Amiri" w:eastAsia="Amiri" w:cs="Amiri"/>
          <w:color w:val="111111"/>
          <w:sz w:val="28"/>
          <w:sz w:val="28"/>
          <w:szCs w:val="28"/>
          <w:rtl w:val="true"/>
          <w:lang w:bidi="ar-SA"/>
        </w:rPr>
        <w:t xml:space="preserve">، وعند بعض العامّة </w:t>
      </w:r>
      <w:r>
        <w:rPr>
          <w:rStyle w:val="FootnoteAnchor"/>
          <w:rtl w:val="true"/>
        </w:rPr>
        <w:footnoteReference w:id="501"/>
      </w:r>
      <w:r>
        <w:rPr>
          <w:rFonts w:ascii="Amiri" w:hAnsi="Amiri" w:eastAsia="Amiri" w:cs="Amiri"/>
          <w:color w:val="111111"/>
          <w:sz w:val="28"/>
          <w:sz w:val="28"/>
          <w:szCs w:val="28"/>
          <w:rtl w:val="true"/>
          <w:lang w:bidi="ar-SA"/>
        </w:rPr>
        <w:t>، أو يحلّ إجماعاً، بخلاف ما إذا خلا عنه، فإنّ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والمراماة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المناضلة مفاعلة من النضل وهو الرمي، قاله الجوهري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إطلاقها على ما يشمل المسابقة بالخيل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 وجهٍ ويدٍ، ويراد به الرمي على ولاء حتّى يفرغ الرشق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بمعنى أنّه مشترك بين العدد الذي يتّفقان عليه وبين الوجه من الرمي لذلك العدد،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رشقاً أي عدداً اتّفقوا عليه،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رشقاً إذا رموا بأجمعهم في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برشق اليد هذا المعنى أيضاً، وإضافته إليها كإضافته إلى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زلج على الأرض ثمّ أصاب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زلج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زلق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حبو الولد على الأرض،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من تحت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ياء فهو نوع من الرمي، قسيم للمبادرة والمحاطّة عند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ثمّ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الخاصرة؛ لأنّها في أحد جانبي الإنسان، سمّي به لإصابته أحد جانبي الغرض، وهو في معنى خاصرته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خدشه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الخازق بالخاء والزاي المعجمتين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الغرض، وظاهره أنّه </w:t>
      </w:r>
    </w:p>
    <w:p>
      <w:pPr>
        <w:pStyle w:val="BookText"/>
        <w:rPr/>
      </w:pPr>
      <w:r>
        <w:rPr>
          <w:rFonts w:ascii="Amiri" w:hAnsi="Amiri" w:eastAsia="Amiri" w:cs="Amiri"/>
          <w:color w:val="111111"/>
          <w:sz w:val="28"/>
          <w:sz w:val="28"/>
          <w:szCs w:val="28"/>
          <w:rtl w:val="true"/>
          <w:lang w:bidi="ar-SA"/>
        </w:rPr>
        <w:t xml:space="preserve">لم يثقبه ولم يثبت فيه، وبهذا صرّح في القواعد </w:t>
      </w:r>
      <w:r>
        <w:rPr>
          <w:rStyle w:val="FootnoteAnchor"/>
          <w:rtl w:val="true"/>
        </w:rPr>
        <w:footnoteReference w:id="503"/>
      </w:r>
      <w:r>
        <w:rPr>
          <w:rFonts w:ascii="Amiri" w:hAnsi="Amiri" w:eastAsia="Amiri" w:cs="Amiri"/>
          <w:color w:val="111111"/>
          <w:sz w:val="28"/>
          <w:sz w:val="28"/>
          <w:szCs w:val="28"/>
          <w:rtl w:val="true"/>
          <w:lang w:bidi="ar-SA"/>
        </w:rPr>
        <w:t xml:space="preserve">والتحرير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أهل اللغة بخلاف ذلك، ففي نهاية ابن الأثير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خزق السهم وخسق إذا أصاب الرمية ونفذ فيها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الخازق من السهام المُقَرْطَسَ، والخاسق لغة فيه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باب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فقَرْطَسَ إذا أصابه </w:t>
      </w:r>
      <w:r>
        <w:rPr>
          <w:rStyle w:val="FootnoteAnchor"/>
          <w:rtl w:val="true"/>
        </w:rPr>
        <w:footnoteReference w:id="507"/>
      </w:r>
      <w:r>
        <w:rPr>
          <w:rFonts w:ascii="Amiri" w:hAnsi="Amiri" w:eastAsia="Amiri" w:cs="Amiri"/>
          <w:color w:val="111111"/>
          <w:sz w:val="28"/>
          <w:sz w:val="28"/>
          <w:szCs w:val="28"/>
          <w:rtl w:val="true"/>
          <w:lang w:bidi="ar-SA"/>
        </w:rPr>
        <w:t>، وظاهره أنّه ما أصاب الغرض مطلقاً، وهو مع مخالفته لكلام النهاية توافقه في أنّ الخاسق هو الخازق، خلاف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من الغرض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بالخاء المعجمة والراء المهملة، ومعناه موافق للمفهوم منه لغةً؛ لأنّ الخرق الشقّ، فإذا شقّه ونفذ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سقط منه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خرقه، لكنّه ليس من أسمائه المعدودة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التحرير جعل الخارق بمعنى الخاسق، وجعل الخازق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مغايراً له </w:t>
      </w:r>
      <w:r>
        <w:rPr>
          <w:rStyle w:val="FootnoteAnchor"/>
          <w:rtl w:val="true"/>
        </w:rPr>
        <w:footnoteReference w:id="508"/>
      </w:r>
      <w:r>
        <w:rPr>
          <w:rFonts w:ascii="Amiri" w:hAnsi="Amiri" w:eastAsia="Amiri" w:cs="Amiri"/>
          <w:color w:val="111111"/>
          <w:sz w:val="28"/>
          <w:sz w:val="28"/>
          <w:szCs w:val="28"/>
          <w:rtl w:val="true"/>
          <w:lang w:bidi="ar-SA"/>
        </w:rPr>
        <w:t xml:space="preserve">، كما مرّ خلاف ما ذكره أهل اللغة، ولو حمل في كلامه الخارق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مرادفاً للخاسق، كان موافقاً لكلام أهل اللغة، لكن ذكره بعد ذلك الخارق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وتعريفه بأنّه ما خدشه ولم يثقبه يوجب تعيّن كونه بالزاي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 الذي يضرب الأرض ثمّ يثب إلى الغرض</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الازدلاف التقدّم، وخصّه هنا بما يقع على الأرض ثمّ يتقدّم إلى الغرض، وعلى هذا فيرادف 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القواعد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تأخير المصنِّف ذكر المزدلف عن </w:t>
      </w:r>
      <w:bookmarkStart w:id="1248" w:name="pg10178_84023"/>
    </w:p>
    <w:p>
      <w:pPr>
        <w:pStyle w:val="BookText"/>
        <w:rPr/>
      </w:pPr>
      <w:bookmarkEnd w:id="1248"/>
      <w:r>
        <w:rPr>
          <w:rFonts w:ascii="Amiri" w:hAnsi="Amiri" w:eastAsia="Amiri" w:cs="Amiri"/>
          <w:color w:val="111111"/>
          <w:sz w:val="28"/>
          <w:sz w:val="28"/>
          <w:szCs w:val="28"/>
          <w:rtl w:val="true"/>
          <w:lang w:bidi="ar-SA"/>
        </w:rPr>
        <w:t>الحابي إشعار بالمغايرة بينهما، ولعلّ المزدلف عنده أقوى فعلاً من الحابي، حيث اعتبر فيه ضرب الأرض المقتضي لقوّة اعتماده، بخلاف الحابي فإنّه اقتصر فيه على مجرّد زلقه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يبادر أحدهما إلى الإصابة مع التساوي في الرشق، والمحاطّة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إسقاط ما تساويا فيه من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يتّفقا على رمي عدد، كعشرين سهماً مثلاً، فمن بدر إلى إصابة عدد معيّن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ناضل لمن رماها ولم يصبه، أو أصاب مادونه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تقابل إصاباتهما من العدد المشترط ويطرح المشترك من الإصابات، فمن زاد فيها بعدد معيّن كخمسة مثلاً فناضل للآخر، فيستحقّ المال المشروط للسابق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أنّ ما ذكره المصنِّف من تعريفهما غير سديد؛ لدخول كلّ منهما في تعريف الآخر، فإنّ بدار أحدهما إلى الإصابة مع التساوي في الرشق متحقّق ظاهراً مع شرط المحاطّة، وإسقاط ما تساويا فيه من الإصابة يتحقّق مع شرط المبادرة، ومع ذلك فالمقصود من معناهما غير حاصل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فالأسدّ في تعريفهما ما أشرنا إليه من أنّ المبادرة هي اشتراط استحقاق العوض لمن بدر إلى إصابة عدد معيّن من مقدار رشق معيّن مع تساويهما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والمحاطّة هي اشتراط استحقاق لمن خلص له من الإصابة عدد معلوم بعد مقابلة إصابات أحدهما بإصابات الآخر وطرح ما اشتركا فيه</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2019252_1067777946"/>
      <w:bookmarkStart w:id="1250" w:name="_Toc464"/>
      <w:bookmarkEnd w:id="1249"/>
      <w:r>
        <w:rPr>
          <w:rtl w:val="true"/>
        </w:rPr>
        <w:t>[</w:t>
      </w:r>
      <w:r>
        <w:rPr>
          <w:rtl w:val="true"/>
        </w:rPr>
        <w:t>الفصل الثاني في مايسابق به</w:t>
      </w:r>
      <w:r>
        <w:rPr>
          <w:rtl w:val="true"/>
        </w:rPr>
        <w:t>]</w:t>
      </w:r>
      <w:bookmarkEnd w:id="12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ويقتصر في الجواز على النصل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ويدخل تحت النصل السهم، والنشّاب</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أنّ السهم هو النشّاب، 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وظاهره أنّهما </w:t>
      </w:r>
      <w:bookmarkStart w:id="1251" w:name="pg10178_84024"/>
    </w:p>
    <w:p>
      <w:pPr>
        <w:pStyle w:val="BookText"/>
        <w:rPr/>
      </w:pPr>
      <w:bookmarkEnd w:id="1251"/>
      <w:r>
        <w:rPr>
          <w:rFonts w:ascii="Amiri" w:hAnsi="Amiri" w:eastAsia="Amiri" w:cs="Amiri"/>
          <w:color w:val="111111"/>
          <w:sz w:val="28"/>
          <w:sz w:val="28"/>
          <w:szCs w:val="28"/>
          <w:rtl w:val="true"/>
          <w:lang w:bidi="ar-SA"/>
        </w:rPr>
        <w:t>مترادفان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فعطف النشاب على السهام من عطف المرادف وإنْ اختلفا بالجمع والإفراد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يختصّ أحدهما أو كلّ منهما بنوع خاصّ أو بلغة، كما قيل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المسابقة بالطيور، ولا على القدم، ولا بالسفن، ولا بالمصارعة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المنع المسابقة بعقد مشتمل على العوض للسابق، كما هو مقتضى عقد المسابقة، أمّا لو تجرّد الفعل عن العوض فالأظهر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مطلقاً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2" w:name="__RefHeading___Toc2019254_1067777946"/>
      <w:bookmarkStart w:id="1253" w:name="_Toc465"/>
      <w:bookmarkEnd w:id="1252"/>
      <w:r>
        <w:rPr>
          <w:rtl w:val="true"/>
        </w:rPr>
        <w:t>[</w:t>
      </w:r>
      <w:r>
        <w:rPr>
          <w:rtl w:val="true"/>
        </w:rPr>
        <w:t>الفصل الثالث في عقد المسابقة والرماية</w:t>
      </w:r>
      <w:r>
        <w:rPr>
          <w:rtl w:val="true"/>
        </w:rPr>
        <w:t>]</w:t>
      </w:r>
      <w:bookmarkEnd w:id="12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يفتقر إلى إيجاب وقبول،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جعالة فلا تفتقر إلى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أنّها عقد لازم فيفتقر إلى الإيجاب والقبول بشرائطهما المعتبرة 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التساوي في الموقف؟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مع احتمال السبق من كلّ منهما، وإلّا لم يصحّ قطعاً، لكن يكون المانع من الصحّة ذلك لا التفاوت في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الرمي فيفتقر إلى العلم بأُمور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وتماثل جنس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العلم بالأُمور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عنها، والعبارة في قوّة افتقاره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بالأُمور الستّة خارج عنها،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 جنس الآلة وإنّما فصله عنها؛ لأنّه ممّا يفتقر إليه في العقد لا ممّا يجب أنْ يعلم، بخلاف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بتماثل الآلة تماثل ما يرميان به من القوس في الصنف، ومن السهم؛ لاختلاف الرمي باختلافه، فيجب ضبطه حذراً من الجهالة، كاختلاف حيوان السباق</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التعيين في العقد، ويحمل الإطلاق على المتعارف إنْ كان وإلّا </w:t>
      </w:r>
      <w:bookmarkStart w:id="1254" w:name="pg10178_84025"/>
    </w:p>
    <w:p>
      <w:pPr>
        <w:pStyle w:val="BookText"/>
        <w:rPr/>
      </w:pPr>
      <w:bookmarkEnd w:id="1254"/>
      <w:r>
        <w:rPr>
          <w:rFonts w:ascii="Amiri" w:hAnsi="Amiri" w:eastAsia="Amiri" w:cs="Amiri"/>
          <w:color w:val="111111"/>
          <w:sz w:val="28"/>
          <w:sz w:val="28"/>
          <w:szCs w:val="28"/>
          <w:rtl w:val="true"/>
          <w:lang w:bidi="ar-SA"/>
        </w:rPr>
        <w:t xml:space="preserve">فما يتّفقان عليه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المحاطّة أو المبادرة تردّد، والظاهر 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إلى أحدهما تعيّنه، ومن ثمّ اختلف القائلون بعدم اشتراط التعيين في انصرافه إلى كلّ منهما</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2019256_1067777946"/>
      <w:bookmarkStart w:id="1256" w:name="_Toc466"/>
      <w:bookmarkEnd w:id="1255"/>
      <w:r>
        <w:rPr>
          <w:rtl w:val="true"/>
        </w:rPr>
        <w:t>[</w:t>
      </w:r>
      <w:r>
        <w:rPr>
          <w:rtl w:val="true"/>
        </w:rPr>
        <w:t>الفصل الرابع في أحكام النضال</w:t>
      </w:r>
      <w:r>
        <w:rPr>
          <w:rtl w:val="true"/>
        </w:rPr>
        <w:t>]</w:t>
      </w:r>
      <w:bookmarkEnd w:id="12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أجنبي 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خمسة، فتساووا في بلوغ الغاية، فلا شيء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سبق أحدهم كانت الخمسة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سبق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لهما دون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سبق ثلاثة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مع سبق اثنين فصاعداً استحقاق كلّ واحد منهما تمام العوض المبذول؛ لأنّه في مقابلة السبق، وقد تحقّق من كلّ واحد منهم،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فله دينار فدخلها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درهمان، ومن صلّى فله درهم، فلو سبق واحد أو اثنان أو أربعة فلهم الدرهمان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هنا كالسابق في استحقاق كلّ واحد من المتعدّد مابُذل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الفراغ من نساختها يوم الأربعاء المبارك رابع عشر جمادى الأُولى 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أفقر عباد الله وأحوجهم إليه سعد الدين بن محمّد الجزايري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بلطفه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7" w:name="pg10178_84027"/>
      <w:bookmarkStart w:id="1258" w:name="pg10178_84027"/>
      <w:bookmarkEnd w:id="1258"/>
    </w:p>
    <w:p>
      <w:pPr>
        <w:pStyle w:val="Heading2"/>
        <w:numPr>
          <w:ilvl w:val="1"/>
          <w:numId w:val="1"/>
        </w:numPr>
        <w:rPr/>
      </w:pPr>
      <w:bookmarkStart w:id="1259" w:name="pg10178_84027"/>
      <w:bookmarkStart w:id="1260" w:name="__RefHeading___Toc2019258_1067777946"/>
      <w:bookmarkStart w:id="1261" w:name="_Toc467"/>
      <w:bookmarkEnd w:id="1259"/>
      <w:bookmarkEnd w:id="1260"/>
      <w:r>
        <w:rPr>
          <w:rtl w:val="true"/>
        </w:rPr>
        <w:t>حاشية المختصر النافع</w:t>
      </w:r>
      <w:bookmarkEnd w:id="1261"/>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2" w:name="__RefHeading___Toc2019260_1067777946"/>
      <w:bookmarkStart w:id="1263" w:name="_Toc468"/>
      <w:bookmarkEnd w:id="1262"/>
      <w:r>
        <w:rPr>
          <w:rtl w:val="true"/>
        </w:rPr>
        <w:t>اشارة</w:t>
      </w:r>
      <w:bookmarkEnd w:id="1263"/>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4" w:name="pg10178_84029"/>
      <w:bookmarkStart w:id="1265" w:name="pg10178_84029"/>
      <w:bookmarkEnd w:id="1265"/>
    </w:p>
    <w:p>
      <w:pPr>
        <w:pStyle w:val="Heading3"/>
        <w:numPr>
          <w:ilvl w:val="2"/>
          <w:numId w:val="1"/>
        </w:numPr>
        <w:rPr/>
      </w:pPr>
      <w:bookmarkStart w:id="1266" w:name="pg10178_84029"/>
      <w:bookmarkStart w:id="1267" w:name="__RefHeading___Toc2019262_1067777946"/>
      <w:bookmarkStart w:id="1268" w:name="_Toc469"/>
      <w:bookmarkEnd w:id="1266"/>
      <w:bookmarkEnd w:id="1267"/>
      <w:r>
        <w:rPr>
          <w:rtl w:val="true"/>
        </w:rPr>
        <w:t>مقدّمة التحقيق</w:t>
      </w:r>
      <w:bookmarkEnd w:id="12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نبيّنا الأكرم صلی الله علیه و آله و سلم وأهل بيته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فإنّ كتاب المختصر النافع تأليف الشيخ نجم الدين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المتون المهمّة للفقه الجعفري، لخصّه المؤلّف من كتاب شرائع الإسلام ولهذا يسمّى أيضاً النافع في مختصر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على إيجازه يعدّ أحد المتون المهمّة في فقه الشيعة الإماميّة، التي عوّل عليها كافّة الفقهاء ودارت عليه رحى التدريس والتعليق والشرح من لدن عصر المؤلّف حتّى اليوم، ذكر صاحب الذريعة، له اثنين وثلاثين شرحاً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أسماء عدد من الشروح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للشيخ الفقيه الحسن بن أبي طالب 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الشروح بعد شرح الماتن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للماتن نفسه أبي القاسم نجم الدین جعفر بن الحسن بن يحيى بن سعيد الهذلي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للفاضل المقداد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للشيخ جمال الدين أبي العبّاس أحمد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 من الشروح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دوِّنت عليها حواشٍ وتعليقات كثيرة ومفيدة، منها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الفرائض منها خاصّة، للشيخ نور الدين عليّ بن حسين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عليّ بن عبد العالي الكركي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إبراهيم بن سليمان القطيفي، صاحب الشرح المسمّى بإيضاح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السعيد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عبد العالي ابن المحقّق الشيخ 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عليّ بن الشيخ محمّد، سبط الشهيد الثاني وصاحب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عبد النبيّ بن سعد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الشيخ عليّ بن سليمان بن درويش بن حاتم القدمي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الشيخ أحمد بن عليّ بن الحسين بن عليّ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الشهيد الثاني</w:t>
      </w:r>
    </w:p>
    <w:p>
      <w:pPr>
        <w:pStyle w:val="BookText"/>
        <w:rPr/>
      </w:pPr>
      <w:r>
        <w:rPr>
          <w:rFonts w:ascii="Amiri" w:hAnsi="Amiri" w:eastAsia="Amiri" w:cs="Amiri"/>
          <w:color w:val="111111"/>
          <w:sz w:val="28"/>
          <w:sz w:val="28"/>
          <w:szCs w:val="28"/>
          <w:rtl w:val="true"/>
          <w:lang w:bidi="ar-SA"/>
        </w:rPr>
        <w:t>حاشية مختصرة صغيرة الحجم كتبها لتوضيح المهمّ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اللغة، وبيان المراد من المطلقات والمبهمات، وتفصيل المجمل منه، مع الإشارة إلى بعض أدلّة الأحكام وتأييد بعض فتاوى الماتن، وردّ بعض تردّداته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نسبه إليه من المترجمين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ابن العودي في رسالة بغية المريد،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حاشية على المختصر النافع، تشتمل على تحقيق المهمّ منها</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الشيخ الحرّ </w:t>
      </w:r>
    </w:p>
    <w:p>
      <w:pPr>
        <w:pStyle w:val="BookText"/>
        <w:rPr/>
      </w:pPr>
      <w:r>
        <w:rPr>
          <w:rFonts w:ascii="Amiri" w:hAnsi="Amiri" w:eastAsia="Amiri" w:cs="Amiri"/>
          <w:color w:val="111111"/>
          <w:sz w:val="28"/>
          <w:sz w:val="28"/>
          <w:szCs w:val="28"/>
          <w:rtl w:val="true"/>
          <w:lang w:bidi="ar-SA"/>
        </w:rPr>
        <w:t xml:space="preserve">العاملي في أمل الآمل </w:t>
      </w:r>
      <w:r>
        <w:rPr>
          <w:rStyle w:val="FootnoteAnchor"/>
          <w:rtl w:val="true"/>
        </w:rPr>
        <w:footnoteReference w:id="517"/>
      </w:r>
      <w:r>
        <w:rPr>
          <w:rFonts w:ascii="Amiri" w:hAnsi="Amiri" w:eastAsia="Amiri" w:cs="Amiri"/>
          <w:color w:val="111111"/>
          <w:sz w:val="28"/>
          <w:sz w:val="28"/>
          <w:szCs w:val="28"/>
          <w:rtl w:val="true"/>
          <w:lang w:bidi="ar-SA"/>
        </w:rPr>
        <w:t xml:space="preserve">، والبحراني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اللؤلؤة </w:t>
      </w:r>
      <w:r>
        <w:rPr>
          <w:rStyle w:val="FootnoteAnchor"/>
          <w:rtl w:val="true"/>
        </w:rPr>
        <w:footnoteReference w:id="518"/>
      </w:r>
      <w:r>
        <w:rPr>
          <w:rFonts w:ascii="Amiri" w:hAnsi="Amiri" w:eastAsia="Amiri" w:cs="Amiri"/>
          <w:color w:val="111111"/>
          <w:sz w:val="28"/>
          <w:sz w:val="28"/>
          <w:szCs w:val="28"/>
          <w:rtl w:val="true"/>
          <w:lang w:bidi="ar-SA"/>
        </w:rPr>
        <w:t xml:space="preserve">، والروضاتي في روضات الجنّات </w:t>
      </w:r>
      <w:r>
        <w:rPr>
          <w:rStyle w:val="FootnoteAnchor"/>
          <w:rtl w:val="true"/>
        </w:rPr>
        <w:footnoteReference w:id="519"/>
      </w:r>
      <w:r>
        <w:rPr>
          <w:rFonts w:ascii="Amiri" w:hAnsi="Amiri" w:eastAsia="Amiri" w:cs="Amiri"/>
          <w:color w:val="111111"/>
          <w:sz w:val="28"/>
          <w:sz w:val="28"/>
          <w:szCs w:val="28"/>
          <w:rtl w:val="true"/>
          <w:lang w:bidi="ar-SA"/>
        </w:rPr>
        <w:t xml:space="preserve">، والأفندني الإصفهاني في رياض العلماء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أقا بزرك الطهراني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الحاشية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السعيد زين الدين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تعليقات علّقها من جعله الله للشيعة عيناً وللشريعة زيناً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العبارة المنقولة من أوّلها ليست من عبارة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من الكاتب والناسخ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يصرّح المصنّف بتأريخ تأليف الحاشية، ولم يرد أيضاً في 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الحاشية لأوّل مرّة في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في تحقيقها على ثلاث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استنسخت عام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بالقطع الرقعي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مخطوطة مكتبة آية الله العظمى الكلبايكاني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بقم المقدّسة، المرقّمة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مكتوبة في حاشية مخطوطة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المدرسة الفيضيّة، بقم المقدّسة، المرقّمة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أيضاً في حاشية مخطوطة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أكمل النسخ وأحسنها، ولذلك جعلناها أساساً 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أنّ الكتاب قد تمّ تحقيقه على أيدي جمع من المحقّقين الأفاضل في مركزنا منذ سنوات، نخصّ منهم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الشيخ عليّ الأسدي، فإنّه تصدّى </w:t>
      </w:r>
    </w:p>
    <w:p>
      <w:pPr>
        <w:pStyle w:val="BookText"/>
        <w:rPr/>
      </w:pPr>
      <w:r>
        <w:rPr>
          <w:rFonts w:ascii="Amiri" w:hAnsi="Amiri" w:eastAsia="Amiri" w:cs="Amiri"/>
          <w:color w:val="111111"/>
          <w:sz w:val="28"/>
          <w:sz w:val="28"/>
          <w:szCs w:val="28"/>
          <w:rtl w:val="true"/>
          <w:lang w:bidi="ar-SA"/>
        </w:rPr>
        <w:t>لتحقيق هذه الحاشية من بدء الاستنساخ حتّى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تقرر طبع الكتاب ضمن قالب موسوعة الشهيد الثاني، ندب مركزنا كلّاً من حجج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الباقري والشيخ عليّ أوسط الناطقي والشيخ نعمة الله الجليلي والشيخ ولي الله القرباني والأُستاذ الأديب أسعد الطيّب والشيخ محسن النوروزي والشيخ عقيل فرزانة والأخ إسماعيل بيك المندلاوي والأخ حسان فرادي، حيث ساهموا في المراجعة النهائيّة للكتاب، وتصحيح الطبعة السابقة، والمقابلة، وتبديل إرجاعات الطبعة السابقة إلى الطبعة الجديدة، فجزاهم الله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69" w:name="pg10178_84033"/>
    </w:p>
    <w:p>
      <w:pPr>
        <w:pStyle w:val="Heading3"/>
        <w:numPr>
          <w:ilvl w:val="2"/>
          <w:numId w:val="1"/>
        </w:numPr>
        <w:rPr/>
      </w:pPr>
      <w:bookmarkStart w:id="1270" w:name="__RefHeading___Toc2019264_1067777946"/>
      <w:bookmarkStart w:id="1271" w:name="_Toc470"/>
      <w:bookmarkEnd w:id="1269"/>
      <w:bookmarkEnd w:id="1270"/>
      <w:r>
        <w:rPr>
          <w:rtl w:val="true"/>
        </w:rPr>
        <w:t>نماذج من مصوّرات النسخ الخطّیّة المعتمدة في التحقیق</w:t>
      </w:r>
      <w:bookmarkEnd w:id="1271"/>
    </w:p>
    <w:p>
      <w:pPr>
        <w:pStyle w:val="BookText"/>
        <w:rPr/>
      </w:pPr>
      <w:r>
        <w:rPr>
          <w:rFonts w:ascii="Amiri" w:hAnsi="Amiri" w:eastAsia="Amiri" w:cs="Amiri"/>
          <w:color w:val="111111"/>
          <w:sz w:val="28"/>
          <w:sz w:val="28"/>
          <w:szCs w:val="28"/>
          <w:rtl w:val="true"/>
          <w:lang w:bidi="ar-SA"/>
        </w:rPr>
        <w:t>الصورة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الرجل يحْصَرُ حَصَراً، مثل تَعِبَ يَتْعَبُ تَعَباً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 بَصَرُه يَحْسِرُ حُسُوراً، أي كَلَّ وانقَطَعَ بَصَرُه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عدم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عترته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بالعترة الأَئِمَّةُ الاثنا عَشَرَ وفاطمةُ علیها السلام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نَسْلُه ورَهْطُه الأَدْنونَ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يَدْخُلُ في الأوَّلِ مَن عدا عليّ علیه السلام، ويَدْخُلُ هو في الثاني</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وإرغام الأنف إلصاقه بالتراب، كِناية عن ذِلَّته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1272" w:name="pg10178_84036"/>
    </w:p>
    <w:p>
      <w:pPr>
        <w:pStyle w:val="Heading3"/>
        <w:numPr>
          <w:ilvl w:val="2"/>
          <w:numId w:val="1"/>
        </w:numPr>
        <w:rPr/>
      </w:pPr>
      <w:bookmarkStart w:id="1273" w:name="__RefHeading___Toc2019266_1067777946"/>
      <w:bookmarkStart w:id="1274" w:name="_Toc471"/>
      <w:bookmarkEnd w:id="1272"/>
      <w:bookmarkEnd w:id="1273"/>
      <w:r>
        <w:rPr>
          <w:rtl w:val="true"/>
        </w:rPr>
        <w:t>كتاب الطهارة</w:t>
      </w:r>
      <w:bookmarkEnd w:id="1274"/>
    </w:p>
    <w:p>
      <w:pPr>
        <w:pStyle w:val="Heading4"/>
        <w:numPr>
          <w:ilvl w:val="3"/>
          <w:numId w:val="1"/>
        </w:numPr>
        <w:rPr/>
      </w:pPr>
      <w:bookmarkStart w:id="1275" w:name="__RefHeading___Toc2019268_1067777946"/>
      <w:bookmarkStart w:id="1276" w:name="_Toc472"/>
      <w:bookmarkEnd w:id="1275"/>
      <w:r>
        <w:rPr>
          <w:rtl w:val="true"/>
        </w:rPr>
        <w:t>[</w:t>
      </w:r>
      <w:r>
        <w:rPr>
          <w:rtl w:val="true"/>
        </w:rPr>
        <w:t>في المياه</w:t>
      </w:r>
      <w:r>
        <w:rPr>
          <w:rtl w:val="true"/>
        </w:rPr>
        <w:t>]</w:t>
      </w:r>
      <w:bookmarkEnd w:id="12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الحَدَثَ ويزيل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الحادِثُ للمكلَّفِ عند حصولِ أحدِ الأسبابِ الموجبة لخُصُوصِيَّةِ، المُتَوقِّفِ رفعُها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الخبث 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أحد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 المَعْهُودَةِ، وهي اللَون والطَعْمُ والرائحَةُ، دون باقي الأوصاف كالبرُودةِ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كرِّيَّته وإِلّا يَنْجُسُ كالواقفِ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تساوت سُطُوحُه، اعتبرت كُرِّيَّةُ جميعِ الماء، ولو اخْتَلَفَت وعَرَضَت له نَجاسَةٌ، لم يَنْجُس الأعلى مطلقاً، ولا الأسفلُ إن كان الجميعُ كرّاً، ولو استَوعَب التغيّرُ ما بين حافتَيْه اشْتُرِطَ في عدمِ نَجاسَةِ الأسفلِ كونه كرّاً، ولا يُضَمّ عليه الأعلى ولا الممتَزِجُ</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2019270_1067777946"/>
      <w:bookmarkStart w:id="1278" w:name="_Toc473"/>
      <w:bookmarkEnd w:id="1277"/>
      <w:r>
        <w:rPr>
          <w:rtl w:val="true"/>
        </w:rPr>
        <w:t>[</w:t>
      </w:r>
      <w:r>
        <w:rPr>
          <w:rtl w:val="true"/>
        </w:rPr>
        <w:t>منزوحات البئر</w:t>
      </w:r>
      <w:r>
        <w:rPr>
          <w:rtl w:val="true"/>
        </w:rPr>
        <w:t>]</w:t>
      </w:r>
      <w:bookmarkEnd w:id="12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النَجِسَةُ المائعَةُ بالأَصالَةِ، فلا تَنجُسُ الحَشِيشةُ ونحوها وإن عَرَضَ لها مَيَعانٌ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تراوَحَ عليها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بالقومِ الرِجالُ، فلا يجزئ النساءُ ولا الخُناثى ولا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يكونوا أربعةً فصاعِداً</w:t>
      </w:r>
      <w:r>
        <w:rPr>
          <w:rFonts w:eastAsia="Amiri" w:cs="Amiri" w:ascii="Amiri" w:hAnsi="Amiri"/>
          <w:color w:val="111111"/>
          <w:sz w:val="28"/>
          <w:szCs w:val="28"/>
          <w:rtl w:val="true"/>
          <w:lang w:bidi="ar-SA"/>
        </w:rPr>
        <w:t xml:space="preserve">. </w:t>
      </w:r>
      <w:bookmarkStart w:id="1279" w:name="pg10178_84037"/>
    </w:p>
    <w:p>
      <w:pPr>
        <w:pStyle w:val="BookText"/>
        <w:rPr/>
      </w:pPr>
      <w:bookmarkEnd w:id="127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قال الثلاثة </w:t>
      </w:r>
      <w:r>
        <w:rPr>
          <w:rStyle w:val="FootnoteAnchor"/>
          <w:rtl w:val="true"/>
        </w:rPr>
        <w:footnoteReference w:id="527"/>
      </w:r>
      <w:r>
        <w:rPr>
          <w:rFonts w:ascii="Amiri" w:hAnsi="Amiri" w:eastAsia="Amiri" w:cs="Amiri"/>
          <w:color w:val="111111"/>
          <w:sz w:val="28"/>
          <w:sz w:val="28"/>
          <w:szCs w:val="28"/>
          <w:rtl w:val="true"/>
          <w:lang w:bidi="ar-SA"/>
        </w:rPr>
        <w:t>في الفَرَسِ والبَقَرَةِ</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تلْحَقُ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ولموت الإنسان سبعون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الإنسانِ بين الصغيرِ والكبيرِ، والذكرِ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الإسلام إلّا أن يقع مَيِّتاً، فلو وَقَعَ حَيّاً، نُزِحَ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ذابتْ فأربعون أو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خمسون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ثلاثين إلى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ولموت الكلب وشبهه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في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رضيعاً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بالرضيع مَن لم يَزِدْ سِنُّه على الحَولَينِ مع اغتذائه باللَبَن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العصفور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دون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ويُسْتَوفى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لها مقدَّر، نُزِحَ أجمعُ، ومع التعذّرِ يَجِبُ التَراوُحُ</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2019272_1067777946"/>
      <w:bookmarkStart w:id="1281" w:name="_Toc474"/>
      <w:bookmarkEnd w:id="1280"/>
      <w:r>
        <w:rPr>
          <w:rtl w:val="true"/>
        </w:rPr>
        <w:t>[</w:t>
      </w:r>
      <w:r>
        <w:rPr>
          <w:rtl w:val="true"/>
        </w:rPr>
        <w:t>الماء المضاف</w:t>
      </w:r>
      <w:r>
        <w:rPr>
          <w:rtl w:val="true"/>
        </w:rPr>
        <w:t>]</w:t>
      </w:r>
      <w:bookmarkEnd w:id="12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يَتَغيَّرَ بالنجاسَةِ، ولا تلاقيه نجاسَةٌ أُخرى خارجةً عن محلِّه، أو عن حَقيقَةِ الحَدَثِ الخارِج، وأن لا تَنْفَصِلَ مع الماءِ أجزاء من النَجاسة، أي متميّزةً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المخرجَينِ ولا بين المتعدِّي وغيره ما لم يَتَفاحَش</w:t>
      </w:r>
      <w:r>
        <w:rPr>
          <w:rFonts w:eastAsia="Amiri" w:cs="Amiri" w:ascii="Amiri" w:hAnsi="Amiri"/>
          <w:color w:val="111111"/>
          <w:sz w:val="28"/>
          <w:szCs w:val="28"/>
          <w:rtl w:val="true"/>
          <w:lang w:bidi="ar-SA"/>
        </w:rPr>
        <w:t xml:space="preserve">. </w:t>
      </w:r>
      <w:bookmarkStart w:id="1282" w:name="pg10178_84038"/>
    </w:p>
    <w:p>
      <w:pPr>
        <w:pStyle w:val="Heading4"/>
        <w:numPr>
          <w:ilvl w:val="3"/>
          <w:numId w:val="1"/>
        </w:numPr>
        <w:rPr/>
      </w:pPr>
      <w:bookmarkStart w:id="1283" w:name="__RefHeading___Toc2019274_1067777946"/>
      <w:bookmarkStart w:id="1284" w:name="_Toc475"/>
      <w:bookmarkEnd w:id="1282"/>
      <w:bookmarkEnd w:id="1283"/>
      <w:r>
        <w:rPr>
          <w:rtl w:val="true"/>
        </w:rPr>
        <w:t>[</w:t>
      </w:r>
      <w:r>
        <w:rPr>
          <w:rtl w:val="true"/>
        </w:rPr>
        <w:t>الأسئار</w:t>
      </w:r>
      <w:r>
        <w:rPr>
          <w:rtl w:val="true"/>
        </w:rPr>
        <w:t>]</w:t>
      </w:r>
      <w:bookmarkEnd w:id="128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لا يُدرِكُه الطَرْف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يُدْرِكُه حالَ وُقُوعِه في الماءِ؛ لقِلَّتِه مع كونِه مدْرَكاً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أحوطهما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النَجاسَةُ</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2019276_1067777946"/>
      <w:bookmarkStart w:id="1286" w:name="_Toc476"/>
      <w:bookmarkEnd w:id="1285"/>
      <w:r>
        <w:rPr>
          <w:rtl w:val="true"/>
        </w:rPr>
        <w:t>[</w:t>
      </w:r>
      <w:r>
        <w:rPr>
          <w:rtl w:val="true"/>
        </w:rPr>
        <w:t>الطهارة المائيّة</w:t>
      </w:r>
      <w:r>
        <w:rPr>
          <w:rtl w:val="true"/>
        </w:rPr>
        <w:t>]</w:t>
      </w:r>
      <w:bookmarkEnd w:id="12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ما على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المِثْلان كنايةٌ عن الغَسْلَتَين، ويُعْتَبر الفصل بينهما ليحصل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يستعمل العظم ولا الروث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يُطهِّران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الحَجَر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نجساً، وإلّا جاز استعماله، كما لو طَهُرَ، أو كان أحدَ الثلاثةِ مع زوال عينِ النَجاسَةِ قَبْلَه</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2019278_1067777946"/>
      <w:bookmarkStart w:id="1288" w:name="_Toc477"/>
      <w:bookmarkEnd w:id="1287"/>
      <w:r>
        <w:rPr>
          <w:rtl w:val="true"/>
        </w:rPr>
        <w:t>[</w:t>
      </w:r>
      <w:r>
        <w:rPr>
          <w:rtl w:val="true"/>
        </w:rPr>
        <w:t>مكروهات التخلّي</w:t>
      </w:r>
      <w:r>
        <w:rPr>
          <w:rtl w:val="true"/>
        </w:rPr>
        <w:t>]</w:t>
      </w:r>
      <w:bookmarkEnd w:id="128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ومواضع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وتحت الأشجار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من شَأنِها الثَمَر، وإن لم تكن مُثْمِرةً بالفعل، أو تبقى النَجاسَةُ إلى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خاتَم عليه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اسم نبيّ أو إمامٍ مَقْصُودٍ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عدمِ إصابتِه بالنجاسَة، وإلّا حَرُمَ</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2019280_1067777946"/>
      <w:bookmarkStart w:id="1290" w:name="_Toc478"/>
      <w:bookmarkEnd w:id="1289"/>
      <w:r>
        <w:rPr>
          <w:rtl w:val="true"/>
        </w:rPr>
        <w:t>[</w:t>
      </w:r>
      <w:r>
        <w:rPr>
          <w:rtl w:val="true"/>
        </w:rPr>
        <w:t>كيفيّة الوضوء</w:t>
      </w:r>
      <w:r>
        <w:rPr>
          <w:rtl w:val="true"/>
        </w:rPr>
        <w:t>]</w:t>
      </w:r>
      <w:bookmarkEnd w:id="1290"/>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تقديمها عند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للوُضُوء؛ إذ لا يجوز تقدِيمُها عند غَسْلِهما قَبْلَه للنجاسَةِ، ونحوها</w:t>
      </w:r>
      <w:r>
        <w:rPr>
          <w:rFonts w:eastAsia="Amiri" w:cs="Amiri" w:ascii="Amiri" w:hAnsi="Amiri"/>
          <w:color w:val="111111"/>
          <w:sz w:val="28"/>
          <w:szCs w:val="28"/>
          <w:rtl w:val="true"/>
          <w:lang w:bidi="ar-SA"/>
        </w:rPr>
        <w:t xml:space="preserve">. </w:t>
      </w:r>
      <w:bookmarkStart w:id="1291" w:name="pg10178_84039"/>
    </w:p>
    <w:p>
      <w:pPr>
        <w:pStyle w:val="BookText"/>
        <w:rPr/>
      </w:pPr>
      <w:bookmarkEnd w:id="1291"/>
      <w:r>
        <w:rPr>
          <w:rFonts w:ascii="Amiri" w:hAnsi="Amiri" w:eastAsia="Amiri" w:cs="Amiri"/>
          <w:color w:val="111111"/>
          <w:sz w:val="28"/>
          <w:sz w:val="28"/>
          <w:szCs w:val="28"/>
          <w:rtl w:val="true"/>
          <w:lang w:bidi="ar-SA"/>
        </w:rPr>
        <w:t>ويُشْتَرَط كونُ غَسْلِهما من ماءٍ قليلٍ في إناءٍ واسعِ الرأسِ يغترف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واستدامة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بالاستدامَةِ الحكميَّةِ أَن لا يَنْوِيَ نيَّةً تُنافي النيَّةَ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خَفِيفَةً أم كَثِيفَةً، لكن يَجبُ غَسْل البشرةِ الظاهرة خِلال الشعرِ الخَفيفِ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اسم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ترتيب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تقديمُ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تَكْرار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التَكْرارُ مَشْرُوعاً، فلو فَعَلُه معتَقِداً مَشْروعيَّتَه أَثِمَ، ولا تَبْطلُ به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يُولِّي وُضُوءَه غيرَه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مع الاِضْطِرارِ، ويَتَوَلَّى المعذورُ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انصرافه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الانصرافُ بالفَراغِ من الوُضُوءِ وإن لم يَنْتَقِل عن مكانِه</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2019282_1067777946"/>
      <w:bookmarkStart w:id="1293" w:name="_Toc479"/>
      <w:bookmarkEnd w:id="1292"/>
      <w:r>
        <w:rPr>
          <w:rtl w:val="true"/>
        </w:rPr>
        <w:t>[</w:t>
      </w:r>
      <w:r>
        <w:rPr>
          <w:rtl w:val="true"/>
        </w:rPr>
        <w:t>غسل الجنابة</w:t>
      </w:r>
      <w:r>
        <w:rPr>
          <w:rtl w:val="true"/>
        </w:rPr>
        <w:t>]</w:t>
      </w:r>
      <w:bookmarkEnd w:id="12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وفتور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بفتور البدن انكسارُ شَهْوَتِه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الحكمِ بكونه مَنِيّاً اجتماعُ الوَصْفَينِ وإِن كانا مُتَلازِمَينِ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ثوبه الذي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يَشْتَرِكُ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الاشتِراكُ بأن يَلْبَساه دَفْعَةً أو يناما عليه لا بالتَناوبِ، بل يُحْكَمُ به لذي النَوبَةِ ما لم يعلم انتفاؤه عنه، فيَنْتَفِي عنهما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كالدهن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مسمّى الجريان في الغَسْلِ ولو بِمُعاوِنٍ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بالدهن </w:t>
      </w:r>
      <w:r>
        <w:rPr>
          <w:rStyle w:val="FootnoteAnchor"/>
          <w:rtl w:val="true"/>
        </w:rPr>
        <w:footnoteReference w:id="530"/>
      </w:r>
      <w:r>
        <w:rPr>
          <w:rFonts w:ascii="Amiri" w:hAnsi="Amiri" w:eastAsia="Amiri" w:cs="Amiri"/>
          <w:color w:val="111111"/>
          <w:sz w:val="28"/>
          <w:sz w:val="28"/>
          <w:szCs w:val="28"/>
          <w:rtl w:val="true"/>
          <w:lang w:bidi="ar-SA"/>
        </w:rPr>
        <w:t>أقلّه الجريان لا عدمه</w:t>
      </w:r>
      <w:r>
        <w:rPr>
          <w:rFonts w:eastAsia="Amiri" w:cs="Amiri" w:ascii="Amiri" w:hAnsi="Amiri"/>
          <w:color w:val="111111"/>
          <w:sz w:val="28"/>
          <w:szCs w:val="28"/>
          <w:rtl w:val="true"/>
          <w:lang w:bidi="ar-SA"/>
        </w:rPr>
        <w:t xml:space="preserve">. </w:t>
      </w:r>
      <w:bookmarkStart w:id="1294" w:name="pg10178_84040"/>
    </w:p>
    <w:p>
      <w:pPr>
        <w:pStyle w:val="BookText"/>
        <w:rPr/>
      </w:pPr>
      <w:bookmarkEnd w:id="129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وتخليل ما لا يَصِلُ الماءُ إليه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التخليل إدخال الماء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البَدَنِ المدلولِ عليه بالبَشَرَةِ، لا إلى المسمّى المخلَّل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يَدَيه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المِرْفَقَينِ بخلافِ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مُجرَّدُ وَضْعِه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ودخول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أيضاً التردّد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اجتيازاً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الاجتياز مكروهٌ مع أمنِ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رأى بللاً بعد الغُسل،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بِحَيْثُ لا يُعْلَمُ كونُه بولاً أو منيّاً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بالاجتهادِ الاستبراءُ مع تعذّرِ البَولِ، أمّا مع إمكانه، فلا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متى كان قد بال واسْتَبرأ، أو بال خاصَّةً أو استبرأ خاصَّةً مع عَدَمِ إمكانِ البَولِ لم يُعِدْ الغُسْلَ، وإلّا أعاده، وذلك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يبول ولا يَسْتَبْرِئ، أو يَسْتَبْرِئ مع إمكانِ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والوضوءُ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والخِلافُ المَذْكُورُ في غُسْلِ الجَنابة، أمّا غَيرُه، فيكفي إتمامهُ والوضُوءُ بِغَيرِ إشكالٍ</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2019284_1067777946"/>
      <w:bookmarkStart w:id="1296" w:name="_Toc480"/>
      <w:bookmarkEnd w:id="1295"/>
      <w:r>
        <w:rPr>
          <w:rtl w:val="true"/>
        </w:rPr>
        <w:t>[</w:t>
      </w:r>
      <w:r>
        <w:rPr>
          <w:rtl w:val="true"/>
        </w:rPr>
        <w:t>غسل الحيض</w:t>
      </w:r>
      <w:r>
        <w:rPr>
          <w:rtl w:val="true"/>
        </w:rPr>
        <w:t>]</w:t>
      </w:r>
      <w:bookmarkEnd w:id="12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اشتبه بالعُذْرَةِ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وسكونِ الدالِ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العِبارَةِ حُذِفَ المضافُ، أي اشتبه بِدَمِ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حيض</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يُشْتَرَطُ التَوالي في الثَلاثَةِ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والمضطربة إلى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بالتَمَيّزِ هنا أن يُوجَدَ الدَمُ المُتَجاوِزُ للعَشَرَةِ على نَوعَينِ أو أنواع بَعْضها أقوى من بعض، واشتبه بِدَمِ الحَيضِ، فَتَجْعَلُه المرأةُ حيضاً، والباقي استحاضةً بِشَرْطِ أَن لا يَزِيدَ القويُّ على عَشرَةٍ، ولا يَنْقُص الضَعِيفُ عن عَشرَةٍ</w:t>
      </w:r>
      <w:r>
        <w:rPr>
          <w:rFonts w:eastAsia="Amiri" w:cs="Amiri" w:ascii="Amiri" w:hAnsi="Amiri"/>
          <w:color w:val="111111"/>
          <w:sz w:val="28"/>
          <w:szCs w:val="28"/>
          <w:rtl w:val="true"/>
          <w:lang w:bidi="ar-SA"/>
        </w:rPr>
        <w:t xml:space="preserve">. </w:t>
      </w:r>
      <w:bookmarkStart w:id="1297" w:name="pg10178_84041"/>
    </w:p>
    <w:p>
      <w:pPr>
        <w:pStyle w:val="BookText"/>
        <w:rPr/>
      </w:pPr>
      <w:bookmarkEnd w:id="129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يُتَيَقَّن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تَمْضِيَ ثَلاثَةُ أَيّامٍ عن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جوازُ تَحَيُّضِها بِرُؤيَتِه مع ظَنِّها أنَّه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دُخُولِه بها وحُضُورِه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 حُضُورِه، وهو الغائبُ عنها غَيْبَةً يُمْكنُهُ استعلامُ حالِها، أمّا الغائب لا كذلك، فإنَّه يَجُوزُ له الطَلاقُ إِذا تَيَقَّنَ انتقالَها مِن طُهْرٍ إلى آخر بِحسب عادَتِها، فلو وافَقَتْ حينئذٍ الحَيْضَ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الحاضِرُ الذي لا يمكنُه العلمُ بها كالمحبوسِ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بالجَوازِ هنا معناه الأعمُّ، وهو ما عدا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والسَماعُ يَشْملُ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واجب عليها مع الاستماعِ قَطْعاً، ومع السَماعِ المجرَّدِ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الكفّارة دينار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بالدينارِ هنا المِثْقالُ من الذَهَبِ الخالِصِ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بأوَّلِ الحَيضِ ووَسَطِه وآخِرِه أجزاءُ مدَّتِه الثَلاثَةُ، بمعنى أن تُقَسِّم عادتها أو مجموعَ حَيضِها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فالثلثُ الأوّلُ أوّلُه، والثاني وَسَطُه، والثلثُ الثالِثُ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أدركت من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من أوَّلِ الوقتِ مُضِيّ قدرِ الصَّلاةِ وشَرائطِها المفقودَةِ، ومن آخرِه قدرُ ركعةٍ مع الشَرائطِ</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2019286_1067777946"/>
      <w:bookmarkStart w:id="1299" w:name="_Toc481"/>
      <w:bookmarkEnd w:id="1298"/>
      <w:r>
        <w:rPr>
          <w:rtl w:val="true"/>
        </w:rPr>
        <w:t>[</w:t>
      </w:r>
      <w:r>
        <w:rPr>
          <w:rtl w:val="true"/>
        </w:rPr>
        <w:t>غسل الاستحاضة والنفاس</w:t>
      </w:r>
      <w:r>
        <w:rPr>
          <w:rtl w:val="true"/>
        </w:rPr>
        <w:t>]</w:t>
      </w:r>
      <w:bookmarkEnd w:id="12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والطاءِ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الطرِيّ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لزمها إبدالها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ما ظَهَرَ من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فعلت ذلك، صارت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تَسْتَبِيحُ ما تَسْتَبِيحُه الطاهرُ، لا أنَّها طاهرٌ بالفعلِ</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انقضاء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تجاوُزِ العَشَرَةِ يكونُ الزائدُ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كانت </w:t>
      </w:r>
      <w:bookmarkStart w:id="1300" w:name="pg10178_84042"/>
    </w:p>
    <w:p>
      <w:pPr>
        <w:pStyle w:val="BookText"/>
        <w:rPr/>
      </w:pPr>
      <w:bookmarkEnd w:id="1300"/>
      <w:r>
        <w:rPr>
          <w:rFonts w:ascii="Amiri" w:hAnsi="Amiri" w:eastAsia="Amiri" w:cs="Amiri"/>
          <w:color w:val="111111"/>
          <w:sz w:val="28"/>
          <w:sz w:val="28"/>
          <w:szCs w:val="28"/>
          <w:rtl w:val="true"/>
          <w:lang w:bidi="ar-SA"/>
        </w:rPr>
        <w:t xml:space="preserve">مُبْتَدِئَةً أو 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نِفاسٌ، وإن كانت ذاتَ عادةٍ مُسْتَقِيمَةٍ في الحَيْضِ، رَجَعَتْ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في الاستظهارِ بَعْدَ العادَةِ كالحائِض</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2019288_1067777946"/>
      <w:bookmarkStart w:id="1302" w:name="_Toc482"/>
      <w:bookmarkEnd w:id="1301"/>
      <w:r>
        <w:rPr>
          <w:rtl w:val="true"/>
        </w:rPr>
        <w:t>[</w:t>
      </w:r>
      <w:r>
        <w:rPr>
          <w:rtl w:val="true"/>
        </w:rPr>
        <w:t>أحكام الاحتضار</w:t>
      </w:r>
      <w:r>
        <w:rPr>
          <w:rtl w:val="true"/>
        </w:rPr>
        <w:t>]</w:t>
      </w:r>
      <w:bookmarkEnd w:id="13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استقبال الميّت بالقبلة على أحوط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وباطن رجليه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جَلَسَ كان وَجْهُهُ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 إلى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عسر خُرُوجُ رُوحِه، والمراد بالمصلّى ما كان معتاد الصلاة فيه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مات نهاراً وبَقِيَ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فَيُسْتبْرَأَ بِعَلاماتِ المَوتِ، مثلُ انخسافِ صُدْغَيه، ومَيلِ أنْفِه واِمتِدادِ جِلْدِه، وانخِلاعِ كفِّه من ذِراعِه، واستِرْخاءِ قَدَمَيه، أو يصبر عليه ثلاثة أيّامٍ</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2019290_1067777946"/>
      <w:bookmarkStart w:id="1304" w:name="_Toc483"/>
      <w:bookmarkEnd w:id="1303"/>
      <w:r>
        <w:rPr>
          <w:rtl w:val="true"/>
        </w:rPr>
        <w:t>[</w:t>
      </w:r>
      <w:r>
        <w:rPr>
          <w:rtl w:val="true"/>
        </w:rPr>
        <w:t>غسل الميّت</w:t>
      </w:r>
      <w:r>
        <w:rPr>
          <w:rtl w:val="true"/>
        </w:rPr>
        <w:t>]</w:t>
      </w:r>
      <w:bookmarkEnd w:id="130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كفت المرّة بالقَراح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الغَسْلَةَ لا تَسْقُطُ بِفَواتِ مَا يُطْرَحُ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يُفتَق 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الوارِثِ البالِغِ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وتُستر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إلّا أن يَثِقَ الغاسِلُ من نَفْسِه بكفِّ النظر وأمْنِ النَظَرِ، أو كونُه غيرَ مُبْصِرٍ، أو كُونُ الميِّتِ طِفْلاً له دُونَ ثَلاثِ سِنِينَ، فإنّ السترَ في جَمِيعِ ذلك مستحبّ، استِظهاراً من الغَلَطِ</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2019292_1067777946"/>
      <w:bookmarkStart w:id="1306" w:name="_Toc484"/>
      <w:bookmarkEnd w:id="1305"/>
      <w:r>
        <w:rPr>
          <w:rtl w:val="true"/>
        </w:rPr>
        <w:t>[</w:t>
      </w:r>
      <w:r>
        <w:rPr>
          <w:rtl w:val="true"/>
        </w:rPr>
        <w:t>الكفن</w:t>
      </w:r>
      <w:r>
        <w:rPr>
          <w:rtl w:val="true"/>
        </w:rPr>
        <w:t>]</w:t>
      </w:r>
      <w:bookmarkEnd w:id="13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المِئزَرِ أن يَسْتُرَ ما بين السُرَّةِ والرُكبَةِ، وفي القَمِيصِ وُصُولُه إلى نِصْفِ الساقِ</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الجِلْدِ وإن جازت الصلاةُ فيه</w:t>
      </w:r>
      <w:r>
        <w:rPr>
          <w:rFonts w:eastAsia="Amiri" w:cs="Amiri" w:ascii="Amiri" w:hAnsi="Amiri"/>
          <w:color w:val="111111"/>
          <w:sz w:val="28"/>
          <w:szCs w:val="28"/>
          <w:rtl w:val="true"/>
          <w:lang w:bidi="ar-SA"/>
        </w:rPr>
        <w:t xml:space="preserve">. </w:t>
      </w:r>
      <w:bookmarkStart w:id="1307" w:name="pg10178_84043"/>
    </w:p>
    <w:p>
      <w:pPr>
        <w:pStyle w:val="BookText"/>
        <w:rPr/>
      </w:pPr>
      <w:bookmarkEnd w:id="130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وخرقة لفَخِذيه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الخامسةَ، طولُها ثلاثُ أذرعٍ ونِصْفِ في عَرْضِ شِبْرٍ ونصفٍ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شدّها أن يعمل بَنْدَين ويَرْبِطهما في وَسَطِه ويُدْخِل تحت البَنْدَين الجانب الآخر، ثمّ يلفُّ بِما بقي منها فَخِذَيه لَفّاً شَدِيداً بغيرِ تكرير حتّى ينتهيَ، فيُدْخِل الطرفَ تحتَ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للعِمامَةِ طولاً ولا عرضاً، بل بما يَتَأدّى به الغرضُ المطلوبُ منها مع صدقِ الاسمِ عليها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وتزاد المرأة لِفافَة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لهذه اللِفافَةِ طولاً ولا عرضاً، بل ما يَتَأدّى به الغرضُ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والجَمْعُ أنماط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الجوهري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خَمَلاً رَقِيقاً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ومحلُّه فَوقَ الجَمِيع، ومع عَدَمِه تُبَدَّلُ لِفافَة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بكسر الخاءِ وتخفيفِ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فمن الرمّانِ، ومع فقدِه ينتقلُ إلى الشجرِ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Style w:val="FootnoteAnchor"/>
          <w:rtl w:val="true"/>
        </w:rPr>
        <w:footnoteReference w:id="535"/>
      </w:r>
      <w:r>
        <w:rPr>
          <w:rFonts w:ascii="Amiri" w:hAnsi="Amiri" w:eastAsia="Amiri" w:cs="Amiri"/>
          <w:color w:val="111111"/>
          <w:sz w:val="28"/>
          <w:sz w:val="28"/>
          <w:szCs w:val="28"/>
          <w:rtl w:val="true"/>
          <w:lang w:bidi="ar-SA"/>
        </w:rPr>
        <w:t>كونُ طولِ كلِّ واحدةٍ قَدْرَ عَظْمٍ ذِراعِ الميِّتِ تقرِيباً</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2019294_1067777946"/>
      <w:bookmarkStart w:id="1309" w:name="_Toc485"/>
      <w:bookmarkEnd w:id="1308"/>
      <w:r>
        <w:rPr>
          <w:rtl w:val="true"/>
        </w:rPr>
        <w:t>[</w:t>
      </w:r>
      <w:r>
        <w:rPr>
          <w:rtl w:val="true"/>
        </w:rPr>
        <w:t>الدفن</w:t>
      </w:r>
      <w:r>
        <w:rPr>
          <w:rtl w:val="true"/>
        </w:rPr>
        <w:t>]</w:t>
      </w:r>
      <w:bookmarkEnd w:id="1309"/>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بالبَحْرِ ما يَعُمّ الأنْهارَ العَظِيمَةَ كالنيل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الساترِ كُونُه ثقيلاً بِحَيْثُ يَنْزِلُ في عُمْقِ الماءِ، فلا يكفي الصُنْدُوقُ من الخَشَبِ الذي يَبْقى على وَجْهِ الماءِ، ويَجِبُ الاستقبالُ به حين الإلقاءِ، كالدفنِ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حَمْلُها من جَوانِبِها الأرْبَعِ كَيْفَ اتَّفَقَ، والأفْضَلُ البَدْأَةُ بِمُقَدَّمِ السَرِيرِ الأيمنِ، والخَتْمُ بالأيسرِ دَورَ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يُجْعَلَ له 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 في حائِط القبرِ الذي يَلِي القِبْلَةَ بَعْدَ الوصولِ إلى منتهى القَبْرِ مكاناً مُسْتَطِيلاً بِحَيْثُ يمكن وَضْعُ الميِّتِ فيه على الوجهِ المُعْتَبَرِ، وهذا في الأرضِ الصلْبَةِ، أمّا في الرخوَةِ فالشقّ أفضل، والمراد به أنْ يُحْفَرَ في قَعْرِ القَبْرِ شَقّاً يُشْبِهُ النَهْرَ فَيُوضَعَ فيه الميِّتُ، ويُسَقَّفَ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ويُهيل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يَرْمُون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أَرْبَع أصابعَ مُفَرَّجاتٍ إِلى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يُلَقِّنه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مأذونه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والحاء والخاء، فالأوَّل بعد اندِراسِه وانمحاءِ أَثَرِه عن وجه الأرض، سواء اندَرَسَت عِظامهُ أم لا، إلّا أن يكون في أَرْضِ مُسَبَّلَةٍ وتَنْدَرِس عِظامُه، لا يجوز تَجْدِيدُه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بالثانى تَسْنِيمُه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وبالثالثِ الشَقُّ، أي شَقُّه ثانياً ليُدْفَن فيه ميِّت آخر، هذا إذا أُعدَّ لذلك،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استثناء قبورِ الأنبياءِ والأئمَّةِ علیهم السلام والعلماء ونَحْوهِم من الأوَّلِ؛ لما في تجدِيدها وإصْلاحِها من تعظيم شعائِر الله، ولإطباق السلفِ والخلفِ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 مَيِّتَينِ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أو مع إعْدادِه لِدَفْنِ جَماعَةٍ، أمّا لو دُفِنَ الميِّتُ في غير ذلك لم يجز نبشه لدفنِ آخرَ إلّا أن يندرِسَ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ومتعةً، شَرَطَت عليه في المُتْعَةِ النَفَقَةَ أم لا وإن كانت في حالِ الحياةِ ناشِزاً؛ لعدم ثُبُوتِ كونِ ذلك تابعاً لوُجُوبِ النَفَقَةِ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نَبْشُ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 القَبْرِ في مواضِعَ خَمْسَةِ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المَيِّتُ رَميماً، ويَخْتَلِفُ ذلك بحسب التُرَبِ والأهْوِيَةِ، ومَتى عُلِمَ صَيْرُورَةُ الميِّتِ رَمِيماً حَرُمَ تصوِيرُ القبرِ بصورة المقابر في الأرض المُسَبَّلَةِ؛ لما في ذلك من </w:t>
      </w:r>
      <w:bookmarkStart w:id="1310" w:name="pg10178_84045"/>
    </w:p>
    <w:p>
      <w:pPr>
        <w:pStyle w:val="BookText"/>
        <w:rPr/>
      </w:pPr>
      <w:bookmarkEnd w:id="1310"/>
      <w:r>
        <w:rPr>
          <w:rFonts w:ascii="Amiri" w:hAnsi="Amiri" w:eastAsia="Amiri" w:cs="Amiri"/>
          <w:color w:val="111111"/>
          <w:sz w:val="28"/>
          <w:sz w:val="28"/>
          <w:szCs w:val="28"/>
          <w:rtl w:val="true"/>
          <w:lang w:bidi="ar-SA"/>
        </w:rPr>
        <w:t>المَنْعِ من التَهَجّمِ على دَفْنِ غَيرِه مع سُقُوطٍ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الميِّتُ في أرضِ مَغْصُوبةٍ وإن أدّى إلى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 فِي ثَوبِ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القبر ما لَه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على عَيْنِه، ليُؤخَذَ من تَرَكَتِه قِيمَةُ ما أَتْلَفَ، أو لتعتدَّ زوجتُه عِدَّةً أو ليُقَسَّمَ ميراثُه،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القلبُ وجَمِيعُ عِظامِ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الرجل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يَحْرُمُ نِكاحُهُ مؤبَّداً بِنَسَبٍ أو رِضاعٍ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يجب الغسل بمسِّ قطعة فيها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مَسَّ الشعرَ أو الظُفْرَ أو السِنَّ وإنْ اتَّصلا، فلا غُسْلَ عليه</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2019296_1067777946"/>
      <w:bookmarkStart w:id="1312" w:name="_Toc486"/>
      <w:bookmarkEnd w:id="1311"/>
      <w:r>
        <w:rPr>
          <w:rtl w:val="true"/>
        </w:rPr>
        <w:t>[</w:t>
      </w:r>
      <w:r>
        <w:rPr>
          <w:rtl w:val="true"/>
        </w:rPr>
        <w:t>الطهارة الترابيَّة</w:t>
      </w:r>
      <w:r>
        <w:rPr>
          <w:rtl w:val="true"/>
        </w:rPr>
        <w:t>]</w:t>
      </w:r>
      <w:bookmarkEnd w:id="131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تَقْيِیدِ البَرْدِ بما يَخافُ معه الضَرَرُ من مرضٍ أو شَينٍ، وإلّا فلا يُبيحُ التَيَمّمَ للمَشَقَّةِ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يضرّ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 المُكَلَّفِ ولو كان في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وخشي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عطشُه أو عطشُ رَفِيقِه المحترمِ، وكذا كلّ حيوانٍ له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بخَوفِ العطشِ في الحالِ أو في زمانٍ مُرْتَقَبٍ لا يحصلُ فيه الماءُ عادةً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ماء يكفيه لإزالتها أو للوضوء أزالها وتَيَمَّمَ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تقدِيم الإزالةِ أنّ للماء بدلاً وهو الترابُ، بخلاف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الطهارةُ لا تَتَجَزَّأ، خلافاً للعامَّةِ </w:t>
      </w:r>
      <w:r>
        <w:rPr>
          <w:rStyle w:val="FootnoteAnchor"/>
          <w:rtl w:val="true"/>
        </w:rPr>
        <w:footnoteReference w:id="536"/>
      </w:r>
      <w:r>
        <w:rPr>
          <w:rFonts w:ascii="Amiri" w:hAnsi="Amiri" w:eastAsia="Amiri" w:cs="Amiri"/>
          <w:color w:val="111111"/>
          <w:sz w:val="28"/>
          <w:sz w:val="28"/>
          <w:szCs w:val="28"/>
          <w:rtl w:val="true"/>
          <w:lang w:bidi="ar-SA"/>
        </w:rPr>
        <w:t>، فإنَّهم يتجزَّؤون في طهارَتِهم بعض الأعضاءِ يغسلونَها وبعض يُیَمِّمُونَها</w:t>
      </w:r>
      <w:r>
        <w:rPr>
          <w:rFonts w:eastAsia="Amiri" w:cs="Amiri" w:ascii="Amiri" w:hAnsi="Amiri"/>
          <w:color w:val="111111"/>
          <w:sz w:val="28"/>
          <w:szCs w:val="28"/>
          <w:rtl w:val="true"/>
          <w:lang w:bidi="ar-SA"/>
        </w:rPr>
        <w:t xml:space="preserve">. </w:t>
      </w:r>
      <w:bookmarkStart w:id="1313" w:name="pg10178_84046"/>
    </w:p>
    <w:p>
      <w:pPr>
        <w:pStyle w:val="BookText"/>
        <w:rPr/>
      </w:pPr>
      <w:bookmarkEnd w:id="131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كالحيّ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العاجز بكلِّ وجهٍ حتّى عن وصولِ يَدَيه إلى وجهه، فإنّ الحيَّ العاجِزَ مع القُدْرَةِ على المَسْحِ بِيَدَيه يَتَعَيَّن، بخلاف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بالسبخة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مالحةٌ نَشّاشةٌ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بغُبار الثوب واللبدِ وعُرْفِ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الثلاثةُ ونحوها، ويتَحَرّى الأكثر منها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أحوطهما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وجوبُ التأخيرِ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المَسْحِ بالجَبْهَةِ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والجَبِينَينِ، والأولى مسحُ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البطلان بالإخلال بالطلب مع سعَةِ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وهناك ماء يكفي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ملكاً لأحدِهم تَعَيّنَ صَرْفُه إليه، وإن كان مباحاً و استووا في إثباتِ اليدِ عليه وقَصُرَ نَصِيبُ كلّ منهم عن الغَرَضِ المُتَعَلَّقِ به، ويَئِس من حُصُولِ ما تَتِمّ به الطَهَارَةُ، أو بَذَلَ الماءَ باذلٌ للمحتاجِين، استحبّ تَخْصِيصُ الجُنُبِ به على أصحِّ القَولَينِ، ولوكان الماءُ منذوراً للأحوجِ، وَجَبَ صَرْفُه إلى الجُنُبِ على الأصحِّ، كما قلناه</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2019298_1067777946"/>
      <w:bookmarkStart w:id="1315" w:name="_Toc487"/>
      <w:bookmarkEnd w:id="1314"/>
      <w:r>
        <w:rPr>
          <w:rtl w:val="true"/>
        </w:rPr>
        <w:t>[</w:t>
      </w:r>
      <w:r>
        <w:rPr>
          <w:rtl w:val="true"/>
        </w:rPr>
        <w:t>النجاسات</w:t>
      </w:r>
      <w:r>
        <w:rPr>
          <w:rtl w:val="true"/>
        </w:rPr>
        <w:t>]</w:t>
      </w:r>
      <w:bookmarkEnd w:id="131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يكون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الدمُ الذي يَشْخبُ من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مائعٍ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نجاسة عرق الجنب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بالجُنبِ لا بالعرق، أي الجنب من الحَرام عرقُه نجسٌ</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وذَرْق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الدال، والفتح أفصح، ولم يذكر الجوهري </w:t>
      </w:r>
      <w:r>
        <w:rPr>
          <w:rStyle w:val="FootnoteAnchor"/>
          <w:rtl w:val="true"/>
        </w:rPr>
        <w:footnoteReference w:id="537"/>
      </w:r>
      <w:r>
        <w:rPr>
          <w:rFonts w:ascii="Amiri" w:hAnsi="Amiri" w:eastAsia="Amiri" w:cs="Amiri"/>
          <w:color w:val="111111"/>
          <w:sz w:val="28"/>
          <w:sz w:val="28"/>
          <w:szCs w:val="28"/>
          <w:rtl w:val="true"/>
          <w:lang w:bidi="ar-SA"/>
        </w:rPr>
        <w:t xml:space="preserve">غَيرَه، والباقي مذكور في تهذِيبِ الأسماءِ والأحكام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الأواني؛ لاستعمالها فيما يَتَوَقَّف على الطهارَةِ، وعن الضرائِح المقدَّسَةِ والمصاحِفِ والمساجدِ وآلاتِها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عفي عمّا دون الدرهم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الدِرْهَمُ بسعَة أخمصِ الراحَةِ وهو المنخفضُ منها، وبعَقْد الإبهام العليا، وبِعَقْدِ السبّابة، والكلّ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المتَفَرِّق يُقدَّر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 الدِرْهَمَ عُفِي عنه،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الشيخ به دَمَ الاستحاضة والنفاس</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المَيتَةِ ونَجِسِ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دَمِ القروح والجروح التي لا تَرْقأ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تَنْقَطِع، ومثلُه ما انقطعت زماناً لا يَسَعُ الصلاةَ، والأقوى العفو عنها إلى أن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يابساً رُشَّ الثوب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 هو إصابةُ الماءِ للمحلِّ مِن غَيرِ 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إصابَتُه مع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 كالرشِّ، إلّا أنّه يُشْتَرَطُ في الصبِّ استيعابُ الماءِ للمحلِّ النَجِسِ دُونَ الرَشِّ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أشهر هما </w:t>
      </w:r>
      <w:r>
        <w:rPr>
          <w:rStyle w:val="FootnoteAnchor"/>
          <w:rtl w:val="true"/>
        </w:rPr>
        <w:footnoteReference w:id="540"/>
      </w:r>
      <w:r>
        <w:rPr>
          <w:rFonts w:ascii="Amiri" w:hAnsi="Amiri" w:eastAsia="Amiri" w:cs="Amiri"/>
          <w:color w:val="111111"/>
          <w:sz w:val="28"/>
          <w:sz w:val="28"/>
          <w:szCs w:val="28"/>
          <w:rtl w:val="true"/>
          <w:lang w:bidi="ar-SA"/>
        </w:rPr>
        <w:t>أنَّ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وخارجِه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أشبههما </w:t>
      </w:r>
      <w:r>
        <w:rPr>
          <w:rStyle w:val="FootnoteAnchor"/>
          <w:rtl w:val="true"/>
        </w:rPr>
        <w:footnoteReference w:id="541"/>
      </w:r>
      <w:r>
        <w:rPr>
          <w:rFonts w:ascii="Amiri" w:hAnsi="Amiri" w:eastAsia="Amiri" w:cs="Amiri"/>
          <w:color w:val="111111"/>
          <w:sz w:val="28"/>
          <w:sz w:val="28"/>
          <w:szCs w:val="28"/>
          <w:rtl w:val="true"/>
          <w:lang w:bidi="ar-SA"/>
        </w:rPr>
        <w:t>أنّه 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يُعِيد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أثناء الصلاة أزالها وأتمَّ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اختاره من عَدَمِ إعادة الجاهل في الوقت، وإِلّا وَجَبَ القَطْعُ مع إدراكِ رَكْعَةٍ في الوقتِ مطلقاً، ولو احتمل وُجُودَها حينَ الرُؤيَةِ، طَرَحَه مع الإمكانِ، كما ذُكِرَ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المربّية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الولد المتَّحد والمتعدِّد، ويَلْحَق بها المُرَبِّي لهما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لم يمكن تحصيل غَيرِه بشراءٍ أو 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والرُخْصَةُ </w:t>
      </w:r>
      <w:bookmarkStart w:id="1316" w:name="pg10178_84048"/>
    </w:p>
    <w:p>
      <w:pPr>
        <w:pStyle w:val="BookText"/>
        <w:rPr/>
      </w:pPr>
      <w:bookmarkEnd w:id="1316"/>
      <w:r>
        <w:rPr>
          <w:rFonts w:ascii="Amiri" w:hAnsi="Amiri" w:eastAsia="Amiri" w:cs="Amiri"/>
          <w:color w:val="111111"/>
          <w:sz w:val="28"/>
          <w:sz w:val="28"/>
          <w:szCs w:val="28"/>
          <w:rtl w:val="true"/>
          <w:lang w:bidi="ar-SA"/>
        </w:rPr>
        <w:t>مَخصُوصَةٌ بنجاسَةِ الثَوبِ ببولِ الولد، فلو نجسَ بغيرهِ لم يعف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البدنُ يَجِبُ غسلُه وإن نجسَ بِبولِ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يتمكّن من تطهير ثوبه ألقاه وصلّى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أنَّه يتخيَّر بين الصلاة فيه وعارياً، والصلاة فيه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إذا جفَّفت البول أو غيره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وتُطَهِّر ما لا يُنْقَلُ عادةً، كالأبوابِ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وتُشْتَرَطُ طهارةُ الأرضِ ومنها الحجر، ولا يُشْتَرَطُ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كونِها كرّاً، وإلّا فلا</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2019300_1067777946"/>
      <w:bookmarkStart w:id="1318" w:name="_Toc488"/>
      <w:bookmarkEnd w:id="1317"/>
      <w:r>
        <w:rPr>
          <w:rtl w:val="true"/>
        </w:rPr>
        <w:t>[</w:t>
      </w:r>
      <w:r>
        <w:rPr>
          <w:rtl w:val="true"/>
        </w:rPr>
        <w:t>الأواني</w:t>
      </w:r>
      <w:r>
        <w:rPr>
          <w:rtl w:val="true"/>
        </w:rPr>
        <w:t>]</w:t>
      </w:r>
      <w:bookmarkEnd w:id="13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المفضّض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ويجب اجتنابُ موضِعِ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تعلم نجاستها بمباشرتهم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منحصراً بالمشاهدةِ بالبصرِ، بل هو أقسامٌ، كالمتواتراتِ والخبر المحفُوفِ بالقَرائنِ، كما حُقِّقَ في محلِّه، بل هذان القسمان أقوى من البَيِّنَةِ؛ لأنَّهما من أقسامِ العلمِ، والبيِّنةُ الشرعِيَّةُ إنّما تفيدُ الظنَّ،فتدبَّر</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الكَلْبِ ممّا فى الإناءِ بِلِسانِه </w:t>
      </w:r>
      <w:r>
        <w:rPr>
          <w:rStyle w:val="FootnoteAnchor"/>
          <w:rtl w:val="true"/>
        </w:rPr>
        <w:footnoteReference w:id="542"/>
      </w:r>
      <w:r>
        <w:rPr>
          <w:rFonts w:ascii="Amiri" w:hAnsi="Amiri" w:eastAsia="Amiri" w:cs="Amiri"/>
          <w:color w:val="111111"/>
          <w:sz w:val="28"/>
          <w:sz w:val="28"/>
          <w:szCs w:val="28"/>
          <w:rtl w:val="true"/>
          <w:lang w:bidi="ar-SA"/>
        </w:rPr>
        <w:t>، ويَلْحَق به لَطْمُه الإناء، دون مباشَرتِه له بباقي أعضائه ومباشرتِه غير الإناء فإنّها كسائرِ النجاساتِ</w:t>
      </w:r>
      <w:r>
        <w:rPr>
          <w:rFonts w:eastAsia="Amiri" w:cs="Amiri" w:ascii="Amiri" w:hAnsi="Amiri"/>
          <w:color w:val="111111"/>
          <w:sz w:val="28"/>
          <w:szCs w:val="28"/>
          <w:rtl w:val="true"/>
          <w:lang w:bidi="ar-SA"/>
        </w:rPr>
        <w:t xml:space="preserve">. </w:t>
      </w:r>
      <w:bookmarkStart w:id="1319" w:name="pg10178_84049"/>
    </w:p>
    <w:p>
      <w:pPr>
        <w:pStyle w:val="Heading3"/>
        <w:numPr>
          <w:ilvl w:val="2"/>
          <w:numId w:val="1"/>
        </w:numPr>
        <w:rPr/>
      </w:pPr>
      <w:bookmarkStart w:id="1320" w:name="__RefHeading___Toc2019302_1067777946"/>
      <w:bookmarkStart w:id="1321" w:name="_Toc489"/>
      <w:bookmarkEnd w:id="1319"/>
      <w:bookmarkEnd w:id="1320"/>
      <w:r>
        <w:rPr>
          <w:rtl w:val="true"/>
        </w:rPr>
        <w:t>كتاب الصلاة</w:t>
      </w:r>
      <w:bookmarkEnd w:id="1321"/>
    </w:p>
    <w:p>
      <w:pPr>
        <w:pStyle w:val="Heading4"/>
        <w:numPr>
          <w:ilvl w:val="3"/>
          <w:numId w:val="1"/>
        </w:numPr>
        <w:rPr/>
      </w:pPr>
      <w:bookmarkStart w:id="1322" w:name="__RefHeading___Toc2019304_1067777946"/>
      <w:bookmarkStart w:id="1323" w:name="_Toc490"/>
      <w:bookmarkEnd w:id="1322"/>
      <w:r>
        <w:rPr>
          <w:rtl w:val="true"/>
        </w:rPr>
        <w:t>[</w:t>
      </w:r>
      <w:r>
        <w:rPr>
          <w:rtl w:val="true"/>
        </w:rPr>
        <w:t>عدد النوافل</w:t>
      </w:r>
      <w:r>
        <w:rPr>
          <w:rtl w:val="true"/>
        </w:rPr>
        <w:t>]</w:t>
      </w:r>
      <w:bookmarkEnd w:id="13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وثلاثون ركعة على الأشهر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 عشرون </w:t>
      </w:r>
      <w:r>
        <w:rPr>
          <w:rStyle w:val="FootnoteAnchor"/>
          <w:rtl w:val="true"/>
        </w:rPr>
        <w:footnoteReference w:id="543"/>
      </w:r>
      <w:r>
        <w:rPr>
          <w:rFonts w:ascii="IRNazanin" w:hAnsi="IRNazanin" w:eastAsia="IRNazanin"/>
          <w:color w:val="111111"/>
          <w:sz w:val="28"/>
          <w:sz w:val="28"/>
          <w:szCs w:val="28"/>
          <w:rtl w:val="true"/>
          <w:lang w:bidi="fa-IR"/>
        </w:rPr>
        <w:t xml:space="preserve">بنقيصة أربعٍ من سنَّةِ العصر والوتيرة، و روي عن الصادق علیه السلام سبع وعشرون </w:t>
      </w:r>
      <w:r>
        <w:rPr>
          <w:rStyle w:val="FootnoteAnchor"/>
          <w:rtl w:val="true"/>
        </w:rPr>
        <w:footnoteReference w:id="544"/>
      </w:r>
      <w:r>
        <w:rPr>
          <w:rFonts w:ascii="Amiri" w:hAnsi="Amiri" w:eastAsia="Amiri" w:cs="Amiri"/>
          <w:color w:val="111111"/>
          <w:sz w:val="28"/>
          <w:sz w:val="28"/>
          <w:szCs w:val="28"/>
          <w:rtl w:val="true"/>
          <w:lang w:bidi="ar-SA"/>
        </w:rPr>
        <w:t xml:space="preserve">فاقتصر من سنَّة المغرب على ركعتَين مع سقوطِ ما مَرَّ في الدروس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تُعدّانِ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تُصلَّيانِ من جلوس، وثواب الجلوس نصف ثواب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فعلهما من قيامٍ، والأوّل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سقوط الوتيرة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قويّ</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2019306_1067777946"/>
      <w:bookmarkStart w:id="1325" w:name="_Toc491"/>
      <w:bookmarkEnd w:id="1324"/>
      <w:r>
        <w:rPr>
          <w:rtl w:val="true"/>
        </w:rPr>
        <w:t>[</w:t>
      </w:r>
      <w:r>
        <w:rPr>
          <w:rtl w:val="true"/>
        </w:rPr>
        <w:t>أوقات الصلاة</w:t>
      </w:r>
      <w:r>
        <w:rPr>
          <w:rtl w:val="true"/>
        </w:rPr>
        <w:t>]</w:t>
      </w:r>
      <w:bookmarkEnd w:id="13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الظهر عند الزوال بمقدار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قَدْرِ أدائِها إلى حالِ المصلِّي في الخِفَّةِ والبُطْء، والقصر والتمام، وحصول الشرائط قبل الوقت وعدمه، حتّى لو كان في حال شدّةِ الخوف فاختصاص الظهر بركعَتَين بالتسبيحات الأربعِ</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العصر أن يتغيَّر لون الشمس باصفرارها للغروب، </w:t>
      </w:r>
    </w:p>
    <w:p>
      <w:pPr>
        <w:pStyle w:val="BookText"/>
        <w:rPr/>
      </w:pPr>
      <w:r>
        <w:rPr>
          <w:rFonts w:ascii="Amiri" w:hAnsi="Amiri" w:eastAsia="Amiri" w:cs="Amiri"/>
          <w:color w:val="111111"/>
          <w:sz w:val="28"/>
          <w:sz w:val="28"/>
          <w:szCs w:val="28"/>
          <w:rtl w:val="true"/>
          <w:lang w:bidi="ar-SA"/>
        </w:rPr>
        <w:t xml:space="preserve">وللمضطرّ والناسي إلى مغيبها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أن يصير ظلّ كلِّ شيء 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ابن البرّاج وسلّار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العشاء الآخرة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الشيخ في الخلاف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أبا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آخره طلوعُ الفجرِ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وابن بابويه والمرتضى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المغرب غيبوبةُ الشفقِ المغربي للمختار، وللمضطرِّ إلى رُبعِ الليلِ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بالأقدام الأسباع بمعنى أنّ وقتَ نافلةِ الظهرِ يمتدّ إلى أن يزيدَ الظلُّ قدرَ سبعي الشخص زيادةً على الموجود منه عند الزوال، والأصحّ امتدادُ نافلةِ الظهرِ إلى أن يزيدَ الظلُّ بقدرِ الشخصِ، والعصر إلى أن يزيدَ قَدَرَه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الزوال بزيادة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أهل الموصل، أو حدوثِه بعدَ عدِمِه، كما في مكَّةَ وصنعاءَ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يستقبل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قِبْلَةَ أهلِ العِراقِ، ولا فرق في ذلك بین مكَّةَ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الغروب بذهاب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سهيل إلى الجَدْي إلى قِمَّة الرأسِ</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لشابّ تمنعه رطوبة رأسه أو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يَعْسُرُ عليه القيامُ بِسَبَبِ التَعَبِ، ومثلُهما فى جواز التقديم خائفُ البَرْدِ والجَنابَةِ ومُريدُها حيثُ يَعْسُرُ عليه الغُسْلُ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تلبّس بنافلة الظهر ولو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بالركعة ما كَمُلَ رُكُوعُها وسُجُودُها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بالعشاء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صلّى ركعتين، فلا يشرع فيما بقي، وإن كان في خِلال الركعتين لم يقطعهما على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زاحم بها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يزاحم بالشَفع والوترِ إذا أدرك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الأربعُ بالفَراغِ من السجدة الثانية وإن لم يرفع رأسه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يدخل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تستثنى من ذلك نافلةُ الظُهرَين والغَداةِ، والأصحّ جواز النافلة في وقت الفريضة مطلقاً ما لم تضرّ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وقيامها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بقيامها انتهاء ارتفاعها المعلوم بانتهاء نقصان الظلِّ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الغروب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النوافل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حيث تكون هناك نوافل مرتَّبة كما في يوم الجُمُعَةِ على ما يأتي، وكما في نافِلَةِ العصر إذا جَمَعَ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الأفضل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لكلِّ صلاة 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الشيخان وابن أبي عقيل وأبو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للمختار والثاني للإجزاء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نستثنيه في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تستثنى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المغربِ والعِشاء للمُفِيضِ من عَرَفةَ حتّى يصلَ المشعر ولو تَربَّعَ الليلُ أو تَثَلَّثَ، وتأخير المستحاضةِ الظهرَ إلى آخرِ وقتِها لتصلِّي العصر بعدها في أوَّل وقتها جامعةً بينهما بغسلٍ، وكذا المغربَ والعشاءَ، والجمعُ بين الظهرين يومُ الجُمُعَةِ وبعَرَفَةَ، وتأخير الفريضة </w:t>
      </w:r>
      <w:bookmarkStart w:id="1326" w:name="pg10178_84052"/>
    </w:p>
    <w:p>
      <w:pPr>
        <w:pStyle w:val="BookText"/>
        <w:rPr/>
      </w:pPr>
      <w:bookmarkEnd w:id="1326"/>
      <w:r>
        <w:rPr>
          <w:rFonts w:ascii="Amiri" w:hAnsi="Amiri" w:eastAsia="Amiri" w:cs="Amiri"/>
          <w:color w:val="111111"/>
          <w:sz w:val="28"/>
          <w:sz w:val="28"/>
          <w:szCs w:val="28"/>
          <w:rtl w:val="true"/>
          <w:lang w:bidi="ar-SA"/>
        </w:rPr>
        <w:t>المتقدّمة عليها نافلتها حتّى يصلِّي النافلة، ولانتظارِ الإمام ما لم يُطِل، وتأخيرِ التيمّم إلى آخر الوقت، وكذا مَنْ على بدنِه أو ثوبِه نجاسة لا يمكنه إزالتها في أوَّل الوقت، ونحو ذلك</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2019308_1067777946"/>
      <w:bookmarkStart w:id="1328" w:name="_Toc492"/>
      <w:bookmarkEnd w:id="1327"/>
      <w:r>
        <w:rPr>
          <w:rtl w:val="true"/>
        </w:rPr>
        <w:t>[</w:t>
      </w:r>
      <w:r>
        <w:rPr>
          <w:rtl w:val="true"/>
        </w:rPr>
        <w:t>القِبلة</w:t>
      </w:r>
      <w:r>
        <w:rPr>
          <w:rtl w:val="true"/>
        </w:rPr>
        <w:t>]</w:t>
      </w:r>
      <w:bookmarkEnd w:id="13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مُومِئاً إلى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ارتفاعِه أو حالَ انخفاضِه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كذلك، كانت العلامةُ لقطبَ، وهو نجمٌ خفيّ بين الجَدْي والفَرْقَدَين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إلى أيّ جهة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يَسَع الوقت إلّا جهةً واحدةً، وإلّا وجب الممكن، وكذا القولُ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الاستقبال عمداً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قبلةِ العِراقي، ولو قال بدَلَهما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واليسارِ، كان أشمل؛ ليدخل فيه أهلُ باقيِ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صلّاه إلى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اليمين واليسار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ورخّص في النافلة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إلى ما دونَ المَسافَةِ، وكذا رخّص في ذلك للماشي وإن لم يكن مسافراً، وقبلته طريقه، ويُومِئ برأسه للركوع والسجود، ويَزِيدُ للسجودِ انحناءً</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2019310_1067777946"/>
      <w:bookmarkStart w:id="1330" w:name="_Toc493"/>
      <w:bookmarkEnd w:id="1329"/>
      <w:r>
        <w:rPr>
          <w:rtl w:val="true"/>
        </w:rPr>
        <w:t>[</w:t>
      </w:r>
      <w:r>
        <w:rPr>
          <w:rtl w:val="true"/>
        </w:rPr>
        <w:t>لباس المصلِّي</w:t>
      </w:r>
      <w:r>
        <w:rPr>
          <w:rtl w:val="true"/>
        </w:rPr>
        <w:t>]</w:t>
      </w:r>
      <w:bookmarkEnd w:id="1330"/>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في الخزِّ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ذاتُ أربعٍ تُصادُ من الماءِ </w:t>
      </w:r>
      <w:r>
        <w:rPr>
          <w:rStyle w:val="FootnoteAnchor"/>
          <w:rtl w:val="true"/>
        </w:rPr>
        <w:footnoteReference w:id="553"/>
      </w:r>
      <w:r>
        <w:rPr>
          <w:rFonts w:ascii="Amiri" w:hAnsi="Amiri" w:eastAsia="Amiri" w:cs="Amiri"/>
          <w:color w:val="111111"/>
          <w:sz w:val="28"/>
          <w:sz w:val="28"/>
          <w:szCs w:val="28"/>
          <w:rtl w:val="true"/>
          <w:lang w:bidi="ar-SA"/>
        </w:rPr>
        <w:t xml:space="preserve">، وذَكاتُها </w:t>
      </w:r>
    </w:p>
    <w:p>
      <w:pPr>
        <w:pStyle w:val="BookText"/>
        <w:rPr/>
      </w:pPr>
      <w:r>
        <w:rPr>
          <w:rFonts w:ascii="Amiri" w:hAnsi="Amiri" w:eastAsia="Amiri" w:cs="Amiri"/>
          <w:color w:val="111111"/>
          <w:sz w:val="28"/>
          <w:sz w:val="28"/>
          <w:szCs w:val="28"/>
          <w:rtl w:val="true"/>
          <w:lang w:bidi="ar-SA"/>
        </w:rPr>
        <w:t xml:space="preserve">إخراجُها من الماء حيَّةً كالسمك، وإِنَّما تُشْتَرَطُ التَذْكِيَهُ في جِلْدِها، أمّا وَبَرُها فتجوز الصلاةُ فيه مطلقاً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التِكّةِ والقَلَنْسُوَةِ من الحرير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كلَّ حريرٍ ممّا لا تتمّ الصلاةُ فيه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بثوب مكفوف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في رؤوسِ الأكمامِ والذيلِ وحول الزِيق، وكذا تجوز اللبِنَةُ منه وهي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نِهايَةُ عَرْضِ ذلك بأربعِ أصابعَ مضمومةً من 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ما يستر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الجواز فيه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 العِمامة 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والكساء، والصلاةُ في هذه الثَلاثَةِ إذا كانت سوداً ليست مكروهةً، لا أنَّها مستَحَبَّة، وإنّما المستحبّ الأبيض إلّا في النعلِ، فتستحبّ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يشتمل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يَلْتَحِف الإزارَ ويُدْخِل طَرَفَيه تحتَ يَدِه، ويَجْمَعُهما على مَنْكِبٍ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ثوب يُتَّهَمُ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 أو الغَصْبِيَّةِ في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للرجال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يَمْنَع القِراءةَ،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مملوكاً أو مأذوناً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كالتصريح في لُبْسِه في الصلاةِ، أو في اللُبسِ مطلقاً، ولا يكفي شاهد الحال هنا كما في المكان</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ما يَسْتُرُ العَورةَ كالحشيش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الاستتار بالحشيش والورق عند تعذّرِ الثوبِ، وبالطِّينِ عند تعذّرِ الحَشيشِ والورقِ، فإن تَعَذَّرَ جميعُ ذلك، استتر بالماءِ الكَدِرِ ثُمَّ بالحَفِيرَةِ</w:t>
      </w:r>
      <w:r>
        <w:rPr>
          <w:rFonts w:eastAsia="Amiri" w:cs="Amiri" w:ascii="Amiri" w:hAnsi="Amiri"/>
          <w:color w:val="111111"/>
          <w:sz w:val="28"/>
          <w:szCs w:val="28"/>
          <w:rtl w:val="true"/>
          <w:lang w:bidi="ar-SA"/>
        </w:rPr>
        <w:t xml:space="preserve">. </w:t>
      </w:r>
      <w:bookmarkStart w:id="1331" w:name="pg10178_84054"/>
    </w:p>
    <w:p>
      <w:pPr>
        <w:pStyle w:val="BookText"/>
        <w:rPr/>
      </w:pPr>
      <w:bookmarkEnd w:id="133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جالساً مُومِئاً للركوعِ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في الحالَينِ، ولا يَجِب في حالةِ القيام الجلوسُ حالةَ الإيماءِ للسجود على الأصحِّ، نعم، يجب الانحناء إلى حدّ يأمن معه بروزَ العَورةِ ولا تَجُوز زيادتُه على ذلك، وينبغي مُقابَلةُ حائطٍ ونحوهِ؛ ليضع الأعضاء السبعة حالةَ الإيماءِ للسجود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2019312_1067777946"/>
      <w:bookmarkStart w:id="1333" w:name="_Toc494"/>
      <w:bookmarkEnd w:id="1332"/>
      <w:r>
        <w:rPr>
          <w:rtl w:val="true"/>
        </w:rPr>
        <w:t>[</w:t>
      </w:r>
      <w:r>
        <w:rPr>
          <w:rtl w:val="true"/>
        </w:rPr>
        <w:t>مكان المصلِّي</w:t>
      </w:r>
      <w:r>
        <w:rPr>
          <w:rtl w:val="true"/>
        </w:rPr>
        <w:t>]</w:t>
      </w:r>
      <w:bookmarkEnd w:id="13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مأذوناً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الإذنُ بشهادةِ الحالِ به كما في الصحاري والحمّامات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أَمَرَه المالكُ الآذنُ بالخروج قبل الدخول في الصلاةِ، تشاغل بالخروج، ومع الضيق يَخْرُجُ مصلِّياً، ولو صلّى من غيرِ خروجٍ لم تصحّ، وكذا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كانا في مكان لا يمكن فيه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ضاق الوقت و لم يكن إلّا الاقتران زال التحريم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الرجل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المكان مباحاً أو ملكاً للرجل، ولو كان ملكاً لها، تخيَّرت مع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تتعدّ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تعدَّت على وَجْهِ لا يُعْفى عنه، وإلّا لم تضرّ، كما لو وَقَعَت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القَدْرُ المُعْتَبَرُ منها وهو مسمّاه، لا جَمِيعُ ما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تَتَمكَّن جَبْهَتُه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كمالُ التمكّنِ مع حصولِ القدرِ المجزِئ منه، وهو ما يَحْصُلُ معه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وإليها ولو قَبْرٍ واحدٍ</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جوادِّ </w:t>
      </w:r>
      <w:r>
        <w:rPr>
          <w:rStyle w:val="FootnoteAnchor"/>
          <w:rtl w:val="true"/>
        </w:rPr>
        <w:footnoteReference w:id="556"/>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تعطيل المارَّةِ، وإلَّا حَرُمَ وبَطَلَت الصلاةُ</w:t>
      </w:r>
      <w:r>
        <w:rPr>
          <w:rFonts w:eastAsia="Amiri" w:cs="Amiri" w:ascii="Amiri" w:hAnsi="Amiri"/>
          <w:color w:val="111111"/>
          <w:sz w:val="28"/>
          <w:szCs w:val="28"/>
          <w:rtl w:val="true"/>
          <w:lang w:bidi="ar-SA"/>
        </w:rPr>
        <w:t xml:space="preserve">. </w:t>
      </w:r>
      <w:bookmarkStart w:id="1334" w:name="pg10178_84055"/>
    </w:p>
    <w:p>
      <w:pPr>
        <w:pStyle w:val="BookText"/>
        <w:rPr/>
      </w:pPr>
      <w:bookmarkEnd w:id="133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تكون بين يَدَيه نارٌ مُضْرَمَةٌ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مِجْمَرٌ أو 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مُصْحَفٌ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للقارئ المُبْصِرِ، وكذا غيرُ المُصْحَفِ من الكتُبِ، ولا فرق بين الكلِّ والبعضِ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إلى باب مفتوح</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داخلاً أو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إنسانٍ 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نائمةٍ</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2019314_1067777946"/>
      <w:bookmarkStart w:id="1336" w:name="_Toc495"/>
      <w:bookmarkEnd w:id="1335"/>
      <w:r>
        <w:rPr>
          <w:rtl w:val="true"/>
        </w:rPr>
        <w:t>[</w:t>
      </w:r>
      <w:r>
        <w:rPr>
          <w:rtl w:val="true"/>
        </w:rPr>
        <w:t>ما يُسْجَدُ عليه</w:t>
      </w:r>
      <w:r>
        <w:rPr>
          <w:rtl w:val="true"/>
        </w:rPr>
        <w:t>]</w:t>
      </w:r>
      <w:bookmarkEnd w:id="13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الكتّان والقطن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فيهما بين المَغْزُولَين وغيرِهما علی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 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كونُه على ظَهْرِه؛ ليَحْصُلَ الجَمعُ بين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متَّخَذاً من جِنْس ما يصحُّ السجودُ عليه، فلو اتُّخِذ من الحريرِ أو القطنِ أو الكَتّانِ لم يجز</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2019316_1067777946"/>
      <w:bookmarkStart w:id="1338" w:name="_Toc496"/>
      <w:bookmarkEnd w:id="1337"/>
      <w:r>
        <w:rPr>
          <w:rtl w:val="true"/>
        </w:rPr>
        <w:t>[</w:t>
      </w:r>
      <w:r>
        <w:rPr>
          <w:rtl w:val="true"/>
        </w:rPr>
        <w:t>الأذان والإقامة</w:t>
      </w:r>
      <w:r>
        <w:rPr>
          <w:rtl w:val="true"/>
        </w:rPr>
        <w:t>]</w:t>
      </w:r>
      <w:bookmarkEnd w:id="1338"/>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لصلاةٍ واحدةٍ إيماناً واحتساباً وتَقَرّباً غَفَرَ الله له ما سَلَفَ من ذُنُوبِه، ومَنَّ عليه بالعِصْمَةِ فيما بقي من عُمْرِه، وجَمَعَ بَيْنَه وبين الشهداء في الجَنَّةِ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من المؤذِّنِ الشهادَتَينِ فقال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أكتفي بهما عن كلِّ من أَبى وجَحَدَ وأُعِينُ بهما مَنْ أَقَرَّ وشَهِد، كان له من الأجرِ بِعَدَدِ الجَمِيعِ</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فالصبيّ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وتؤذِّن المرأة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وللمحارم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وتُسِرُّ به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جَهَرَت بِحَيْثُ لا تُسمِعُ الأجانِبَ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في الجماعة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بالوجوبِ هنا الشَرْطِيَّةُ في حُصُولِ الفَضِيلةِ لا في صحَّةِ الصلاةِ، بمعنى تَوَقّفِ ثوابِها عليهما، لا بمعنى بطلانِها بِتَرْكِهما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ويَجْمَعُ يوم الجُمُعَة بين الظهرين بأذان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يصلِّي الجُمَعَةَ أو لا، وكذا يَجْمَعُ يوم عَرَفَةَ بين الظُهْرَينِ بأذانٍ وكذا عشاءَي المَشْعَر، والأذان الثاني في الثلاثةِ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الصفوف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بقاء الصفوف بِبَقاء أحدٍ منهم مُعَقِّباً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بانفضاضِهم إعراضُهم عن التَعْقِيبِ وإن بقوا في مَوضِع الصلاةِ، كما لو اشْتَغَلُوا في حديثِ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 هو تَقْصيرُ الوقوفِ وإسراع الحروفِ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تَكرارُ الشَهادتينِ على المُوَظَّفِ </w:t>
      </w:r>
      <w:r>
        <w:rPr>
          <w:rStyle w:val="FootnoteAnchor"/>
          <w:rtl w:val="true"/>
        </w:rPr>
        <w:footnoteReference w:id="562"/>
      </w:r>
      <w:r>
        <w:rPr>
          <w:rFonts w:ascii="Amiri" w:hAnsi="Amiri" w:eastAsia="Amiri" w:cs="Amiri"/>
          <w:color w:val="111111"/>
          <w:sz w:val="28"/>
          <w:sz w:val="28"/>
          <w:szCs w:val="28"/>
          <w:rtl w:val="true"/>
          <w:lang w:bidi="ar-SA"/>
        </w:rPr>
        <w:t>، والأصحّ تحريمُه لغير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تحريمُه لغيرِ تقيَّةٍ إن اعتقدَ مشروعيَّتَه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اقتصر من فصوله على تكبيرتين وقد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مَرَّتَينِ، الله أكبر، الله أكبر، لا إله إلّا الله </w:t>
      </w:r>
      <w:r>
        <w:rPr>
          <w:rStyle w:val="FootnoteAnchor"/>
          <w:rtl w:val="true"/>
        </w:rPr>
        <w:footnoteReference w:id="563"/>
      </w:r>
      <w:r>
        <w:rPr>
          <w:rFonts w:ascii="Amiri" w:hAnsi="Amiri" w:eastAsia="Amiri" w:cs="Amiri"/>
          <w:color w:val="111111"/>
          <w:sz w:val="28"/>
          <w:sz w:val="28"/>
          <w:szCs w:val="28"/>
          <w:rtl w:val="true"/>
          <w:lang w:bidi="ar-SA"/>
        </w:rPr>
        <w:t>، وإن كانت العبارةُ قاصرةً عن ذلك</w:t>
      </w:r>
      <w:r>
        <w:rPr>
          <w:rFonts w:eastAsia="Amiri" w:cs="Amiri" w:ascii="Amiri" w:hAnsi="Amiri"/>
          <w:color w:val="111111"/>
          <w:sz w:val="28"/>
          <w:szCs w:val="28"/>
          <w:rtl w:val="true"/>
          <w:lang w:bidi="ar-SA"/>
        </w:rPr>
        <w:t xml:space="preserve">. </w:t>
      </w:r>
      <w:bookmarkStart w:id="1339" w:name="pg10178_84057"/>
    </w:p>
    <w:p>
      <w:pPr>
        <w:pStyle w:val="Heading4"/>
        <w:numPr>
          <w:ilvl w:val="3"/>
          <w:numId w:val="1"/>
        </w:numPr>
        <w:rPr/>
      </w:pPr>
      <w:bookmarkStart w:id="1340" w:name="__RefHeading___Toc2019318_1067777946"/>
      <w:bookmarkStart w:id="1341" w:name="_Toc497"/>
      <w:bookmarkEnd w:id="1339"/>
      <w:bookmarkEnd w:id="1340"/>
      <w:r>
        <w:rPr>
          <w:rtl w:val="true"/>
        </w:rPr>
        <w:t>[</w:t>
      </w:r>
      <w:r>
        <w:rPr>
          <w:rtl w:val="true"/>
        </w:rPr>
        <w:t>أفعال الصلاة</w:t>
      </w:r>
      <w:r>
        <w:rPr>
          <w:rtl w:val="true"/>
        </w:rPr>
        <w:t>]</w:t>
      </w:r>
      <w:bookmarkEnd w:id="13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بالشرط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لتقدّمِها على أفعالِ الصلاةِ، فإنَّ أوَّلَها التكبِيرُ كما ورد في الخبر </w:t>
      </w:r>
      <w:r>
        <w:rPr>
          <w:rStyle w:val="FootnoteAnchor"/>
          <w:rtl w:val="true"/>
        </w:rPr>
        <w:footnoteReference w:id="564"/>
      </w:r>
      <w:r>
        <w:rPr>
          <w:rFonts w:ascii="Amiri" w:hAnsi="Amiri" w:eastAsia="Amiri" w:cs="Amiri"/>
          <w:color w:val="111111"/>
          <w:sz w:val="28"/>
          <w:sz w:val="28"/>
          <w:szCs w:val="28"/>
          <w:rtl w:val="true"/>
          <w:lang w:bidi="ar-SA"/>
        </w:rPr>
        <w:t>ولمصاحبتِها لجميع الصلاةِ ولو حكماً كباقي الشروط؛ ولأنّها لو كانت جزءاً، لافتقرت إلى نِيّة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الشرطِ والجزءِ أنّ جزءَ الشيء ما يتوقّف عليه تمامُه، وشرطه ما تتوقَّف عليه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التَعْيِينُ مع التَخْيير</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2019320_1067777946"/>
      <w:bookmarkStart w:id="1343" w:name="_Toc498"/>
      <w:bookmarkEnd w:id="1342"/>
      <w:r>
        <w:rPr>
          <w:rtl w:val="true"/>
        </w:rPr>
        <w:t>[</w:t>
      </w:r>
      <w:r>
        <w:rPr>
          <w:rtl w:val="true"/>
        </w:rPr>
        <w:t>التكبير</w:t>
      </w:r>
      <w:r>
        <w:rPr>
          <w:rtl w:val="true"/>
        </w:rPr>
        <w:t>]</w:t>
      </w:r>
      <w:bookmarkEnd w:id="13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 لا يُخْرِجُه عن مَوضُوعِه كمدِّ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 الهاء واللام، أمّا مَدّ همزتِه </w:t>
      </w:r>
      <w:r>
        <w:rPr>
          <w:rStyle w:val="FootnoteAnchor"/>
          <w:rtl w:val="true"/>
        </w:rPr>
        <w:footnoteReference w:id="565"/>
      </w:r>
      <w:r>
        <w:rPr>
          <w:rFonts w:ascii="Amiri" w:hAnsi="Amiri" w:eastAsia="Amiri" w:cs="Amiri"/>
          <w:color w:val="111111"/>
          <w:sz w:val="28"/>
          <w:sz w:val="28"/>
          <w:szCs w:val="28"/>
          <w:rtl w:val="true"/>
          <w:lang w:bidi="ar-SA"/>
        </w:rPr>
        <w:t xml:space="preserve">ومدّ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بِحَيْثُ يصير الأوَّل استفهاماً والثاني جَمعاً فإنّه مبطل، ولو لم يبلغ ذلك كان تركه مستحبّاً، كما ذكر</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2019322_1067777946"/>
      <w:bookmarkStart w:id="1345" w:name="_Toc499"/>
      <w:bookmarkEnd w:id="1344"/>
      <w:r>
        <w:rPr>
          <w:rtl w:val="true"/>
        </w:rPr>
        <w:t>[</w:t>
      </w:r>
      <w:r>
        <w:rPr>
          <w:rtl w:val="true"/>
        </w:rPr>
        <w:t>القيام</w:t>
      </w:r>
      <w:r>
        <w:rPr>
          <w:rtl w:val="true"/>
        </w:rPr>
        <w:t>]</w:t>
      </w:r>
      <w:bookmarkEnd w:id="13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بالاستقلال أن يكون غير مسْتندٍ إلى شيء بحيثُ لو أُزيلَ السِنادُ سقط</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جانِبِه الأيمنِ، فإن تَعَذَّر فعلى الأيسر</w:t>
      </w:r>
      <w:r>
        <w:rPr>
          <w:rFonts w:eastAsia="Amiri" w:cs="Amiri" w:ascii="Amiri" w:hAnsi="Amiri"/>
          <w:color w:val="111111"/>
          <w:sz w:val="28"/>
          <w:szCs w:val="28"/>
          <w:rtl w:val="true"/>
          <w:lang w:bidi="ar-SA"/>
        </w:rPr>
        <w:t xml:space="preserve">. </w:t>
      </w:r>
      <w:bookmarkStart w:id="1346" w:name="pg10178_84058"/>
    </w:p>
    <w:p>
      <w:pPr>
        <w:pStyle w:val="BookText"/>
        <w:rPr/>
      </w:pPr>
      <w:bookmarkEnd w:id="134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بالتربِيعِ أَنْ يَجلِسَ على ألْیَیْه </w:t>
      </w:r>
      <w:r>
        <w:rPr>
          <w:rStyle w:val="FootnoteAnchor"/>
          <w:rtl w:val="true"/>
        </w:rPr>
        <w:footnoteReference w:id="567"/>
      </w:r>
      <w:r>
        <w:rPr>
          <w:rFonts w:ascii="Amiri" w:hAnsi="Amiri" w:eastAsia="Amiri" w:cs="Amiri"/>
          <w:color w:val="111111"/>
          <w:sz w:val="28"/>
          <w:sz w:val="28"/>
          <w:szCs w:val="28"/>
          <w:rtl w:val="true"/>
          <w:lang w:bidi="ar-SA"/>
        </w:rPr>
        <w:t>كما تفعله المرأة في التَشَهّد، وبِثَنْي الرجلَينِ أن يَفْتَرِشَهما تَحْتَه، ويَعْتَمِدَ على صدورِهما بغيرِ إقعاءٍ، وبالتورّكِ أن يَجْلِسَ على وَرِكه الأيسرِ</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2019324_1067777946"/>
      <w:bookmarkStart w:id="1348" w:name="_Toc500"/>
      <w:bookmarkEnd w:id="1347"/>
      <w:r>
        <w:rPr>
          <w:rtl w:val="true"/>
        </w:rPr>
        <w:t>[</w:t>
      </w:r>
      <w:r>
        <w:rPr>
          <w:rtl w:val="true"/>
        </w:rPr>
        <w:t>القراءة</w:t>
      </w:r>
      <w:r>
        <w:rPr>
          <w:rtl w:val="true"/>
        </w:rPr>
        <w:t>]</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أحسَنَ الفاتحةَ اقتصر عليها، وإن أحسَنَ بعضَها خاصَّةً، فالأصحّ وجُوبُ التعويضِ عمّا جهلَه من غيرِها بقَدْرِه، فإن لم يُحْسِن غيرها كرّر ما يعلمه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مراعاةُ الترتيبِ بين ما يعلمُ وما يُعوِّض به، فإن علمَ أوَّلَها عَوَّض أخيراً، وبالعكسِ،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سبّح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المعهودَ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وأدناه أن يُسْمِع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الجَهْرَ والإخفاتَ كيفيَّتان مُخْتَلِفَتانِ لا تَدْخُلُ إحداهما تحتَ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واجباً، فيجوز لها كلٌّ من الجهرِ والإخفاتِ في الجهريّةِ بشرطِ عدمِ سماعِ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وترتيل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حفظ الوقوف وأداءُ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قِصار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القرآن، وقِصاره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 ومُتَوَسِّطاتُه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ومُطَوَّلاتُه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أقوى، وكذا في باقي أحوالِ الصلاةِ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تعاد البسملة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وجوب البسملةِ بينهما، والأفضل ترك </w:t>
      </w:r>
      <w:bookmarkStart w:id="1349" w:name="pg10178_84059"/>
    </w:p>
    <w:p>
      <w:pPr>
        <w:pStyle w:val="BookText"/>
        <w:rPr/>
      </w:pPr>
      <w:bookmarkEnd w:id="1349"/>
      <w:r>
        <w:rPr>
          <w:rFonts w:ascii="Amiri" w:hAnsi="Amiri" w:eastAsia="Amiri" w:cs="Amiri"/>
          <w:color w:val="111111"/>
          <w:sz w:val="28"/>
          <w:sz w:val="28"/>
          <w:szCs w:val="28"/>
          <w:rtl w:val="true"/>
          <w:lang w:bidi="ar-SA"/>
        </w:rPr>
        <w:t>قراءَتِها في الفريضةِ خروجاً من خلافِ البسملةِ، سواء أتى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 بإسقاط التكبير من الثلاثِ، والعَشْرُ بإتيانِه في الثالثة، والجميعُ جائزٌ إلّا التِسعَ</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2019326_1067777946"/>
      <w:bookmarkStart w:id="1351" w:name="_Toc501"/>
      <w:bookmarkEnd w:id="1350"/>
      <w:r>
        <w:rPr>
          <w:rtl w:val="true"/>
        </w:rPr>
        <w:t>[</w:t>
      </w:r>
      <w:r>
        <w:rPr>
          <w:rtl w:val="true"/>
        </w:rPr>
        <w:t>الركوع</w:t>
      </w:r>
      <w:r>
        <w:rPr>
          <w:rtl w:val="true"/>
        </w:rPr>
        <w:t>]</w:t>
      </w:r>
      <w:bookmarkEnd w:id="135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سبحان الله،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الصادق علیه السلام في تسبيح الركوع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ثلاون مَرَّةً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وثلاثون</w:t>
      </w:r>
      <w:r>
        <w:rPr>
          <w:rStyle w:val="FootnoteAnchor"/>
          <w:rtl w:val="true"/>
        </w:rPr>
        <w:footnoteReference w:id="571"/>
      </w:r>
      <w:r>
        <w:rPr>
          <w:rFonts w:ascii="Amiri" w:hAnsi="Amiri" w:eastAsia="Amiri" w:cs="Amiri"/>
          <w:color w:val="111111"/>
          <w:sz w:val="28"/>
          <w:sz w:val="28"/>
          <w:szCs w:val="28"/>
          <w:rtl w:val="true"/>
          <w:lang w:bidi="ar-SA"/>
        </w:rPr>
        <w:t>، وهو حسن للمنفرد مع إقبالِ القلبِ، وللإمامِ إن رضِي المأمومُ، وإلّا فلا يتجاوزُ الثَلاثَ، ويكرَه النقصانُ عنها مطلقاً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إلى الركوع قبلَ الإمامِ فإن كان عامداً قبل فَراغِ الإمامِ من قراءتِه بطلت صلاتُه، وإن فرغَ منها، وجبَ عليه الاستمرار وأثِمَ بترك المتابَعَة، وإن كان ظانّاً أو ناسياً وجبَ الرجوعُ والركوعُ مع الإمامِ ثانياً، وصحَّت صلاتُه</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2019328_1067777946"/>
      <w:bookmarkStart w:id="1353" w:name="_Toc502"/>
      <w:bookmarkEnd w:id="1352"/>
      <w:r>
        <w:rPr>
          <w:rtl w:val="true"/>
        </w:rPr>
        <w:t>[</w:t>
      </w:r>
      <w:r>
        <w:rPr>
          <w:rtl w:val="true"/>
        </w:rPr>
        <w:t>السجود</w:t>
      </w:r>
      <w:r>
        <w:rPr>
          <w:rtl w:val="true"/>
        </w:rPr>
        <w:t>]</w:t>
      </w:r>
      <w:bookmarkEnd w:id="13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الذكر فيه و في السجود</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الاجتزاء فيه وفي السجود بمطلق الذكر المشتمل على الثناء وإن كان ما اختاره المصنِّف أحوط</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الكلِّ مسمّاه، ولا يجبُ الجمع بين الأصابع والكفِّ وإن كان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1354" w:name="pg10178_84060"/>
    </w:p>
    <w:p>
      <w:pPr>
        <w:pStyle w:val="BookText"/>
        <w:rPr/>
      </w:pPr>
      <w:bookmarkEnd w:id="135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وإبهامَي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قُصُورِهما على باقي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يزيد عن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قَدْرُ أربعِ أصابعَ مضمُومَةٍ من مستوِي الخِلقةِ، ويراعي ذلك في باقي المساجِدِ، فتبطلُ في الزيادةِ، وكذا لا يجوز أن يكون سافلاً لما يزيدُ عنها، ولا فرق فيهما بين الأرضِ المنحدرةِ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على أحدِ 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 فإن تعذَّر فعلى الأيسرِ؛ لاستغراقِ الجبهةِ من المانعِ، أو لعدمِ تَمكّنِه من الحفيرةِ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فرقُ الشعرِ لتقعَ البشرةُ على الأرضِ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يُرْغِمَ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يلصقَه على الرَغامِ وهو الترابُ، والمعنى أن يسجدَ عليه كما يسجد على باقي الأعضاء، فتتأدّى الفضيلَةُ بوضعِه على ما يَصحّ السجودُ عليه وإن لم يكن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التُرابُ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الإقعاءُ هو أن يعتمدَ على صدورِ قدميه، ويجعل أَلْيَيْه على عقبَيه</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2019330_1067777946"/>
      <w:bookmarkStart w:id="1356" w:name="_Toc503"/>
      <w:bookmarkEnd w:id="1355"/>
      <w:r>
        <w:rPr>
          <w:rtl w:val="true"/>
        </w:rPr>
        <w:t>[</w:t>
      </w:r>
      <w:r>
        <w:rPr>
          <w:rtl w:val="true"/>
        </w:rPr>
        <w:t>التشهّد</w:t>
      </w:r>
      <w:r>
        <w:rPr>
          <w:rtl w:val="true"/>
        </w:rPr>
        <w:t>]</w:t>
      </w:r>
      <w:bookmarkEnd w:id="13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عليٌّ وفاطمةُ والحسنانِ علیهم السلام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7" w:name="__RefHeading___Toc2019332_1067777946"/>
      <w:bookmarkStart w:id="1358" w:name="_Toc504"/>
      <w:bookmarkEnd w:id="1357"/>
      <w:r>
        <w:rPr>
          <w:rtl w:val="true"/>
        </w:rPr>
        <w:t>[</w:t>
      </w:r>
      <w:r>
        <w:rPr>
          <w:rtl w:val="true"/>
        </w:rPr>
        <w:t>السلام</w:t>
      </w:r>
      <w:r>
        <w:rPr>
          <w:rtl w:val="true"/>
        </w:rPr>
        <w:t>]</w:t>
      </w:r>
      <w:bookmarkEnd w:id="13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جعل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بادئاً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 بِمُؤخِّرِ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بعد التسليم، إن كان منفرِداً، أومأ بِمُؤخِّرِ عينِه، وإن كان إماماً أومأ بصَفْحَةِ وجهه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وينوِي المنفرِدُ الأنبياءَ والأئمَّةَ والحَفَظَةَ ومسلمي الإنْسِ والجِنِّ، ويزِيدُ الإمامُ قصدَ </w:t>
      </w:r>
      <w:bookmarkStart w:id="1359" w:name="pg10178_84061"/>
    </w:p>
    <w:p>
      <w:pPr>
        <w:pStyle w:val="BookText"/>
        <w:rPr/>
      </w:pPr>
      <w:bookmarkEnd w:id="1359"/>
      <w:r>
        <w:rPr>
          <w:rFonts w:ascii="Amiri" w:hAnsi="Amiri" w:eastAsia="Amiri" w:cs="Amiri"/>
          <w:color w:val="111111"/>
          <w:sz w:val="28"/>
          <w:sz w:val="28"/>
          <w:szCs w:val="28"/>
          <w:rtl w:val="true"/>
          <w:lang w:bidi="ar-SA"/>
        </w:rPr>
        <w:t>المأمومِ، والمأمومُ يزيد قصدَ الإمامِ بالأُولى، والثانيَةِ مَن علی ذلك الجانب من المأمُومِينَ</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2019334_1067777946"/>
      <w:bookmarkStart w:id="1361" w:name="_Toc505"/>
      <w:bookmarkEnd w:id="1360"/>
      <w:r>
        <w:rPr>
          <w:rtl w:val="true"/>
        </w:rPr>
        <w:t>[</w:t>
      </w:r>
      <w:r>
        <w:rPr>
          <w:rtl w:val="true"/>
        </w:rPr>
        <w:t>مندوبات الصلاة</w:t>
      </w:r>
      <w:r>
        <w:rPr>
          <w:rtl w:val="true"/>
        </w:rPr>
        <w:t>]</w:t>
      </w:r>
      <w:bookmarkEnd w:id="13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التوجّه بِسَبْعِ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 الذكرى </w:t>
      </w:r>
      <w:r>
        <w:rPr>
          <w:rStyle w:val="FootnoteAnchor"/>
          <w:rtl w:val="true"/>
        </w:rPr>
        <w:footnoteReference w:id="575"/>
      </w:r>
      <w:r>
        <w:rPr>
          <w:rFonts w:ascii="Amiri" w:hAnsi="Amiri" w:eastAsia="Amiri" w:cs="Amiri"/>
          <w:color w:val="111111"/>
          <w:sz w:val="28"/>
          <w:sz w:val="28"/>
          <w:szCs w:val="28"/>
          <w:rtl w:val="true"/>
          <w:lang w:bidi="ar-SA"/>
        </w:rPr>
        <w:t>إلى استحبابِ التوجّهِ بالتكبيراتِ في جميعِ الصلواتِ،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 الوِتْرِ، فإنّ فيها قُنُوتَينِ قَبلَ الركوع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نَسِيه قضاه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يَذْكُر حتّى هوى إلى السجودِ قضاه بعد التسليم، فإن لم يذكُر حتّى انصرف قضاه ولو في الطريق قائماً مستقبلاً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وأفضله تسبيح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أبلغُ في طلبِ الرِزْقِ من الضرب في الأرضِ </w:t>
      </w:r>
      <w:r>
        <w:rPr>
          <w:rStyle w:val="FootnoteAnchor"/>
          <w:rtl w:val="true"/>
        </w:rPr>
        <w:footnoteReference w:id="576"/>
      </w:r>
      <w:r>
        <w:rPr>
          <w:rFonts w:ascii="Amiri" w:hAnsi="Amiri" w:eastAsia="Amiri" w:cs="Amiri"/>
          <w:color w:val="111111"/>
          <w:sz w:val="28"/>
          <w:sz w:val="28"/>
          <w:szCs w:val="28"/>
          <w:rtl w:val="true"/>
          <w:lang w:bidi="ar-SA"/>
        </w:rPr>
        <w:t xml:space="preserve">، وفي الحديثِ أنّ تسبيحَ الزهراء علیها السلام يعدلُ ألْفَ رَكْعَةٍ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في أثنائِه ساهياً حَذَفَ الزائد، وعامداً أعاد</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2019336_1067777946"/>
      <w:bookmarkStart w:id="1363" w:name="_Toc506"/>
      <w:bookmarkEnd w:id="1362"/>
      <w:r>
        <w:rPr>
          <w:rtl w:val="true"/>
        </w:rPr>
        <w:t>[</w:t>
      </w:r>
      <w:r>
        <w:rPr>
          <w:rtl w:val="true"/>
        </w:rPr>
        <w:t>المبطلات</w:t>
      </w:r>
      <w:r>
        <w:rPr>
          <w:rtl w:val="true"/>
        </w:rPr>
        <w:t>]</w:t>
      </w:r>
      <w:bookmarkEnd w:id="13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والالتفات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بجُملتِه أو بوَجهِه إذا أمكنَ بلوغُه حدَّ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الضحكُ المشتملُ على الصوتِ، وإن وَقَعَتْ على وَجْهِ لا يمكن دفعُه كمقابلةِ ملاعبٍ</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فى الفعلِ الكثِيرِ إلى العرفِ، فما يُعَدُّ فاعلُه مُعرضاً عن الصلاةِ يُبْطِلُ وإن اتَّحد، كالوَثبةِ الفاحشةِ، وما لا يُخِلّ بذلك لا يبطِل وإن تعدَّد، كحركةِ الأصابع، والإشارةِ بالرأس، وخلعِ النعلِ، ولبسِ الثوبِ الخفيفِ، وقتلِ الحَيَّةِ </w:t>
      </w:r>
      <w:bookmarkStart w:id="1364" w:name="pg10178_84062"/>
    </w:p>
    <w:p>
      <w:pPr>
        <w:pStyle w:val="BookText"/>
        <w:rPr/>
      </w:pPr>
      <w:bookmarkEnd w:id="1364"/>
      <w:r>
        <w:rPr>
          <w:rFonts w:ascii="Amiri" w:hAnsi="Amiri" w:eastAsia="Amiri" w:cs="Amiri"/>
          <w:color w:val="111111"/>
          <w:sz w:val="28"/>
          <w:sz w:val="28"/>
          <w:szCs w:val="28"/>
          <w:rtl w:val="true"/>
          <w:lang w:bidi="ar-SA"/>
        </w:rPr>
        <w:t>والعقربِ، ودَفعِ المارِّ، والخَطْوَتَيْنِ، أمّا الثَلاثُ فكثِيرةٌ، فإن توالتْ أبطلت، لا إن تفرّقت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والبكاء لأُمورِ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بذلك عن البكاءِ لأُمورِ الآخِرَةِ، فإنّه لا يُبْطِلُ الصلاةَ، بل هو من أفْضلِ الأعمالِ ما لم يَخْرُج عنه حرفان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يقطعها الأكل والشرب</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أنَّهما لا يَقْطَعانِ إلّا مع الكَثِيرِ، فلو ابتلعَ ما بين أسنانِه لم يَضُرَّ، بخلاف تَناوُلِ اللُقْمَةِ ومَضْعِها واِزدِرادِها فإنّها أفعالٌ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والشعر معقوص</w:t>
      </w:r>
      <w:r>
        <w:rPr>
          <w:rFonts w:eastAsia="IRNazanin" w:cs="IRNazanin"/>
          <w:color w:val="111111"/>
          <w:sz w:val="28"/>
          <w:szCs w:val="28"/>
          <w:rtl w:val="true"/>
          <w:lang w:bidi="fa-IR"/>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في وَسَطِ الرأْسِ وشَدُّه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للمُصَلِّي تَسْمِيتُ العاطِسِ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التَسْمِيتُ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أو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على الأوَّلِ الدعاءُ لَه بأن يَجْعَلَه على السَمْتِ الحَسَنِ، وعلى الثاني بِنَفْي الشَوامِتِ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والدعاء في أحوالِ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بالتَرْجَمَةِ مختاراً لنَفْسِهِ ولوالَديه وإخوانِه</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2019338_1067777946"/>
      <w:bookmarkStart w:id="1366" w:name="_Toc507"/>
      <w:bookmarkEnd w:id="1365"/>
      <w:r>
        <w:rPr>
          <w:rtl w:val="true"/>
        </w:rPr>
        <w:t>[</w:t>
      </w:r>
      <w:r>
        <w:rPr>
          <w:rtl w:val="true"/>
        </w:rPr>
        <w:t>صلاة الجمعة</w:t>
      </w:r>
      <w:r>
        <w:rPr>
          <w:rtl w:val="true"/>
        </w:rPr>
        <w:t>]</w:t>
      </w:r>
      <w:bookmarkEnd w:id="1366"/>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وتُقضىٰ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وَظِيفَةِ الوقتِ، أي تُصَلّى وَظِيفَةُ الوقتِ ظهراً؛ لأنَّ وَظيفَةَ الوقتِ يَومَ الجُمُعَةِ الجُمُعَةُ أو الظَهْرُ، ومعنى القضاءِ الإتيانُ لا فِعْلُ الشيء خارِجَ وَقْتِه؛ لأنّ الجُمُعَةَ لا تُقضىٰ مع الفواتِ، فهو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الصَّلَوٰةُ</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ولا يجوز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الجُمُعةِ؛ لأنّ القضاءَ لا يزيد على كمّيّةِ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والوصيّة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بتَقْوى اللهِ أن لا يَفْقِدَ العبد حَيثُ أَمَرَه، ولا يراه حَيْثُ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الفصل بينهما بالجلوس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إيقاعِهما قبلَ الزوالِ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كَونُهما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الخطيب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كونه قادراً على التَعْبِيرِ عمّا في نَفْسِه بِعِبارَةٍ فَصِيحَةٍ مع احتِرازهِ عن الإيجاز المُخِلِّ والتَطْوِيلِ المُمِلِّ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بين الجُمُعَتَينِ أقلّ من ثَلاثَةِ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البَعِيدِ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عليهم الحُضُورُ وإِنْ أمكَنَهم إقامَتُها عِنْدَهم، وهم الذِينَ بَيْنَهم وبينها أقلُّ مِن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الفَرْسَخِ والفَرْسَخَينِ، وهؤلاء إن أمكَنَهم إقامَةُ الجُمُعَةِ عِنْدَهم تخيَّروا بَيْنَها وبَينَ الحُضُورِ، وإِلّا وَجَبَ عليهم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الفَرْسَخَين إن أمكَنَهم إقامَتُها عِنْدَهم وجبت، وإلَّا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البَيْعُ بَعْدَ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غَيرُه من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إيقاعَها مُسْتَحَبّةً بالمعنى المُتَعارَفِ المُقابِلِ للواجِبِ، بل المُرادُ أنَّها أفْضَلُ الفَرْدَينِ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الجُمُعَة 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يَتَخَيَّرُ بينَ الجُمُعَةِ والظهرِ، والجُمُعَةُ أفضلُ، فعلى هذا يَنْوِي الوُجُوبَ وتُجزئ عن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التنفّل بعشرين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العشرون هي نَوافلُ الظُهْرَينِ الستَّ عَشَرَة، وتَزِيدُ عليها أرْبَع ركعاتٍ للجُمُعَةِ، وَيَتَخَيَّر في النِيَّةِ بين أن يَنْوِيَ بالجميعِ نَوافل الجُمُعَةِ، و بين أن يَنْوي بالأربعِ خاصَّةً الجُمُعَةَ، ويبقى الباقي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فعل الجميعِ يوم الجُمُعَةِ في أيِّ وقتٍ شاء مجتمِعاً ومُتَفَرِّقاً، وإن كان ما ذُكِرَ من التَفْرِيقِ أفضل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سكينة 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في الأعضاء بمعنى اعتدالِ حَرَكاتِها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والوَقارُ في النَفْسِ بمعنى طُمَأْنِينَتِها وثباتِها على وجهِ يُوجِب الخُشُوعَ والإقبالَ على اللهِ</w:t>
      </w:r>
      <w:r>
        <w:rPr>
          <w:rFonts w:eastAsia="Amiri" w:cs="Amiri" w:ascii="Amiri" w:hAnsi="Amiri"/>
          <w:color w:val="111111"/>
          <w:sz w:val="28"/>
          <w:szCs w:val="28"/>
          <w:rtl w:val="true"/>
          <w:lang w:bidi="ar-SA"/>
        </w:rPr>
        <w:t xml:space="preserve">. </w:t>
      </w:r>
      <w:bookmarkStart w:id="1367" w:name="pg10178_84064"/>
    </w:p>
    <w:p>
      <w:pPr>
        <w:pStyle w:val="Heading4"/>
        <w:numPr>
          <w:ilvl w:val="3"/>
          <w:numId w:val="1"/>
        </w:numPr>
        <w:rPr/>
      </w:pPr>
      <w:bookmarkStart w:id="1368" w:name="__RefHeading___Toc2019340_1067777946"/>
      <w:bookmarkStart w:id="1369" w:name="_Toc508"/>
      <w:bookmarkEnd w:id="1367"/>
      <w:bookmarkEnd w:id="1368"/>
      <w:r>
        <w:rPr>
          <w:rtl w:val="true"/>
        </w:rPr>
        <w:t>[</w:t>
      </w:r>
      <w:r>
        <w:rPr>
          <w:rtl w:val="true"/>
        </w:rPr>
        <w:t>صلاة العيدين</w:t>
      </w:r>
      <w:r>
        <w:rPr>
          <w:rtl w:val="true"/>
        </w:rPr>
        <w:t>]</w:t>
      </w:r>
      <w:bookmarkEnd w:id="13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العِيْدِ حالَ الغَيْبَةِ بين حُضُورِ الفَقِيه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التباعُدُ بين نَفلَيها بِفَرْسَخٍ، ولا بَيْنَ فَرْضِها وَنَفْلِها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يَطْعَمَ قبلَ خُرُوجِه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وسكونِ الطاء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الثانية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وكلاهما جَيِّدٌ، غَير أنَّ ما ذَكَرَه المُصَنِّفُ أَشهرُ والآخَر أَصَحّ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بمسجد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مَن كان بالمَدِينَةِ يُسْتَحَبّ له أن يَقْصِدَ المَسْجِدَ قبلَ خُرُوجِه فَيُصَلِّي فيه رَكْعَتَينِ، ثمّ يَخْرُج إِلى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الزائد واجب</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تكبِيرُ القُنُوتِ، أعني التسْعَةَ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التَكْبِيرِ والقُنُوتِ، وعَدَمُ انْحِصارِه في لَفْظِ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بالخيار في حضور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التَخْيير بين أهل البلدِ وغَيرهم على الأقوى، ويجب على الإمام الحضور للجُمُعَةِ، فإن اجتمع معه تمامُ العَدَدِ، صلّاها، وإلّا سَقَطتْ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وتقديمها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أن يُدْخِلَ الإِنسانُ في الدِينِ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كلّ صَلاةٍ تُصَلّى بالنَهارِ ولها نَظيرٌ بالليلِ فَوَظِيفَةُ النهارِيَّةِ السِرُّ واللَيليَّةِ الجَهْرُ، كاليَومِيَّةِ، وكصَلاة الخُسُوفِ، وصَلاة الكسوفِ سِرّاً والخُسُوف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صَلاةٍ لا نَظِيرَ في الوَقْتِ الآخرِ لها فَوَظِيفَتُها الجَهْرُ، كالجُمُعَةِ والعِيدِ والزلزلةِ والاستسقاءِ</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كان مخيَّراً فيها بين الجَهْرِ والإخفاتِ</w:t>
      </w:r>
      <w:r>
        <w:rPr>
          <w:rFonts w:eastAsia="Amiri" w:cs="Amiri" w:ascii="Amiri" w:hAnsi="Amiri"/>
          <w:color w:val="111111"/>
          <w:sz w:val="28"/>
          <w:szCs w:val="28"/>
          <w:rtl w:val="true"/>
          <w:lang w:bidi="ar-SA"/>
        </w:rPr>
        <w:t xml:space="preserve">. </w:t>
      </w:r>
      <w:bookmarkStart w:id="1370" w:name="pg10178_84065"/>
    </w:p>
    <w:p>
      <w:pPr>
        <w:pStyle w:val="Heading4"/>
        <w:numPr>
          <w:ilvl w:val="3"/>
          <w:numId w:val="1"/>
        </w:numPr>
        <w:rPr/>
      </w:pPr>
      <w:bookmarkStart w:id="1371" w:name="__RefHeading___Toc2019342_1067777946"/>
      <w:bookmarkStart w:id="1372" w:name="_Toc509"/>
      <w:bookmarkEnd w:id="1370"/>
      <w:bookmarkEnd w:id="1371"/>
      <w:r>
        <w:rPr>
          <w:rtl w:val="true"/>
        </w:rPr>
        <w:t>[</w:t>
      </w:r>
      <w:r>
        <w:rPr>
          <w:rtl w:val="true"/>
        </w:rPr>
        <w:t>صلاة الكسوف</w:t>
      </w:r>
      <w:r>
        <w:rPr>
          <w:rtl w:val="true"/>
        </w:rPr>
        <w:t>]</w:t>
      </w:r>
      <w:bookmarkEnd w:id="13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كسوف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وخَسَفَ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الكُسُوفُ فيهما، وكذا الخُسُوفٌ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من الابتداء إلى الأخذ في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يمتدّ وَقْتُها إلى تَمامِ الانجلاءِ، وهو خِيَرَةُ المصَنِّفُ في المعتبر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 لو علم وأهمل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ذلك بِشَهادَةِ عَدْلَينِ، أو بشياعٍ يتاخم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وسورةً إن كان أَتَمَّ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أَنَّه مُخَيَّرٌ بين قِراءَةِ سُورَةٍ كَامِلَةٍ بَعْدَ الحمدِ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إعادة الحَمْدِ في كلِّ مرَّةٍ، وبين تَفْرِيقِ السُورَةِ على الخَمْسِ بِحَيْثُ يَقْرَأُ في كلِّ قِيامٍ مِن حَيْثُ قَطَعَ في الذي قَبْلَه، فيكفي في كلِّ قِيامِ آيةٌ، والحَمْدُ في الأوَّلِ خاصَّةً، وبين تَبْعِيضِ السُورَةِ في بَعْضِ الرَكَعَاتِ والإكمال في بَعْضٍ بِحَيْثُ تَتِمُّ له في الخَمْسِ سُورةٌ فصاعداً، ولا يَجِبُ إكمالُها في الخامِسِ والعاشِرِ إذا كان قد أكمل سُورَةً قَبْلَ ذلك في الرَكْعَةِ، ومتى أكْمَلَ سُورَةً في قِيامِ وَجَبَتْ عليه إعادَةُ الحَمْدِ في القيامِ الذي بَعْدَه، وكذا يَحِبُ الحمدُ للقيامِ إِلى الرَكْعَةِ الثانيَةِ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يقنت خمسة 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كلِّ مُزْدَوَجٍ، ويكفي على الخامِسِ والعاشِرِ، وأَقَلُّه على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 في وقت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تَضَيَّقَتِ الكُسُوفُ مع تَضَيّق الحاضِرَةِ أو لا، ولو تَضَيَّقَتِ الكُسُوفُ خاصَّةً، قُدِّمَتْ</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مع تَوَسُّعِهما يَتَخَيَّرُ، ومع تَضَيّقِهما تُقَدَّمُ الحاضِرَةُ، ومع تَضَيّقِ إحداهما تُقَدَّمُ المُضَيَّقَةُ</w:t>
      </w:r>
      <w:r>
        <w:rPr>
          <w:rFonts w:eastAsia="Amiri" w:cs="Amiri" w:ascii="Amiri" w:hAnsi="Amiri"/>
          <w:color w:val="111111"/>
          <w:sz w:val="28"/>
          <w:szCs w:val="28"/>
          <w:rtl w:val="true"/>
          <w:lang w:bidi="ar-SA"/>
        </w:rPr>
        <w:t xml:space="preserve">. </w:t>
      </w:r>
      <w:bookmarkStart w:id="1373" w:name="pg10178_84066"/>
    </w:p>
    <w:p>
      <w:pPr>
        <w:pStyle w:val="Heading4"/>
        <w:numPr>
          <w:ilvl w:val="3"/>
          <w:numId w:val="1"/>
        </w:numPr>
        <w:rPr/>
      </w:pPr>
      <w:bookmarkStart w:id="1374" w:name="__RefHeading___Toc2019344_1067777946"/>
      <w:bookmarkStart w:id="1375" w:name="_Toc510"/>
      <w:bookmarkEnd w:id="1373"/>
      <w:bookmarkEnd w:id="1374"/>
      <w:r>
        <w:rPr>
          <w:rtl w:val="true"/>
        </w:rPr>
        <w:t>[</w:t>
      </w:r>
      <w:r>
        <w:rPr>
          <w:rtl w:val="true"/>
        </w:rPr>
        <w:t>صلاة الجنازة</w:t>
      </w:r>
      <w:r>
        <w:rPr>
          <w:rtl w:val="true"/>
        </w:rPr>
        <w:t>]</w:t>
      </w:r>
      <w:bookmarkEnd w:id="13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الكافرِ الأصلِي، ومُنْتَحِلِ الإسلامِ من الفِرَقِ المحكُومِ بكفرِها، كالنواصِبِ والخَوارجِ والمُجَسِّمَةِ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بحكمه وَلَدَه الطفلَ والمجنُون، ولَقيطَ دارِ الإسلامِ أو دارِ الكفرِ وفيها مُسلِمٌ صالحٌ للاستيلادِ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فى الوُجُوبِ إكمالُ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أولاهم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التَرْتِيبِ أنَّ الوارِثَ أولى مِن غيرهِ من ذي القَرابَةِ، والزَوْجُ أولى من الجَميعِ إن وُجدَ، ثمَّ الأبُ أولى من الابن، وقد عُلِمَ أَنَّ الوَلَدَ أولى من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أولى منه بالمِيراثِ، والأخ من الأبوين أولى منه من أحدِهما، ومن الأبِ أولى منه من الأُمِّ، والعَمّ أولى من الخالِ، وأولادُهم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من كلِّ مَرْتَبَةٍ أولى من الأُنثى، وإن فُقِدَ الوارثُ أو غاب أو كان غَيرَ مُكلَّفٍ، تولّاه الحاكِمُ، فإن تَعَذَّر، فعُدُولُ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أولى من كلِّ أحدِ إجماعاً، ولا وَجْهَ لِتَخْصِيصِ الأخِ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خَصَّه؛ لأنَّه روى أبان بن أعين عن الصادقِ علیه السلام أَنَّ الأخَ أولى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روی حفص بن بختري </w:t>
      </w:r>
      <w:r>
        <w:rPr>
          <w:rStyle w:val="FootnoteAnchor"/>
          <w:rtl w:val="true"/>
        </w:rPr>
        <w:footnoteReference w:id="587"/>
      </w:r>
      <w:r>
        <w:rPr>
          <w:rFonts w:ascii="Amiri" w:hAnsi="Amiri" w:eastAsia="Amiri" w:cs="Amiri"/>
          <w:color w:val="111111"/>
          <w:sz w:val="28"/>
          <w:sz w:val="28"/>
          <w:szCs w:val="28"/>
          <w:rtl w:val="true"/>
          <w:lang w:bidi="ar-SA"/>
        </w:rPr>
        <w:t>، فأراد المُصَنِّفُ التَنْبِيهَ على ضَعْفِ الرِوايَتَينِ بِذكْرِ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يصلّى على الميِّتِ إِلّا بَعْدَ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الإمكانِ، ولو تَعَذَّر قام التَيَمّمُ مَقامَه في تَرَتُّبِ الصَلاةِ عليه، فإن تَعَذَّرَ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إن كان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بالمنافِقِ المخالِفُ للحَقِّ</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لِلَّذينَ تابوا واتَّبَعُوا سَبِيلَكَ وَقِهِمْ عَذابَ الجحيم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1376" w:name="pg10178_84067"/>
    </w:p>
    <w:p>
      <w:pPr>
        <w:pStyle w:val="BookText"/>
        <w:rPr/>
      </w:pPr>
      <w:bookmarkEnd w:id="137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خَلَقْتَ هذه النُفُوسَ وأنْتَ أمَتَّها، تَعْلَمُ سَرِيرَتَها وعَلانِيَتَها، أَتَيْناكَ شافِعِين فيها فَشَفَّعْنا فَوَلَّها مع مَنْ تَوَلَّتْ، وَاحْشُرْها مع مَن أحبَّتْ الدروس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البُلُوغ وإن وَجَبتِ الصلاةُ عليه، وإِنَّما يدعو لأبَوَيه كذلك مع إيمانِهما، ولو كان أحدُهما مؤمِناً خاصَّةً 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والفَرَطُ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المُتَقَدِّمُ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ما بَقِي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دُعاءِ إن لم نُوجِبِ الدُعاءَ، وإِلّا وَجَبَ تَقْیيدُه بِخَوفِ فَواتِ الجنازَةِ من مَحَلّ تَجُوزُ الصلاةُ عليها فيه اختياراً، وإلّا وَجَبَ الدعاءُ أو ما أَمْكَنَ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على المَيِّتِ، فالأقْرَبُ عَدَمُ تَحْدِيدِ زَمانِ للصَّلاةِ عليه، وإلّا فالأجْوَدُ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في الإتمام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تَرْك القَطْعِ للنَهْيِ عنه </w:t>
      </w:r>
      <w:r>
        <w:rPr>
          <w:rStyle w:val="FootnoteAnchor"/>
          <w:rtl w:val="true"/>
        </w:rPr>
        <w:footnoteReference w:id="591"/>
      </w:r>
      <w:r>
        <w:rPr>
          <w:rFonts w:ascii="Amiri" w:hAnsi="Amiri" w:eastAsia="Amiri" w:cs="Amiri"/>
          <w:color w:val="111111"/>
          <w:sz w:val="28"/>
          <w:sz w:val="28"/>
          <w:szCs w:val="28"/>
          <w:rtl w:val="true"/>
          <w:lang w:bidi="ar-SA"/>
        </w:rPr>
        <w:t>، ويَجُوزُ أن يُدْخِلَ الثانِيَةَ على الأُولى في التكبيراتِ ويَخُصُّ كلَّ واحِدَةٍ بدُعائِها ثمّ يُتِمَّ ما بَقِيَ من الثانِيَةِ</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2019346_1067777946"/>
      <w:bookmarkStart w:id="1378" w:name="_Toc511"/>
      <w:bookmarkEnd w:id="1377"/>
      <w:r>
        <w:rPr>
          <w:rtl w:val="true"/>
        </w:rPr>
        <w:t>[</w:t>
      </w:r>
      <w:r>
        <w:rPr>
          <w:rtl w:val="true"/>
        </w:rPr>
        <w:t>صلاة الاستسقاء</w:t>
      </w:r>
      <w:r>
        <w:rPr>
          <w:rtl w:val="true"/>
        </w:rPr>
        <w:t>]</w:t>
      </w:r>
      <w:bookmarkEnd w:id="13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وَقْتُ العِيدِ في ظاهِرِ كَلامِ الأصحابِ</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الإثنينِ أو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الإثنينُ منصُوصٌ </w:t>
      </w:r>
      <w:r>
        <w:rPr>
          <w:rStyle w:val="FootnoteAnchor"/>
          <w:rtl w:val="true"/>
        </w:rPr>
        <w:footnoteReference w:id="592"/>
      </w:r>
      <w:r>
        <w:rPr>
          <w:rFonts w:ascii="Amiri" w:hAnsi="Amiri" w:eastAsia="Amiri" w:cs="Amiri"/>
          <w:color w:val="111111"/>
          <w:sz w:val="28"/>
          <w:sz w:val="28"/>
          <w:szCs w:val="28"/>
          <w:rtl w:val="true"/>
          <w:lang w:bidi="ar-SA"/>
        </w:rPr>
        <w:t>فَمِن ثَمَّ قَدَّمَه، وفيه خَرَجَ النبيّ صلى الله عليه و آله و سلم 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الجُمُعَةُ فقد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يَسْأَلُ الحاجَةَ مِنَ </w:t>
      </w:r>
      <w:bookmarkStart w:id="1379" w:name="pg10178_84068"/>
    </w:p>
    <w:p>
      <w:pPr>
        <w:pStyle w:val="BookText"/>
        <w:rPr/>
      </w:pPr>
      <w:bookmarkEnd w:id="1379"/>
      <w:r>
        <w:rPr>
          <w:rFonts w:ascii="Amiri" w:hAnsi="Amiri" w:eastAsia="Amiri" w:cs="Amiri"/>
          <w:color w:val="111111"/>
          <w:sz w:val="28"/>
          <w:sz w:val="28"/>
          <w:szCs w:val="28"/>
          <w:rtl w:val="true"/>
          <w:lang w:bidi="ar-SA"/>
        </w:rPr>
        <w:t xml:space="preserve">اللهِ فَتُؤخَّرُ الإجابَةُ إلى يومِ الجُمُعَةِ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وتحويل الإمام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ما في الأيمَنِ على الأيْسَرِ، وما على الأَيْسَرِ على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ويُتابِعُه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الأذكارِ ورَفْع الصَوتِ، لا في التَحَوّلِ إلى الجِهاتِ</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2019348_1067777946"/>
      <w:bookmarkStart w:id="1381" w:name="_Toc512"/>
      <w:bookmarkEnd w:id="1380"/>
      <w:r>
        <w:rPr>
          <w:rtl w:val="true"/>
        </w:rPr>
        <w:t>[</w:t>
      </w:r>
      <w:r>
        <w:rPr>
          <w:rtl w:val="true"/>
        </w:rPr>
        <w:t>نافلة شهر رمضان</w:t>
      </w:r>
      <w:r>
        <w:rPr>
          <w:rtl w:val="true"/>
        </w:rPr>
        <w:t>]</w:t>
      </w:r>
      <w:bookmarkEnd w:id="13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كلِّ لَيلَةٍ ألفُ رَكْعَةٍ </w:t>
      </w:r>
      <w:r>
        <w:rPr>
          <w:rStyle w:val="FootnoteAnchor"/>
          <w:rtl w:val="true"/>
        </w:rPr>
        <w:footnoteReference w:id="594"/>
      </w:r>
      <w:r>
        <w:rPr>
          <w:rFonts w:ascii="Amiri" w:hAnsi="Amiri" w:eastAsia="Amiri" w:cs="Amiri"/>
          <w:color w:val="111111"/>
          <w:sz w:val="28"/>
          <w:sz w:val="28"/>
          <w:szCs w:val="28"/>
          <w:rtl w:val="true"/>
          <w:lang w:bidi="ar-SA"/>
        </w:rPr>
        <w:t>، وأنّ الألفَ في جَمِيعِ الشَهْرِ للضعَفاء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جَمِيعِه ألفٌ ومائةٌ بإضافَةِ مائةٍ لَيلَة نِصْفِه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ليلة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المذكورِ، يَعْني يُصَلِّي اثْنَتَي عَشْرَةَ ركعةً بَعْدَ المَغْرِبِ، وثَمانِيَ عَشْرَةَ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عَشِيَّتِها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تُصَلّى في نَهارِ الجُمُعَةِ، والعِشْرونَ تُصَلّى لَيلَةَ الجُمُعَةِ الأخِيرةَ ولَيلَةَ آخِرِ سَبْتٍ منه</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2019350_1067777946"/>
      <w:bookmarkStart w:id="1383" w:name="_Toc513"/>
      <w:bookmarkEnd w:id="1382"/>
      <w:r>
        <w:rPr>
          <w:rtl w:val="true"/>
        </w:rPr>
        <w:t>[</w:t>
      </w:r>
      <w:r>
        <w:rPr>
          <w:rtl w:val="true"/>
        </w:rPr>
        <w:t>الخلل الواقع في الصلاة</w:t>
      </w:r>
      <w:r>
        <w:rPr>
          <w:rtl w:val="true"/>
        </w:rPr>
        <w:t>]</w:t>
      </w:r>
      <w:bookmarkEnd w:id="13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إمّا عمد أو سهو أو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عُزُوبُ المعنى عن القَلْبِ بَعْدَ حُضُورِه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الذِهْنِ بَيْنَ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أَحَدِهما مِن غَيرِ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للنقيض الآخَر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 كان أو جزءاً أو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تَتَوَقَّفُ عليهِ صحَّةُ الصَلاةِ ولا يكون داخِلاً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تَألَّفَتْ منه حَقيقَةُ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جَوابِ 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الأَصَحُّ إعادَةُ جاهِلِ النَجاسَةِ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دخل في آخَرَ،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بالآخرِ الركنُ؛ لأنَّ ذلك هو ضابِطُ البُطلانِ بِنسيانِ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يَتمُّ في بَعْضِ هذه الأَمْثِلَةِ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بالافتتاح حتّى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القِراءَةَ ليست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بالآخرِ ما يَعُمُّ الركنَ، لم يَصِحّ في كَثيرٍ من المَوارِدِ،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البُطْلانَ بِفَواتِ الركنِ يَحصُلُ بِالدُخُولِ في ركنٍ آخَرَ، ويَزِيدُ على ذلك نِسْيانُ مقارَنَةِ النيّةِ للتكبِيرِ، سواء قرأ أم لم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الأخيرتين من الرباعيّة</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نقص من عدد الصلاة ثمّ ذَكَرَ أَتَمّ ولو تكلّم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فَعَلَ ما يُبْطِلُ الصَلاةَ عَمْداً خاصَّةً، ولو فَعَلَ ما يُبْطِلُها عَمْداً وسَهْواً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السجود على الأعضاء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تُسْتَثْنى من ذلك الجَبْهَةُ؛ إذ لا يَتحَقَّقُ مُسمّى السُجُودِ بدونها، والإخلالُ بها في السَجْدَتَينِ مبطِلٌ، وفي إحداهما يُوجِبُ التَدارُكَ مع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أنّه لم يقرأ وهو في السورة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إليها ما لم يَصِل إلى حدِّ الراکِعِ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ذكر قبل السجود أنّه لم يركع قام فركع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نَسِيَ الركوعَ حالَةَ القِيامِ بِحَيْثُ كان هُوِيُّه لأجْلِ السُجُودِ، ولو كان نسيانُه له بَعْدَ أن هوى له، قام مُنْحَنياً إلى حدِّ الراكِعِ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شكَّ في فعل فإن كان في موضعه،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جَمِيعِ أبوابِ الشَكٍّ أنَّه عِنْدَ عُرُوضِهِ يَجِبُ التَرَوِّي، وإن غَلَبَ على ظَنِّه، شيء بنى عليه مطلقاً، وإن تَساوى الاحتمالانِ، لَزِمَهُ 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بدلهما ركعة من قيامٍ</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سهو على من كثر سهوه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الكَثْرَةُ في السَهْوِ في ثَلاثِ فَرائضَ </w:t>
      </w:r>
      <w:bookmarkStart w:id="1384" w:name="pg10178_84070"/>
    </w:p>
    <w:p>
      <w:pPr>
        <w:pStyle w:val="BookText"/>
        <w:rPr/>
      </w:pPr>
      <w:bookmarkEnd w:id="1384"/>
      <w:r>
        <w:rPr>
          <w:rFonts w:ascii="Amiri" w:hAnsi="Amiri" w:eastAsia="Amiri" w:cs="Amiri"/>
          <w:color w:val="111111"/>
          <w:sz w:val="28"/>
          <w:sz w:val="28"/>
          <w:szCs w:val="28"/>
          <w:rtl w:val="true"/>
          <w:lang w:bidi="ar-SA"/>
        </w:rPr>
        <w:t>مُتَوالِيَةٍ، أو في فَرِيضَةٍ واحدةٍ ثَلاثَ مَرّاتٍ، أو في فَرِيضَتَين، وحينئذٍ فَيَسْقُطُ حُكْمُ السَهْوِ في الرابعِ، فلا يَجِبُ به سُجُودُ السَهْوِ لو كان يُوجِبُه قَبْلَ ذلك، ولو شَكَّ في فِعْلٍ بنى على وُقُوعِه وإن كان في مَحَلَّه، ويَبْني على الأكثرِ لو شَكَّ في عَدَدِ الركعاتِ، إلّا أن يَسْتَلْزِمَ الزيادَةَ فَيَبْنِي على المُصَحّحِ، ويَسْتَمِرُّ حكمُ الكَثْرَةِ إلى أن تَخْلُوَ ثلاثُ فرائضَ منه فَيَزولُ حُكْمُ الكَثْرَةِ،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مَنْ سها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سها في سَجْدَتَي السَهوِ عن ذِكْرٍ أو طُمَأْنِينةٍ أو غَيرهما ممّا يُتَلافى لو كان في الصلاةِ، أو يُوجِبُ سَجْدَتَي السَهْوِ، فإنَّه هنا لا يُوجِبُ شيئاً؛ وكذا لو سها في صَلاةِ الاحتياطِ عن مِثلِ ذلك، ولو تَيَقَّنَ تَركَ ما يُبْطِلُ كالركنِ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رفع منصب الإمامة عن السهو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تَعَيّنُ الذِكْرِ المذكورِ في الخَبَرِ </w:t>
      </w:r>
      <w:r>
        <w:rPr>
          <w:rStyle w:val="FootnoteAnchor"/>
          <w:rtl w:val="true"/>
        </w:rPr>
        <w:footnoteReference w:id="597"/>
      </w:r>
      <w:r>
        <w:rPr>
          <w:rFonts w:ascii="Amiri" w:hAnsi="Amiri" w:eastAsia="Amiri" w:cs="Amiri"/>
          <w:color w:val="111111"/>
          <w:sz w:val="28"/>
          <w:sz w:val="28"/>
          <w:szCs w:val="28"/>
          <w:rtl w:val="true"/>
          <w:lang w:bidi="ar-SA"/>
        </w:rPr>
        <w:t>، ولا دَلالَةَ فيه على سَهْوِ الإمامِ، بل يمكِنُ كَونُهُ وَقَعَ بَياناً</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2019352_1067777946"/>
      <w:bookmarkStart w:id="1386" w:name="_Toc514"/>
      <w:bookmarkEnd w:id="1385"/>
      <w:r>
        <w:rPr>
          <w:rtl w:val="true"/>
        </w:rPr>
        <w:t>[</w:t>
      </w:r>
      <w:r>
        <w:rPr>
          <w:rtl w:val="true"/>
        </w:rPr>
        <w:t>قضاء الصلاة</w:t>
      </w:r>
      <w:r>
        <w:rPr>
          <w:rtl w:val="true"/>
        </w:rPr>
        <w:t>]</w:t>
      </w:r>
      <w:bookmarkEnd w:id="13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قضاء مع الإغماءِ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أحْوَطُه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الأصَحُّ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والفائتَةُ على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عليه فائِتَةٌ لِظُهرٍ يجب أن يُصَلِّيها قَبْلَ ظُهرِ اليومِ الحاضِرِ على عِبارَةِ المُصنِّف؛ لأنَّ المَسْألةَ مَحَلُّ خِلافٍ، والمُعْتَمَدُ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ترتيب الفوائت على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الترتِيبِ على شيءٍ كَونُه بَعْدَه، والأمْر هنا بالعَكْسِ، وكأنَّه من بابِ القَلْبِ، والأصَحُّ عَدَمُ التَرْتيبِ مطلقاً</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قدَّم الحاضرة مع سعة وَقْتِها ذاكراً،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عنده واستحباباً عندنا</w:t>
      </w:r>
      <w:r>
        <w:rPr>
          <w:rFonts w:eastAsia="Amiri" w:cs="Amiri" w:ascii="Amiri" w:hAnsi="Amiri"/>
          <w:color w:val="111111"/>
          <w:sz w:val="28"/>
          <w:szCs w:val="28"/>
          <w:rtl w:val="true"/>
          <w:lang w:bidi="ar-SA"/>
        </w:rPr>
        <w:t xml:space="preserve">. </w:t>
      </w:r>
      <w:bookmarkStart w:id="1387" w:name="pg10178_84071"/>
    </w:p>
    <w:p>
      <w:pPr>
        <w:pStyle w:val="BookText"/>
        <w:rPr/>
      </w:pPr>
      <w:bookmarkEnd w:id="138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واستأنف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المَنْعِ من النافِلَةِ لمَنْ عليهِ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الجَوازُ ما لم تَضُرَّ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اثنتين وثلاثاً وأربعاً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 الأرْبَع بين الجَهْرِ والإخفاتِ، ولو كان في وَقْتِ العِشاءِ رَدَّدَ فيها بَينَ الأداءِ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وتستحبّ الصدقة عن كلِّ ركعتين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كلِّ أَرْبَعٍ، ثُمَّ عن صلاةِ اليومِ بِمُدّ وصَلاةِ اللَيلِ بِمُدّ، ثُمَّ عن الجَميعِ بِمُدّ</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2019354_1067777946"/>
      <w:bookmarkStart w:id="1389" w:name="_Toc515"/>
      <w:bookmarkEnd w:id="1388"/>
      <w:r>
        <w:rPr>
          <w:rtl w:val="true"/>
        </w:rPr>
        <w:t>[</w:t>
      </w:r>
      <w:r>
        <w:rPr>
          <w:rtl w:val="true"/>
        </w:rPr>
        <w:t>صلاة الجماعة</w:t>
      </w:r>
      <w:r>
        <w:rPr>
          <w:rtl w:val="true"/>
        </w:rPr>
        <w:t>]</w:t>
      </w:r>
      <w:bookmarkEnd w:id="13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وبإدراكه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إدراكِه أنْ يَجْتَمِعَ معه بَعْدَ التَكْبيرِ قائماً في حَدِّ الراكعِ، بِحَيْثُ يَجْتَمِعانِ معاً في حالَةِ الرُكُوعِ وإِن لم يَجْتَمِعا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تَعْلَمَ انتِقالاتِ الإمامِ في رُكُوعِه وسُجُودِه وقِيامِه؛ لتَتَمكَّنَ من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اتّصال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أن يَكونَ بين كُلِّ صَفٍّ وما قَبْلَه ما يُعْتَبرُ بَيْنَ الإِمامِ والمأْمُومِ 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القِراءة خَلْفَ الإمامِ في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القِراءةِ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رفع قبله ناسياً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وكذا الظانّ، ولو لم يُعِدْ فكالعامِدِ یأثَمُ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عامداً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اسْتَمَرَّ قائماً أو قاعداً إلى أنْ يَلْحَقَهُ الإمامُ، ولو عاد العامِدُ بَطَلَتْ صَلاتُه، وفي حُكْمِه الجاهِلُ</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تَساوي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الكَمِّيَّةِ، فَيَجُوزُ الاقتِداءُ في الصُبْحِ بالظهرِ وبالعَكْسِ، نعم، يُشْتَرَطُ التَساوِي في الكَيفيَّةِ، فلا يَجُوزُ الاقتِداءُ في اليَومِيَّةِ بالكسوفِ ونحوها، وبالعَكْسِ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والمُتَنَفِّل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كَلَّ واحِدٍ من هذه الفُرُوضِ يُمْكِنُ تَحَقُّقُه في بَعْضِ الصَلَواتِ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يَتِمّ بأَرْبَع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المُفْتَرضِ بِمثْلِهِ، وهو جائزٌ مع اتِّحادِ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 وهو اقتِداءُ المُتَنَفِّلِ بالمُتَنَفِّلِ، وهو جائزٌ في العِيدِ المَنْدُوبَةِ والاستِسقاءِ والغَدير على قَولٍ </w:t>
      </w:r>
      <w:r>
        <w:rPr>
          <w:rStyle w:val="FootnoteAnchor"/>
          <w:rtl w:val="true"/>
        </w:rPr>
        <w:footnoteReference w:id="598"/>
      </w:r>
      <w:r>
        <w:rPr>
          <w:rFonts w:ascii="Amiri" w:hAnsi="Amiri" w:eastAsia="Amiri" w:cs="Amiri"/>
          <w:color w:val="111111"/>
          <w:sz w:val="28"/>
          <w:sz w:val="28"/>
          <w:szCs w:val="28"/>
          <w:rtl w:val="true"/>
          <w:lang w:bidi="ar-SA"/>
        </w:rPr>
        <w:t>، وفي الصَلاةِ المعادَةِ منهما، كما إذا صَلَّيا منفَرِدَينِ ثُمَّ أرادا الجَماعَةَ، وفي جَماعَةِ الصِبيانِ خَلْفَ المُمَيِّزِ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المُفْتَرِضِ بالمتَنَفِّلِ، وذلك في صورةِ الإعادةِ من الإمامِ خاصَّةً، وفي صَلاةِ بَطْنِ النَخْلِ من صَلَواتِ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وذلك في مُعِيدِ الصَلاةِ خَلْفَ مُبْتَدِئِها، وفي صَلاةِ الصبيّ خَلْفَ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 كان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هي حينئذٍ فَرْضُهُ فَيَنْوِي بالثانِيَةِ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والبلوغ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إلّا أن يَكُونَ المأمُومُ غَيْرَ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الأُمِّيُ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بالأُمِّي هنا من لا يُحْسِنُ قِراءةَ الحَمْدِ والسُورَةِ وأبعاضِهما على الوَجْهِ المُعْتَبَر في صِحَّةِ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بالقارئ عمّا لو أمَّ بِمِثْلِه، فإنَّه جائزٌ مع تَساوِيهما في كيفِيَّةِ الأُمِّيَةِ، وعَجْزهما عن التَعَلُّمِ وعن الائتمامِ بالقارِئ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المؤوف </w:t>
      </w:r>
      <w:r>
        <w:rPr>
          <w:rStyle w:val="FootnoteAnchor"/>
          <w:rtl w:val="true"/>
        </w:rPr>
        <w:footnoteReference w:id="599"/>
      </w:r>
      <w:r>
        <w:rPr>
          <w:rFonts w:ascii="Amiri" w:hAnsi="Amiri" w:eastAsia="Amiri" w:cs="Amiri"/>
          <w:color w:val="111111"/>
          <w:sz w:val="28"/>
          <w:sz w:val="28"/>
          <w:szCs w:val="28"/>
          <w:rtl w:val="true"/>
          <w:lang w:bidi="ar-SA"/>
        </w:rPr>
        <w:t>اللسان بالسليم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بمثله مع اتِّفاقِ موضِعِ الآفةِ إذا عَجَزا عن التَعَلّم أو ضاق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المسجد والمنزل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الراتِبُ فيه، وهذه الثَلاثَةُ أولى من الهاشمي، والأَصَحُّ أَنَّ مَرْتَبَةَ الهاشِمِي بَعْدَ الأَفْقَهِ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تَمَكَّنِهِ من الخِتانِ، فلو قَدَرَ وأَهْمَلَ فهو فاسِقٌ، ولا تَصِحُّ صَلاتُه بِدُونِه وإن كان منفَرِداً</w:t>
      </w:r>
      <w:r>
        <w:rPr>
          <w:rFonts w:eastAsia="Amiri" w:cs="Amiri" w:ascii="Amiri" w:hAnsi="Amiri"/>
          <w:color w:val="111111"/>
          <w:sz w:val="28"/>
          <w:szCs w:val="28"/>
          <w:rtl w:val="true"/>
          <w:lang w:bidi="ar-SA"/>
        </w:rPr>
        <w:t xml:space="preserve">. </w:t>
      </w:r>
      <w:bookmarkStart w:id="1390" w:name="pg10178_84073"/>
    </w:p>
    <w:p>
      <w:pPr>
        <w:pStyle w:val="BookText"/>
        <w:rPr/>
      </w:pPr>
      <w:bookmarkEnd w:id="13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يكرهه المأمومون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يُريدَ المأمُومُ الائتِمامَ بِغَيره، فإنَّه يُكْرَهُ للإمامِ حينئذٍ أن 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والأعرابي بالمهاجرين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 هو المَنْسُوبُ إلى الأعرابِ، وهم سُكّانُ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الكَراهِيَةِ النَصُّ مع نَقصِهِ عن مَكارِمِ الأخلاقِ، التي تُسْتَفادُ من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ساكِنُ القرى التي يَغلِبُ على أهْلِها الجَفاءُ والتَبَعُّدُ عن التَخَلُّقِ بالأخلاقِ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أن يَمْشِيَ راكعاً ليلتحق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المَشْيُ كَثيراً عادَةً، وكونِ ذِكْرِ الركوعِ حالَ اسْتِقْرارِه، وكَونِ تَحرِيمِه في مَوضِعٍ تَصِحّ القُدْوَةُ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الإمام في محراب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بِحَيْثُ يَمنَعُ رؤيةَ مَن عن جانِبَيْهِ مَن في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نِيَّتَه إلى النَفْلِ وأَتَمَّ ركعتين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الفَوات بإكْمالِها ركعَتَينِ، قَطَعَها بَعْدَ نَقْلِها إلى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يَكْفي في ذلك كُلِّه خَوفُ فَواتِ أوَّلِ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أدركه بعد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تَجْدِيدُ النِيَّةِ متى سَجَدَ معه ولو سَجْدَةً واحِدَةً، وإلّا لم يَجِبِ التَجْدِيدُ، وتُدْرَكُ فَضِيلَةُ الجَماعَةِ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تأخّرن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تَحرِيمِ التَقَدُّمِ والمُحاذاةِ، وإلّا استِحْباباً</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2019356_1067777946"/>
      <w:bookmarkStart w:id="1392" w:name="_Toc516"/>
      <w:bookmarkEnd w:id="1391"/>
      <w:r>
        <w:rPr>
          <w:rtl w:val="true"/>
        </w:rPr>
        <w:t>[</w:t>
      </w:r>
      <w:r>
        <w:rPr>
          <w:rtl w:val="true"/>
        </w:rPr>
        <w:t>أحكام المساجد</w:t>
      </w:r>
      <w:r>
        <w:rPr>
          <w:rtl w:val="true"/>
        </w:rPr>
        <w:t>]</w:t>
      </w:r>
      <w:bookmarkEnd w:id="13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تَأدِّي السُنَّةِ كَشْفُ بَعْضِها للحاجَةِ إلى الظلِّ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نَقْضُ المُسْتَهْدِم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المُشْرِفِ على الانهدام</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واستعمال آلَتِه في غَيرهِ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غَنائِه عَنْها، أو كون المَسْجِدِ المنْقُولِ إليه أولى منه لِكَثْرَةِ المُصَلِّين، أو لاستيلاء الخَرابِ عليه</w:t>
      </w:r>
      <w:r>
        <w:rPr>
          <w:rFonts w:eastAsia="Amiri" w:cs="Amiri" w:ascii="Amiri" w:hAnsi="Amiri"/>
          <w:color w:val="111111"/>
          <w:sz w:val="28"/>
          <w:szCs w:val="28"/>
          <w:rtl w:val="true"/>
          <w:lang w:bidi="ar-SA"/>
        </w:rPr>
        <w:t xml:space="preserve">. </w:t>
      </w:r>
      <w:bookmarkStart w:id="1393" w:name="pg10178_84074"/>
    </w:p>
    <w:p>
      <w:pPr>
        <w:pStyle w:val="BookText"/>
        <w:rPr/>
      </w:pPr>
      <w:bookmarkEnd w:id="139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وإدخال النَجاسة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التَعَدِّي إليها أو إلى آلاتِها</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2019358_1067777946"/>
      <w:bookmarkStart w:id="1395" w:name="_Toc517"/>
      <w:bookmarkEnd w:id="1394"/>
      <w:r>
        <w:rPr>
          <w:rtl w:val="true"/>
        </w:rPr>
        <w:t>[</w:t>
      </w:r>
      <w:r>
        <w:rPr>
          <w:rtl w:val="true"/>
        </w:rPr>
        <w:t>صلاة الخوف</w:t>
      </w:r>
      <w:r>
        <w:rPr>
          <w:rtl w:val="true"/>
        </w:rPr>
        <w:t>]</w:t>
      </w:r>
      <w:bookmarkEnd w:id="13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المغرب يصلِّي بالأُولى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الأفضلُ، ولو عَكَس بأن صلّى بالأُولى ركعَتَينِ وبالثانِيَةِ رَكْعَةً جاز أيضاً، ولو فَرَّقَهُم في المَغْرِبِ ثَلاثَ فِرَقٍ وصَلَّى بكُلِّ واحِدةٍ رَكْعَةً صَحَّ، كالاثنَينِ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ويَسْجُدُ على قَرَبُوسِ 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جَوازِ السُجُودِ عليه تَعَذّرُ النُزُولِ ولو للسُجُودِ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ويُغْتَفَرُ الفعلُ الكَثِيرُ كما يُغْتَفَرُ في باقِيِ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القَرَبُوس لا يَصِحّ السُجُودُ عليه، فإن أمكَنَ وَضْعُ شيء منه </w:t>
      </w:r>
      <w:r>
        <w:rPr>
          <w:rStyle w:val="FootnoteAnchor"/>
          <w:rtl w:val="true"/>
        </w:rPr>
        <w:footnoteReference w:id="601"/>
      </w:r>
      <w:r>
        <w:rPr>
          <w:rFonts w:ascii="Amiri" w:hAnsi="Amiri" w:eastAsia="Amiri" w:cs="Amiri"/>
          <w:color w:val="111111"/>
          <w:sz w:val="28"/>
          <w:sz w:val="28"/>
          <w:szCs w:val="28"/>
          <w:rtl w:val="true"/>
          <w:lang w:bidi="ar-SA"/>
        </w:rPr>
        <w:t xml:space="preserve">عليه وَجَبَ، وإِلّا سَقَطَ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يجزئ عن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القِراءةِ أيضاً، وتَجِبُ قَبْلَه النِيَّةُ والتَكْبِيرُ وبَعْدَه التَشَهُّدُ والتَسْلِيمُ</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2019360_1067777946"/>
      <w:bookmarkStart w:id="1397" w:name="_Toc518"/>
      <w:bookmarkEnd w:id="1396"/>
      <w:r>
        <w:rPr>
          <w:rtl w:val="true"/>
        </w:rPr>
        <w:t>[</w:t>
      </w:r>
      <w:r>
        <w:rPr>
          <w:rtl w:val="true"/>
        </w:rPr>
        <w:t>صلاة المسافر</w:t>
      </w:r>
      <w:r>
        <w:rPr>
          <w:rtl w:val="true"/>
        </w:rPr>
        <w:t>]</w:t>
      </w:r>
      <w:bookmarkEnd w:id="139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تعويلاً على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أَهْلِ اللُغَةِ، وضَعُوا لفْظَ المِيْلِ بقدرِ مَدِّ البَصَرِ مِنَ الْأَرْضِ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قصر ولو تمادى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الرجوعِ إلى وَطَنِه يُقَصِّرُ مع بلوغِ المَسافَةِ وقَصْدِه</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تَوَقَّع رفقة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قَصَدَ انتظارَه لها على رَأسِ المَسافَةِ، أو عَلِمَ مَجِیئَها، أو جَزَمَ بالسَفَرِ مِنْ دُونِها وإلّا أتَمَّ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استوطنه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المَنْزِلِ الملكُ، وهو العَقارُ الكائِنُ في محلِّ الاستيطانِ وما في حكمِهِ، ولا تُشْتَرَطُ صَلاحِيّتُه للسكنى، بل تَكْفِي الشَجَرَةُ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ملكُ العَينِ، ولا تكفي المَنْفَعَةُ، ودَوامُه فلو خَرَجَ عَن مِلْكِهِ زالَ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بالاستيطانِ كَونُه مُقِيماً بِحَيثُ يصلِّي في تلك المُدَّةِ تَماماً، ولا يُشْتَرَطُ التَوالِي في المدَّةِ، ولو لم يكن له ملكٌ اشترِطت في المنزِلِ نيَّةُ الإِقامَةِ على الدوامِ مع استِيطانِ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السفر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إباحَةُ السَفَرِ بكونِ غايَتِه غَيْرَ مُحرَّمَةٍ، فلا يَقْدَحُ وُقُوعُ المَعْصِيَةِ فيه مع إباحَةِ الغايَةِ، كما لو سافَرَ للتِجارَةِ وتَرَكَ الصَلاةَ في الطَريقِ،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كالمتَّبع للجائر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اتِّباعه في جَورِه، لا مَنْ إِتَّبَعَه كُرْهاً أو لِيَعْمَلَ له عَمَلاً مُحَلَّلاً،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صومه ويُتِمَّ صلاته</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يُقَصِّرُ بهما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السَفِينَةِ بأيّ وَجْهِ اسْتَعْمَلَها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أي المُعِدُّ نَفْسَه للرِسالَةِ بِحَيْثُ يَتَكَرَّرُ منه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الضابِطُ غَيرُ ضابِطٍ، بل الضابِطُ أن يُسافِر أكثَرَ مَسافَةٍ ثَلاثَةَ سَفراتٍ بِحَيْثُ لا يَتَخَلَّلُ بينها حُكْمُ الإتمامِ، ولا يُقِيمُ عَشَرَةً في بَلَدِه مطلقاً أو في غَيرِه مع النيَّةِ أو ما في حكمِها، فيَلزَمُه الإتمامُ فى الثالِثَةِ، ويَسْتَمِرُّ إلى أن يَتَحَقَّقَ له أَحَدُ الثلاثَةِ، فَتَنْقَطِعُ الكَثرَةُ،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يختصّ بالمُكارِي</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وَيصوم شهر رمضان على رواية</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يخفى أذانه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الأَصَحّ اعتبارُ خَفائِهما معاً ذِهاباً وعوداً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اختصاصُ الحُكْمِ بالمساجِدِ الثلاثة دون بلدانِها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بالحائرِ ما دار عليه سُورُ الحَضْرَةِ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والوقت باقٍ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حالُ الفَواتِ في العَودِ وحالُ الوُجُوبِ في الخروجِ وهو الإتمامُ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يقول عقيب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مَقْصُورٌ على المَقْصُورَةِ لتَتَحَقَّقَ الجُزْئِيَّةُ للصَلاةِ، ولو فَعَلَه عَقِيبَ غَيرِها كان حسناً</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قضاها سفراً وحضراً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بالقضاءِ هنا الفِعْلُ، فإن كان وَقْتُها باقياً صلّاها أداءً، وإلّا قضاءً</w:t>
      </w:r>
      <w:r>
        <w:rPr>
          <w:rFonts w:eastAsia="Amiri" w:cs="Amiri" w:ascii="Amiri" w:hAnsi="Amiri"/>
          <w:color w:val="111111"/>
          <w:sz w:val="28"/>
          <w:szCs w:val="28"/>
          <w:rtl w:val="true"/>
          <w:lang w:bidi="ar-SA"/>
        </w:rPr>
        <w:t xml:space="preserve">. </w:t>
      </w:r>
      <w:bookmarkStart w:id="1398" w:name="pg10178_84077"/>
    </w:p>
    <w:p>
      <w:pPr>
        <w:pStyle w:val="Heading3"/>
        <w:numPr>
          <w:ilvl w:val="2"/>
          <w:numId w:val="1"/>
        </w:numPr>
        <w:rPr/>
      </w:pPr>
      <w:bookmarkStart w:id="1399" w:name="__RefHeading___Toc2019362_1067777946"/>
      <w:bookmarkStart w:id="1400" w:name="_Toc519"/>
      <w:bookmarkEnd w:id="1398"/>
      <w:bookmarkEnd w:id="1399"/>
      <w:r>
        <w:rPr>
          <w:rtl w:val="true"/>
        </w:rPr>
        <w:t>كتاب الزكاة</w:t>
      </w:r>
      <w:bookmarkEnd w:id="1400"/>
    </w:p>
    <w:p>
      <w:pPr>
        <w:pStyle w:val="Heading4"/>
        <w:numPr>
          <w:ilvl w:val="3"/>
          <w:numId w:val="1"/>
        </w:numPr>
        <w:rPr/>
      </w:pPr>
      <w:bookmarkStart w:id="1401" w:name="__RefHeading___Toc2019364_1067777946"/>
      <w:bookmarkStart w:id="1402" w:name="_Toc520"/>
      <w:bookmarkEnd w:id="1401"/>
      <w:r>
        <w:rPr>
          <w:rtl w:val="true"/>
        </w:rPr>
        <w:t>[</w:t>
      </w:r>
      <w:r>
        <w:rPr>
          <w:rtl w:val="true"/>
        </w:rPr>
        <w:t>زكاة المال</w:t>
      </w:r>
      <w:r>
        <w:rPr>
          <w:rtl w:val="true"/>
        </w:rPr>
        <w:t>]</w:t>
      </w:r>
      <w:bookmarkEnd w:id="14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بِضَمَانِهِ نَقْلُه إِلى مِلْكِهِ بِوَجْهِ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وبملائه أن يكون له مالٌ بقَدْرِ مالِ الطفلِ المضمونِ فاضلاً عن المستثنياتِ في الدَينِ وعن قوتِ يومٍ وليلةٍ له ولِعيالِه الواجِبِي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صامتاً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بالصامِتِ من المالِ الذَهَبُ والفِضَّةُ، ويُقابِله الناطِقُ وهو المَواشي ونحوها، ذَكَرَه في الصحاح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على وَجْهِ التَخْيِيرِ، بل يَجِبُ التَقْدِيرُ بما يحْصُلُ به الاستيعابُ، فإن أمكن بهما تَخَيّر، وإن لم يُمْكِن بهما وَجَبَ اعتبارُ أكثرِهما استيعاباً مراعاةً لحقِّ الفقراءِ، ولو لم يمكن إلّا بهما وَجَبَ الجَمْعُ، فَيَجِبُ تَقْدِيرُ أَوَّلِ هذا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المائَةُ وإحدى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بالأربعِينَ ، والمائَةُ والخَمْسُونَ بالخَمْسِينَ، والمائَةُ والسَبْعُونَ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البَقَرِ، فَيَجِبُ تَقْدِيرُ السِتِّينَ بالثَلاثِينَ، والسَبْعِينَ بهما، والثَمانينَ بالأرْبَعينَ، ويَتَخَيَّرُ فى المائَةِ وعِشْرِينَ</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الإبل شَنَقاً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الفَريْضَتَينِ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السَومِ والعَمَلِ إلى العرفِ، فلا يُؤَثِّرُ اليَومُ في السَنَةِ ولا 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أقلّها الجذع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هو ما كَمَلَ سِنُّه سَبْعَةَ أشهرٍ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للحوامِلِ، والواحِدة خَلِفَةٌ </w:t>
      </w:r>
      <w:r>
        <w:rPr>
          <w:rStyle w:val="FootnoteAnchor"/>
          <w:rtl w:val="true"/>
        </w:rPr>
        <w:footnoteReference w:id="609"/>
      </w:r>
      <w:r>
        <w:rPr>
          <w:rFonts w:ascii="Amiri" w:hAnsi="Amiri" w:eastAsia="Amiri" w:cs="Amiri"/>
          <w:color w:val="111111"/>
          <w:sz w:val="28"/>
          <w:sz w:val="28"/>
          <w:szCs w:val="28"/>
          <w:rtl w:val="true"/>
          <w:lang w:bidi="ar-SA"/>
        </w:rPr>
        <w:t>، ومنه سُمِّيَتْ بِنْتُ المَخاضِ، أي مِن شَأنِها أن تَكُونَ حاملاً سواء أُلقِحَتْ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وبنت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اللَبُونِ ولو بالصَّلاحِيَّةِ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الإبلِ إذا مضى لها ثَلاتُ سِنِينَ فاستَحَقَّتْ الحَمْلَ والفَحْلَ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 الوالِدُ عن قرْبٍ كالنفساءِ من النِساءِ </w:t>
      </w:r>
      <w:r>
        <w:rPr>
          <w:rStyle w:val="FootnoteAnchor"/>
          <w:rtl w:val="true"/>
        </w:rPr>
        <w:footnoteReference w:id="610"/>
      </w:r>
      <w:r>
        <w:rPr>
          <w:rFonts w:ascii="Amiri" w:hAnsi="Amiri" w:eastAsia="Amiri" w:cs="Amiri"/>
          <w:color w:val="111111"/>
          <w:sz w:val="28"/>
          <w:sz w:val="28"/>
          <w:szCs w:val="28"/>
          <w:rtl w:val="true"/>
          <w:lang w:bidi="ar-SA"/>
        </w:rPr>
        <w:t>، فالمانِعُ من إخراجِها كَونُها مَريضةً، ولا تُجْزِئ وإن رَضِي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في النِصابِ صَحِيحٌ أو فَتيٌّ أو سَلِيمٌ من العوارِ </w:t>
      </w:r>
      <w:r>
        <w:rPr>
          <w:rStyle w:val="FootnoteAnchor"/>
          <w:rtl w:val="true"/>
        </w:rPr>
        <w:footnoteReference w:id="611"/>
      </w:r>
      <w:r>
        <w:rPr>
          <w:rFonts w:ascii="Amiri" w:hAnsi="Amiri" w:eastAsia="Amiri" w:cs="Amiri"/>
          <w:color w:val="111111"/>
          <w:sz w:val="28"/>
          <w:sz w:val="28"/>
          <w:szCs w:val="28"/>
          <w:rtl w:val="true"/>
          <w:lang w:bidi="ar-SA"/>
        </w:rPr>
        <w:t>، أمّا لو كان جَمِيعُه كذلك أجزأ الإخْراجُ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 الأكولة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الأكولَةَ تُعَدُّ ولكن لا تُؤْخَذُ، وكذا يُعَدُّ الفَحْلُ الزائدُ عن العادَةِ لتِلكَ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يدفع من غير غنم البلد ولو كانت 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ذلك في شاةِ الإبلِ، أو المدفُوعِ من جِنسِ النِصابِ</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بين مُتَفَرِّق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يَضُمّ مالاً لِشَخْصَينِ ويُخْرِجُ منهما الزكاة مع بلوغِهما معاً النِصابَ وعَدَمِ بلوغِ كلّ منهما منفرداً ومعنى عَدَمِ التَفْرقَةِ بين المجتمع في الملكِ أَنَّه لا يكون لكلِّ واحِدٍ حكم بانفراده، بل يعتبرهما </w:t>
      </w:r>
    </w:p>
    <w:p>
      <w:pPr>
        <w:pStyle w:val="BookText"/>
        <w:rPr/>
      </w:pPr>
      <w:r>
        <w:rPr>
          <w:rFonts w:ascii="Amiri" w:hAnsi="Amiri" w:eastAsia="Amiri" w:cs="Amiri"/>
          <w:color w:val="111111"/>
          <w:sz w:val="28"/>
          <w:sz w:val="28"/>
          <w:szCs w:val="28"/>
          <w:rtl w:val="true"/>
          <w:lang w:bidi="ar-SA"/>
        </w:rPr>
        <w:t>مجتَمِعَينِ تقديراً ثُمَّ يُرَتِّب عليهما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الخُلْطَةِ التي لا اعتبارَ بها أنّه إذا اجتمَعَتْ نَعَم جَمَاعَة فِي مَسْرَحٍ وَاحِدٍ ومُراحٍ واتَّحَدَ فَحْلُها وحِلابُها ومِحْلَبُها، لا يُفيدُ ذلك ضَمَّ بَعْضِها إلى بَعْضٍ عندنا، بل لكلِّ ملكِ واحدٍ منها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قدر العَشَرَة سبعة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المثقالُ درهماً وثَلاثَةَ أسباعِ درهمٍ، والدِرْهَمُ نصْفُ مثقالٍ وخُمسُه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تجب لو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 يَدِ وَكِيلِهِ فَتَجِبُ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يسقى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w:t>
      </w:r>
      <w:r>
        <w:rPr>
          <w:rStyle w:val="FootnoteAnchor"/>
          <w:rtl w:val="true"/>
        </w:rPr>
        <w:footnoteReference w:id="612"/>
      </w:r>
      <w:r>
        <w:rPr>
          <w:rFonts w:ascii="Amiri" w:hAnsi="Amiri" w:eastAsia="Amiri" w:cs="Amiri"/>
          <w:color w:val="111111"/>
          <w:sz w:val="28"/>
          <w:sz w:val="28"/>
          <w:szCs w:val="28"/>
          <w:rtl w:val="true"/>
          <w:lang w:bidi="ar-SA"/>
        </w:rPr>
        <w:t>، والبَغْلُ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يَشْرَبُ بِعروقِهِ، والعذْي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w:t>
      </w:r>
      <w:r>
        <w:rPr>
          <w:rStyle w:val="FootnoteAnchor"/>
          <w:rtl w:val="true"/>
        </w:rPr>
        <w:footnoteReference w:id="613"/>
      </w:r>
      <w:r>
        <w:rPr>
          <w:rFonts w:ascii="Amiri" w:hAnsi="Amiri" w:eastAsia="Amiri" w:cs="Amiri"/>
          <w:color w:val="111111"/>
          <w:sz w:val="28"/>
          <w:sz w:val="28"/>
          <w:szCs w:val="28"/>
          <w:rtl w:val="true"/>
          <w:lang w:bidi="ar-SA"/>
        </w:rPr>
        <w:t>، والدوالي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دالية، وهي الدولاب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ناضِحَةِ، وهو البَعيرُ الذي يُستَقى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الأمران حكم للأغلَبِ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الأَغْلَبِ والتَساوِي النَفْعُ والنُمُوُّ، لا العَدَدُ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والزكاة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بالمؤونة ما يَفْتَقِرُ إليه الزَرْعُ عادةً كالحرثِ والحَفْرِ والحَصادِ ونقصِ الآلاتِ والبَذْرِ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النصابُ بَعْدَ المؤونَةِ المتقَدِّمَةِ على بدوِّ الصَلاحِ، والمتأخِّرةٌ عنه مسْتَثْناةٌ، ولكن لا تَثْلِمُ النِصابَ فيُزَكّى الباقى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أصله، فإن بَلَغَ به نِصاباً استحبّ، وإلّا فلا</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العَتِيقِ العَتِيقُ كَرِيمُ الأبَوَينِ، والبرْذَون غَيْرُه، سواء كان كَرِيمَ الأبَوَينِ خاصَّةً وهو الهَجينُ، أو الأُمِّ خاصّةً وهو المُقْرِفُ، أو انتفى عنه الكَرَمُ من الطَرَفَينِ وهو البِرذَون بالمعنى الأخَصِّ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وتعتبر شرائط الوجوب فيه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يَمْتَدّ استِقْرارُ الوُجُوبِ بكَمالِ الثاني عَشَرَ لا مُطْلَق الوُجُوبِ؛ لأنَّه يَحصُلُ بِدُخُولِ الثاني عَشَرَ، وَبِكَمالِه تَعَيَّنُ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تأخیرها شهراً أو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جوازُ تأخِيرِها شهراً أو شَهْرَينِ للبَسْطِ على الأصنافِ، ولانتظارِ ذي المَزيَّةِ كالقَرابةِ والجارِ والأشدِّ حاجةً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تَغَيَّر حال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تَغَيُّرُ حالِهِ بِخرُوجِه عن الاِستِحْقاقِ ولو بالغَناءِ بِنمائِها، لا بأصلِها ولا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لو نَقَلَها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جَوازُ نَقْلِها بِشَرْطِ الضَمَانِ خُصُوصاً للأفضلِ أو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ثَمَرَة مهمِّة في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الاستِحقاقِ من الزَكاةِ، والأَصَحُّ أنّ المسكِينَ أسْوأ حالاً من الفَقِيرِ، والبائِسَ أَسْوأُ حالاً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النَذْرِ والوَصيّةِ والوَقْفِ لأسوئِهما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يُمْنَع لو ملك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لائقةً بحالِه، فلو زادَتْ قَدْراً أو وَصْفاً عن حالِه، تَعَيَّنَ بَيْعُها أو الاعِتِياضُ عنها بما يَلِيقُ به، وصَرْفُ الزائد في النَفَقَةِ، وكذا القَولُ في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يُمْنَعُ ذو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الصَنْعَةِ والاكتسابِ كونُهما لائِقَينِ بحالِهِ، ولا يُكَلَّفُ الرَفِيعُ بِبَيعِ الحَطَبِ والحَرْثِ وإن كان يَقْدِرُ عليه، ولو اشْتَغَلَ عن التَكَسّبِ بِطَلَبِ علْمٍ دينيٍ، جاز له أخْذُ الزكاةِ وإن قَدَرَ عليه لو تَركَ إذا لم يمكنه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الساعُونَ في تَحْصِيلها وتَحصِينِها بأخْذِ وكتابةٍ وحِسابِ وقِسْمَةٍ وحِفْظِ ورعيٍ،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الشِدَّةِ إلى العُرفِ، ولا بُدَّ فيه من صِيغَةِ العِتْقِ بعد الشِراء ونِيَّةِ الزكاةِ مقارَنةً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ابتياع العبد ويعتق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العتق من الزكاة مطلقاً</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القَضاء عنه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أنَّ واجِبَ النَفَقَةِ إِنَّما يعطى </w:t>
      </w:r>
    </w:p>
    <w:p>
      <w:pPr>
        <w:pStyle w:val="BookText"/>
        <w:rPr/>
      </w:pPr>
      <w:r>
        <w:rPr>
          <w:rFonts w:ascii="Amiri" w:hAnsi="Amiri" w:eastAsia="Amiri" w:cs="Amiri"/>
          <w:color w:val="111111"/>
          <w:sz w:val="28"/>
          <w:sz w:val="28"/>
          <w:szCs w:val="28"/>
          <w:rtl w:val="true"/>
          <w:lang w:bidi="ar-SA"/>
        </w:rPr>
        <w:t>المؤونَةَ والمَسْكَنَ ونحوَهما، أمّا ما عَلَيه من الدَيْن فلا يَجبُ قضاؤه على مَنْ تجبُ عليه النَفَقَةُ، فيجوز أن يعطيه من الزَكاةِ ما يُقضىٰ به، وأن يَقْضِيَ عنه مَيّتاً، وكذا يجوز أن يُعطىٰ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غنيّاً فى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العَجْزُ عن الاستِدانَةِ على ما في بَلَدِه، أو عن بَيْعِ شيء مِن مالِه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إلى وليِّه أو إلَيهِ بأمْرِ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وقد اعتَبَرها قوم</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قدر الضَرُورَةِ</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بالضَرُورَةِ قُوتُ يَومِه ولَيلَتِه لا مؤونَةُ السَنَةِ؛ لأنّه لا يَمْلِكُ من الخُمْسِ ما زاد على السَنَةِ وهو حَقُّه، فكيف المشروط بالضَّرِوَةِ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تَنْدَفِع الضَرُورَةُ بقُوتِ اليومِ بأن لا يَجِدَ في اليومِ الثاني ما تَنْدَفِعُ به الضَرُورَةُ عادةً، صحّ له أخذُ ما تَنْدَفِعُ به، فلو وَجَدَ الخمسَ قَبْلَ فَنائِه، ففي وُجُوبِ رَدِّه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 لموالِيهم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عَبِيدِهم وإمائِهم المُعْتَقِينَ مع 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بادرَ المالكُ بإخراجِها أجْزَاتْه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مع طَلَب الإمامِ؛ لأنَّها عِبادة، وهو حينئذٍ منهيّ، والنهي في العِبادَةِ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فقدِه إلى الفقيه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على وجه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لشرائِط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وبالمأمون مَنْ لا يَتَوَصَّل إلى أخذِ الحقوقِ مع غَنَائِهِ عنها بالحِيَلِ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قَبَضَها الوكيلُ</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 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في يدِه أمانة، فلا يَضْمَنُها لو تَلَفَت بغيرِ تَعَدّ أو </w:t>
      </w:r>
      <w:bookmarkStart w:id="1403" w:name="pg10178_84082"/>
    </w:p>
    <w:p>
      <w:pPr>
        <w:pStyle w:val="BookText"/>
        <w:rPr/>
      </w:pPr>
      <w:bookmarkEnd w:id="1403"/>
      <w:r>
        <w:rPr>
          <w:rFonts w:ascii="Amiri" w:hAnsi="Amiri" w:eastAsia="Amiri" w:cs="Amiri"/>
          <w:color w:val="111111"/>
          <w:sz w:val="28"/>
          <w:sz w:val="28"/>
          <w:szCs w:val="28"/>
          <w:rtl w:val="true"/>
          <w:lang w:bidi="ar-SA"/>
        </w:rPr>
        <w:t>تَفْريطٍ، وليس له إبدالُها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والإيصاء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ظَنِّ الموتِ، ومعه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الثاني</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التقديرُ على سَبِيلِ الاستِحبابِ دونَ الوجوبِ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بمِيراثِ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شِبْهِهِ شِراءُ الوَكيلِ ودَفْعُه إليه من دَينِهِ مع موافَقَتِه للدَّينِ في الجنسِ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يَقُولَ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فيما أَعْطَيتَ، وبارَكَ لك فيما أبقَيْتَ، ويَقُولُ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مغْنَماً ولا تَجْعَلْها مَغْرَماً، والحمدُ للهِ على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استحباباً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وجوباً، وكذا يَجِبُ على نائبه خُصُوصاً أو عُمُوماً، كالساعي والفَقِيهِ، ويُسْتَحَبُّ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الدعاءُ بلفظٍ</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2019366_1067777946"/>
      <w:bookmarkStart w:id="1405" w:name="_Toc521"/>
      <w:bookmarkEnd w:id="1404"/>
      <w:r>
        <w:rPr>
          <w:rtl w:val="true"/>
        </w:rPr>
        <w:t>[</w:t>
      </w:r>
      <w:r>
        <w:rPr>
          <w:rtl w:val="true"/>
        </w:rPr>
        <w:t>زكاة الفطر</w:t>
      </w:r>
      <w:r>
        <w:rPr>
          <w:rtl w:val="true"/>
        </w:rPr>
        <w:t>]</w:t>
      </w:r>
      <w:bookmarkEnd w:id="14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هِلال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الغُرُوبُ ودُخُولُ أوَّلِ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وهو آخِرُ وَقْتِها ، ويجوز بناؤه على حَذْفِ المضافِ، أي وَقْتَ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يُدِير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الإدارةِ أن يُخْرِجَ صاعاً عن نَفْسِه بالنِيَّةِ ويَدْفَعَه إلى أحدِ عيالِه، ثُمَّ يُخرجه المدفُوعُ إليه إلى آخَرَ بالنِيَّةِ، وهكذا إلى الآخِرِ ثُمَّ يُخْرِجه الأخيرُ عن نَفْسِه إلى غيرِه من المستَحِقِّين، ولو كانوا أو بَعْضُهم صِغاراً، تَوَلّى النِيَّةَ عنهم الوليّ</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اللبن أربعة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الأصَحُّ أنَّه صاعٌ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تقديمها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الأصَحُّ جَوازُ التَقْدِيمِ من أَوَّلِ الشهر؛ لصحيحة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أعين،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الصادقَينِ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يَومَ الفَطْرِ قَبلَ الصَلاةِ فهو أفضل، وهو في سَعَةٍ أَن يُعْطِيَها من أوَّل يَومٍ يَدْخُلُ من شهرِ رمضانَ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بالعَزْلِ تَعْيِينُها في مالٍ خاصٍّ بِقَدْرِها في وَقْتِها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الأصحُّ جَوازُ نَقْلِها على كَراهِيَةِ مع إخراجِها في الوَقْتِ</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يعطى الفقير أقلَّ من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 ذلك على جهة الاستِحبابِ، ولا فرق في ذلك بَيْنَ الصاعِ المخْرَجِ عنه أو عمّنْ يَعُولُ</w:t>
      </w:r>
      <w:r>
        <w:rPr>
          <w:rFonts w:eastAsia="Amiri" w:cs="Amiri" w:ascii="Amiri" w:hAnsi="Amiri"/>
          <w:color w:val="111111"/>
          <w:sz w:val="28"/>
          <w:szCs w:val="28"/>
          <w:rtl w:val="true"/>
          <w:lang w:bidi="ar-SA"/>
        </w:rPr>
        <w:t xml:space="preserve">. </w:t>
      </w:r>
      <w:bookmarkStart w:id="1406" w:name="pg10178_84084"/>
    </w:p>
    <w:p>
      <w:pPr>
        <w:pStyle w:val="Heading3"/>
        <w:numPr>
          <w:ilvl w:val="2"/>
          <w:numId w:val="1"/>
        </w:numPr>
        <w:rPr/>
      </w:pPr>
      <w:bookmarkStart w:id="1407" w:name="__RefHeading___Toc2019368_1067777946"/>
      <w:bookmarkStart w:id="1408" w:name="_Toc522"/>
      <w:bookmarkEnd w:id="1406"/>
      <w:bookmarkEnd w:id="1407"/>
      <w:r>
        <w:rPr>
          <w:rtl w:val="true"/>
        </w:rPr>
        <w:t>كتاب الخمس</w:t>
      </w:r>
      <w:bookmarkEnd w:id="14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الحرام إذا 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جَهِلَ مالِكَه وقَدْرَه بكلِّ وَجْهٍ، فلو عَلِمَ مَالِكَه خاصَّةً صالَحَهُ، ولو عَلِمَ قَدْرَه خاصَّةً تَصَدَّقَ به، وإن زاد عن الخُمْسِ مع اليأسِ من مَعْرفَةِ مالِكه، ولو عَلِمَ نُقصانَه عن الخمسِ اقتصر على ما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مؤونة السَنَة له ولِعياله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العِيالِ بين واجِبِ النَفَقَةِ ومندوبها حتّى الضَيفِ، ويَلْحَقُ به ما يأخُذُه الظالِمُ منه قهراً، أو يصانِعُه به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جَمِيعِ ذلكَ ما يَلِيقُ بحالهِ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أن تخصّ به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الاختصاصِ قَوِيّ، والبَسْطُ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الصوافي والقطائع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الصَفايا </w:t>
      </w:r>
      <w:r>
        <w:rPr>
          <w:rStyle w:val="FootnoteAnchor"/>
          <w:rtl w:val="true"/>
        </w:rPr>
        <w:footnoteReference w:id="619"/>
      </w:r>
      <w:r>
        <w:rPr>
          <w:rFonts w:ascii="Amiri" w:hAnsi="Amiri" w:eastAsia="Amiri" w:cs="Amiri"/>
          <w:color w:val="111111"/>
          <w:sz w:val="28"/>
          <w:sz w:val="28"/>
          <w:szCs w:val="28"/>
          <w:rtl w:val="true"/>
          <w:lang w:bidi="ar-SA"/>
        </w:rPr>
        <w:t xml:space="preserve">ما يُنْقَلُ، والقطائع </w:t>
      </w:r>
      <w:r>
        <w:rPr>
          <w:rStyle w:val="FootnoteAnchor"/>
          <w:rtl w:val="true"/>
        </w:rPr>
        <w:footnoteReference w:id="620"/>
      </w:r>
      <w:r>
        <w:rPr>
          <w:rFonts w:ascii="Amiri" w:hAnsi="Amiri" w:eastAsia="Amiri" w:cs="Amiri"/>
          <w:color w:val="111111"/>
          <w:sz w:val="28"/>
          <w:sz w:val="28"/>
          <w:szCs w:val="28"/>
          <w:rtl w:val="true"/>
          <w:lang w:bidi="ar-SA"/>
        </w:rPr>
        <w:t>ما لا يُنْقَلُ، والمرادُ أنّ كُلَّ ما يَمْلِكُه مَلِكُ أهلِ الحَرْبِ فهو لِمَلِكِ الإسلام، وهو الإمامُ علیه السلام إن لم يكن مغصوباً من مُسْلِمٍ</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بالمَناكِحِ مَهْرُ الزَوْجَاتِ وأَثْمَانُ السراري، بمعنى أنَّها مَعْدُودَةٌ من جُمْلَةِ المُؤَنِ، فيُسْتَثْنى ذلك من مَكْسَبٍ سَنَتِه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بالمَساكِنِ ثَمَنُ المَسْكَنِ، فإنَّه أيضاً مُسْتَثْنى من الأرباحِ ومَعْدُودُ من جُمْلَةِ المَؤُونَةِ، وكذا يُسْتَثْنى المَسْكَنُ الذي في أَرْضِ الإمامِ علیه السلام كَرُؤوسِ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بالمَتاجِرِ </w:t>
      </w:r>
      <w:r>
        <w:rPr>
          <w:rStyle w:val="FootnoteAnchor"/>
          <w:rtl w:val="true"/>
        </w:rPr>
        <w:footnoteReference w:id="621"/>
      </w:r>
      <w:r>
        <w:rPr>
          <w:rFonts w:ascii="Amiri" w:hAnsi="Amiri" w:eastAsia="Amiri" w:cs="Amiri"/>
          <w:color w:val="111111"/>
          <w:sz w:val="28"/>
          <w:sz w:val="28"/>
          <w:szCs w:val="28"/>
          <w:rtl w:val="true"/>
          <w:lang w:bidi="ar-SA"/>
        </w:rPr>
        <w:t>ما يُشْتَرى من الغَنائِم حالَ الغَيْبَةِ، أو مِمَّنْ لا يُخَمِّسُ اِستِحلالاً له، فإنَّه يُباحُ لنا التَصَرُّفُ في المأخُوذِ منه وإن كان للإمامِ وفَرِيقِه حقٌّ فيه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أشبهها جواز دَفْعِه إلى مَن يعجز حاصِلُهم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ذلك الحاكِمُ الشَرْعِي، وهو الفَقِيهُ العَدْلُ الإماميُ الجامِعُ الشَرائِطِ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فَرَّقَه غَيْرُه، ضَمِنَ</w:t>
      </w:r>
      <w:r>
        <w:rPr>
          <w:rFonts w:eastAsia="Amiri" w:cs="Amiri" w:ascii="Amiri" w:hAnsi="Amiri"/>
          <w:color w:val="111111"/>
          <w:sz w:val="28"/>
          <w:szCs w:val="28"/>
          <w:rtl w:val="true"/>
          <w:lang w:bidi="ar-SA"/>
        </w:rPr>
        <w:t xml:space="preserve">. </w:t>
      </w:r>
      <w:bookmarkStart w:id="1409" w:name="pg10178_84086"/>
    </w:p>
    <w:p>
      <w:pPr>
        <w:pStyle w:val="Heading3"/>
        <w:numPr>
          <w:ilvl w:val="2"/>
          <w:numId w:val="1"/>
        </w:numPr>
        <w:rPr/>
      </w:pPr>
      <w:bookmarkStart w:id="1410" w:name="__RefHeading___Toc2019370_1067777946"/>
      <w:bookmarkStart w:id="1411" w:name="_Toc523"/>
      <w:bookmarkEnd w:id="1409"/>
      <w:bookmarkEnd w:id="1410"/>
      <w:r>
        <w:rPr>
          <w:rtl w:val="true"/>
        </w:rPr>
        <w:t>كتاب الصوم</w:t>
      </w:r>
      <w:bookmarkEnd w:id="1411"/>
    </w:p>
    <w:p>
      <w:pPr>
        <w:pStyle w:val="Heading4"/>
        <w:numPr>
          <w:ilvl w:val="3"/>
          <w:numId w:val="1"/>
        </w:numPr>
        <w:rPr/>
      </w:pPr>
      <w:bookmarkStart w:id="1412" w:name="__RefHeading___Toc2019372_1067777946"/>
      <w:bookmarkStart w:id="1413" w:name="_Toc524"/>
      <w:bookmarkEnd w:id="1412"/>
      <w:r>
        <w:rPr>
          <w:rtl w:val="true"/>
        </w:rPr>
        <w:t>اشارة</w:t>
      </w:r>
      <w:bookmarkEnd w:id="141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ويكفى فى شَهْرٍ رَمَضانَ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إضافَةُ الوُجُوبِ إليها، ولو أضافَ إليهما التَّعْيِينَ، كان أفضلَ، وأكْمَلُ من الجَمِيعِ إضافَةُ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النَذْر المُعَيَّنِ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التَعْيِينِ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تجدِيدُها في شَهْرٍ رمضانَ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النِسيانِ لها، أمّا لو تَرَكَها ليلاً عَمْداً، فَسَدَ ذلك اليَومُ وإن وَجَبَ فيه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الأداءِ، أمّا في القَضاءِ فَيَجُوزُ تَجْدِيدُ النِيَّةِ إِلى الزَوالِ ما لم يَتَناول وإن أصبح بِنِيَّةِ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أصحّهما مساواة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نِيَّةَ المَنْدُوبِ تَمْتَدُّ بامْتِدادِ النَهارِ بِحَيْثُ يَبْقى بَعْدَ النيَّةِ جُزْءٌ مِن النَهارِ، لكن إن وَقَعَتْ قَبْلَ الزَوالِ حَصَلَ له ثَوابُ صومِ جَمِيعِ النَهار، وإن وَقَعَت بَعْدَه فله ثَوابُ الباقي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وتجزئ فيه 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لكلِّ يَومٍ نِيَّةٌ</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2019374_1067777946"/>
      <w:bookmarkStart w:id="1415" w:name="_Toc525"/>
      <w:bookmarkEnd w:id="1414"/>
      <w:r>
        <w:rPr>
          <w:rtl w:val="true"/>
        </w:rPr>
        <w:t>[</w:t>
      </w:r>
      <w:r>
        <w:rPr>
          <w:rtl w:val="true"/>
        </w:rPr>
        <w:t>ما يمسك عنه الصائم</w:t>
      </w:r>
      <w:r>
        <w:rPr>
          <w:rtl w:val="true"/>
        </w:rPr>
        <w:t>]</w:t>
      </w:r>
      <w:bookmarkEnd w:id="141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فَسادِ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كالواطِئِ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الإنزالِ</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والارتماس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مُلاقاةُ الرَأْسِ لمائعٍ شامِلٍ لجَمِيعِهِ دَفْعَةً </w:t>
      </w:r>
      <w:bookmarkStart w:id="1416" w:name="pg10178_84087"/>
    </w:p>
    <w:p>
      <w:pPr>
        <w:pStyle w:val="BookText"/>
        <w:rPr/>
      </w:pPr>
      <w:bookmarkEnd w:id="1416"/>
      <w:r>
        <w:rPr>
          <w:rFonts w:ascii="Amiri" w:hAnsi="Amiri" w:eastAsia="Amiri" w:cs="Amiri"/>
          <w:color w:val="111111"/>
          <w:sz w:val="28"/>
          <w:sz w:val="28"/>
          <w:szCs w:val="28"/>
          <w:rtl w:val="true"/>
          <w:lang w:bidi="ar-SA"/>
        </w:rPr>
        <w:t>عُرْفِيَّةً وإِن بَقِي البَدَنُ، والأصَحُّ أنَّه مُحَرَّمٌ في الصَومِ الواجب لكن لا يُفْسِدُ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الإنسانُ في الصَومِ الواجِبِ فَعَلَ حَراماً إنْ تَعَمَّدَ، ولا يَرْتَفِعُ حَدَثُه، والأحوطُ أنَّ عليه القَضاءَ، ولو كان جاهِلاً أو ناسياً اِرتَفَعَ حَدَثُه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الجامِدِ، كالتحمّلِ بالفتائلِ ونحوِها</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2019376_1067777946"/>
      <w:bookmarkStart w:id="1418" w:name="_Toc526"/>
      <w:bookmarkEnd w:id="1417"/>
      <w:r>
        <w:rPr>
          <w:rtl w:val="true"/>
        </w:rPr>
        <w:t>[</w:t>
      </w:r>
      <w:r>
        <w:rPr>
          <w:rtl w:val="true"/>
        </w:rPr>
        <w:t>ما يوجب الكَفّارةَ والقَضاءَ</w:t>
      </w:r>
      <w:r>
        <w:rPr>
          <w:rtl w:val="true"/>
        </w:rPr>
        <w:t>]</w:t>
      </w:r>
      <w:bookmarkEnd w:id="14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نام غيرَ ناوٍ للغسل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تَعَمُّدِ البقاءِ على الجَنابَةِ والنَومِ غَيرَ ناوٍ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أخَصُّ من الثاني مطلقاً، فإنَّ كلَّ مُتَعَمِّدٍ للبَقاءِ عليها غَيرُ ناوِ للغُسْلِ بخلافِ العَكْسِ؛ فإنَّه قد لا يَخْطُرُ بِبالِه العَزْمُ على البَقاءِ عليها ولا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مُرَتَّبَةُ</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الإفطارِ بالمحرَّمِ كفّارَةُ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بالإفطارِ هنا إفسادُ الصَومِ بالمحرَّمِ، ولا فَرْقَ بين التَحرِيمِ الأصْلِي كالزنى والاستمناءِ وإيصال الغُبارِ، والعارِضِي كَأَكْلِ مالِه النَجِسِ وجِماعِ زَوْجَتِه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والاعتكاف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الاعتكافُ واجباً إمّا بِنَذْرٍ وشِبْهِهِ، وإمّا لكَونِهِ ثالِثاً وقد اِعْتَكَفَ يَومَيْنِ قَبْلَه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انتبه ثمَّ نام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ذلِكَ أنّ المُجْنِبَ يَجُوز له النَومَةُ الأُولى مع نيَّةِ الغُسْلِ واعتيادِه الانتِباهَ ليلاً، فإذا نام واتَّفَقَ عَدَمُ الانتِباهِ فلا شيء عليه، وإن انتَبَهَ ليلاً، حَرُمَ عليه النَومُ ثانياً، فإن عاوَدَ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نِيَّةِ الاغتسالِ ليلاً واعتياد الانتباه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يَنْتَبِه حتّى أصْبَحَ، وَجَبَ عليه القَضاءُ خاصَّةً، فإذا انتبه ثانياً تأكَّد عليه تَحْرِيمُ النَومِ، فإن عاوَدَ إليه ولم يَتَّفِق له الانتِباهُ حتّى أَصْبَحَ، وَجَبَ عليه القَضاءُ والكَفَّارَة، ولو لم يَكنُ معتاداً للانتِباهِ أو لم يَعْزِم على الغسل وَجَبَ عليه بأوَّلِ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تَهْدِم الجَنابَةُ المُتَجَدّدَةُ ما سَبَقَ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والكفّارَة</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الفتوى والظاهِرُ 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ترك قول المخبر بالفجر</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المُخْبِرُ بالفَجرِ عدلين فَتَجِب الكفّارة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أخلد </w:t>
      </w:r>
      <w:r>
        <w:rPr>
          <w:rStyle w:val="FootnoteAnchor"/>
          <w:rtl w:val="true"/>
        </w:rPr>
        <w:footnoteReference w:id="626"/>
      </w:r>
      <w:r>
        <w:rPr>
          <w:rFonts w:ascii="Amiri" w:hAnsi="Amiri" w:eastAsia="Amiri" w:cs="Amiri"/>
          <w:color w:val="111111"/>
          <w:sz w:val="28"/>
          <w:sz w:val="28"/>
          <w:szCs w:val="28"/>
          <w:rtl w:val="true"/>
          <w:lang w:bidi="ar-SA"/>
        </w:rPr>
        <w:t>إليه في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المُفْطِرُ ممّن يجوز له التَقْلِيدُ أو كان جاهِلاً بِتَحْريم التَقْلِيدِ مع إمكانِه، وإِلّا اتَّجَهَ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والإفطار للظلمة الموهمة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لم يَحْصُل معها ظَنُّ الدُخُولِ، بل يَحْصُلُ معها احتِمالٌ مَرْجُوجٌ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يناسِب الأصْلَ وُجُوبُ الكَفَّارَةِ هنا مع العِلْمِ بأنَّ مثلَ ذلك لا يجوِّز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غلب على ظنِّه دخول الليل لم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وُجُوبُ القَضاءِ مع حُصُولِ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ذرعه لم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سَبَقَه بِغَيْرِ اختِيارٍ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يَبْلَع ما صار منه في فَضاءِ الفَمِ، وإِلّا كَفَّرَ مع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الماء إلى الحلق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يَحْصُل منه تَقْصِير في التَحَفُّظِ، وإلّا 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من نظر إلى امرأة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القَصْدِ أو الاعتيادِ فَيَجِبُ القَضاءُ والكَفّارَةُ، وإلّا فلا شيء، وكذا في الاستِماعِ، ولا فرق بَينَ المُحلَّلَةِ والمُحَرَّمَةِ</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تتكرّر بِتَكَرُّرِ الوَطْءِ في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التَكْرارُ مطلقاً، سواء تَخَلَّلَ التَفْكيرُ أم لا، وسَواء اتَّحَدَ الجِنْسُ أم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التَعَدُّدُ في الأَكْلِ </w:t>
      </w:r>
      <w:bookmarkStart w:id="1419" w:name="pg10178_84089"/>
    </w:p>
    <w:p>
      <w:pPr>
        <w:pStyle w:val="BookText"/>
        <w:rPr/>
      </w:pPr>
      <w:bookmarkEnd w:id="1419"/>
      <w:r>
        <w:rPr>
          <w:rFonts w:ascii="Amiri" w:hAnsi="Amiri" w:eastAsia="Amiri" w:cs="Amiri"/>
          <w:color w:val="111111"/>
          <w:sz w:val="28"/>
          <w:sz w:val="28"/>
          <w:szCs w:val="28"/>
          <w:rtl w:val="true"/>
          <w:lang w:bidi="ar-SA"/>
        </w:rPr>
        <w:t>والشُرْبِ بِتَعَدّدِ الازدِرادِ، وفي الجِماعِ بالعَودِ بَعْدَ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 ثالثة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قَتْلُه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كفَّارَتانِ ويُعَزِّرُ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فَيَتَحَمَّلُ عنها التَعْزِيرَ كما يَتَحَمّل الكفّارة، فَيُعَزِّرُ بِخَمْسِينَ سَوطاً، ولو أكْرَهَتْه غُلِّظَ تَعْزِيرُها، ولا تَتَحمّلُ عنه الكَفَّارَةَ</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2019378_1067777946"/>
      <w:bookmarkStart w:id="1421" w:name="_Toc527"/>
      <w:bookmarkEnd w:id="1420"/>
      <w:r>
        <w:rPr>
          <w:rtl w:val="true"/>
        </w:rPr>
        <w:t>[</w:t>
      </w:r>
      <w:r>
        <w:rPr>
          <w:rtl w:val="true"/>
        </w:rPr>
        <w:t>مَنْ لا يَصِحّ منه الصوم</w:t>
      </w:r>
      <w:r>
        <w:rPr>
          <w:rtl w:val="true"/>
        </w:rPr>
        <w:t>]</w:t>
      </w:r>
      <w:bookmarkEnd w:id="14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من المَرِيضِ مع التَضَرُّرِ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التَضَرُّرُ بِزِيادَةِ المَرَضِ وبُطْء بُرْئِه، ويُعْلَمُ ذلك بقولِ عارِفٍ يُفِيدُ قُولُه الظَنَّ به، وبالتَجْرِبَةِ</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2019380_1067777946"/>
      <w:bookmarkStart w:id="1423" w:name="_Toc528"/>
      <w:bookmarkEnd w:id="1422"/>
      <w:r>
        <w:rPr>
          <w:rtl w:val="true"/>
        </w:rPr>
        <w:t>[</w:t>
      </w:r>
      <w:r>
        <w:rPr>
          <w:rtl w:val="true"/>
        </w:rPr>
        <w:t>علامة شهر رمضان</w:t>
      </w:r>
      <w:r>
        <w:rPr>
          <w:rtl w:val="true"/>
        </w:rPr>
        <w:t>]</w:t>
      </w:r>
      <w:bookmarkEnd w:id="14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رئي شائعاً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الشياعُ بإخبارِ جَمَاعَةٍ بِالرُؤْيَةِ لا تَجْمَعُهم رابِطَةُ الكِذْبِ، بِحَيثُ يَحْصُلُ بإخْبارِهم الظَنُّ الغالِبُ المقارِبُ ِللعِلْمِ، ولا فَرْقَ فيهِم بين العَدْلِ والفاسِقِ والذَكَرِ والأُنثى، ولا فرق في ذلك بينَ 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شاهدان كيف كان</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البَلَدِ أو من خارِجِه، وسَواء كان بالسماءِ عِلَّةٌ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اعتِبارَ بالجَدْوَلِ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مَخْصُوصٌ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بالعَدَدِ نَقْصُ شَعْبانَ دائماً وتمامِيَّةُ رَمَضانَ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عَدُّ الشهورِ المُغِمَّةِ ثَلاثِينَ ثَلاثِينَ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4" w:name="__RefHeading___Toc2019382_1067777946"/>
      <w:bookmarkStart w:id="1425" w:name="_Toc529"/>
      <w:bookmarkEnd w:id="1424"/>
      <w:r>
        <w:rPr>
          <w:rtl w:val="true"/>
        </w:rPr>
        <w:t>[</w:t>
      </w:r>
      <w:r>
        <w:rPr>
          <w:rtl w:val="true"/>
        </w:rPr>
        <w:t>شرائط وجوب الصوم وقضائه</w:t>
      </w:r>
      <w:r>
        <w:rPr>
          <w:rtl w:val="true"/>
        </w:rPr>
        <w:t>]</w:t>
      </w:r>
      <w:bookmarkEnd w:id="1425"/>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والإقامة أو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الإقامَةِ كَثْرَةُ السَفَرِ ومُضِيّ ثَلاثِينَ يوماً على </w:t>
      </w:r>
      <w:bookmarkStart w:id="1426" w:name="pg10178_84090"/>
    </w:p>
    <w:p>
      <w:pPr>
        <w:pStyle w:val="BookText"/>
        <w:rPr/>
      </w:pPr>
      <w:bookmarkEnd w:id="1426"/>
      <w:r>
        <w:rPr>
          <w:rFonts w:ascii="Amiri" w:hAnsi="Amiri" w:eastAsia="Amiri" w:cs="Amiri"/>
          <w:color w:val="111111"/>
          <w:sz w:val="28"/>
          <w:sz w:val="28"/>
          <w:szCs w:val="28"/>
          <w:rtl w:val="true"/>
          <w:lang w:bidi="ar-SA"/>
        </w:rPr>
        <w:t>التَرَدُّدِ، وناوِي إقامَةِ عَشَرَةِ أيّامٍ، وفي حُكْمِهِم العاصِي بسفره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كلّ تارك عدا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والمجنُونِ والمغمى عليه والكافر الأصْلي، فإنّهم لا يَجِبُ عليهم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القضاء تهاوناً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 عَدَمُ العَزْمِ على القَضاءِ، سَواء عَزَمَ على التَرْكِ أم أهْمَل الأمرَينَ، وغَيْرُ المتَهاوِنِ مَن عَزَمَ على القضاءِ حالَ السَعَةِ فلمّا ضاقَ الوقتُ عَرَضَ له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وُجُوبُ القضاءِ والفدْيَةِ مع تأخِيرِ القَضاءِ للقادرِ عليه، سَواء تَهاوَنَ أم لا، وهو خِيَرَةُ الدروس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 الميِّت أَكْبَرُ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هناك ذَكَرٌ أكْبَر منه، فلو لم يُخَلِّف إلّا ذكراً واحِداً تَعَلَّقَ به الوُجُوبُ، ولو كان غَيْرَ بِالِغ تَعَلَّقَ بِه الوُجُوبُ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وليّان قضيا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ذَكَرانِ مُتَساوِيانِ في السِنّ، وكذا لو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طابَقَ عَدَدُ الأيّامِ لعَدَدِهم أو القِسْمَة عليهم من غَيْرِ كسرٍ فظاهِرٌ، ولو انكسر عليهم أو كان يوماً واحداً وَجَبَ عليهم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ويقضى عن المرأة ما تركته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يقضي عنها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الذُكُورِ من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كالرَجُلِ، والقَضاءُ عنها هو أحوطُ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الأكبر أُنثى 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يَقْضِي أكْبَرُ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ويتصدَّق عن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صَومِ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والمرويّ قضاء الصلاة والصوم</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نَسِي يَوماً أو أكْثَرَ</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2019384_1067777946"/>
      <w:bookmarkStart w:id="1428" w:name="_Toc530"/>
      <w:bookmarkEnd w:id="1427"/>
      <w:r>
        <w:rPr>
          <w:rtl w:val="true"/>
        </w:rPr>
        <w:t>[</w:t>
      </w:r>
      <w:r>
        <w:rPr>
          <w:rtl w:val="true"/>
        </w:rPr>
        <w:t>الصوم المندوب</w:t>
      </w:r>
      <w:r>
        <w:rPr>
          <w:rtl w:val="true"/>
        </w:rPr>
        <w:t>]</w:t>
      </w:r>
      <w:bookmarkEnd w:id="1428"/>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الثامِن عَشَرَ من ذِي الحِجَّةِ، ومَولِد النَبيِّ صلى الله عليه و آله و سلم هو سابِع عَشَرَ </w:t>
      </w:r>
      <w:bookmarkStart w:id="1429" w:name="pg10178_84091"/>
    </w:p>
    <w:p>
      <w:pPr>
        <w:pStyle w:val="BookText"/>
        <w:rPr/>
      </w:pPr>
      <w:bookmarkEnd w:id="1429"/>
      <w:r>
        <w:rPr>
          <w:rFonts w:ascii="Amiri" w:hAnsi="Amiri" w:eastAsia="Amiri" w:cs="Amiri"/>
          <w:color w:val="111111"/>
          <w:sz w:val="28"/>
          <w:sz w:val="28"/>
          <w:szCs w:val="28"/>
          <w:rtl w:val="true"/>
          <w:lang w:bidi="ar-SA"/>
        </w:rPr>
        <w:t>من رَبِيعِ الأوَّلِ، والمبعَثُ هو السابِعُ والعشْرُونَ من رَجَبَ، ويوم دَحْوِ الأرضِ هو الخامِسُ والعشرون من ذي القَعْدَةِ، والمباهَلة هو الرابِعُ والعشرون من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عاشوراءَ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صَومه ليس صوماً مُعْتَبَراً، بل هو إمساكٌ بدون نِيَّةِ الصَومِ، ويُسْتَحَبُّ الإمساكُ فيه إلى بَعْدِ العَصْرِ ثُمَّ الإفطارُ، وَلْيَكن الإمساكُ بالنِيَّةِ؛ لأنَّه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إذنِ مُضِيفِه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والكَراهِيَةُ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المرأة من غَيرِ 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في القَواعِدِ </w:t>
      </w:r>
      <w:r>
        <w:rPr>
          <w:rStyle w:val="FootnoteAnchor"/>
          <w:rtl w:val="true"/>
        </w:rPr>
        <w:footnoteReference w:id="633"/>
      </w:r>
      <w:r>
        <w:rPr>
          <w:rFonts w:ascii="Amiri" w:hAnsi="Amiri" w:eastAsia="Amiri" w:cs="Amiri"/>
          <w:color w:val="111111"/>
          <w:sz w:val="28"/>
          <w:sz w:val="28"/>
          <w:szCs w:val="28"/>
          <w:rtl w:val="true"/>
          <w:lang w:bidi="ar-SA"/>
        </w:rPr>
        <w:t>صَومَ المرأةِ والمملُوكِ بدون إذن الزوجِ والمالكِ في بابِ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الولد من غَيرِ إذنِ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ودُعِيَ إلى طَعامٍ فالأفْضَلُ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الطَعامِ مَعْمُولاً لأجلِه أو لا، ولا بين مَن يَشُقُّ عليه التَرْكُ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كَونُه مؤمِناً، وكَونُ الباعِثِ على الأكلِ إجابَةَ دُعائِه إن كان عالماً بصَومِه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في أفضَلِيَّةِ الإفطارِ على الصَومِ الحَثُّ على إجابَةِ دَعْوَةِ المُؤمِنِ وعَدَم مخالَفَةِ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دُعِيَ إلى طَعامٍ فأفطَرَ ولم يُعْلِم بِصَومِه كَتَبَ الله له صِيامَ سَنَةٍ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0" w:name="__RefHeading___Toc2019386_1067777946"/>
      <w:bookmarkStart w:id="1431" w:name="_Toc531"/>
      <w:bookmarkEnd w:id="1430"/>
      <w:r>
        <w:rPr>
          <w:rtl w:val="true"/>
        </w:rPr>
        <w:t>[</w:t>
      </w:r>
      <w:r>
        <w:rPr>
          <w:rtl w:val="true"/>
        </w:rPr>
        <w:t>الصوم المحظور</w:t>
      </w:r>
      <w:r>
        <w:rPr>
          <w:rtl w:val="true"/>
        </w:rPr>
        <w:t>]</w:t>
      </w:r>
      <w:bookmarkEnd w:id="1431"/>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التَشريقِ لمن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الحادي عَشَرَ والثاني عَشَرَ والثالث عَشَرَ من ذي الحجّة، ولا فرق في ذلك بين مَنْ كان بمنى ناسكاً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الصَمْتِ هو أن يَنْذر أن يصومَ ساكتاً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تفعله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مُحَرَّم في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يجعل عَشاءَه سحورَه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يصوم يومينِ من غَيرِ إفطارٍ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الواجب سفراً ما 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المشروُطُ سَفَراً وحَضَراً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بَدَلَ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عَشَرَ بَدَلَ البَدَنَةِ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كَثِيرِ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نِيَّةِ الإقامَةِ عَشراً، وكفّارة الصَيدِ على قولٍ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خروجه قبل الزوال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خُرُوجُه قبلَ الزوالِ، والمرادُ به مجاوَزَةُ مَوضِعِ سماعِ الأذانِ ورُؤيَةِ الجُدْرانِ قبل الزوالِ، فيجوز الإفطارُ حينئذٍ، ولو لم يَبْلُغْ مَحَلَّ التَرَخُصِ حتّى زالت الشمس وجب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لا يَرْوَى صاحِبُه من الماء، فيجوز له الشربُ للضرورة دون الأكل، والاقتصارُ من الشُرْبِ على ما يَسدّ به الرَمَق؛ للخبر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وتتصدّقان عن كلّ يوم بمدّ وتقضيان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خافتا من الصوم على الولد، أمّا لو خافتا على أنفسِهما أفطرتا وقضتا بِغَيرِ كفَّارَةٍ، کالمريض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بالطَعامِ هنا الواجب في سائرِ الكفّارات</w:t>
      </w:r>
      <w:r>
        <w:rPr>
          <w:rFonts w:eastAsia="Amiri" w:cs="Amiri" w:ascii="Amiri" w:hAnsi="Amiri"/>
          <w:color w:val="111111"/>
          <w:sz w:val="28"/>
          <w:szCs w:val="28"/>
          <w:rtl w:val="true"/>
          <w:lang w:bidi="ar-SA"/>
        </w:rPr>
        <w:t xml:space="preserve">. </w:t>
      </w:r>
      <w:bookmarkStart w:id="1432" w:name="pg10178_84093"/>
    </w:p>
    <w:p>
      <w:pPr>
        <w:pStyle w:val="Heading3"/>
        <w:numPr>
          <w:ilvl w:val="2"/>
          <w:numId w:val="1"/>
        </w:numPr>
        <w:rPr/>
      </w:pPr>
      <w:bookmarkStart w:id="1433" w:name="__RefHeading___Toc2019388_1067777946"/>
      <w:bookmarkStart w:id="1434" w:name="_Toc532"/>
      <w:bookmarkEnd w:id="1432"/>
      <w:bookmarkEnd w:id="1433"/>
      <w:r>
        <w:rPr>
          <w:rtl w:val="true"/>
        </w:rPr>
        <w:t>كتاب الاعتكاف</w:t>
      </w:r>
      <w:bookmarkEnd w:id="14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مسجد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بالمَسْجِدِ الجامِعِ المَسْجِدُ الأعظم في البلدِ، واحترز به عن نحوِ مَسْجِدِ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للبلد مسجدان أو أكثرُ بالوصفِ جاز الاعتكافُ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الشَهادَةِ بين تَحَمُّلِها وأدائِها، ولا بين تَعَيُّنِها عليه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يصلِّي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يَتَضيَّق الوقتُ عن فِعلِها في المسجدِ، بِحَيثُ يستلزِمُ تأخيرُها إليه فوتَها، وإلّا صلّاها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تَجْدِيدُ نيَّةِ الوجوبِ قَبْلَ الفَجْرِ الثالثِ، ولو نوى أيضاً قَبْلَ الغُرُوبِ كان أولى؛ لما قيل من دخول الليلة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في معناه، كالصلح والإجارَةِ، ومِثْلُه اشتِغالُه بالصنائِعِ، كالخِياطَةِ وغيرِها، إلّا مع الضَرُورَةِ</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خصّا ذلك بالثالث كان أليق بمذهبهما</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اختصاصُ الكَفّارَةِ في الندبِ في الثوالث</w:t>
      </w:r>
      <w:r>
        <w:rPr>
          <w:rFonts w:eastAsia="Amiri" w:cs="Amiri" w:ascii="Amiri" w:hAnsi="Amiri"/>
          <w:color w:val="111111"/>
          <w:sz w:val="28"/>
          <w:szCs w:val="28"/>
          <w:rtl w:val="true"/>
          <w:lang w:bidi="ar-SA"/>
        </w:rPr>
        <w:t xml:space="preserve">. </w:t>
      </w:r>
      <w:bookmarkStart w:id="1435" w:name="pg10178_84094"/>
    </w:p>
    <w:p>
      <w:pPr>
        <w:pStyle w:val="Heading3"/>
        <w:numPr>
          <w:ilvl w:val="2"/>
          <w:numId w:val="1"/>
        </w:numPr>
        <w:rPr/>
      </w:pPr>
      <w:bookmarkStart w:id="1436" w:name="__RefHeading___Toc2019390_1067777946"/>
      <w:bookmarkStart w:id="1437" w:name="_Toc533"/>
      <w:bookmarkEnd w:id="1435"/>
      <w:bookmarkEnd w:id="1436"/>
      <w:r>
        <w:rPr>
          <w:rtl w:val="true"/>
        </w:rPr>
        <w:t>كتاب الحجّ</w:t>
      </w:r>
      <w:bookmarkEnd w:id="1437"/>
    </w:p>
    <w:p>
      <w:pPr>
        <w:pStyle w:val="Heading4"/>
        <w:numPr>
          <w:ilvl w:val="3"/>
          <w:numId w:val="1"/>
        </w:numPr>
        <w:rPr/>
      </w:pPr>
      <w:bookmarkStart w:id="1438" w:name="__RefHeading___Toc2019392_1067777946"/>
      <w:bookmarkStart w:id="1439" w:name="_Toc534"/>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يجب 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العهدُ واليمينُ</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2019394_1067777946"/>
      <w:bookmarkStart w:id="1441" w:name="_Toc535"/>
      <w:bookmarkEnd w:id="1440"/>
      <w:r>
        <w:rPr>
          <w:rtl w:val="true"/>
        </w:rPr>
        <w:t>[</w:t>
      </w:r>
      <w:r>
        <w:rPr>
          <w:rtl w:val="true"/>
        </w:rPr>
        <w:t>شرائط حجّة الإسلام</w:t>
      </w:r>
      <w:r>
        <w:rPr>
          <w:rtl w:val="true"/>
        </w:rPr>
        <w:t>]</w:t>
      </w:r>
      <w:bookmarkEnd w:id="14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تخلية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وإسكان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w:t>
      </w:r>
      <w:r>
        <w:rPr>
          <w:rStyle w:val="FootnoteAnchor"/>
          <w:rtl w:val="true"/>
        </w:rPr>
        <w:footnoteReference w:id="640"/>
      </w:r>
      <w:r>
        <w:rPr>
          <w:rFonts w:ascii="Amiri" w:hAnsi="Amiri" w:eastAsia="Amiri" w:cs="Amiri"/>
          <w:color w:val="111111"/>
          <w:sz w:val="28"/>
          <w:sz w:val="28"/>
          <w:szCs w:val="28"/>
          <w:rtl w:val="true"/>
          <w:lang w:bidi="ar-SA"/>
        </w:rPr>
        <w:t>، والمرادُ هنا عَدَمُ المانعِ من سلوكِ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بذل له 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ذلك بين الموثوقِ به و غيره، ولا بین البذلِ اللازمِ بالنذرِ وشبهه وغيرِه؛ عملاً بإطلاق النصّ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بذلُ عَينِ الزادِ والراحِلَةِ، فلو بذل له أثمانَهما لم 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الحاجةِ إليه يشترط في الوجوبِ عليها وجودُه ووُجُودُ ما يحتاج إليه من أُجرةٍ ونَفَقَةٍ إن توقَّف قبوله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ماشياً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مشى لتقليل النفقة فإنَّ الركوبَ أفضل؛ لأنَّ دَفعَ رَذيلَةِ البُخْلِ أولى من تَحصِيلِ هذه الفَضيلَةِ</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استقرَّ الحجّ فأهمل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الاستِقرارُ باجتماع الشرائط عند سير </w:t>
      </w:r>
      <w:bookmarkStart w:id="1442" w:name="pg10178_84095"/>
    </w:p>
    <w:p>
      <w:pPr>
        <w:pStyle w:val="BookText"/>
        <w:rPr/>
      </w:pPr>
      <w:bookmarkEnd w:id="1442"/>
      <w:r>
        <w:rPr>
          <w:rFonts w:ascii="Amiri" w:hAnsi="Amiri" w:eastAsia="Amiri" w:cs="Amiri"/>
          <w:color w:val="111111"/>
          <w:sz w:val="28"/>
          <w:sz w:val="28"/>
          <w:szCs w:val="28"/>
          <w:rtl w:val="true"/>
          <w:lang w:bidi="ar-SA"/>
        </w:rPr>
        <w:t>القافِلَةِ، وبقائها إلى حين إمكان فعل ما يصحّ معه الحجّ، وأقلّه مُضِيُّ بعضِ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مواضع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يَقِفُ في السَفِينَةِ وجوباً إِذا عَبَرَ نَهراً، ولو أخلّ بذلك أثِمَ ولم يقدح في صِحَّةِ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المشي مِن بلد النذر، ويسقط بعد طَوافِ النساءِ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ركب طريقه قَضى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أنَّه إن كان مطلقاً أعاد ماشياً، وإن كان معيَّناً أجزأه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يسقط لعجزه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يسقط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الحجّ فَيَجِبُ فِعْلُه بحسب المكنَةِ</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2019396_1067777946"/>
      <w:bookmarkStart w:id="1444" w:name="_Toc536"/>
      <w:bookmarkEnd w:id="1443"/>
      <w:r>
        <w:rPr>
          <w:rtl w:val="true"/>
        </w:rPr>
        <w:t>[</w:t>
      </w:r>
      <w:r>
        <w:rPr>
          <w:rtl w:val="true"/>
        </w:rPr>
        <w:t>القول في النيابة</w:t>
      </w:r>
      <w:r>
        <w:rPr>
          <w:rtl w:val="true"/>
        </w:rPr>
        <w:t>]</w:t>
      </w:r>
      <w:bookmarkEnd w:id="14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قُدْرَتِه عليه ولو مشياً، فلو عَجَزَ عنه جاز حجُّه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يتعيّن على المنوبِ أحدُ النوعين، كما لو استناب تبرُّعاً أو عن نذْرٍ مطلق أو كان ذا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وناءٍ ولم يَغْلِب أحدهما، وحينئذٍ يجوز العدول إلى الأفضل وهو التمتّع، ولا يَنْقُصُ شيء من الأُجرة، ولو تعيَّن أحدهما لم يجز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عليه الحَجَّ على طريق جاز</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يتعلّق بالطريقِ المعَيّنِ غرض دِيني كزيارة النبيّ صلی الله علیه و آله و سلم أو دُنيوِي كتجارة، وإلا تعيَّن المعيّن، ومع المخالَفَةِ يُرْجَعُ عليه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واحد منهما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الحمل تَبَرُّعاً أو استأجره ليحمله في طوافه، وإلّا اُحتُسِب للمحمولِ خاصَّةً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حذف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مع عدم الإجزاء تَجِبُ الإعادة، وكلامه يقتضي الاستحباب</w:t>
      </w:r>
      <w:r>
        <w:rPr>
          <w:rFonts w:eastAsia="Amiri" w:cs="Amiri" w:ascii="Amiri" w:hAnsi="Amiri"/>
          <w:color w:val="111111"/>
          <w:sz w:val="28"/>
          <w:szCs w:val="28"/>
          <w:rtl w:val="true"/>
          <w:lang w:bidi="ar-SA"/>
        </w:rPr>
        <w:t xml:space="preserve">. </w:t>
      </w:r>
      <w:bookmarkStart w:id="1445" w:name="pg10178_84096"/>
    </w:p>
    <w:p>
      <w:pPr>
        <w:pStyle w:val="BookText"/>
        <w:rPr/>
      </w:pPr>
      <w:bookmarkEnd w:id="144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الورَثَةَ لا يؤدّون جاز أن يقتطع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بالجواز هنا معناه الأعمّ، فإنّ الاقتطاع حينئذٍ واجب، ويجب استئذان الحاكم إن أمكن إثبات ذلك عنده، وإلّا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ويتعدّى إلى غير الحجّ من الحقوق الماليَّةِ والديونِ </w:t>
      </w:r>
      <w:r>
        <w:rPr>
          <w:rStyle w:val="FootnoteAnchor"/>
          <w:rtl w:val="true"/>
        </w:rPr>
        <w:footnoteReference w:id="644"/>
      </w:r>
      <w:r>
        <w:rPr>
          <w:rFonts w:ascii="Amiri" w:hAnsi="Amiri" w:eastAsia="Amiri" w:cs="Amiri"/>
          <w:color w:val="111111"/>
          <w:sz w:val="28"/>
          <w:sz w:val="28"/>
          <w:szCs w:val="28"/>
          <w:rtl w:val="true"/>
          <w:lang w:bidi="ar-SA"/>
        </w:rPr>
        <w:t>ويجب استئذان الحاكم مع الإمكان وإلّا فلا،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وجه آخر</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أنّهما يستويان في الخروج من الأصل، وتُوَزَّع التركةُ عليهما مع القصور، وهو الأصحّ</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2019398_1067777946"/>
      <w:bookmarkStart w:id="1447" w:name="_Toc537"/>
      <w:bookmarkEnd w:id="1446"/>
      <w:r>
        <w:rPr>
          <w:rtl w:val="true"/>
        </w:rPr>
        <w:t>[</w:t>
      </w:r>
      <w:r>
        <w:rPr>
          <w:rtl w:val="true"/>
        </w:rPr>
        <w:t>في أنواع الحجّ</w:t>
      </w:r>
      <w:r>
        <w:rPr>
          <w:rtl w:val="true"/>
        </w:rPr>
        <w:t>]</w:t>
      </w:r>
      <w:bookmarkEnd w:id="144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يُنْشِئ إحراماً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وهو يَومُ الثامِنِ من ذي الحِجَّةِ، وهو أفضلُ أوقاتِ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والقِران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كخوف الحيضِ المتقدِّمِ على طوافِ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من ذي الحِجَّة</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لفظيٌ لا تَتَرتَّب عليه فائدةٌ، فإن أُريد بأشهر الحجِّ ما تقع فيه أفعال الحَجِّ في الجملة، فهي الأشهر الثلاثةُ، وإن أُريد بها ما يفوت الحجُّ بفواته، بني على فواته بالاختياريِّ الواجد وعدمه، فهي حينئذٍ تِسْعَةٌ من ذي الحِجَّةِ، أو عَشْرَةٌ مع الشهرَينِ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والقِران فرض حاضري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حكمِهم، وهو مَن بَعُدَ عنها بأقلِّ من ثمانِيَةٍ وأربعينَ ميلاً</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وأشعرها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يُشعِر واحدة يَميناً والأُخرى شِمالاً، وهذا كالاستثناء ممّا تقدَّم، ولا يفتقر حينئذٍ إلى أن يجعلها صَفَّينِ إِلى جِهَتَينِ مَتَضادَّتَينِ </w:t>
      </w:r>
      <w:bookmarkStart w:id="1448" w:name="pg10178_84097"/>
    </w:p>
    <w:p>
      <w:pPr>
        <w:pStyle w:val="BookText"/>
        <w:rPr/>
      </w:pPr>
      <w:bookmarkEnd w:id="1448"/>
      <w:r>
        <w:rPr>
          <w:rFonts w:ascii="Amiri" w:hAnsi="Amiri" w:eastAsia="Amiri" w:cs="Amiri"/>
          <w:color w:val="111111"/>
          <w:sz w:val="28"/>
          <w:sz w:val="28"/>
          <w:szCs w:val="28"/>
          <w:rtl w:val="true"/>
          <w:lang w:bidi="ar-SA"/>
        </w:rPr>
        <w:t>ليكونَ إشعارُ الجميعِ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يجدِّدان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وُجُوبُ تَجدِيدِ التلبيةِ وبدونه يُحلّان مطلقاً، ومحلّ التلبية بعد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بمكَّةَ </w:t>
      </w:r>
      <w:r>
        <w:rPr>
          <w:rStyle w:val="FootnoteAnchor"/>
          <w:rtl w:val="true"/>
        </w:rPr>
        <w:footnoteReference w:id="647"/>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الإفراد متعيِّناً عليه بأصل الشرع أو بنذر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القِران بين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ينويهما معاً دفعةً واحدةً، وحينئذٍ فلا يقع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بإدخال أحدهما على الآخر أن ينوي بالثاني قبل إكمال الأوّلِ فيَبْطُلُ الداخلُ خاصّةً</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2019400_1067777946"/>
      <w:bookmarkStart w:id="1450" w:name="_Toc538"/>
      <w:bookmarkEnd w:id="1449"/>
      <w:r>
        <w:rPr>
          <w:rtl w:val="true"/>
        </w:rPr>
        <w:t>[</w:t>
      </w:r>
      <w:r>
        <w:rPr>
          <w:rtl w:val="true"/>
        </w:rPr>
        <w:t>في المواقيت</w:t>
      </w:r>
      <w:r>
        <w:rPr>
          <w:rtl w:val="true"/>
        </w:rPr>
        <w:t>]</w:t>
      </w:r>
      <w:bookmarkEnd w:id="14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وآخره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الإحرام من بين هذه المواضِعِ الثَلاثَةِ؛ لأنّ الميقاتَ مجموعُ وادِي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كان منزلُه أقربَ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ويجرَّد الصبيان من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 بئر على نحوِ فرسخٍ من مكَّةَ، والمرادُ أنَّهم يُحْرِمون من الميقات ولا ينزعون المَخِيطَ إلى فَخّ رخصةً لهم إذا حجَّوا على طريق المدينةِ، ولو حَجّوا على غيرها، كانوا كسائر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نسي الإحرام حتّى أكمل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نسيانُ الإحرامِ بِنِسيانِ النِيَّةِ أو التَلبيَةِ أو هما معاً، ولا يقدح فيه ترك التجرّدِ من المَخِيط ولُبْسِ ثوبَي الإحرام</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2019402_1067777946"/>
      <w:bookmarkStart w:id="1452" w:name="_Toc539"/>
      <w:bookmarkEnd w:id="1451"/>
      <w:r>
        <w:rPr>
          <w:rtl w:val="true"/>
        </w:rPr>
        <w:t>[</w:t>
      </w:r>
      <w:r>
        <w:rPr>
          <w:rtl w:val="true"/>
        </w:rPr>
        <w:t>في أفعال الحَجّ</w:t>
      </w:r>
      <w:r>
        <w:rPr>
          <w:rtl w:val="true"/>
        </w:rPr>
        <w:t>]</w:t>
      </w:r>
      <w:bookmarkEnd w:id="1452"/>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توطِين النفسِ على تركِ المنهيّاتِ المعهودةِ إلى أن يأتِيَ بالمحلِّلِ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توفير شعر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تَوفِيرُه إذا أراد القِران أو الإفرادَ، ولو أراد العمرةَ المفرَدَةَ استحبّ توفيره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الليل لليلته ما لم 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يُحْدِثْ أو يَفْعَلْ ما ينافي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ويُصلِّي نافِلَةَ الإِحرام ولو في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يُسْتَحَبّ أن يصلِّي نافِلَةَ الإحرامِ ستَّ ركعاتٍ وأقلّها ركعتان، ثُمَّ يُصَلِّي الفَرِيضَةً عَقِيبَها، فإن لم يكن وَقت فَرِيضَةٍ أحرم عَقِيبَ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بَعِيدَةٌ عن تأدِيَةِ المعنى، ولو أحرم بعد فريضةٍ مَقْضِيَّةٍ إذا لم يكن وَقْت مؤدّاةٍ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مقارَنَتُها لِنيَّةِ الإحرام كما تُقارَنُ تكبيرةُ الإحرامِ لِنيَّةِ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بالإشعارِ أو التقليدِ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إلّا بالتَلبِيَةِ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والإشارة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عقدِ قلبِه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ثوبَيِ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يأتَزِر بأحدهما ويَرْتَدِي بالآخَرِ، بأن يغطِّي مَنْكِبَيه أو يَتَوَشَّح به، بأن يغطِّي 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ظَاهِرَه باطِنَه أو ذيلَه على الكتفَين، ولو جمع بينهما كان أولى، فلو أخرج يده من كُمِّه، لزمته كَفَّارة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هما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يطوف إلّا فيهما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كَراهِيَةٍ</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البَيداءُ على ميلٍ من مسجد الشَجَرةِ، سَمِّيَتْ بذلك؛ لأنّها تَخْسِفُ بجَيْشِ السفياني وتُبِيده</w:t>
      </w:r>
      <w:r>
        <w:rPr>
          <w:rFonts w:eastAsia="Amiri" w:cs="Amiri" w:ascii="Amiri" w:hAnsi="Amiri"/>
          <w:color w:val="111111"/>
          <w:sz w:val="28"/>
          <w:szCs w:val="28"/>
          <w:rtl w:val="true"/>
          <w:lang w:bidi="ar-SA"/>
        </w:rPr>
        <w:t xml:space="preserve">. </w:t>
      </w:r>
      <w:bookmarkStart w:id="1453" w:name="pg10178_84099"/>
    </w:p>
    <w:p>
      <w:pPr>
        <w:pStyle w:val="BookText"/>
        <w:rPr/>
      </w:pPr>
      <w:bookmarkEnd w:id="145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الاشتراط قبل النيَّة بغير فصل،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التَمَتُّعَ بالعُمْرَةِ على كتابِك وسنَّةِ نَبِيِّك، فإن عَرَضَ لي شيء يحبسني فَحُلَّني حيث حبستَني بِقَدَرِك الذي قدَّرتَ عليَّ به، اللهمّ إن لم تكن حجَّةً فعُمْرةً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يصلِّي بالنِيَّةِ، والتَلْبِيَة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رواية أبي بصير عن أبي عبدالله علیه السلام</w:t>
      </w:r>
      <w:r>
        <w:rPr>
          <w:rFonts w:eastAsia="IRNazanin" w:cs="IRNazanin"/>
          <w:color w:val="111111"/>
          <w:sz w:val="28"/>
          <w:szCs w:val="28"/>
          <w:rtl w:val="true"/>
          <w:lang w:bidi="fa-IR"/>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الروايةِ، وحينئذٍ فتبطل المتعة وتصير حجَّته مفردَةً فيأتي بعدها بعمرة مفردة، ثمّ إن كان فرضه التمتّع لم يجزئه ذلك، بل يجب عليه الحجّ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التحلّلِ للمحصورِ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تعجيل المحصورِ بالشرطِ، ومن الجائز كون الشرطِ تَعَبُّداً أو دعاءً مأموراً به يترتَّب على فعله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يشترط، لا يصحّ التحلّل حتّى يُرْسِل هديَه إلى مكَّةَ ويواعدهم على ذَبْحِهِ ثمّ بعد ذلك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المصدود سواء شرط أو لم يشترط تَحَلَّل</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2019404_1067777946"/>
      <w:bookmarkStart w:id="1455" w:name="_Toc540"/>
      <w:bookmarkEnd w:id="1454"/>
      <w:r>
        <w:rPr>
          <w:rtl w:val="true"/>
        </w:rPr>
        <w:t>[</w:t>
      </w:r>
      <w:r>
        <w:rPr>
          <w:rtl w:val="true"/>
        </w:rPr>
        <w:t>تروك الإحرام</w:t>
      </w:r>
      <w:r>
        <w:rPr>
          <w:rtl w:val="true"/>
        </w:rPr>
        <w:t>]</w:t>
      </w:r>
      <w:bookmarkEnd w:id="14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وإشارة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باليدِ والرأسِ نَحْوَ الصَيْدِ، والدَلالةُ بالقولِ والكِتابَةِ ونحوِهما؛ لعموم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الإطلاق</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بالغِلالة للحائض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رَقِيقٌ يُلْبَسُ تَحتَ الثِياب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ثَوبٌ منسُوجٌ مُحِيطُ بالبدنِ، ولا يجوز زَرُّه، للنصّ </w:t>
      </w:r>
      <w:r>
        <w:rPr>
          <w:rStyle w:val="FootnoteAnchor"/>
          <w:rtl w:val="true"/>
        </w:rPr>
        <w:footnoteReference w:id="652"/>
      </w:r>
      <w:r>
        <w:rPr>
          <w:rFonts w:ascii="Amiri" w:hAnsi="Amiri" w:eastAsia="Amiri" w:cs="Amiri"/>
          <w:color w:val="111111"/>
          <w:sz w:val="28"/>
          <w:sz w:val="28"/>
          <w:szCs w:val="28"/>
          <w:rtl w:val="true"/>
          <w:lang w:bidi="ar-SA"/>
        </w:rPr>
        <w:t>، ومنه يستفاد عدم جواز عقدِ ثَوبَي الإحرام، ويَحْرُمُ أيضاً ما يشبه المَخِيْطَ من الثِيابِ المنسُوجَةِ كالدِرْعِ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عن القدم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الشقِّ مع الإمكانِ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هوامِّ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دوابّه </w:t>
      </w:r>
      <w:r>
        <w:rPr>
          <w:rStyle w:val="FootnoteAnchor"/>
          <w:rtl w:val="true"/>
        </w:rPr>
        <w:footnoteReference w:id="654"/>
      </w:r>
      <w:r>
        <w:rPr>
          <w:rFonts w:ascii="Amiri" w:hAnsi="Amiri" w:eastAsia="Amiri" w:cs="Amiri"/>
          <w:color w:val="111111"/>
          <w:sz w:val="28"/>
          <w:sz w:val="28"/>
          <w:szCs w:val="28"/>
          <w:rtl w:val="true"/>
          <w:lang w:bidi="ar-SA"/>
        </w:rPr>
        <w:t>كالقَمْلِ والبَراغِيثِ والقُرادِ، وإِنَّما يجوز نقله إلى مكان أحرزَ من الأوَّلِ أو مساوٍ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بإلقاء 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بَعيرِه لا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 القُرادِ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تَسدُلَ خِمارَها إلى 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يُصِيبَ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تَظليلُ المُحْرِمِ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يَحْرُم إذا كان الظلّ فَوقَ رأسِهِ، فلو مشى في ظِلِّ المَحْمِلِ أو إلى جانبه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الاكتحال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ودَلْك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التَحرِيمُ في الجميع عدا الدلك ما لم يُدْمِ، ومعه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والحِنّاء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السُنَّةِ والزِينَةِ إلى القصدِ، ومثله التختّم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يَحْرُمُ عدا الشِيحِ </w:t>
      </w:r>
      <w:r>
        <w:rPr>
          <w:rStyle w:val="FootnoteAnchor"/>
          <w:rtl w:val="true"/>
        </w:rPr>
        <w:footnoteReference w:id="656"/>
      </w:r>
      <w:r>
        <w:rPr>
          <w:rFonts w:ascii="Amiri" w:hAnsi="Amiri" w:eastAsia="Amiri" w:cs="Amiri"/>
          <w:color w:val="111111"/>
          <w:sz w:val="28"/>
          <w:sz w:val="28"/>
          <w:szCs w:val="28"/>
          <w:rtl w:val="true"/>
          <w:lang w:bidi="ar-SA"/>
        </w:rPr>
        <w:t xml:space="preserve">والخُزامى </w:t>
      </w:r>
      <w:r>
        <w:rPr>
          <w:rStyle w:val="FootnoteAnchor"/>
          <w:rtl w:val="true"/>
        </w:rPr>
        <w:footnoteReference w:id="657"/>
      </w:r>
      <w:r>
        <w:rPr>
          <w:rFonts w:ascii="Amiri" w:hAnsi="Amiri" w:eastAsia="Amiri" w:cs="Amiri"/>
          <w:color w:val="111111"/>
          <w:sz w:val="28"/>
          <w:sz w:val="28"/>
          <w:szCs w:val="28"/>
          <w:rtl w:val="true"/>
          <w:lang w:bidi="ar-SA"/>
        </w:rPr>
        <w:t>والإذخرِ والقيصومِ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المرأة كإحرامِ الرجل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جَوازُ المخيطِ، وسَتْرُ </w:t>
      </w:r>
      <w:bookmarkStart w:id="1456" w:name="pg10178_84101"/>
    </w:p>
    <w:p>
      <w:pPr>
        <w:pStyle w:val="BookText"/>
        <w:rPr/>
      </w:pPr>
      <w:bookmarkEnd w:id="1456"/>
      <w:r>
        <w:rPr>
          <w:rFonts w:ascii="Amiri" w:hAnsi="Amiri" w:eastAsia="Amiri" w:cs="Amiri"/>
          <w:color w:val="111111"/>
          <w:sz w:val="28"/>
          <w:sz w:val="28"/>
          <w:szCs w:val="28"/>
          <w:rtl w:val="true"/>
          <w:lang w:bidi="ar-SA"/>
        </w:rPr>
        <w:t>الرأسِ، وسَتْر القَدَمِ، وجَوازُ التظليلِ، ووُجُوبُ كَشْفِ الوجهِ</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2019406_1067777946"/>
      <w:bookmarkStart w:id="1458" w:name="_Toc541"/>
      <w:bookmarkEnd w:id="1457"/>
      <w:r>
        <w:rPr>
          <w:rtl w:val="true"/>
        </w:rPr>
        <w:t>[</w:t>
      </w:r>
      <w:r>
        <w:rPr>
          <w:rtl w:val="true"/>
        </w:rPr>
        <w:t>في الوقوف بعرفات</w:t>
      </w:r>
      <w:r>
        <w:rPr>
          <w:rtl w:val="true"/>
        </w:rPr>
        <w:t>]</w:t>
      </w:r>
      <w:bookmarkEnd w:id="14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الوقوف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في الوقوف الاضطراري مسمّاه، ولا يجب استيعابُ الليلِ وإن أمكن، بخلاف الاختياري، فإنَّ استيعابَ الوَقْتِ فيه واجبٌ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يقف في السَفح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حيث يَسْفَحُ فيه الماء أي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الصحاح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ويَسُدُّ الخلَلَ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صِفَةً للخللِ، أي الخلل الكائن به وبرحله، بمعنى قطعِ العَلائِق المانعةِ من الاشتغالِ بالدعاءِ وإقبالِ القلب على الله تعالى؛ لأنَّه يومُ دُعاءٍ وسُؤالٍ، ويجوز تَعَلَّقُه بالفعل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سَتْرِ الأَرضِ التي يمكنه سَتْرُها برحلِه وبنفسِه لتَلَقِّي رحمةِ الله تعالى، وهذا هو الظاهر من الأخبار، وكلاهما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أدركه قبل الزوال</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الوقوفين بالنِسْبَةِ إلى الاختياري والاضطراري والتفريق ثَمانِيةٌ، كلُّها مجزِئة بوجهٍ إلّا اضطراري عَرَفَةَ وَحْدَه</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2019408_1067777946"/>
      <w:bookmarkStart w:id="1460" w:name="_Toc542"/>
      <w:bookmarkEnd w:id="1459"/>
      <w:r>
        <w:rPr>
          <w:rtl w:val="true"/>
        </w:rPr>
        <w:t>[</w:t>
      </w:r>
      <w:r>
        <w:rPr>
          <w:rtl w:val="true"/>
        </w:rPr>
        <w:t>في الوقوف بالمشعر</w:t>
      </w:r>
      <w:r>
        <w:rPr>
          <w:rtl w:val="true"/>
        </w:rPr>
        <w:t>]</w:t>
      </w:r>
      <w:bookmarkEnd w:id="14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الغداة قبل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بالوقوفِ هنا حقيقته، وهو القِيامُ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الوقوفُ بمعنىٰ الكونِ بالنِيّةِ فيجب وُقُوعُه بعد الفجرِ بلا فصل</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يجاوز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يقطعه ولا بعضَه إلى طلوعِها؛ لأنَّ </w:t>
      </w:r>
      <w:bookmarkStart w:id="1461" w:name="pg10178_84102"/>
    </w:p>
    <w:p>
      <w:pPr>
        <w:pStyle w:val="BookText"/>
        <w:rPr/>
      </w:pPr>
      <w:bookmarkEnd w:id="1461"/>
      <w:r>
        <w:rPr>
          <w:rFonts w:ascii="Amiri" w:hAnsi="Amiri" w:eastAsia="Amiri" w:cs="Amiri"/>
          <w:color w:val="111111"/>
          <w:sz w:val="28"/>
          <w:sz w:val="28"/>
          <w:szCs w:val="28"/>
          <w:rtl w:val="true"/>
          <w:lang w:bidi="ar-SA"/>
        </w:rPr>
        <w:t>وادِيَ مُحَسِّرٍ ليس من المَشْعَرِ فلا يجوز دخولُه قبلَ طلوعِ الشمس، بناءً على وجوبِ استيعابِ الوقتِ الذي بين طلوعِ الفجرِ والشمسِ بالكون في المشعر، فإنّه أصحّ القولين ولو جاوزه قَبْلَ الطلوعِ أَثِمَ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التقاط الحصى من 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المسجد الحرام ومسجد الخَيف</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يُرْمَ بها قبل ذلك رمياً صحيحاً، فلو رُمي بها بغير نيّة أو لم يصب بجمرةٍ ونحو ذلك، جاز الرمي بها ثانياً، ولم تخرج من كونها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رِخوةً بَرَشاً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بِبَرَشها أن تكون ممتزجةً بين ألوان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وبالمنقَّطِ أن تكون الألوان في نفسِ الحصاة الواحدة</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2019410_1067777946"/>
      <w:bookmarkStart w:id="1463" w:name="_Toc543"/>
      <w:bookmarkEnd w:id="1462"/>
      <w:r>
        <w:rPr>
          <w:rtl w:val="true"/>
        </w:rPr>
        <w:t>[</w:t>
      </w:r>
      <w:r>
        <w:rPr>
          <w:rtl w:val="true"/>
        </w:rPr>
        <w:t>في مناسك منى</w:t>
      </w:r>
      <w:r>
        <w:rPr>
          <w:rtl w:val="true"/>
        </w:rPr>
        <w:t>]</w:t>
      </w:r>
      <w:bookmarkEnd w:id="14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 خَذْفاً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هو أن يضع الحصاة على بطن إبهام اليُمنى ويدفعها بظُفْرِ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 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بالندب هديَ الحجِّ المندوب؛ لأنّ الشروع في الحجِّ والعمرةِ يُوجِب إتمامَهما، بل المرادُ به الأُضْحِيَّةُ وهَديُ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الجَذَعُ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الشاة التي كُسِرَ قرنُها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وتجزئ المشقوقة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المقطوعة</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فبانت مهزولة أجزأته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تجزئ المهزولة إذا ظهرت كذلك بعدَ الذَبحِ، وأمّا قبله فلا، أمّا المَعِيبَةُ فلا تجزئ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ظُهُورُ العيبِ دون السِمَن، فإنَّه مبنيّ على الظَنِّ فيمكن خِلافُه</w:t>
      </w:r>
      <w:r>
        <w:rPr>
          <w:rFonts w:eastAsia="Amiri" w:cs="Amiri" w:ascii="Amiri" w:hAnsi="Amiri"/>
          <w:color w:val="111111"/>
          <w:sz w:val="28"/>
          <w:szCs w:val="28"/>
          <w:rtl w:val="true"/>
          <w:lang w:bidi="ar-SA"/>
        </w:rPr>
        <w:t xml:space="preserve">. </w:t>
      </w:r>
      <w:bookmarkStart w:id="1464" w:name="pg10178_84103"/>
    </w:p>
    <w:p>
      <w:pPr>
        <w:pStyle w:val="BookText"/>
        <w:rPr/>
      </w:pPr>
      <w:bookmarkEnd w:id="146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المواضع منها سُوداً</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حسن، ولها تفسير ثالث، وهو أن يكون السَواد كنايةً عن الخُضْرَةِ، ومنه سُمِّيَتْ أرْضَ السَوادِ، والمرادُ أن تكون نَظَرَتْ ومَشَتْ وبَرَكَتْ فى الخُضْرَةِ، وهو كنايةٌ عن سِمَنِها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الأكل منه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أكل شيء منه وإن قلّ، أمّا الصدقةُ فلا تجزئ أقلَّ من الثلتِ، وكذا الإهداء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الوليّ عنه الثَلاثةَ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صوم ما تمكَّن منه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ضلّ فذبح عن صاحبه،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ذُبِحَ في محلِّه وهو مكَّةُ أو مِنى،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وتصدَّق بثلثِها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القِيَمُ ثلاثاً، ولو كانت اثنتين تصدَّق بنصفها، أو أربعةً فرُبعها،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وإعطاؤها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أمّا صَدَقَةً فلا حَرَجَ</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2019412_1067777946"/>
      <w:bookmarkStart w:id="1466" w:name="_Toc544"/>
      <w:bookmarkEnd w:id="1465"/>
      <w:r>
        <w:rPr>
          <w:rtl w:val="true"/>
        </w:rPr>
        <w:t>[</w:t>
      </w:r>
      <w:r>
        <w:rPr>
          <w:rtl w:val="true"/>
        </w:rPr>
        <w:t>أحكام الحلق</w:t>
      </w:r>
      <w:r>
        <w:rPr>
          <w:rtl w:val="true"/>
        </w:rPr>
        <w:t>]</w:t>
      </w:r>
      <w:bookmarkEnd w:id="146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ولو قدر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إمرار 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يجزئ الإمرارُ إذا لم يكن له شيء يقصِّر منه، وإلّا كان مقدَّماً على الإمرارِ؛ لأنّه بدل اضطراري، والتقصير بدل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طاف لحَجّة، 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بالسعي</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طاف طواف النساء حللن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يَحِلّ له الصيدُ الإحرامي، أمّا الحَرَمِيُ فيبقى ما دام في الحَرَمِ</w:t>
      </w:r>
      <w:r>
        <w:rPr>
          <w:rFonts w:eastAsia="Amiri" w:cs="Amiri" w:ascii="Amiri" w:hAnsi="Amiri"/>
          <w:color w:val="111111"/>
          <w:sz w:val="28"/>
          <w:szCs w:val="28"/>
          <w:rtl w:val="true"/>
          <w:lang w:bidi="ar-SA"/>
        </w:rPr>
        <w:t xml:space="preserve">. </w:t>
      </w:r>
      <w:bookmarkStart w:id="1467" w:name="pg10178_84104"/>
    </w:p>
    <w:p>
      <w:pPr>
        <w:pStyle w:val="BookText"/>
        <w:rPr/>
      </w:pPr>
      <w:bookmarkEnd w:id="146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جواز تأخيره طولَ ذي الحِجَّةِ وإن كان التعجيلُ أولى</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2019414_1067777946"/>
      <w:bookmarkStart w:id="1469" w:name="_Toc545"/>
      <w:bookmarkEnd w:id="1468"/>
      <w:r>
        <w:rPr>
          <w:rtl w:val="true"/>
        </w:rPr>
        <w:t>[</w:t>
      </w:r>
      <w:r>
        <w:rPr>
          <w:rtl w:val="true"/>
        </w:rPr>
        <w:t>في الطواف</w:t>
      </w:r>
      <w:r>
        <w:rPr>
          <w:rtl w:val="true"/>
        </w:rPr>
        <w:t>]</w:t>
      </w:r>
      <w:bookmarkEnd w:id="146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فيشترط تقديم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تُشْتَرَطُ الطهارةُ في الطوافِ الواجبِ دون المندوب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مع إمكانِه، فلو تَعَذَّرَ أو تَضَيَّقَ الوقتُ كخوفِ الوقوفِ 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مغتسلاً من بئر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ميمون بالأبطح حفرها ميمون بن الحَضْرَمِي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والبدأة بالحجر والختم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البدأةِ به والختمِ أن يكونَ أوّلُ جزءٍ من مقاديم بَدَنِه محاذِياً لأوَّلِ جزءٍ من الحَجَرِ علماً أو ظَنّاً، ليمرَّ عليهِ بِجَمِيعِ بدنِه بعد النِيَّةِ، ولتكن الحركةُ مُتَّصلَةً بالنِيَّةِ لتُقارِنَ أوَّل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استقبالُ البيتِ عند النِيَّةِ ثُمَّ ينحرف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بين المَقامِ والبيتِ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راعى المسافَةَ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منعه زِحام صلّى 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أُسبوعينِ ولا يُصلِّي بينهما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أكملها أُسبوعين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إن ذكر بعد إكمال شوطٍ، وإلّا قطع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ويعيد مَن طاف في ثوب نجس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كان أو ناسياً</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في أثناء الطواف، أزاله وأتمّ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أزال الثوبَ عنه إن لم يَحْتَجْ إلى فعلٍ كثيرٍ ولمّا يُكْمِل أربَعَةَ أشواطٍ، وإلّا وجب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والمعهودُ إزالَةُ النجاسةِ لا الثوبِ، وهي مؤنَّثَةٌ لا يحسن عَودُ الضميرِ المذكّرِ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قطعه لصلاة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يستأنف إن كان دون الأربَعِ فيهما </w:t>
      </w:r>
      <w:r>
        <w:rPr>
          <w:rStyle w:val="FootnoteAnchor"/>
          <w:rtl w:val="true"/>
        </w:rPr>
        <w:footnoteReference w:id="663"/>
      </w:r>
      <w:r>
        <w:rPr>
          <w:rFonts w:ascii="Amiri" w:hAnsi="Amiri" w:eastAsia="Amiri" w:cs="Amiri"/>
          <w:color w:val="111111"/>
          <w:sz w:val="28"/>
          <w:sz w:val="28"/>
          <w:szCs w:val="28"/>
          <w:rtl w:val="true"/>
          <w:lang w:bidi="ar-SA"/>
        </w:rPr>
        <w:t>كغيرهما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تَجاوَزَ نِصْفَ الطوافِ بأن طاف أربعاً، وإلّا استأنف الطوافَ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يقتصد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 المشيِ هو التَوَسّطُ بين السُرعَةِ والبُطْء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جاوز المستجارَ رَجَعَ والتَزَمَ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التزم أو استلم حَفِظَ الموضِعَ الذي انتهى إليه طوافه ليعود إليه؛ حَذَراً من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ويتطوّع بثلاثِمائة وستِّينَ طوافاً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الزيادَةَ في الطوافِ الأخيرِ، وهذا مستثنىً من كَراهَةِ الزيادةِ في الطوافِ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تعذّر العود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بالتَعَذُّرِ هنا المَشَقَّةُ الكَثِيرةُ التي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عدده بعد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الشكّ على رأس الشوطِ، وإِلّا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طواف النساء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يَتَّفِق حُضُوره في السَنَةِ المُقْبِلَةِ، وإِلّا لم تَجُزْ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تأخيره إلى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تأخيره إلى الغدِ أيضاً، نعم، يجوز تأخِيرُه بساعَةٍ وبساعَتينِ للراحة ونحوِها</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الطواف وعليه بُرْطُلَّةٌ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والطاء وإسكان الراء و تشديد اللام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طَوِيلَةٌ كانت تُلْبَس قديماً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1470" w:name="pg10178_84106"/>
    </w:p>
    <w:p>
      <w:pPr>
        <w:pStyle w:val="Heading4"/>
        <w:numPr>
          <w:ilvl w:val="3"/>
          <w:numId w:val="1"/>
        </w:numPr>
        <w:rPr/>
      </w:pPr>
      <w:bookmarkStart w:id="1471" w:name="__RefHeading___Toc2019416_1067777946"/>
      <w:bookmarkStart w:id="1472" w:name="_Toc546"/>
      <w:bookmarkEnd w:id="1470"/>
      <w:bookmarkEnd w:id="1471"/>
      <w:r>
        <w:rPr>
          <w:rtl w:val="true"/>
        </w:rPr>
        <w:t>[</w:t>
      </w:r>
      <w:r>
        <w:rPr>
          <w:rtl w:val="true"/>
        </w:rPr>
        <w:t>في السعي</w:t>
      </w:r>
      <w:r>
        <w:rPr>
          <w:rtl w:val="true"/>
        </w:rPr>
        <w:t>]</w:t>
      </w:r>
      <w:bookmarkEnd w:id="14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والبدأة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البَدأةُ بأن يُلْصِقَ عَقِبَيه بأوَّله أو يَصْعَدَ عليه، ويُسْتَحَبُّ التَرَقِّي إلى الدَرَجَةِ الرابعةِ، وفي المروَةِ يُلْصِق بها أصابِعَه ليُكْمِل قَطْعَ المسافَة، فإذا أراد العودَ ألصق عَقِبَه بها وأصابع رِجلَيه بالصفا إن لم يَصْعَدْ عليه، وهكذا في كلِّ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يبطُلُ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تَذَكَّرَ مع الزيادَةِ سهواً قبل إكمالِ الشوطِ الثامن قَطَعَ وجوباً وإلّا بَطَلَ، وإن لم يذكُر حتّى أكمَلَه تَخَيَّرَ بين إهدار الثامن وبين إكمالِ أُسبوعَينِ، ويكون الثاني مستحبّاً، ولا يُسْتَحَبُّ السَعْيُ إِلّا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دم بقرة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إلّا أن يَتَعَمَّدَ فَيَجِبُ ما قُرِّرَ له في بابِ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مشتغلاً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أو المستَحَبَّةِ، ويجب استيعابُ اللَيلَةِ بالعِبادَةِ، إِلّا ما يضطَرّ إليه من أكلٍ وشُرْبٍ ونومٍ يَغلِبُ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ويحصل الترتيب بأربع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النسيانِ أو الجهلِ لا مع العمدِ، فيُعِيدُ الأخِيرتَينِ ويبني على الأربعِ في الأُولى، ولو نَقَصَ عن الأربع بَطَلَ ما بَعْدَه، وفي صحَّتِه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حجّ في القابل استحبّ له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القضاءِ في القابِلِ في أيّامِه، لكن إن اتَّفَقَ حُضُورُه وَجَبَتْ عليه المباشَرَةُ، وإلّا جازت الاستنابَةُ وإن أمكن العَودُ، ويجب في القَضاءِ نِيَّتُه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وتستحبّ الإقامة بمنى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المَبِيتَ بمنى واجب،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3" w:name="pg10178_84123"/>
      <w:bookmarkStart w:id="1474" w:name="pg10178_84123"/>
      <w:bookmarkEnd w:id="1474"/>
    </w:p>
    <w:p>
      <w:pPr>
        <w:pStyle w:val="Heading3"/>
        <w:numPr>
          <w:ilvl w:val="2"/>
          <w:numId w:val="1"/>
        </w:numPr>
        <w:rPr/>
      </w:pPr>
      <w:bookmarkStart w:id="1475" w:name="pg10178_84123"/>
      <w:bookmarkStart w:id="1476" w:name="__RefHeading___Toc2019418_1067777946"/>
      <w:bookmarkStart w:id="1477" w:name="_Toc547"/>
      <w:bookmarkEnd w:id="1475"/>
      <w:bookmarkEnd w:id="1476"/>
      <w:r>
        <w:rPr>
          <w:rtl w:val="true"/>
        </w:rPr>
        <w:t>کتاب التجاره</w:t>
      </w:r>
      <w:bookmarkEnd w:id="1477"/>
    </w:p>
    <w:p>
      <w:pPr>
        <w:pStyle w:val="Heading4"/>
        <w:numPr>
          <w:ilvl w:val="3"/>
          <w:numId w:val="1"/>
        </w:numPr>
        <w:rPr/>
      </w:pPr>
      <w:bookmarkStart w:id="1478" w:name="__RefHeading___Toc2019420_1067777946"/>
      <w:bookmarkStart w:id="1479" w:name="_Toc548"/>
      <w:bookmarkEnd w:id="1478"/>
      <w:r>
        <w:rPr>
          <w:rtl w:val="true"/>
        </w:rPr>
        <w:t>في لواحق البیع</w:t>
      </w:r>
      <w:bookmarkEnd w:id="14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طريق الردِّ، خلافاً للشيخ </w:t>
      </w:r>
      <w:r>
        <w:rPr>
          <w:rStyle w:val="FootnoteAnchor"/>
          <w:rtl w:val="true"/>
        </w:rPr>
        <w:footnoteReference w:id="666"/>
      </w:r>
      <w:r>
        <w:rPr>
          <w:rFonts w:ascii="Amiri" w:hAnsi="Amiri" w:eastAsia="Amiri" w:cs="Amiri"/>
          <w:color w:val="111111"/>
          <w:sz w:val="28"/>
          <w:sz w:val="28"/>
          <w:szCs w:val="28"/>
          <w:rtl w:val="true"/>
          <w:lang w:bidi="ar-SA"/>
        </w:rPr>
        <w:t>، أمّا العلف والسقي فليس بتصرّف، ولو نقلها من السوق إلى بلده فإن كان قريباً عادةً فكان كالعلف، وإن كان بعيداً أو مشتملاً على الخطر ففي كونه تصرّفاً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كلّ ما يُقْصَد به الانتفاع فهو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عيب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معها 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الغالب من كون الحامل ثيِّباً ولو كانت بكراً ردّ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التصرية 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مشتقّة مِن الصَرْي، وهو الجمع</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تحفيل الشاة ونحوها ومنع ولدها مِن رِضاعِها ليُوهِمَ أنّها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الثُفْل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يَثْفُلُ من كلِّ شيء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ما في أسفل المائع من الدُرْدِي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قول البائع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التقدّم، والمراد بشاهد الحال نَحْوُ زيادةِ الإصبَعِ واندمال الجُرْحِ مع قصر زمان البيع بحيث لا يُحْتَمَلُ تأخّره عادةً، ويعتبر كونُه مفيداً للقطع، فيقدّم قول المشتري بغير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تكن هناك قرينة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إفادة القرينة للقطع لا يمين على مَن شهدت له، وإلّا ثبتت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إلى القيمة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بالقيمة الوسطى قيمة منتزعة من القِيَمِ، فمن الاثنتين النصف، ومن الثلاثة الثلث، وهكذا</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بأن يُجْمَعَ التفاوت بين كلِّ قيمة صحيحة ومعيبة، فيؤخذ بنسبته مِن الثمن، كما ذكرناه</w:t>
      </w:r>
      <w:r>
        <w:rPr>
          <w:rFonts w:eastAsia="Amiri" w:cs="Amiri" w:ascii="Amiri" w:hAnsi="Amiri"/>
          <w:color w:val="111111"/>
          <w:sz w:val="28"/>
          <w:szCs w:val="28"/>
          <w:rtl w:val="true"/>
          <w:lang w:bidi="ar-SA"/>
        </w:rPr>
        <w:t xml:space="preserve">. </w:t>
      </w:r>
      <w:bookmarkStart w:id="1480" w:name="pg10178_84124"/>
    </w:p>
    <w:p>
      <w:pPr>
        <w:pStyle w:val="BookText"/>
        <w:rPr/>
      </w:pPr>
      <w:bookmarkEnd w:id="1480"/>
      <w:r>
        <w:rPr>
          <w:rFonts w:ascii="Amiri" w:hAnsi="Amiri" w:eastAsia="Amiri" w:cs="Amiri"/>
          <w:color w:val="111111"/>
          <w:sz w:val="28"/>
          <w:sz w:val="28"/>
          <w:szCs w:val="28"/>
          <w:rtl w:val="true"/>
          <w:lang w:bidi="ar-SA"/>
        </w:rPr>
        <w:t>فلو باع متاعاً بخمسة عَشَرَ فوجد المشتري به عيباً، واختلف المقوِّمون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صحيحاً اثنا عَشَرَ ومعيباً عَشَرَةٌ،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عشرة ومعيباً ثمانية، فالتفاوت بين القيمتين على الأوّلِ سدس، وعلى الثاني خمس، فيؤخذ من الثمن سُدسه وخُمسه، وهو خمسة ونصف، فالأرش نصفها،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الحكم ثابتاً فيما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يأخذ أرش العيب، وله أن يردَّ الجميعَ لا رَدَّ الجزء المَعِيبِ خاصَّةً</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2019422_1067777946"/>
      <w:bookmarkStart w:id="1482" w:name="_Toc549"/>
      <w:bookmarkEnd w:id="1481"/>
      <w:r>
        <w:rPr>
          <w:rtl w:val="true"/>
        </w:rPr>
        <w:t>[</w:t>
      </w:r>
      <w:r>
        <w:rPr>
          <w:rtl w:val="true"/>
        </w:rPr>
        <w:t>في الربا</w:t>
      </w:r>
      <w:r>
        <w:rPr>
          <w:rtl w:val="true"/>
        </w:rPr>
        <w:t>]</w:t>
      </w:r>
      <w:bookmarkEnd w:id="14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منه أعظم من سبعين زنية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بذات محرم، روى بذلك هشام بن سالم عن الصادق علیه السلام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الأجل له قسط من الثمن، فالزيادة حاصلة قطعاً، وتسمّى هذه الزِيادَةُ حُكْميَّةً، وزيادَةُ المقدارِ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وجهل المالك والقدر تصدَّق بخمسه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الهاشميِّين، هذا مع عدم العلم بالزيادة على الخمس، ولو عَلِمَ وَجب الزائد، وتكون الزِيادةُ عن الخمس صَدَقَةً لا خمساً، ولو عَلِمَ نقصه عن الخمس أخرج ما تَيَقَّن دخولُه فيه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جَهِلَ التحريم كفاه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وجوبُ ردِّ المال على مالكه وإن كان الآخذ جاهلاً، وتجب عليه التَوبَةُ كالعالم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بين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الدائم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بين المسلم والحربي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المسلم الزائد لا بالعكس</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بيع الحيوان باللحم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مذبوحاً فيحرم</w:t>
      </w:r>
      <w:r>
        <w:rPr>
          <w:rFonts w:eastAsia="IRNazanin" w:cs="IRNazanin"/>
          <w:color w:val="111111"/>
          <w:sz w:val="28"/>
          <w:szCs w:val="28"/>
          <w:rtl w:val="true"/>
          <w:lang w:bidi="fa-IR"/>
        </w:rPr>
        <w:t xml:space="preserve">. </w:t>
      </w:r>
      <w:bookmarkStart w:id="1483" w:name="pg10178_84125"/>
    </w:p>
    <w:p>
      <w:pPr>
        <w:pStyle w:val="Heading4"/>
        <w:numPr>
          <w:ilvl w:val="3"/>
          <w:numId w:val="1"/>
        </w:numPr>
        <w:rPr/>
      </w:pPr>
      <w:bookmarkStart w:id="1484" w:name="__RefHeading___Toc2019424_1067777946"/>
      <w:bookmarkStart w:id="1485" w:name="_Toc550"/>
      <w:bookmarkEnd w:id="1483"/>
      <w:bookmarkEnd w:id="1484"/>
      <w:r>
        <w:rPr>
          <w:rtl w:val="true"/>
        </w:rPr>
        <w:t>[</w:t>
      </w:r>
      <w:r>
        <w:rPr>
          <w:rtl w:val="true"/>
        </w:rPr>
        <w:t>في الصرف</w:t>
      </w:r>
      <w:r>
        <w:rPr>
          <w:rtl w:val="true"/>
        </w:rPr>
        <w:t>]</w:t>
      </w:r>
      <w:bookmarkEnd w:id="14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الأثمان بالأثمان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بالفلوس؛ لأنّها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فافترقا قبله بطل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المتبايعين، بمعنى أنّ الوكيل لا يقوم مَقامَ الموكَّل في القبض إذا لم يكن العقد قد وقع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المعتبر تفرّق المتبايعين، سواء كانا مالكين أم وكيلين أو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القبض لم يصحّ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الأوّل إن قبض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فأمره أن يُحَوِّلها إلى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إذا حوّلها بوجه شرعي إلى ذمَّته، وإنّما يصحّ مع عدم القبض؛ لأنّ ما في الذمَّة في حكم المقبوض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جمعا، جاز بيعه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بيعه بأحدهما مع زيادته عن جنسه؛ ليقابل الآخر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بان فيه زيادةٌ لا تكون إلّا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الثمن مع أنّ الحكم جارٍ في المبيع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يُبَدِّلَ له درهماً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تساوي الدرهمين لا يجوز الشرط وإن كان صِياغَةَ خاتَمٍ؛ لأنّ الرِواية </w:t>
      </w:r>
      <w:r>
        <w:rPr>
          <w:rStyle w:val="FootnoteAnchor"/>
          <w:rtl w:val="true"/>
        </w:rPr>
        <w:footnoteReference w:id="671"/>
      </w:r>
      <w:r>
        <w:rPr>
          <w:rFonts w:ascii="Amiri" w:hAnsi="Amiri" w:eastAsia="Amiri" w:cs="Amiri"/>
          <w:color w:val="111111"/>
          <w:sz w:val="28"/>
          <w:sz w:val="28"/>
          <w:szCs w:val="28"/>
          <w:rtl w:val="true"/>
          <w:lang w:bidi="ar-SA"/>
        </w:rPr>
        <w:t>الدالَّةَ على ذلك تضمَّنت بيعَ درهمٍ طازَجٍ بدرهمٍ غلَّةٍ وشَرْطَ صياغة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الصِياغَةُ في مقابَلَةِ النقص، وليس فيها مخالفةٌ للأُصول، فيصحّ على هذا التقدير، ويتعدّى</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الأواني المصوغة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المصوغة من النقدين يجوز بيعها بهما مطلقاً، وبأحدهما مع زيادة الثمن على جنسه مطلقاً، أي سواء أمكن تخليصها أم لا، وسواء كان هو الأقلّ أم لا</w:t>
      </w:r>
      <w:r>
        <w:rPr>
          <w:rFonts w:eastAsia="Amiri" w:cs="Amiri" w:ascii="Amiri" w:hAnsi="Amiri"/>
          <w:color w:val="111111"/>
          <w:sz w:val="28"/>
          <w:szCs w:val="28"/>
          <w:rtl w:val="true"/>
          <w:lang w:bidi="ar-SA"/>
        </w:rPr>
        <w:t xml:space="preserve">. </w:t>
      </w:r>
      <w:bookmarkStart w:id="1486" w:name="pg10178_84126"/>
    </w:p>
    <w:p>
      <w:pPr>
        <w:pStyle w:val="BookText"/>
        <w:rPr/>
      </w:pPr>
      <w:bookmarkEnd w:id="148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 إليها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الأثمان، لا إلى الحِلية؛ لاستلزامه زيادة الخطر، ومثله عود الضمير إلى المراكب والسيوف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اتّفقت للشيخ </w:t>
      </w:r>
      <w:r>
        <w:rPr>
          <w:rStyle w:val="FootnoteAnchor"/>
          <w:rtl w:val="true"/>
        </w:rPr>
        <w:footnoteReference w:id="674"/>
      </w:r>
      <w:r>
        <w:rPr>
          <w:rFonts w:ascii="Amiri" w:hAnsi="Amiri" w:eastAsia="Amiri" w:cs="Amiri"/>
          <w:color w:val="111111"/>
          <w:sz w:val="28"/>
          <w:sz w:val="28"/>
          <w:szCs w:val="28"/>
          <w:rtl w:val="true"/>
          <w:lang w:bidi="ar-SA"/>
        </w:rPr>
        <w:t xml:space="preserve">فتَبِعَه المصنِّف، والرواية </w:t>
      </w:r>
      <w:r>
        <w:rPr>
          <w:rStyle w:val="FootnoteAnchor"/>
          <w:rtl w:val="true"/>
        </w:rPr>
        <w:footnoteReference w:id="675"/>
      </w:r>
      <w:r>
        <w:rPr>
          <w:rFonts w:ascii="Amiri" w:hAnsi="Amiri" w:eastAsia="Amiri" w:cs="Amiri"/>
          <w:color w:val="111111"/>
          <w:sz w:val="28"/>
          <w:sz w:val="28"/>
          <w:szCs w:val="28"/>
          <w:rtl w:val="true"/>
          <w:lang w:bidi="ar-SA"/>
        </w:rPr>
        <w:t>سالمة عن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جهالة نسبة الدرهم إلى الدينار، وإلّا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بالذهبِ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بيع بأحدهما مع العلم بزيادة الثمن عن جنسِه صحَّ أيضاً</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2019426_1067777946"/>
      <w:bookmarkStart w:id="1488" w:name="_Toc551"/>
      <w:bookmarkEnd w:id="1487"/>
      <w:r>
        <w:rPr>
          <w:rtl w:val="true"/>
        </w:rPr>
        <w:t>[</w:t>
      </w:r>
      <w:r>
        <w:rPr>
          <w:rtl w:val="true"/>
        </w:rPr>
        <w:t>في بيع الثمار</w:t>
      </w:r>
      <w:r>
        <w:rPr>
          <w:rtl w:val="true"/>
        </w:rPr>
        <w:t>]</w:t>
      </w:r>
      <w:bookmarkEnd w:id="14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يَبْدُ صلاحهما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جواز بيعها وإن لم يبد صلاحها، ولا يَضمُّ إليها شيئاً، ولا يبيعها أزيد من سَنَة، ولا يشترط القطع على كَراهِيَةٍ بدون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لَقْطةً ولَقطات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اللَقْطَةِ والخَرْطَةِ والجَزّة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من الثُنْيا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الحِصَّةِ والأرطال دون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المزابَنَة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الزَبْنِ وهو الدفع، كلّ منهما يدفع صاحبه في القدر؛ لأنّ الثمرة غير معلومة، والتخيير موجب للتدافع، ومنه سمِّيت الزبانِيَةُ؛ لأنّهم يدفعون الناس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امتنع فللبائع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إلى الحاكم مع إمكانه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الزرع والخضر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عدم الجواز مطلقاً</w:t>
      </w:r>
      <w:r>
        <w:rPr>
          <w:rFonts w:eastAsia="IRNazanin" w:cs="IRNazanin"/>
          <w:color w:val="111111"/>
          <w:sz w:val="28"/>
          <w:szCs w:val="28"/>
          <w:rtl w:val="true"/>
          <w:lang w:bidi="fa-IR"/>
        </w:rPr>
        <w:t>.</w:t>
      </w:r>
    </w:p>
    <w:p>
      <w:pPr>
        <w:pStyle w:val="Heading4"/>
        <w:numPr>
          <w:ilvl w:val="3"/>
          <w:numId w:val="1"/>
        </w:numPr>
        <w:rPr/>
      </w:pPr>
      <w:bookmarkStart w:id="1489" w:name="__RefHeading___Toc2019428_1067777946"/>
      <w:bookmarkStart w:id="1490" w:name="_Toc552"/>
      <w:bookmarkEnd w:id="1489"/>
      <w:r>
        <w:rPr>
          <w:rtl w:val="true"/>
        </w:rPr>
        <w:t>[</w:t>
      </w:r>
      <w:r>
        <w:rPr>
          <w:rtl w:val="true"/>
        </w:rPr>
        <w:t>في بيع الحيوان</w:t>
      </w:r>
      <w:r>
        <w:rPr>
          <w:rtl w:val="true"/>
        </w:rPr>
        <w:t>]</w:t>
      </w:r>
      <w:bookmarkEnd w:id="1490"/>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واستثنى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أنّ الحيوان إن كان مذبوحاً أو شَرَطَ ذَبْحَه </w:t>
      </w:r>
    </w:p>
    <w:p>
      <w:pPr>
        <w:pStyle w:val="BookText"/>
        <w:rPr/>
      </w:pPr>
      <w:r>
        <w:rPr>
          <w:rFonts w:ascii="Amiri" w:hAnsi="Amiri" w:eastAsia="Amiri" w:cs="Amiri"/>
          <w:color w:val="111111"/>
          <w:sz w:val="28"/>
          <w:sz w:val="28"/>
          <w:szCs w:val="28"/>
          <w:rtl w:val="true"/>
          <w:lang w:bidi="ar-SA"/>
        </w:rPr>
        <w:t>صح ويثبت له ما استثناه وإلّا فلا، وحينئذٍ يبطُلُ الشرط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بنسبة ما نَقَدَ لا 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للشريك الربح دون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العقد ولا الشرط، ولا عَمَلَ على الرِواية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عبداً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وتُشتَرط حينئذٍ السلامةُ من الصرف والربا، فلو كان مال العبد من أحد النقدين والثمن كذلك، اشترط تعجيل المقابل وقبضه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تمضي لحملها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أربعة أشهر و عَشَرَة أيّام إن كان الحمل من زِنىً، ولو كان محترماً أو مجهولَ الحال حَرُمَ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يعزل له من ميراثه 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سهم الرجل في الرجل، وأقلَّ من سهم المرأة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التفرقة بين الأطفال وأُمّهاتهم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التفرقة بين البيع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 التحريم وعدمه إنّما هو بعد شرب اللِبأ، أمّا قبله فحرام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أُنثىً، وإن كان ذكراً فحدّه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والعُشْر إن كانت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أرش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تكلّف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يَرُدّها على المالك أو وكيله، فإن تعذّر فعلى الحاكم ولا تُستَسعى</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الفتوى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الاضطراب الحكم بعود الأب إلى سيِّده مع أنّه يدّعي فسادَ البيع، وإمضاء الحجّة بفعل مَن حُكِمَ برِقِّيتِه بغير إذن سيِّده، واستنابة المأذون في الحجّة مع أنّ ظاهر الأمر مباشرتُه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المصنِّف من مناسبة الأصل غير واضح؛ لأنّ المأذون لا يمضى إقراره على ما في يده لغير سيِّده، بل الذي يناسب الأصل أن لا يلتفت إلى دعوى مولى الأب لدعواه فسادَ البيع، كما هو </w:t>
      </w:r>
      <w:bookmarkStart w:id="1491" w:name="pg10178_84128"/>
    </w:p>
    <w:p>
      <w:pPr>
        <w:pStyle w:val="BookText"/>
        <w:rPr/>
      </w:pPr>
      <w:bookmarkEnd w:id="1491"/>
      <w:r>
        <w:rPr>
          <w:rFonts w:ascii="IRNazanin" w:hAnsi="IRNazanin" w:eastAsia="IRNazanin"/>
          <w:color w:val="111111"/>
          <w:sz w:val="28"/>
          <w:sz w:val="28"/>
          <w:szCs w:val="28"/>
          <w:rtl w:val="true"/>
          <w:lang w:bidi="fa-IR"/>
        </w:rPr>
        <w:t>المفروض، و تتعارض دعوى ورثة الآمر ومولى المأذون لدعواهما الصحَّة، لكنّهما غير متكافئتين؛ لأنّ مع مولى المأذون مرجِّحاً، وهو اليد على المأذون وما تحت یده فتَتَرجَّح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مع عدم البيِّنة لهما، ومعها يبنى على تقديم بيِّنة الداخل أو الخارج، والمشهور الثاني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ويطالب بما ابتاعه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في يده بالصفة، وإلّا انحصر حقّه فيه</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2019430_1067777946"/>
      <w:bookmarkStart w:id="1493" w:name="_Toc553"/>
      <w:bookmarkEnd w:id="1492"/>
      <w:r>
        <w:rPr>
          <w:rtl w:val="true"/>
        </w:rPr>
        <w:t>[</w:t>
      </w:r>
      <w:r>
        <w:rPr>
          <w:rtl w:val="true"/>
        </w:rPr>
        <w:t>في السلف</w:t>
      </w:r>
      <w:r>
        <w:rPr>
          <w:rtl w:val="true"/>
        </w:rPr>
        <w:t>]</w:t>
      </w:r>
      <w:bookmarkEnd w:id="14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بمال حاضر أو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الحاضر حال العقد مع قبضه في المجلس، وربما دخل فيه ما كان حاضراً لكنّه لم يعيِّن عِوضاً ثم عيّن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دَخَل هذا القسم في حكم الحاضر مع كونه حاضراً بالفعل، ولم يدخل في الحاضر؛ لأنّ الحاضر في العبارة ما جعل ثَمَناً في متن العقد؛ لأنّه جعله صفةً لمّا قرنه بالباء وهو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الجنس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الوصف الذي يُشْتَرط ذكره ما يختلف الثمن باختلافه، وربما كان العامي أعرف به من الفقيه؛ لأنّ غرض الفقيه إعطاء القانون الكلّي، ويشترط في الألفاظ الدالّة على ذلك أن تكون مفهومةً للمتعاقدَين، فلو جَهِلها أحدهما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الثمن ديناً على البائع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أسلفه عيناً بنفس الدين الذي في ذمَّته، فالأقوى عدم الجواز، وإن أسلفه عيناً موصوفةً ثمّ تهاترا بما في الذمَّة قبل التفرّق صحّ</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يقلّ التفاوت، كالنوع الخاصّ من الجوز، فيصحّ عدداً</w:t>
      </w:r>
      <w:r>
        <w:rPr>
          <w:rFonts w:eastAsia="Amiri" w:cs="Amiri" w:ascii="Amiri" w:hAnsi="Amiri"/>
          <w:color w:val="111111"/>
          <w:sz w:val="28"/>
          <w:szCs w:val="28"/>
          <w:rtl w:val="true"/>
          <w:lang w:bidi="ar-SA"/>
        </w:rPr>
        <w:t xml:space="preserve">. </w:t>
      </w:r>
      <w:bookmarkStart w:id="1494" w:name="pg10178_84129"/>
    </w:p>
    <w:p>
      <w:pPr>
        <w:pStyle w:val="BookText"/>
        <w:rPr/>
      </w:pPr>
      <w:bookmarkEnd w:id="149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كَراهِية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مخيّراً بين الفسخ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أخذ القيمة الآن من غير فسخ ولا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أسلف في غنم وشرط أصواف نعجات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مع مغايَرَة النعجات للمسلم فيه وكونها مشاهَدة مشروطَةَ الجزِّ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غلّة من قراح بعينه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يصحّ العقد، فإنّه يشترط كون المحلِّ ممّا لا يخيس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به إذا أعتق</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من ضروريّات التجارة فيَلْزَم المولى</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2019432_1067777946"/>
      <w:bookmarkStart w:id="1496" w:name="_Toc554"/>
      <w:bookmarkEnd w:id="1495"/>
      <w:r>
        <w:rPr>
          <w:rtl w:val="true"/>
        </w:rPr>
        <w:t>[</w:t>
      </w:r>
      <w:r>
        <w:rPr>
          <w:rtl w:val="true"/>
        </w:rPr>
        <w:t>في القرض</w:t>
      </w:r>
      <w:r>
        <w:rPr>
          <w:rtl w:val="true"/>
        </w:rPr>
        <w:t>]</w:t>
      </w:r>
      <w:bookmarkEnd w:id="14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والخبز وزناً وعدداً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التفاوت وإلّا اعتبر 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اشتراط الأجل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تأجيله في عقدٍ لازمٍ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اليأسِ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ويَضْمَنُ لو وُجِدَ، ولو دَفَعَه إلى الحاكمِ صحَّ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وكسرِ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هَلَكَ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الحكم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كذلك إذا قَبَضَه أحدُهما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الاختصاص بالمقبوضِ صالَحَه على ما يَسْتَحِقُّه في ذِمَّتِهِ به مع سلامتِه من الرِبا</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يَلْزَمْ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مع صِحَّةِ البَيع بأن لا يَسْتَلْزِمَ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يجمع بينهما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المثنّى يجوز عوده إلى الأُجرتين، وهو الظاهرُ، بمعنى أنّه لو وكَّله شخصٌ في بَيْعِ متاعٍ وآخَرُ في شِرائِه، لم يَتِمَّ له ذلك على وجه يستحِقُّ به الأُجرتين؛ لوجوب مراعاة المصلحةِ على الوكيل، وهي بالنسبة إلى البائع والمشتري على طَرَفَيِ النقيضِ، فلا يمكنه بذَلُ الجُهْدِ مع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مراد كلّ منهما المماكَسَةَ والسَعْيَ على ما فيه الغِبْطَةُ، ولو كان مرادُهما تَوَلِّيَ العقدِ خاصَّةً، مع اتّفاقِهما على الثمنِ، أمكن الجمع بين الأُجرتين، سواء اقترنا في الأمر أم تلاحَقا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القيمةُ مضبوطَةً في العادةِ بحيث لا تَخْتَلِفُ أصلاً، فالظاهر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عَودُ الضميرِ إلى الصيغتَيْنِ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تَوَلَّي الواحدِ طَرَفَيِ العقدِ كما هو مذهب الشيخ </w:t>
      </w:r>
      <w:r>
        <w:rPr>
          <w:rStyle w:val="FootnoteAnchor"/>
          <w:rtl w:val="true"/>
        </w:rPr>
        <w:footnoteReference w:id="681"/>
      </w:r>
      <w:r>
        <w:rPr>
          <w:rFonts w:ascii="Amiri" w:hAnsi="Amiri" w:eastAsia="Amiri" w:cs="Amiri"/>
          <w:color w:val="111111"/>
          <w:sz w:val="28"/>
          <w:sz w:val="28"/>
          <w:szCs w:val="28"/>
          <w:rtl w:val="true"/>
          <w:lang w:bidi="ar-SA"/>
        </w:rPr>
        <w:t xml:space="preserve">، وعليه حَمَلَ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كلامَ الأصحاب</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بُعد؛ لأنَّه قد عَبَّرَ بذلك مَن قَطَعَ بجوازِ تَوَلَّي الواحدِ الطَرَفَينِ</w:t>
      </w:r>
      <w:r>
        <w:rPr>
          <w:rFonts w:eastAsia="Amiri" w:cs="Amiri" w:ascii="Amiri" w:hAnsi="Amiri"/>
          <w:color w:val="111111"/>
          <w:sz w:val="28"/>
          <w:szCs w:val="28"/>
          <w:rtl w:val="true"/>
          <w:lang w:bidi="ar-SA"/>
        </w:rPr>
        <w:t xml:space="preserve">. </w:t>
      </w:r>
      <w:bookmarkStart w:id="1497" w:name="pg10178_84131"/>
    </w:p>
    <w:p>
      <w:pPr>
        <w:pStyle w:val="Heading3"/>
        <w:numPr>
          <w:ilvl w:val="2"/>
          <w:numId w:val="1"/>
        </w:numPr>
        <w:rPr/>
      </w:pPr>
      <w:bookmarkStart w:id="1498" w:name="__RefHeading___Toc2019434_1067777946"/>
      <w:bookmarkStart w:id="1499" w:name="_Toc555"/>
      <w:bookmarkEnd w:id="1497"/>
      <w:bookmarkEnd w:id="1498"/>
      <w:r>
        <w:rPr>
          <w:rtl w:val="true"/>
        </w:rPr>
        <w:t>كتاب الرهن</w:t>
      </w:r>
      <w:bookmarkEnd w:id="14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شَرَطَه مبيعاً عند الأجل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 لا يتعلّق، والرهن لا يتوقّت، فيبطلان معاً، ويكون قبل الأجلِ أمانةً؛ لأنّه رهن فاسدٌ، وما لا يُضْمَنُ بصحيحهِ لا يُضْمَنُ بفاسدِه، وبعد الأجل مضمون على القابض؛ لأنّه مبيعٌ فاسدٌ، وما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الارتهانِ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المتجدِّد إلّا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يكون موقوفاً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للمرتهن ابتياع الرهن المراد به إذا كان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الميِّت رواية أُخرى</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 يركب ويشرب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رجوع المنفق على إذن المالك إن أمكن، وإلّا رجع إلى الحاكم، ومع تعذّره ينفق ويرجع مع الإشهاد، والظاهر جوازه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من حين التفريط كالغاصب، فيضمن أعلى القيم بالنسبة إلى الذاهب من العين، كما لو كان النقص بسبب الهُزال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تفاوت السوق ضمن قيمته يوم التلف</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قيمة الرهن اللازمة للمرتهن</w:t>
      </w:r>
      <w:r>
        <w:rPr>
          <w:rFonts w:eastAsia="Amiri" w:cs="Amiri" w:ascii="Amiri" w:hAnsi="Amiri"/>
          <w:color w:val="111111"/>
          <w:sz w:val="28"/>
          <w:szCs w:val="28"/>
          <w:rtl w:val="true"/>
          <w:lang w:bidi="ar-SA"/>
        </w:rPr>
        <w:t xml:space="preserve">. </w:t>
      </w:r>
      <w:bookmarkStart w:id="1500" w:name="pg10178_84132"/>
    </w:p>
    <w:p>
      <w:pPr>
        <w:pStyle w:val="Heading3"/>
        <w:numPr>
          <w:ilvl w:val="2"/>
          <w:numId w:val="1"/>
        </w:numPr>
        <w:rPr/>
      </w:pPr>
      <w:bookmarkStart w:id="1501" w:name="__RefHeading___Toc2019436_1067777946"/>
      <w:bookmarkStart w:id="1502" w:name="_Toc556"/>
      <w:bookmarkEnd w:id="1500"/>
      <w:bookmarkEnd w:id="1501"/>
      <w:r>
        <w:rPr>
          <w:rtl w:val="true"/>
        </w:rPr>
        <w:t>كتاب الحَجر</w:t>
      </w:r>
      <w:bookmarkEnd w:id="15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إكمالها، فلا يكفي الدخول فيها، وكذا القول في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فَيُخْتَبَرُ التاجر بجودةِ المعامَلَة وعدم المغابَنَةِ، والصانع بالمحافَظَةِ على صَنْعَتِه، والمرأة بالاستغزال والاستنساج إن كانت مِن أهلِهما،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اعتبار العدالة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التردّد من حيث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سفيه</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والسفيه محجور عليه، ومن حيث إنّ المراد بالسفيه المذكور في الخبر سفه الدِين لا السَفَهُ المقابِلُ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فيه حَجر الحاكم؟ قولان </w:t>
      </w:r>
      <w:r>
        <w:rPr>
          <w:rStyle w:val="FootnoteAnchor"/>
          <w:rtl w:val="true"/>
        </w:rPr>
        <w:footnoteReference w:id="686"/>
      </w:r>
      <w:r>
        <w:rPr>
          <w:rFonts w:ascii="Amiri" w:hAnsi="Amiri" w:eastAsia="Amiri" w:cs="Amiri"/>
          <w:color w:val="111111"/>
          <w:sz w:val="28"/>
          <w:sz w:val="28"/>
          <w:szCs w:val="28"/>
          <w:rtl w:val="true"/>
          <w:lang w:bidi="ar-SA"/>
        </w:rPr>
        <w:t>أقواهما عدم الاشتراط، فيمنع من التصرّف بظهور أمارة السفه، ويزول بزواله</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التبرّعات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كالعَطيَّة والهِبَةِ والصَدَقَة وغير ذلك من المنجَّزات، فإنّه لا يصحّ إلّا من الثلث على الأقوى</w:t>
      </w:r>
      <w:r>
        <w:rPr>
          <w:rFonts w:eastAsia="Amiri" w:cs="Amiri" w:ascii="Amiri" w:hAnsi="Amiri"/>
          <w:color w:val="111111"/>
          <w:sz w:val="28"/>
          <w:szCs w:val="28"/>
          <w:rtl w:val="true"/>
          <w:lang w:bidi="ar-SA"/>
        </w:rPr>
        <w:t xml:space="preserve">. </w:t>
      </w:r>
      <w:bookmarkStart w:id="1503" w:name="pg10178_84133"/>
    </w:p>
    <w:p>
      <w:pPr>
        <w:pStyle w:val="Heading3"/>
        <w:numPr>
          <w:ilvl w:val="2"/>
          <w:numId w:val="1"/>
        </w:numPr>
        <w:rPr/>
      </w:pPr>
      <w:bookmarkStart w:id="1504" w:name="__RefHeading___Toc2019438_1067777946"/>
      <w:bookmarkStart w:id="1505" w:name="_Toc557"/>
      <w:bookmarkEnd w:id="1503"/>
      <w:bookmarkEnd w:id="1504"/>
      <w:r>
        <w:rPr>
          <w:rtl w:val="true"/>
        </w:rPr>
        <w:t>كتاب الضمان</w:t>
      </w:r>
      <w:bookmarkEnd w:id="1505"/>
    </w:p>
    <w:p>
      <w:pPr>
        <w:pStyle w:val="Heading4"/>
        <w:numPr>
          <w:ilvl w:val="3"/>
          <w:numId w:val="1"/>
        </w:numPr>
        <w:rPr/>
      </w:pPr>
      <w:bookmarkStart w:id="1506" w:name="__RefHeading___Toc2019440_1067777946"/>
      <w:bookmarkStart w:id="1507" w:name="_Toc558"/>
      <w:bookmarkEnd w:id="1506"/>
      <w:r>
        <w:rPr>
          <w:rtl w:val="true"/>
        </w:rPr>
        <w:t>[</w:t>
      </w:r>
      <w:r>
        <w:rPr>
          <w:rtl w:val="true"/>
        </w:rPr>
        <w:t>ضَمان المال</w:t>
      </w:r>
      <w:r>
        <w:rPr>
          <w:rtl w:val="true"/>
        </w:rPr>
        <w:t>]</w:t>
      </w:r>
      <w:bookmarkEnd w:id="15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تشترط فيه 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بالملاءة أن يكون مالكاً لمال يوفي 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الضَمان بجميع أقسامه، لكن مع تأجيل الدَين إذا ضَمِنَه حالاً، ليس للضامن مطالبَةُ المضمون عنه إلّا بعد الأجل إِذا ضَمِن بإذنِه</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2019442_1067777946"/>
      <w:bookmarkStart w:id="1509" w:name="_Toc559"/>
      <w:bookmarkEnd w:id="1508"/>
      <w:r>
        <w:rPr>
          <w:rtl w:val="true"/>
        </w:rPr>
        <w:t>[</w:t>
      </w:r>
      <w:r>
        <w:rPr>
          <w:rtl w:val="true"/>
        </w:rPr>
        <w:t>الحوالة</w:t>
      </w:r>
      <w:r>
        <w:rPr>
          <w:rtl w:val="true"/>
        </w:rPr>
        <w:t>]</w:t>
      </w:r>
      <w:bookmarkEnd w:id="15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اقتصر بعض الأصحاب على رضاء المحيل والمحتال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موافقة المال المحتال به لما عليه جنساً ووصفاً، وإلّا اشتراط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يُبْرئه فله الرجوع</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Heading4"/>
        <w:numPr>
          <w:ilvl w:val="3"/>
          <w:numId w:val="1"/>
        </w:numPr>
        <w:rPr/>
      </w:pPr>
      <w:bookmarkStart w:id="1510" w:name="__RefHeading___Toc2019444_1067777946"/>
      <w:bookmarkStart w:id="1511" w:name="_Toc560"/>
      <w:bookmarkEnd w:id="1510"/>
      <w:r>
        <w:rPr>
          <w:rtl w:val="true"/>
        </w:rPr>
        <w:t>[</w:t>
      </w:r>
      <w:r>
        <w:rPr>
          <w:rtl w:val="true"/>
        </w:rPr>
        <w:t>الكفالة</w:t>
      </w:r>
      <w:r>
        <w:rPr>
          <w:rtl w:val="true"/>
        </w:rPr>
        <w:t>]</w:t>
      </w:r>
      <w:bookmarkEnd w:id="1511"/>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الأجل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قويّ</w:t>
      </w:r>
      <w:r>
        <w:rPr>
          <w:rFonts w:eastAsia="Amiri" w:cs="Amiri" w:ascii="Amiri" w:hAnsi="Amiri"/>
          <w:color w:val="111111"/>
          <w:sz w:val="28"/>
          <w:szCs w:val="28"/>
          <w:rtl w:val="true"/>
          <w:lang w:bidi="ar-SA"/>
        </w:rPr>
        <w:t xml:space="preserve">. </w:t>
      </w:r>
      <w:bookmarkStart w:id="1512" w:name="pg10178_84134"/>
    </w:p>
    <w:p>
      <w:pPr>
        <w:pStyle w:val="Heading3"/>
        <w:numPr>
          <w:ilvl w:val="2"/>
          <w:numId w:val="1"/>
        </w:numPr>
        <w:rPr/>
      </w:pPr>
      <w:bookmarkStart w:id="1513" w:name="__RefHeading___Toc2019446_1067777946"/>
      <w:bookmarkStart w:id="1514" w:name="_Toc561"/>
      <w:bookmarkEnd w:id="1512"/>
      <w:bookmarkEnd w:id="1513"/>
      <w:r>
        <w:rPr>
          <w:rtl w:val="true"/>
        </w:rPr>
        <w:t>كتاب الصلح</w:t>
      </w:r>
      <w:bookmarkEnd w:id="15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حرّم حلالاً أو حلَّل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كالصلح على شرب الخمر، واسترقاق الحرِّ، والأوّل كالصلح على أن يطأ حليلته، أو لا يأكل لحماً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والربح له وللآخر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بعد تحقّق الربح أو الخسران،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فلمدّعي الكلِّ درهم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لابدّ من اليمين، فيحلف كلّ منهما على استحقاقه النصف الآخر الذي تصادمت دعواهما فيه وهو ما في يده، فمن نكل منهما قضي به للآخر بعد اليمين المردودة، ولو نكلا معاً أو حلفا معاً قسِّم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فرَّط المستودع بالمزج ضمِن الدرهَم</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بيعا وقسِّم الثمن بينهما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يمكن بيعهما منفردَينِ، فلو أمكن وتساويا فلا كلام، ولو تفاوتا فالثمن الأقلّ لصاحب الأقلِّ؛ عملاً بالظاهر</w:t>
      </w:r>
      <w:r>
        <w:rPr>
          <w:rFonts w:eastAsia="Amiri" w:cs="Amiri" w:ascii="Amiri" w:hAnsi="Amiri"/>
          <w:color w:val="111111"/>
          <w:sz w:val="28"/>
          <w:szCs w:val="28"/>
          <w:rtl w:val="true"/>
          <w:lang w:bidi="ar-SA"/>
        </w:rPr>
        <w:t xml:space="preserve">. </w:t>
      </w:r>
      <w:bookmarkStart w:id="1515" w:name="pg10178_84135"/>
    </w:p>
    <w:p>
      <w:pPr>
        <w:pStyle w:val="Heading3"/>
        <w:numPr>
          <w:ilvl w:val="2"/>
          <w:numId w:val="1"/>
        </w:numPr>
        <w:rPr/>
      </w:pPr>
      <w:bookmarkStart w:id="1516" w:name="__RefHeading___Toc2019448_1067777946"/>
      <w:bookmarkStart w:id="1517" w:name="_Toc562"/>
      <w:bookmarkEnd w:id="1515"/>
      <w:bookmarkEnd w:id="1516"/>
      <w:r>
        <w:rPr>
          <w:rtl w:val="true"/>
        </w:rPr>
        <w:t>كتاب الشركة</w:t>
      </w:r>
      <w:bookmarkEnd w:id="15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تنعقد بالأبدان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الأبدان هي اشتراك الصُنّاع في كسبهم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شَرِكَة الأعمال، وشَرِكَة الوجوه تَرْجِع إليهما، وهي أن يشترك الوجيهان اللذان لا مال لهما على أن يتصرَّف كلّ منهما بجاهه في ذِمَّتِه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والمفاوَضَة وهي أن يشتركا فيما يملكانه ولو متجدِّداً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أحدهما في الربح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مقابَلَة الزِيادَةِ لأحدِهما عمل زائد صحّ،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بالشَرِكَةِ التي لا تصحّ مؤجَّلةً وتبطل بالموت الإذن في التصرّف من أحد الشريكَين لصاحبه، فإنَّه يطلق عليه الشَرِكَة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الشَرِكَة المتحقِّقة بالامتزاج ونحوه، فلا تبطل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وإدخال الشَرِكَةِ في كتب العقود باعتبار المعنى الأوّل دون الثاني</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عدمِ صحَّة التأجيل في الإذن عدم لزوم الوفاء به إلى الأجل، بل يجوز الرجوع فيه قبله</w:t>
      </w:r>
      <w:r>
        <w:rPr>
          <w:rFonts w:eastAsia="Amiri" w:cs="Amiri" w:ascii="Amiri" w:hAnsi="Amiri"/>
          <w:color w:val="111111"/>
          <w:sz w:val="28"/>
          <w:szCs w:val="28"/>
          <w:rtl w:val="true"/>
          <w:lang w:bidi="ar-SA"/>
        </w:rPr>
        <w:t xml:space="preserve">. </w:t>
      </w:r>
      <w:bookmarkStart w:id="1518" w:name="pg10178_84136"/>
    </w:p>
    <w:p>
      <w:pPr>
        <w:pStyle w:val="Heading3"/>
        <w:numPr>
          <w:ilvl w:val="2"/>
          <w:numId w:val="1"/>
        </w:numPr>
        <w:rPr/>
      </w:pPr>
      <w:bookmarkStart w:id="1519" w:name="__RefHeading___Toc2019450_1067777946"/>
      <w:bookmarkStart w:id="1520" w:name="_Toc563"/>
      <w:bookmarkEnd w:id="1518"/>
      <w:bookmarkEnd w:id="1519"/>
      <w:r>
        <w:rPr>
          <w:rtl w:val="true"/>
        </w:rPr>
        <w:t>كتاب المضارَبة</w:t>
      </w:r>
      <w:bookmarkEnd w:id="15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فيها اشتراط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يلزمَ الوفاء بها مدّة الأجل الذي عيِّن، بل يجوز فسخها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يُذْكر لها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العقود الجائزة، أمّا بعد الأجل، فلا يجوز للعامل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يستغرقه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أُجرة المثل</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الأصل كمال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بكمال نفقته نفقة السفر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بالعُروض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جمع عَرْض بفتحها ساكن الوسط و 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المتاع وكلّ شيء سوى النقدَين، ذكره في القاموس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قول بالجواز</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نصيب العامل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الربحُ موجوداً حالَ الشراء، وإلّا يسري على العامل؛ لأنّه بمنزلة شِراء حِصّةٍ منه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للعامل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يظهر الربح بعد الشروع في العمل وقت الإنضاض، وإن فسخ قبل الشروع لا شيء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وكذا لو فسخ بعد العمل والإنضاض مع عدم الربح على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ضارب إلى أجل وفسخ قبله وقد نَضَّ المال، فإنّ في وجوب الأُجرة تردّداً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الربح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هذه المسألة رواية محمّد بن قيس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ضمَّن تاجراً فليس له إلّا رأسُ مالِه وليس له من الربح شيء</w:t>
      </w:r>
      <w:r>
        <w:rPr>
          <w:rFonts w:eastAsia="IRNazanin" w:cs="IRNazanin"/>
          <w:color w:val="111111"/>
          <w:sz w:val="28"/>
          <w:szCs w:val="28"/>
          <w:rtl w:val="true"/>
          <w:lang w:bidi="fa-IR"/>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فعلى هذا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العامل بمعنى انقلاب القِراض قرضاً لذلك، عملاً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أنّ ذلك يكون مع قصد القَرض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واتَّجرْ به وعليك ضَمانه، ونحوه، وعليه تحمل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صرّح بالمضارَبَةَ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ضَمانُه، فإنّه قِراض فاسد، والربح تابع للمال فيكون للمالك</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رواية بالجواز متروكَةٌ</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 xml:space="preserve">. </w:t>
      </w:r>
      <w:bookmarkStart w:id="1521" w:name="pg10178_84138"/>
    </w:p>
    <w:p>
      <w:pPr>
        <w:pStyle w:val="Heading3"/>
        <w:numPr>
          <w:ilvl w:val="2"/>
          <w:numId w:val="1"/>
        </w:numPr>
        <w:rPr/>
      </w:pPr>
      <w:bookmarkStart w:id="1522" w:name="__RefHeading___Toc2019452_1067777946"/>
      <w:bookmarkStart w:id="1523" w:name="_Toc564"/>
      <w:bookmarkEnd w:id="1521"/>
      <w:bookmarkEnd w:id="1522"/>
      <w:r>
        <w:rPr>
          <w:rtl w:val="true"/>
        </w:rPr>
        <w:t>كتاب المزارعة والمساقاة</w:t>
      </w:r>
      <w:bookmarkEnd w:id="1523"/>
    </w:p>
    <w:p>
      <w:pPr>
        <w:pStyle w:val="Heading4"/>
        <w:numPr>
          <w:ilvl w:val="3"/>
          <w:numId w:val="1"/>
        </w:numPr>
        <w:rPr/>
      </w:pPr>
      <w:bookmarkStart w:id="1524" w:name="__RefHeading___Toc2019454_1067777946"/>
      <w:bookmarkStart w:id="1525" w:name="_Toc565"/>
      <w:bookmarkEnd w:id="1524"/>
      <w:r>
        <w:rPr>
          <w:rtl w:val="true"/>
        </w:rPr>
        <w:t>[</w:t>
      </w:r>
      <w:r>
        <w:rPr>
          <w:rtl w:val="true"/>
        </w:rPr>
        <w:t>المزارعة</w:t>
      </w:r>
      <w:r>
        <w:rPr>
          <w:rtl w:val="true"/>
        </w:rPr>
        <w:t>]</w:t>
      </w:r>
      <w:bookmarkEnd w:id="15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يشترطَ على العامل العمل بنفسه فتبطل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وشروطها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المزارعةِ الواقعةِ بين المتعامِلين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 ،والأرض، والعمل، والعوامل، فمتى كان بعضها من أحدِهما والباقي من الآخر صحّ، ويحصل من ذلك صُوَر كثيرة كلّها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يشترطه على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تثبت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البذر من صاحب الأرض، أمّا لو كان البذر من العامل، كان الزرع له وعليه أُجرة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الزرع يَتْبَع البذر، فكلّ مَن كان له البذر كان الزرع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إجارة الأرض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 حاصلها، وإلّا حَرُمَ</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2019456_1067777946"/>
      <w:bookmarkStart w:id="1527" w:name="_Toc566"/>
      <w:bookmarkEnd w:id="1526"/>
      <w:r>
        <w:rPr>
          <w:rtl w:val="true"/>
        </w:rPr>
        <w:t>[</w:t>
      </w:r>
      <w:r>
        <w:rPr>
          <w:rtl w:val="true"/>
        </w:rPr>
        <w:t>المساقاة</w:t>
      </w:r>
      <w:r>
        <w:rPr>
          <w:rtl w:val="true"/>
        </w:rPr>
        <w:t>]</w:t>
      </w:r>
      <w:bookmarkEnd w:id="1527"/>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تتلف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بعض الثمرة لم يسقط شيء من المشروط</w:t>
      </w:r>
      <w:r>
        <w:rPr>
          <w:rFonts w:eastAsia="Amiri" w:cs="Amiri" w:ascii="Amiri" w:hAnsi="Amiri"/>
          <w:color w:val="111111"/>
          <w:sz w:val="28"/>
          <w:szCs w:val="28"/>
          <w:rtl w:val="true"/>
          <w:lang w:bidi="ar-SA"/>
        </w:rPr>
        <w:t xml:space="preserve">. </w:t>
      </w:r>
      <w:bookmarkStart w:id="1528" w:name="pg10178_84139"/>
    </w:p>
    <w:p>
      <w:pPr>
        <w:pStyle w:val="Heading3"/>
        <w:numPr>
          <w:ilvl w:val="2"/>
          <w:numId w:val="1"/>
        </w:numPr>
        <w:rPr/>
      </w:pPr>
      <w:bookmarkStart w:id="1529" w:name="__RefHeading___Toc2019458_1067777946"/>
      <w:bookmarkStart w:id="1530" w:name="_Toc567"/>
      <w:bookmarkEnd w:id="1528"/>
      <w:bookmarkEnd w:id="1529"/>
      <w:r>
        <w:rPr>
          <w:rtl w:val="true"/>
        </w:rPr>
        <w:t>کتاب الوديعة والعارية</w:t>
      </w:r>
      <w:bookmarkEnd w:id="1530"/>
    </w:p>
    <w:p>
      <w:pPr>
        <w:pStyle w:val="Heading4"/>
        <w:numPr>
          <w:ilvl w:val="3"/>
          <w:numId w:val="1"/>
        </w:numPr>
        <w:rPr/>
      </w:pPr>
      <w:bookmarkStart w:id="1531" w:name="__RefHeading___Toc2019460_1067777946"/>
      <w:bookmarkStart w:id="1532" w:name="_Toc568"/>
      <w:bookmarkEnd w:id="1531"/>
      <w:r>
        <w:rPr>
          <w:rtl w:val="true"/>
        </w:rPr>
        <w:t>[</w:t>
      </w:r>
      <w:r>
        <w:rPr>
          <w:rtl w:val="true"/>
        </w:rPr>
        <w:t>الوديعة</w:t>
      </w:r>
      <w:r>
        <w:rPr>
          <w:rtl w:val="true"/>
        </w:rPr>
        <w:t>]</w:t>
      </w:r>
      <w:bookmarkEnd w:id="153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تفتقِر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تفتقِر إلى الإيجاب، وإنّما تركه لتنبيهه عليه في التعريف، فإنّ الاستنابة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به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إذنه، فإن تعذَّر استأذَن الحاكم، فإن تعذَّر أشهد ونوى الرجوع واستحقَّه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أمكنه الدفع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ببعضها، فإن أخلّ به ضَمِن ما زاد على ما يمكِن الدفع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ردَّها عليه إن لم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يردّها على الحاكم</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2019462_1067777946"/>
      <w:bookmarkStart w:id="1534" w:name="_Toc569"/>
      <w:bookmarkEnd w:id="1533"/>
      <w:r>
        <w:rPr>
          <w:rtl w:val="true"/>
        </w:rPr>
        <w:t>[</w:t>
      </w:r>
      <w:r>
        <w:rPr>
          <w:rtl w:val="true"/>
        </w:rPr>
        <w:t>العارية</w:t>
      </w:r>
      <w:r>
        <w:rPr>
          <w:rtl w:val="true"/>
        </w:rPr>
        <w:t>]</w:t>
      </w:r>
      <w:bookmarkEnd w:id="15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منسوبة إلى العار؛ لأنّ طلبها عار وعيب، ذكره الجوهري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على المعير بما يغرم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العاريَّة مضمونة لولا الغصب فلا رجوع له</w:t>
      </w:r>
      <w:r>
        <w:rPr>
          <w:rFonts w:eastAsia="Amiri" w:cs="Amiri" w:ascii="Amiri" w:hAnsi="Amiri"/>
          <w:color w:val="111111"/>
          <w:sz w:val="28"/>
          <w:szCs w:val="28"/>
          <w:rtl w:val="true"/>
          <w:lang w:bidi="ar-SA"/>
        </w:rPr>
        <w:t xml:space="preserve">. </w:t>
      </w:r>
      <w:bookmarkStart w:id="1535" w:name="pg10178_84140"/>
    </w:p>
    <w:p>
      <w:pPr>
        <w:pStyle w:val="Heading3"/>
        <w:numPr>
          <w:ilvl w:val="2"/>
          <w:numId w:val="1"/>
        </w:numPr>
        <w:rPr/>
      </w:pPr>
      <w:bookmarkStart w:id="1536" w:name="__RefHeading___Toc2019464_1067777946"/>
      <w:bookmarkStart w:id="1537" w:name="_Toc570"/>
      <w:bookmarkEnd w:id="1535"/>
      <w:bookmarkEnd w:id="1536"/>
      <w:r>
        <w:rPr>
          <w:rtl w:val="true"/>
        </w:rPr>
        <w:t>كتاب الإجارة</w:t>
      </w:r>
      <w:bookmarkEnd w:id="15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تبطل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إن كان هو المؤجِر لا تبطل بموته، إلّا أن تكون العين موقوفةً عليه وبعده على غيره، ويُؤجِر لمصلحته أو للأعمِّ وليس هو الناظر فتبطل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الميِّت المستأجِر لم تبطل بموته، إلّا أن يشتَرِط عليه استيفاء المنفعة بنفسه فتبطل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تصحّ إعارتُه تصحّ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الشاة للحَلب وما جرى مجراها، فتصحّ إعارتُها ولا تصحّ إجارتُها، وإنّما لم يستثنها لمخالفتها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 الأُجرةُ بنفس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يجب التسليم إلّا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من أُجرته شيئاً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جُعالةً، وإن كان إجارةً لم يصحّ، وتثبت له أُجرة المثل ما لم يُحِط الشرطُ بالأُجرة، ومعه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وللمستأجِر أن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جاز له الإيجار آجره لمساويه في الضرر أو دونه لا الأشقّ، كما إذا استأجَر دُكّاناً للتجارة فآجَره للتجارة والقِصارَة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المستأجِر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يُعيدَه بسرعةٍ بحيث لا يفوتُ شيء من منافِعِه، فحينئذٍ لا يجوز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إلزام المالك بإصلاحه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تنازعا في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النزاع بعد استيفاء المَنْفَعةِ كلِّها أو </w:t>
      </w:r>
    </w:p>
    <w:p>
      <w:pPr>
        <w:pStyle w:val="BookText"/>
        <w:rPr/>
      </w:pPr>
      <w:r>
        <w:rPr>
          <w:rFonts w:ascii="Amiri" w:hAnsi="Amiri" w:eastAsia="Amiri" w:cs="Amiri"/>
          <w:color w:val="111111"/>
          <w:sz w:val="28"/>
          <w:sz w:val="28"/>
          <w:szCs w:val="28"/>
          <w:rtl w:val="true"/>
          <w:lang w:bidi="ar-SA"/>
        </w:rPr>
        <w:t>بعضِها ثبتت أُجرة المثل، إلّا أن تزيدَ عمّا يدَّعيه المالك مِن المسمّى فيثبُتُ المسَمّى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في قدر الشيء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 هنا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اختلفا في قدر الأُجرة، وحينئذٍ تنفسخ الإجارة وتجب أُجرة المثل مع استيفاء المنفعة ما لم تزد عمّا يدّعيه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يَعْمَلُ أجير الخاصِّ لغير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لغيره تخيَّر المستأجِر المطالَبَة بأُجرة ما عَمِلَ أو أُجرة مثلِ المدَّة الفائتة</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حاز مباحاً ونوى تملّكه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في زمان له أُجرة لَزِمَه أُجرتُه، وإلّا فلا</w:t>
      </w:r>
      <w:r>
        <w:rPr>
          <w:rFonts w:eastAsia="Amiri" w:cs="Amiri" w:ascii="Amiri" w:hAnsi="Amiri"/>
          <w:color w:val="111111"/>
          <w:sz w:val="28"/>
          <w:szCs w:val="28"/>
          <w:rtl w:val="true"/>
          <w:lang w:bidi="ar-SA"/>
        </w:rPr>
        <w:t xml:space="preserve">. </w:t>
      </w:r>
      <w:bookmarkStart w:id="1538" w:name="pg10178_84142"/>
    </w:p>
    <w:p>
      <w:pPr>
        <w:pStyle w:val="Heading3"/>
        <w:numPr>
          <w:ilvl w:val="2"/>
          <w:numId w:val="1"/>
        </w:numPr>
        <w:rPr/>
      </w:pPr>
      <w:bookmarkStart w:id="1539" w:name="__RefHeading___Toc2019466_1067777946"/>
      <w:bookmarkStart w:id="1540" w:name="_Toc571"/>
      <w:bookmarkEnd w:id="1538"/>
      <w:bookmarkEnd w:id="1539"/>
      <w:r>
        <w:rPr>
          <w:rtl w:val="true"/>
        </w:rPr>
        <w:t>كتاب الوكالة</w:t>
      </w:r>
      <w:bookmarkEnd w:id="15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تصحّ معلَّقةً على شرط ولا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ما يَحْتَمِلُ الوقوعَ وعَدَمَه، كقدوم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ما لابدّ من وقوعِهِ، كرأس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أشَهَدَ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ينعزل بإخبار الثقةِ له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تبطل الوكالة بالموت والجنون والإغماء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الطواف والسعي؛ فإنّ الوكالة لا تبطل بالإغماء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أنّه إنّما جازت الوكالة فيهما للعذر، والإغماء زيادة في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الطلاق للغائب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عمَّمَ الوكالة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يقتضيه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يجوز التوكيل في الإقرار، ولا يكون التوكيل فيه إقراراً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الوكيل إلّا أن يؤذن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أو بقرينة حاليَّة، كاتِّساع ما وُكِّلَ فيه أو ترفّعِه عن مباشَرتِه، أو لفظيَّة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المسلم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على كَراهِيَة</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يتوكّل على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ولا ذمِّي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يتعلّق بالأجل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الغرض كجودة الثمن فيه أو حِلِّه فيكون موقوفاً</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الوكيل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على الوكيل مع دعوى الوكالة نصفَ المهر، ومع عدمها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لا شيء عليه مطلقاً، إلّا أن يَضْمَنَه فيلزَمُه ما ضَمِن، لكنّه لو ضَمِن الجميع فطلّق الزوج قبل الدخول لَزِمَه النصف</w:t>
      </w:r>
      <w:r>
        <w:rPr>
          <w:rFonts w:eastAsia="Amiri" w:cs="Amiri" w:ascii="Amiri" w:hAnsi="Amiri"/>
          <w:color w:val="111111"/>
          <w:sz w:val="28"/>
          <w:szCs w:val="28"/>
          <w:rtl w:val="true"/>
          <w:lang w:bidi="ar-SA"/>
        </w:rPr>
        <w:t xml:space="preserve">. </w:t>
      </w:r>
      <w:bookmarkStart w:id="1541" w:name="pg10178_84144"/>
    </w:p>
    <w:p>
      <w:pPr>
        <w:pStyle w:val="Heading3"/>
        <w:numPr>
          <w:ilvl w:val="2"/>
          <w:numId w:val="1"/>
        </w:numPr>
        <w:rPr/>
      </w:pPr>
      <w:bookmarkStart w:id="1542" w:name="__RefHeading___Toc2019468_1067777946"/>
      <w:bookmarkStart w:id="1543" w:name="_Toc572"/>
      <w:bookmarkEnd w:id="1541"/>
      <w:bookmarkEnd w:id="1542"/>
      <w:r>
        <w:rPr>
          <w:rtl w:val="true"/>
        </w:rPr>
        <w:t>كتاب الوقوف والصدقات والهبات</w:t>
      </w:r>
      <w:bookmarkEnd w:id="1543"/>
    </w:p>
    <w:p>
      <w:pPr>
        <w:pStyle w:val="Heading4"/>
        <w:numPr>
          <w:ilvl w:val="3"/>
          <w:numId w:val="1"/>
        </w:numPr>
        <w:rPr/>
      </w:pPr>
      <w:bookmarkStart w:id="1544" w:name="__RefHeading___Toc2019470_1067777946"/>
      <w:bookmarkStart w:id="1545" w:name="_Toc573"/>
      <w:bookmarkEnd w:id="1544"/>
      <w:r>
        <w:rPr>
          <w:rtl w:val="true"/>
        </w:rPr>
        <w:t>[</w:t>
      </w:r>
      <w:r>
        <w:rPr>
          <w:rtl w:val="true"/>
        </w:rPr>
        <w:t>الوقف</w:t>
      </w:r>
      <w:r>
        <w:rPr>
          <w:rtl w:val="true"/>
        </w:rPr>
        <w:t>]</w:t>
      </w:r>
      <w:bookmarkEnd w:id="15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يفتَقِر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بالقرينة اللفظيَّة،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ولا يوهَب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على نفسه أو عليه وعلى غيرِه لم يجُزْ، ولو وَقَفَ على العلماء وهو منهم أو على الفقراء وصار منهم شاركهم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يصحّ ويُتْبَع شرطُه، ويكون حبساً ينقطع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الحاجةِ المشروطةِ،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 عن قوت سنته،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قوت يومه وليلتِه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تقديرها بحاجةٍ لا يدفعها إلّا الوقفُ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أن يكون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العين على ما يقابل الدَين،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إمّا عين أو دَين، وعلى ما يقابل المُبْهَم، وعلى ما يقابل المنفَعَةَ، ويجوز الاحتراز بالعين هنا عن كلِّ واحدٍ من الثلاثةِ؛ لعدم جواز وقفها</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لنفسه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 نفس العقد، فلا أَثَرَ لما يجعل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الوقف على محصورين فالنظر فيه إليهم، وإن كان على جِهَةٍ عامَّةٍ فالنظر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والواقف بعد العقد كالأجنبي إذا لم يكن قد جَعَلَ فيه النظر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أطلق فالنظر لأرباب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محصورين، وإلّا فالنظر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إلى فقراء 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انتحل الشيء أي اتَّخذه دِيناً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اعتقد الصلاة إليها وإن لم يصلِّ إذا كان غير مستحلّ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مَن قدَّم عليّاً علیه السلام على غيره في الإمامة، ومِن ثَمَّ اختصَّ الوقف بالفريقَين دون باقي فرق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والجاروديَّة فرقة من الزيدِيَّة لهم شيخ يعرف بأبي الجارود بن زياد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يخصّون الإمامة لعلي علیه السلام بعد النبيِّ كالإماميَّة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بالأفطح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جعفر، كان أفطح الرجلين، أي متساوي الأخمصين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في الجيران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بالجار الساكن بجواره عرفاً وإن لم يكن مالكاً للمسكن، فلو كان مستأجِراً أو مستعيراً استحقّ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يشترط دوام سكناه بل 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والجواز مرويّ</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ذلك في عقد الوقف صحّ،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الأعلَونَ والأدنَونَ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أعتقهم، وإنّما دخل الجميع لشمول اسم المولى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اتِّباع القرينة، فإن فقدت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إلى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في النفوس، فيجوز بيعه حينئذٍ، ويشتري بثمنه ما يكون وقفاً مماثلاً له في الوصف مع الإمكان</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كالولد والزوجة والخادم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والضَيف المعتاد، وله إحراز الطعام في الموضع المعدّ له وإدخال الدوابِّ كذلك، وإلّا فلا</w:t>
      </w:r>
      <w:r>
        <w:rPr>
          <w:rFonts w:eastAsia="Amiri" w:cs="Amiri" w:ascii="Amiri" w:hAnsi="Amiri"/>
          <w:color w:val="111111"/>
          <w:sz w:val="28"/>
          <w:szCs w:val="28"/>
          <w:rtl w:val="true"/>
          <w:lang w:bidi="ar-SA"/>
        </w:rPr>
        <w:t xml:space="preserve">. </w:t>
      </w:r>
      <w:bookmarkStart w:id="1546" w:name="pg10178_84146"/>
    </w:p>
    <w:p>
      <w:pPr>
        <w:pStyle w:val="BookText"/>
        <w:rPr/>
      </w:pPr>
      <w:bookmarkEnd w:id="154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المالك الأصل لم تبطل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المشتري في فسخ البيع مع جهله، ومع علمه لا خيار له وينتظر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بتوقيتها بأحد الأمرين عمّا لو أسكنها مطلقاً، فإنّ بيعها يُبْطِل السكني، والأصحّ اختصاص صحَّة البيع في العمرى بها إذا كان المشتري هو المعمَّر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عين المحبَّس لا المحبَّس عليه، بل يصرف إلى آخر</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2019472_1067777946"/>
      <w:bookmarkStart w:id="1548" w:name="_Toc574"/>
      <w:bookmarkEnd w:id="1547"/>
      <w:r>
        <w:rPr>
          <w:rtl w:val="true"/>
        </w:rPr>
        <w:t>[</w:t>
      </w:r>
      <w:r>
        <w:rPr>
          <w:rtl w:val="true"/>
        </w:rPr>
        <w:t>الصدقة</w:t>
      </w:r>
      <w:r>
        <w:rPr>
          <w:rtl w:val="true"/>
        </w:rPr>
        <w:t>]</w:t>
      </w:r>
      <w:bookmarkEnd w:id="15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تحريم المحرّم بالزكاتين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الحقوق وترك المواساة فيكون إظهارها أولى، وكذا يستحبّ إظهارها إذا قصد بإظهارها تأسِّي غيرِه به</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2019474_1067777946"/>
      <w:bookmarkStart w:id="1550" w:name="_Toc575"/>
      <w:bookmarkEnd w:id="1549"/>
      <w:r>
        <w:rPr>
          <w:rtl w:val="true"/>
        </w:rPr>
        <w:t>[</w:t>
      </w:r>
      <w:r>
        <w:rPr>
          <w:rtl w:val="true"/>
        </w:rPr>
        <w:t>الهِبَة</w:t>
      </w:r>
      <w:r>
        <w:rPr>
          <w:rtl w:val="true"/>
        </w:rPr>
        <w:t>]</w:t>
      </w:r>
      <w:bookmarkEnd w:id="155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وهِبَة المشاع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وقبضه بتسليم الجميع إليه، فإن أبى الشريك وكَّله في القبض، فإن امتنع قبضه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أنّ إذن الشريك إنّما يعتبر في المنقول؛ لأنّ قبضَه نقلُه، بخلاف العَقار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ذوي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الرجوع في جميع الأرحام، والمراد بهم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وهب أحد الزوجين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ومتعةً</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التصرّف موجباً لتغييرِ العين أو نقلِها عن الملك</w:t>
      </w:r>
      <w:r>
        <w:rPr>
          <w:rFonts w:eastAsia="Amiri" w:cs="Amiri" w:ascii="Amiri" w:hAnsi="Amiri"/>
          <w:color w:val="111111"/>
          <w:sz w:val="28"/>
          <w:szCs w:val="28"/>
          <w:rtl w:val="true"/>
          <w:lang w:bidi="ar-SA"/>
        </w:rPr>
        <w:t xml:space="preserve">. </w:t>
      </w:r>
      <w:bookmarkStart w:id="1551" w:name="pg10178_84147"/>
    </w:p>
    <w:p>
      <w:pPr>
        <w:pStyle w:val="Heading3"/>
        <w:numPr>
          <w:ilvl w:val="2"/>
          <w:numId w:val="1"/>
        </w:numPr>
        <w:rPr/>
      </w:pPr>
      <w:bookmarkStart w:id="1552" w:name="__RefHeading___Toc2019476_1067777946"/>
      <w:bookmarkStart w:id="1553" w:name="_Toc576"/>
      <w:bookmarkEnd w:id="1551"/>
      <w:bookmarkEnd w:id="1552"/>
      <w:r>
        <w:rPr>
          <w:rtl w:val="true"/>
        </w:rPr>
        <w:t>کتاب السبق والرمايَة</w:t>
      </w:r>
      <w:bookmarkEnd w:id="155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بَذَل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العِوض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المحلِّل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للشافعي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المسافة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التساوي في الموقف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سبق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يتحقَّق السبق بتقدّم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وتحمل على المحاطَّة</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تعيين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الاختلاف، وإلّا اشترط</w:t>
      </w:r>
      <w:r>
        <w:rPr>
          <w:rFonts w:eastAsia="Amiri" w:cs="Amiri" w:ascii="Amiri" w:hAnsi="Amiri"/>
          <w:color w:val="111111"/>
          <w:sz w:val="28"/>
          <w:szCs w:val="28"/>
          <w:rtl w:val="true"/>
          <w:lang w:bidi="ar-SA"/>
        </w:rPr>
        <w:t xml:space="preserve">. </w:t>
      </w:r>
      <w:bookmarkStart w:id="1554" w:name="pg10178_84148"/>
    </w:p>
    <w:p>
      <w:pPr>
        <w:pStyle w:val="Heading3"/>
        <w:numPr>
          <w:ilvl w:val="2"/>
          <w:numId w:val="1"/>
        </w:numPr>
        <w:rPr/>
      </w:pPr>
      <w:bookmarkStart w:id="1555" w:name="__RefHeading___Toc2019478_1067777946"/>
      <w:bookmarkStart w:id="1556" w:name="_Toc577"/>
      <w:bookmarkEnd w:id="1554"/>
      <w:bookmarkEnd w:id="1555"/>
      <w:r>
        <w:rPr>
          <w:rtl w:val="true"/>
        </w:rPr>
        <w:t>كتاب الوصايا</w:t>
      </w:r>
      <w:bookmarkEnd w:id="1556"/>
    </w:p>
    <w:p>
      <w:pPr>
        <w:pStyle w:val="Heading4"/>
        <w:numPr>
          <w:ilvl w:val="3"/>
          <w:numId w:val="1"/>
        </w:numPr>
        <w:rPr/>
      </w:pPr>
      <w:bookmarkStart w:id="1557" w:name="__RefHeading___Toc2019480_1067777946"/>
      <w:bookmarkStart w:id="1558" w:name="_Toc578"/>
      <w:bookmarkEnd w:id="1557"/>
      <w:r>
        <w:rPr>
          <w:rtl w:val="true"/>
        </w:rPr>
        <w:t>[</w:t>
      </w:r>
      <w:r>
        <w:rPr>
          <w:rtl w:val="true"/>
        </w:rPr>
        <w:t>الوصيَّة</w:t>
      </w:r>
      <w:r>
        <w:rPr>
          <w:rtl w:val="true"/>
        </w:rPr>
        <w:t>]</w:t>
      </w:r>
      <w:bookmarkEnd w:id="155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تكفي الإشارة الدالَّة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العجز عن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كمساعَدَة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ظلمه</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2019482_1067777946"/>
      <w:bookmarkStart w:id="1560" w:name="_Toc579"/>
      <w:bookmarkEnd w:id="1559"/>
      <w:r>
        <w:rPr>
          <w:rtl w:val="true"/>
        </w:rPr>
        <w:t>[</w:t>
      </w:r>
      <w:r>
        <w:rPr>
          <w:rtl w:val="true"/>
        </w:rPr>
        <w:t>في الموصي</w:t>
      </w:r>
      <w:r>
        <w:rPr>
          <w:rtl w:val="true"/>
        </w:rPr>
        <w:t>]</w:t>
      </w:r>
      <w:bookmarkEnd w:id="15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المرويّ الجواز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2019484_1067777946"/>
      <w:bookmarkStart w:id="1562" w:name="_Toc580"/>
      <w:bookmarkEnd w:id="1561"/>
      <w:r>
        <w:rPr>
          <w:rtl w:val="true"/>
        </w:rPr>
        <w:t>[</w:t>
      </w:r>
      <w:r>
        <w:rPr>
          <w:rtl w:val="true"/>
        </w:rPr>
        <w:t>في الموصى له</w:t>
      </w:r>
      <w:r>
        <w:rPr>
          <w:rtl w:val="true"/>
        </w:rPr>
        <w:t>]</w:t>
      </w:r>
      <w:bookmarkEnd w:id="15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وللذمِّي ولو كان أجنبيّاً، وفيه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 غير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لمكاتب قد تحرَّر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مطلقاً؛ لأنّه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نقص عن قيمته سعى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المصنِّف جيِّد</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وجه آخر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 العتق منه بقدر الثلث الباقي منه بعد الدَين مطلقاً، سواء كانت قيمته ضِعفَ الدَينِ أو أقلَّ، وهو أجود</w:t>
      </w:r>
      <w:r>
        <w:rPr>
          <w:rFonts w:eastAsia="Amiri" w:cs="Amiri" w:ascii="Amiri" w:hAnsi="Amiri"/>
          <w:color w:val="111111"/>
          <w:sz w:val="28"/>
          <w:szCs w:val="28"/>
          <w:rtl w:val="true"/>
          <w:lang w:bidi="ar-SA"/>
        </w:rPr>
        <w:t xml:space="preserve">. </w:t>
      </w:r>
      <w:bookmarkStart w:id="1563" w:name="pg10178_84149"/>
    </w:p>
    <w:p>
      <w:pPr>
        <w:pStyle w:val="BookText"/>
        <w:rPr/>
      </w:pPr>
      <w:bookmarkEnd w:id="156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لأهل بيته، دخل الأولاد والآباء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يرجع الموصي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ما لم يقصد التخصيص</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2019486_1067777946"/>
      <w:bookmarkStart w:id="1565" w:name="_Toc581"/>
      <w:bookmarkEnd w:id="1564"/>
      <w:r>
        <w:rPr>
          <w:rtl w:val="true"/>
        </w:rPr>
        <w:t>[</w:t>
      </w:r>
      <w:r>
        <w:rPr>
          <w:rtl w:val="true"/>
        </w:rPr>
        <w:t>في الأوصياء</w:t>
      </w:r>
      <w:r>
        <w:rPr>
          <w:rtl w:val="true"/>
        </w:rPr>
        <w:t>]</w:t>
      </w:r>
      <w:bookmarkEnd w:id="15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اعتبار العَدالة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إلى عدل ففسق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مَن أوصى إلى فاسق ابتداءً أنّ الأوّل لم يرض باستئمان الفاسق، أو لم يعلم استئمانُه منه، بخلاف الآخر فإنّه رضيَ به، فلا يُؤثِّر فسقه على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الصبيّ ثمّ يشتركان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يشترط أن لا يتصرّف الكبير حتّى يبلغ الصغير ويُتَّبَع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تشاحّا لم يمض إلّا ما لابدّ منه، كمؤونة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وعلف الدوابِّ وإحراز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جاز الاستبدال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أو بأحدهما، ولا يشترط التعدّد في منصوب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التمسا القسمة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مقتضى الوصيّة من الاجتماع فى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يقتسما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والقسمة غير لازمة، بل يجوز لكلِّ منهما أن يتصرّف في قسمة الآخر، كما يجوز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تعدّ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ترك ما يجب فعله، والتعدِّي هو فعل ما 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يقوِّم مال اليتيم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ينقله إليه بعقد ناقل كالبيع</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الوصىّ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أقلّ الأمرين </w:t>
      </w:r>
      <w:r>
        <w:rPr>
          <w:rStyle w:val="FootnoteAnchor"/>
          <w:rtl w:val="true"/>
        </w:rPr>
        <w:footnoteReference w:id="700"/>
      </w:r>
      <w:r>
        <w:rPr>
          <w:rFonts w:ascii="IRNazanin" w:hAnsi="IRNazanin" w:eastAsia="IRNazanin"/>
          <w:color w:val="111111"/>
          <w:sz w:val="28"/>
          <w:sz w:val="28"/>
          <w:szCs w:val="28"/>
          <w:rtl w:val="true"/>
          <w:lang w:bidi="fa-IR"/>
        </w:rPr>
        <w:t>مع فقره</w:t>
      </w:r>
      <w:r>
        <w:rPr>
          <w:rFonts w:eastAsia="IRNazanin" w:cs="IRNazanin"/>
          <w:color w:val="111111"/>
          <w:sz w:val="28"/>
          <w:szCs w:val="28"/>
          <w:rtl w:val="true"/>
          <w:lang w:bidi="fa-IR"/>
        </w:rPr>
        <w:t xml:space="preserve">. </w:t>
      </w:r>
      <w:bookmarkStart w:id="1566" w:name="pg10178_84150"/>
    </w:p>
    <w:p>
      <w:pPr>
        <w:pStyle w:val="BookText"/>
        <w:rPr/>
      </w:pPr>
      <w:bookmarkEnd w:id="156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وصيّ له فالحاكم وليّ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جاز لبعض المؤمنين</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2019488_1067777946"/>
      <w:bookmarkStart w:id="1568" w:name="_Toc582"/>
      <w:bookmarkEnd w:id="1567"/>
      <w:r>
        <w:rPr>
          <w:rtl w:val="true"/>
        </w:rPr>
        <w:t>[</w:t>
      </w:r>
      <w:r>
        <w:rPr>
          <w:rtl w:val="true"/>
        </w:rPr>
        <w:t>في الموصى به</w:t>
      </w:r>
      <w:r>
        <w:rPr>
          <w:rtl w:val="true"/>
        </w:rPr>
        <w:t>]</w:t>
      </w:r>
      <w:bookmarkEnd w:id="15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في الثلث وبطل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يَقِف على 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الموصى به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يكون القبول كاشفاً عن سبق الملك بالموت، ولو تأخّر عنه القبول فالنماء المتجدِّد بينه وبين الموت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بالمضارَبَة بمال ولده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كان في الوصيَّة مُحاباةٌ فهي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الواجب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الواجب ماليّاً، كالحجِّ والكفّارة والزكاة والخمس، وإلّا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أوصى بصُنْدُوق وفيه مال دخل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القرينة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استناداً إلى فحوى رواية</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رواية </w:t>
      </w:r>
      <w:r>
        <w:rPr>
          <w:rStyle w:val="FootnoteAnchor"/>
          <w:rtl w:val="true"/>
        </w:rPr>
        <w:footnoteReference w:id="702"/>
      </w:r>
      <w:r>
        <w:rPr>
          <w:rFonts w:ascii="Amiri" w:hAnsi="Amiri" w:eastAsia="Amiri" w:cs="Amiri"/>
          <w:color w:val="111111"/>
          <w:sz w:val="28"/>
          <w:sz w:val="28"/>
          <w:szCs w:val="28"/>
          <w:rtl w:val="true"/>
          <w:lang w:bidi="ar-SA"/>
        </w:rPr>
        <w:t>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2019490_1067777946"/>
      <w:bookmarkStart w:id="1570" w:name="_Toc583"/>
      <w:bookmarkEnd w:id="1569"/>
      <w:r>
        <w:rPr>
          <w:rtl w:val="true"/>
        </w:rPr>
        <w:t>[</w:t>
      </w:r>
      <w:r>
        <w:rPr>
          <w:rtl w:val="true"/>
        </w:rPr>
        <w:t>في أحكام الوصيَّة</w:t>
      </w:r>
      <w:r>
        <w:rPr>
          <w:rtl w:val="true"/>
        </w:rPr>
        <w:t>]</w:t>
      </w:r>
      <w:bookmarkEnd w:id="15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ثبوتها بشاهد ويمين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بانت بخلافه أجزأت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الاجتهاد، وإلّا فلا</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الإقرار 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الإقرار يُمضي من الأصل مطلقاً مع انتفاء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بالتهمة أن تدلّ القرائن على أنّ الإقرار غير مطابق للواقع، وإنّما قصد تخصيص مَن أقرّ له</w:t>
      </w:r>
      <w:r>
        <w:rPr>
          <w:rFonts w:eastAsia="Amiri" w:cs="Amiri" w:ascii="Amiri" w:hAnsi="Amiri"/>
          <w:color w:val="111111"/>
          <w:sz w:val="28"/>
          <w:szCs w:val="28"/>
          <w:rtl w:val="true"/>
          <w:lang w:bidi="ar-SA"/>
        </w:rPr>
        <w:t xml:space="preserve">. </w:t>
      </w:r>
      <w:bookmarkStart w:id="1571" w:name="pg10178_84151"/>
    </w:p>
    <w:p>
      <w:pPr>
        <w:pStyle w:val="Heading3"/>
        <w:numPr>
          <w:ilvl w:val="2"/>
          <w:numId w:val="1"/>
        </w:numPr>
        <w:rPr/>
      </w:pPr>
      <w:bookmarkStart w:id="1572" w:name="__RefHeading___Toc2019492_1067777946"/>
      <w:bookmarkStart w:id="1573" w:name="_Toc584"/>
      <w:bookmarkEnd w:id="1571"/>
      <w:bookmarkEnd w:id="1572"/>
      <w:r>
        <w:rPr>
          <w:rtl w:val="true"/>
        </w:rPr>
        <w:t>كتاب النكاح</w:t>
      </w:r>
      <w:bookmarkEnd w:id="1573"/>
    </w:p>
    <w:p>
      <w:pPr>
        <w:pStyle w:val="Heading4"/>
        <w:numPr>
          <w:ilvl w:val="3"/>
          <w:numId w:val="1"/>
        </w:numPr>
        <w:rPr/>
      </w:pPr>
      <w:bookmarkStart w:id="1574" w:name="__RefHeading___Toc2019494_1067777946"/>
      <w:bookmarkStart w:id="1575" w:name="_Toc585"/>
      <w:bookmarkEnd w:id="1574"/>
      <w:r>
        <w:rPr>
          <w:rtl w:val="true"/>
        </w:rPr>
        <w:t>[</w:t>
      </w:r>
      <w:r>
        <w:rPr>
          <w:rtl w:val="true"/>
        </w:rPr>
        <w:t>في النكاح الدائم</w:t>
      </w:r>
      <w:r>
        <w:rPr>
          <w:rtl w:val="true"/>
        </w:rPr>
        <w:t>]</w:t>
      </w:r>
      <w:bookmarkEnd w:id="15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تجزئ التَرْجَمَةُ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مَن لا يُحْسِن العربيَّة تعلّم ألفاظ النكاح؛ لأنّه شرط في صحّة العقد، ولو عَجَز أحدهما تكلَّم كلّ بلغته إذا فهم كلّ منهما كلامَ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الأب خاصَّةً، ولو كان من الطرفين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النظر إلى وجوههم لغير تلذّذٍ ولا ريبةٍ، قطع به العلّامة في التذكرة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بالمحارم مَن يحرم نكاحه مؤبَّداً بنسبٍ أو رضاعٍ أو 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بقيد التأبيد أُخت الزوجة وبنت غير مدخول بها، فلا يجوز النظر إليهما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w:t>
      </w:r>
      <w:r>
        <w:rPr>
          <w:rStyle w:val="FootnoteAnchor"/>
          <w:rtl w:val="true"/>
        </w:rPr>
        <w:footnoteReference w:id="704"/>
      </w:r>
      <w:r>
        <w:rPr>
          <w:rFonts w:ascii="Amiri" w:hAnsi="Amiri" w:eastAsia="Amiri" w:cs="Amiri"/>
          <w:color w:val="111111"/>
          <w:sz w:val="28"/>
          <w:sz w:val="28"/>
          <w:szCs w:val="28"/>
          <w:rtl w:val="true"/>
          <w:lang w:bidi="ar-SA"/>
        </w:rPr>
        <w:t>،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والكلام في الدائم</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تحرم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الإفضاء فتحرم معه مؤبَّداً</w:t>
      </w:r>
      <w:r>
        <w:rPr>
          <w:rFonts w:eastAsia="Amiri" w:cs="Amiri" w:ascii="Amiri" w:hAnsi="Amiri"/>
          <w:color w:val="111111"/>
          <w:sz w:val="28"/>
          <w:szCs w:val="28"/>
          <w:rtl w:val="true"/>
          <w:lang w:bidi="ar-SA"/>
        </w:rPr>
        <w:t xml:space="preserve">. </w:t>
      </w:r>
      <w:bookmarkStart w:id="1576" w:name="pg10178_84152"/>
    </w:p>
    <w:p>
      <w:pPr>
        <w:pStyle w:val="Heading4"/>
        <w:numPr>
          <w:ilvl w:val="3"/>
          <w:numId w:val="1"/>
        </w:numPr>
        <w:rPr/>
      </w:pPr>
      <w:bookmarkStart w:id="1577" w:name="__RefHeading___Toc2019496_1067777946"/>
      <w:bookmarkStart w:id="1578" w:name="_Toc586"/>
      <w:bookmarkEnd w:id="1576"/>
      <w:bookmarkEnd w:id="1577"/>
      <w:r>
        <w:rPr>
          <w:rtl w:val="true"/>
        </w:rPr>
        <w:t>[</w:t>
      </w:r>
      <w:r>
        <w:rPr>
          <w:rtl w:val="true"/>
        </w:rPr>
        <w:t>في أولياء العقد</w:t>
      </w:r>
      <w:r>
        <w:rPr>
          <w:rtl w:val="true"/>
        </w:rPr>
        <w:t>]</w:t>
      </w:r>
      <w:bookmarkEnd w:id="15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يزوّج الوصيّ إلّا مَن بلغ فاسد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بثبوت الوِلاية مع نصِّ الموصي عليها قويّ يجوز للوصيِّ التزويج مع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الإجازة سكوت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ظهور أمارة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المهر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لا المسمّى؛ لفساد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المهر</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يلزمها مطلقاً إلّا أن تدَّعى الوكالة وتضمَنَ فيلزمها ما ضَمِنَتْه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تختار خِيَرتَه من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خِيَرَة الأصغر أكمل</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2019498_1067777946"/>
      <w:bookmarkStart w:id="1580" w:name="_Toc587"/>
      <w:bookmarkEnd w:id="1579"/>
      <w:r>
        <w:rPr>
          <w:rtl w:val="true"/>
        </w:rPr>
        <w:t>[</w:t>
      </w:r>
      <w:r>
        <w:rPr>
          <w:rtl w:val="true"/>
        </w:rPr>
        <w:t>في أسباب التحريم</w:t>
      </w:r>
      <w:r>
        <w:rPr>
          <w:rtl w:val="true"/>
        </w:rPr>
        <w:t>]</w:t>
      </w:r>
      <w:bookmarkEnd w:id="15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على الإنسان كلّ قريبٍ عدا أولاد العمومة والخؤولة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والعمَّة وإن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بالارتفاع والعلوّ عمَّتَه وعمَّة أبيه وعمَّة جدِّه، وهكذا عمَّة أُمِّه وعمَّة أجدادها، وكذا القول في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عمَّة عمَّتِه وخالةَ خالتِه؛ لأنّ عمَّة العَمَّةِ وخالةَ الخالةِ قد لا تحرمان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فى الحولين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أحلَّها مولاها طاب لبنها</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المرضعة وِلادةً لا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لبن الفحل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حرمت المرضعة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تحرم الصغيرة فإنّ عقدَها يَفْسد؛</w:t>
      </w:r>
    </w:p>
    <w:p>
      <w:pPr>
        <w:pStyle w:val="BookText"/>
        <w:rPr/>
      </w:pPr>
      <w:r>
        <w:rPr>
          <w:rFonts w:ascii="Amiri" w:hAnsi="Amiri" w:eastAsia="Amiri" w:cs="Amiri"/>
          <w:color w:val="111111"/>
          <w:sz w:val="28"/>
          <w:sz w:val="28"/>
          <w:szCs w:val="28"/>
          <w:rtl w:val="true"/>
          <w:lang w:bidi="ar-SA"/>
        </w:rPr>
        <w:t>للجمع بين الأُمِّ والبنت في وقت واحد، فيجدِّده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حرمت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الصغيرتين، بل ينفسخ عقدهما، وله اختيار أيَّتهما شاء دون الجمع بينهما؛ لأنّهما صارتا 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تشترط في ذلك مصلحة الطفل، بل انتفاء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تتخيَّر العمَّة و </w:t>
      </w:r>
      <w:r>
        <w:rPr>
          <w:rStyle w:val="FootnoteAnchor"/>
          <w:rtl w:val="true"/>
        </w:rPr>
        <w:footnoteReference w:id="708"/>
      </w:r>
      <w:r>
        <w:rPr>
          <w:rFonts w:ascii="Amiri" w:hAnsi="Amiri" w:eastAsia="Amiri" w:cs="Amiri"/>
          <w:color w:val="111111"/>
          <w:sz w:val="28"/>
          <w:sz w:val="28"/>
          <w:szCs w:val="28"/>
          <w:rtl w:val="true"/>
          <w:lang w:bidi="ar-SA"/>
        </w:rPr>
        <w:t>الخالة</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لهما فسخ عقد الداخلة لا عقدِ أنفسهما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بوطء الشبهة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مع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بناتُهما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سابقاً وإن نزلت، ولا تأثير إذا كان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نكاح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حكمه بكَراهَة العقد على الأمة، وعلى ما اخترناه لا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تحرم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كونها ذاتَ بعل ولم يدخل، وإلّا حرمت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في عدَّتِها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بالعدَّة أو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لاط بغلام فأوقبه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بالإيقاب هنا الدخول ولو ببعض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يكونا بالغين أو أحدهما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الأُمّ وإن علت، وبنات الأولاد والأُخت فقط، ولا يحرم على المفعول بسببه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أُمَّ الغلام وبنته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علت الأُمَّ ونزلت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استيفاء العَدد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عدد الزَوْجات، فكمال الأربع سبب لتحريم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الطلقات، لتحريم المطلَّقةِ</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والمطلَّقة تسعاً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بطلاق العدَّة أن يُطلِّقها على الشرائط ثمَّ يراجعها في العدَّة ويطأ، أعمّ مِن أن يطأ في العدَّة أو غيرها ثمّ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يعلم </w:t>
      </w:r>
    </w:p>
    <w:p>
      <w:pPr>
        <w:pStyle w:val="BookText"/>
        <w:rPr/>
      </w:pPr>
      <w:r>
        <w:rPr>
          <w:rFonts w:ascii="Amiri" w:hAnsi="Amiri" w:eastAsia="Amiri" w:cs="Amiri"/>
          <w:color w:val="111111"/>
          <w:sz w:val="28"/>
          <w:sz w:val="28"/>
          <w:szCs w:val="28"/>
          <w:rtl w:val="true"/>
          <w:lang w:bidi="ar-SA"/>
        </w:rPr>
        <w:t>أنّ إطلاق المصنِّف التسع للعدَّة مجاز؛ لأنّ الثالثة من كلِّ ثلاث ليست كذلك، فليس فيها إلّا ستّ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التجوّز إمّا باعتبار المجاوَرَة، أو بإطلاق اسم الأكثر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كان بين كلِّ ثلاث واحدة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تحرم، وعلى الثاني لا تحرم، والثاني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بإسلام أيّهما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الإسلام بعد الدخول،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التساوي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إيمان الزوج إذا كانت الزوجة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تريد العدول إلى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منعه الوليّ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ذلك طلباً للأعلى في الدِين أو الدنيا، حينئذٍ لم يكن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تزوِّج المؤمنة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يعرف بعِناد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تزويج المؤمنة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انتسب إلى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انتسب إلى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النكاح</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ذلك في العقد وظهر خلافه، وكان أدنى ممّا شرط فلها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فسخ إلّا أن يشترط أحدهما على الآخر شيئاً في العقد فيظهر أدنى، فالمعتمد الفسخ؛ لمخالفة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به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إلّا مع شرط العفّة وتدليس الوليِّ، وحينئذٍ فله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التصريح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 بذلك</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لغيرهِ خِطبتُها ولا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تحرُم</w:t>
      </w:r>
      <w:r>
        <w:rPr>
          <w:rFonts w:eastAsia="Amiri" w:cs="Amiri" w:ascii="Amiri" w:hAnsi="Amiri"/>
          <w:color w:val="111111"/>
          <w:sz w:val="28"/>
          <w:szCs w:val="28"/>
          <w:rtl w:val="true"/>
          <w:lang w:bidi="ar-SA"/>
        </w:rPr>
        <w:t xml:space="preserve">. </w:t>
      </w:r>
      <w:bookmarkStart w:id="1581" w:name="pg10178_84155"/>
    </w:p>
    <w:p>
      <w:pPr>
        <w:pStyle w:val="Heading4"/>
        <w:numPr>
          <w:ilvl w:val="3"/>
          <w:numId w:val="1"/>
        </w:numPr>
        <w:rPr/>
      </w:pPr>
      <w:bookmarkStart w:id="1582" w:name="__RefHeading___Toc2019500_1067777946"/>
      <w:bookmarkStart w:id="1583" w:name="_Toc588"/>
      <w:bookmarkEnd w:id="1581"/>
      <w:bookmarkEnd w:id="1582"/>
      <w:r>
        <w:rPr>
          <w:rtl w:val="true"/>
        </w:rPr>
        <w:t>[</w:t>
      </w:r>
      <w:r>
        <w:rPr>
          <w:rtl w:val="true"/>
        </w:rPr>
        <w:t>في النكاح المنقطع</w:t>
      </w:r>
      <w:r>
        <w:rPr>
          <w:rtl w:val="true"/>
        </w:rPr>
        <w:t>]</w:t>
      </w:r>
      <w:bookmarkEnd w:id="15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بلفظ الإباحة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بالمُشْرِكَةِ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المجسِّمَة والغالية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على حرَّة 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نكاح الأمة اختياراً،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أخلَّت بشيء مِن المدَّة قاصّها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المنع اختياراً، فلو كان لعذر كالحيض أو الخوف لم يسقط به شيء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بذكر المرَّة والمرّات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شرط ذلك في أجل مضبوط لزم، وليس لهما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رواية بالجواز</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يقلبه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يُبْطِل</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2019502_1067777946"/>
      <w:bookmarkStart w:id="1585" w:name="_Toc589"/>
      <w:bookmarkEnd w:id="1584"/>
      <w:r>
        <w:rPr>
          <w:rtl w:val="true"/>
        </w:rPr>
        <w:t>[</w:t>
      </w:r>
      <w:r>
        <w:rPr>
          <w:rtl w:val="true"/>
        </w:rPr>
        <w:t>في نكاح الإماء</w:t>
      </w:r>
      <w:r>
        <w:rPr>
          <w:rtl w:val="true"/>
        </w:rPr>
        <w:t>]</w:t>
      </w:r>
      <w:bookmarkEnd w:id="15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جواز العقد عليها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العقد بدل من الضمير العائد على المولى المحدّث عنه، والمراد ولو هاياها </w:t>
      </w:r>
      <w:r>
        <w:rPr>
          <w:rStyle w:val="FootnoteAnchor"/>
          <w:rtl w:val="true"/>
        </w:rPr>
        <w:footnoteReference w:id="712"/>
      </w:r>
      <w:r>
        <w:rPr>
          <w:rFonts w:ascii="Amiri" w:hAnsi="Amiri" w:eastAsia="Amiri" w:cs="Amiri"/>
          <w:color w:val="111111"/>
          <w:sz w:val="28"/>
          <w:sz w:val="28"/>
          <w:szCs w:val="28"/>
          <w:rtl w:val="true"/>
          <w:lang w:bidi="ar-SA"/>
        </w:rPr>
        <w:t xml:space="preserve">المولى، ففي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الخلاف إنّما هو في تزويج المولى، أمّا غيره فلا خلاف في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نقل الاتّفاق على ذلك الشهيد في شرح الإرشاد </w:t>
      </w:r>
      <w:r>
        <w:rPr>
          <w:rStyle w:val="FootnoteAnchor"/>
          <w:rtl w:val="true"/>
        </w:rPr>
        <w:footnoteReference w:id="713"/>
      </w:r>
      <w:r>
        <w:rPr>
          <w:rFonts w:ascii="Amiri" w:hAnsi="Amiri" w:eastAsia="Amiri" w:cs="Amiri"/>
          <w:color w:val="111111"/>
          <w:sz w:val="28"/>
          <w:sz w:val="28"/>
          <w:szCs w:val="28"/>
          <w:rtl w:val="true"/>
          <w:lang w:bidi="ar-SA"/>
        </w:rPr>
        <w:t>، ولولا ذلك لكان اللفظ شامِلاً للمولى وغيره</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تقديم العتق</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المسألة قول ثالث، وهو عدم اشتراط تقديم أحدِهما عيناً؛ لأنّ الكلام المتَّصل كالجملة الواحدة، فلم يملك عتقها إلّا أن يجعله </w:t>
      </w:r>
      <w:bookmarkStart w:id="1586" w:name="pg10178_84156"/>
    </w:p>
    <w:p>
      <w:pPr>
        <w:pStyle w:val="BookText"/>
        <w:rPr/>
      </w:pPr>
      <w:bookmarkEnd w:id="1586"/>
      <w:r>
        <w:rPr>
          <w:rFonts w:ascii="Amiri" w:hAnsi="Amiri" w:eastAsia="Amiri" w:cs="Amiri"/>
          <w:color w:val="111111"/>
          <w:sz w:val="28"/>
          <w:sz w:val="28"/>
          <w:szCs w:val="28"/>
          <w:rtl w:val="true"/>
          <w:lang w:bidi="ar-SA"/>
        </w:rPr>
        <w:t xml:space="preserve">مهراً لنكاحها </w:t>
      </w:r>
      <w:r>
        <w:rPr>
          <w:rStyle w:val="FootnoteAnchor"/>
          <w:rtl w:val="true"/>
        </w:rPr>
        <w:footnoteReference w:id="715"/>
      </w:r>
      <w:r>
        <w:rPr>
          <w:rFonts w:ascii="IRNazanin" w:hAnsi="IRNazanin" w:eastAsia="IRNazanin"/>
          <w:color w:val="111111"/>
          <w:sz w:val="28"/>
          <w:sz w:val="28"/>
          <w:szCs w:val="28"/>
          <w:rtl w:val="true"/>
          <w:lang w:bidi="fa-IR"/>
        </w:rPr>
        <w:t>، وهو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لرواية هِشام بن سالم</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 أحد العبدين دون الآخر كان الخيار للبائع والمشتري</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2019504_1067777946"/>
      <w:bookmarkStart w:id="1588" w:name="_Toc590"/>
      <w:bookmarkEnd w:id="1587"/>
      <w:r>
        <w:rPr>
          <w:rtl w:val="true"/>
        </w:rPr>
        <w:t>[</w:t>
      </w:r>
      <w:r>
        <w:rPr>
          <w:rtl w:val="true"/>
        </w:rPr>
        <w:t>في العيوب</w:t>
      </w:r>
      <w:r>
        <w:rPr>
          <w:rtl w:val="true"/>
        </w:rPr>
        <w:t>]</w:t>
      </w:r>
      <w:bookmarkEnd w:id="15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يمكن علاجه أو أمكن وامتنعت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بالعَرَجِ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يبلغ حدَّ الإقعاد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المتجدِّد بعد العقد تردّد عدا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التردّد؛ إذ لا خلاف في ثبوت الفسخ به وإن تجدَّد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قبل الدخول، ولو كان بعده فقولان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أصحّهما عدم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العيب سابقاً على العقد فلكلّ مِن الزوجين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تجدَّد بعد العقد والوطء فلا فسخ لأحدهما إلّا المرأة بجنونه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تجدّد بعد العقد وقبل الوطء فلا فسخ لأحدهما أيضاً إلّا المرأة بالعُنّة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المستغرق لأوقات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الاستغراق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وتفسخ بالجنون وإن تجدَّد بعد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المثل على الواطئ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جهل الزوجتين، فلو علمتا أو إحداهما أنّها ليست زوجة الداخلة عليه، فلا مهر؛ لأنّها بغيّةٌ</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تقييد ثبوت المهر بالدخول، فلو لم يحصل دخول بهما أو بإحداهما، ردَّت إلى زوجها، ولا مهر ولا عدَّة</w:t>
      </w:r>
      <w:r>
        <w:rPr>
          <w:rFonts w:eastAsia="Amiri" w:cs="Amiri" w:ascii="Amiri" w:hAnsi="Amiri"/>
          <w:color w:val="111111"/>
          <w:sz w:val="28"/>
          <w:szCs w:val="28"/>
          <w:rtl w:val="true"/>
          <w:lang w:bidi="ar-SA"/>
        </w:rPr>
        <w:t xml:space="preserve">. </w:t>
      </w:r>
      <w:bookmarkStart w:id="1589" w:name="pg10178_84157"/>
    </w:p>
    <w:p>
      <w:pPr>
        <w:pStyle w:val="BookText"/>
        <w:rPr/>
      </w:pPr>
      <w:bookmarkEnd w:id="158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فوجدها ثيِّباً 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له الفسخ مع العلم بسبق الثيبوبة</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2019506_1067777946"/>
      <w:bookmarkStart w:id="1591" w:name="_Toc591"/>
      <w:bookmarkEnd w:id="1590"/>
      <w:r>
        <w:rPr>
          <w:rtl w:val="true"/>
        </w:rPr>
        <w:t>[</w:t>
      </w:r>
      <w:r>
        <w:rPr>
          <w:rtl w:val="true"/>
        </w:rPr>
        <w:t>في المهور</w:t>
      </w:r>
      <w:r>
        <w:rPr>
          <w:rtl w:val="true"/>
        </w:rPr>
        <w:t>]</w:t>
      </w:r>
      <w:bookmarkEnd w:id="15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فالغنيّ يمتّع بالثوب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الغنيِّ وقسيمَيه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شيئاً قبل الدخول كان ذلك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ساواه ما قدَّمه أو زاد فلا شيء، وإلّا فلها التَتمَّة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كونه هديَّة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شرطت أن لا يفتضَّها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أمّا في الدائم فيبطل العقد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أذنت بعده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الافتضاض بالإذن بعد العقد المتضمِّن للشرط في غاية الإشكال؛ لأنّ الفروج لا تباح بالإذن، فالعقد لم يقتضه بل اقتضى منعه، والمتَّجِه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أخرجها إلى بلد الشرك فلا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غيره من البلاد</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2019508_1067777946"/>
      <w:bookmarkStart w:id="1593" w:name="_Toc592"/>
      <w:bookmarkEnd w:id="1592"/>
      <w:r>
        <w:rPr>
          <w:rtl w:val="true"/>
        </w:rPr>
        <w:t>[</w:t>
      </w:r>
      <w:r>
        <w:rPr>
          <w:rtl w:val="true"/>
        </w:rPr>
        <w:t>في القَسم والشقاق</w:t>
      </w:r>
      <w:r>
        <w:rPr>
          <w:rtl w:val="true"/>
        </w:rPr>
        <w:t>]</w:t>
      </w:r>
      <w:bookmarkEnd w:id="15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قَسَمَ يَقْسِمُ، وأمّا بالكسر فهو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وبَعْثُهما 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فيهما العقل والذكورة والحرِّيَّة والعَدالة</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2019510_1067777946"/>
      <w:bookmarkStart w:id="1595" w:name="_Toc593"/>
      <w:bookmarkEnd w:id="1594"/>
      <w:r>
        <w:rPr>
          <w:rtl w:val="true"/>
        </w:rPr>
        <w:t>[</w:t>
      </w:r>
      <w:r>
        <w:rPr>
          <w:rtl w:val="true"/>
        </w:rPr>
        <w:t>في أحكام الأولاد</w:t>
      </w:r>
      <w:r>
        <w:rPr>
          <w:rtl w:val="true"/>
        </w:rPr>
        <w:t>]</w:t>
      </w:r>
      <w:bookmarkEnd w:id="15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على الثاني مؤبَّداً؛ لدخوله في عدَّة الأوّل</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تقدير وِلادتها لدون ستَّة أشهر من وطء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بلحوقه بالبائع يُثْبِت فسادَ البيع؛ لأنّها أُمّ ولدٍ</w:t>
      </w:r>
      <w:r>
        <w:rPr>
          <w:rFonts w:eastAsia="Amiri" w:cs="Amiri" w:ascii="Amiri" w:hAnsi="Amiri"/>
          <w:color w:val="111111"/>
          <w:sz w:val="28"/>
          <w:szCs w:val="28"/>
          <w:rtl w:val="true"/>
          <w:lang w:bidi="ar-SA"/>
        </w:rPr>
        <w:t xml:space="preserve">. </w:t>
      </w:r>
      <w:bookmarkStart w:id="1596" w:name="pg10178_84158"/>
    </w:p>
    <w:p>
      <w:pPr>
        <w:pStyle w:val="BookText"/>
        <w:rPr/>
      </w:pPr>
      <w:bookmarkEnd w:id="159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له إلحاقه ولا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مشكل، والرِواية </w:t>
      </w:r>
      <w:r>
        <w:rPr>
          <w:rStyle w:val="FootnoteAnchor"/>
          <w:rtl w:val="true"/>
        </w:rPr>
        <w:footnoteReference w:id="717"/>
      </w:r>
      <w:r>
        <w:rPr>
          <w:rFonts w:ascii="IRNazanin" w:hAnsi="IRNazanin" w:eastAsia="IRNazanin"/>
          <w:color w:val="111111"/>
          <w:sz w:val="28"/>
          <w:sz w:val="28"/>
          <w:szCs w:val="28"/>
          <w:rtl w:val="true"/>
          <w:lang w:bidi="fa-IR"/>
        </w:rPr>
        <w:t>لا تنهض حجَّةً فيه، مع أنَّها معارضة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7" w:name="__RefHeading___Toc2019512_1067777946"/>
      <w:bookmarkStart w:id="1598" w:name="_Toc594"/>
      <w:bookmarkEnd w:id="1597"/>
      <w:r>
        <w:rPr>
          <w:rtl w:val="true"/>
        </w:rPr>
        <w:t>[</w:t>
      </w:r>
      <w:r>
        <w:rPr>
          <w:rtl w:val="true"/>
        </w:rPr>
        <w:t>في الرضاع</w:t>
      </w:r>
      <w:r>
        <w:rPr>
          <w:rtl w:val="true"/>
        </w:rPr>
        <w:t>]</w:t>
      </w:r>
      <w:bookmarkEnd w:id="15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تجبر المرأة </w:t>
      </w:r>
      <w:r>
        <w:rPr>
          <w:rStyle w:val="FootnoteAnchor"/>
          <w:rtl w:val="true"/>
        </w:rPr>
        <w:footnoteReference w:id="719"/>
      </w:r>
      <w:r>
        <w:rPr>
          <w:rFonts w:ascii="Amiri" w:hAnsi="Amiri" w:eastAsia="Amiri" w:cs="Amiri"/>
          <w:color w:val="111111"/>
          <w:sz w:val="28"/>
          <w:sz w:val="28"/>
          <w:szCs w:val="28"/>
          <w:rtl w:val="true"/>
          <w:lang w:bidi="ar-SA"/>
        </w:rPr>
        <w:t>على إرضاع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وتجبر على إرضاع اللِبأ؛ لأنّ المولود لا يعيش بدونه، ولها الأُجرة عنه</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2019514_1067777946"/>
      <w:bookmarkStart w:id="1600" w:name="_Toc595"/>
      <w:bookmarkEnd w:id="1599"/>
      <w:r>
        <w:rPr>
          <w:rtl w:val="true"/>
        </w:rPr>
        <w:t>[</w:t>
      </w:r>
      <w:r>
        <w:rPr>
          <w:rtl w:val="true"/>
        </w:rPr>
        <w:t>في النفقات</w:t>
      </w:r>
      <w:r>
        <w:rPr>
          <w:rtl w:val="true"/>
        </w:rPr>
        <w:t>]</w:t>
      </w:r>
      <w:bookmarkEnd w:id="16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نصيب الحمل على إحدى الروايتين</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لها، وهي أشهر الروايتين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على غيرهم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عينيّاً، أمّا لو احتاج القريب إلى القوت ونحوه بحيث لا يمكنه دفعه وجبت إعانته، وكذا غير القريب</w:t>
      </w:r>
      <w:r>
        <w:rPr>
          <w:rFonts w:eastAsia="Amiri" w:cs="Amiri" w:ascii="Amiri" w:hAnsi="Amiri"/>
          <w:color w:val="111111"/>
          <w:sz w:val="28"/>
          <w:szCs w:val="28"/>
          <w:rtl w:val="true"/>
          <w:lang w:bidi="ar-SA"/>
        </w:rPr>
        <w:t xml:space="preserve">. </w:t>
      </w:r>
      <w:bookmarkStart w:id="1601" w:name="pg10178_84159"/>
    </w:p>
    <w:p>
      <w:pPr>
        <w:pStyle w:val="Heading3"/>
        <w:numPr>
          <w:ilvl w:val="2"/>
          <w:numId w:val="1"/>
        </w:numPr>
        <w:rPr/>
      </w:pPr>
      <w:bookmarkStart w:id="1602" w:name="__RefHeading___Toc2019516_1067777946"/>
      <w:bookmarkStart w:id="1603" w:name="_Toc596"/>
      <w:bookmarkEnd w:id="1601"/>
      <w:bookmarkEnd w:id="1602"/>
      <w:r>
        <w:rPr>
          <w:rtl w:val="true"/>
        </w:rPr>
        <w:t>كتاب الطلاق</w:t>
      </w:r>
      <w:bookmarkEnd w:id="1603"/>
    </w:p>
    <w:p>
      <w:pPr>
        <w:pStyle w:val="Heading4"/>
        <w:numPr>
          <w:ilvl w:val="3"/>
          <w:numId w:val="1"/>
        </w:numPr>
        <w:rPr/>
      </w:pPr>
      <w:bookmarkStart w:id="1604" w:name="__RefHeading___Toc2019518_1067777946"/>
      <w:bookmarkStart w:id="1605" w:name="_Toc597"/>
      <w:bookmarkEnd w:id="1604"/>
      <w:r>
        <w:rPr>
          <w:rtl w:val="true"/>
        </w:rPr>
        <w:t>[</w:t>
      </w:r>
      <w:r>
        <w:rPr>
          <w:rtl w:val="true"/>
        </w:rPr>
        <w:t>في الصيغة</w:t>
      </w:r>
      <w:r>
        <w:rPr>
          <w:rtl w:val="true"/>
        </w:rPr>
        <w:t>]</w:t>
      </w:r>
      <w:bookmarkEnd w:id="160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تجريده عن الشرط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إذا جاء رأس الشهر</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2019520_1067777946"/>
      <w:bookmarkStart w:id="1607" w:name="_Toc598"/>
      <w:bookmarkEnd w:id="1606"/>
      <w:r>
        <w:rPr>
          <w:rtl w:val="true"/>
        </w:rPr>
        <w:t>[</w:t>
      </w:r>
      <w:r>
        <w:rPr>
          <w:rtl w:val="true"/>
        </w:rPr>
        <w:t>في أقسام الطلاق</w:t>
      </w:r>
      <w:r>
        <w:rPr>
          <w:rtl w:val="true"/>
        </w:rPr>
        <w:t>]</w:t>
      </w:r>
      <w:bookmarkEnd w:id="160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وطلاق الثلاث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الثلاث المرسلة فظاهر </w:t>
      </w:r>
      <w:r>
        <w:rPr>
          <w:rStyle w:val="FootnoteAnchor"/>
          <w:rtl w:val="true"/>
        </w:rPr>
        <w:footnoteReference w:id="722"/>
      </w:r>
      <w:r>
        <w:rPr>
          <w:rFonts w:ascii="Amiri" w:hAnsi="Amiri" w:eastAsia="Amiri" w:cs="Amiri"/>
          <w:color w:val="111111"/>
          <w:sz w:val="28"/>
          <w:sz w:val="28"/>
          <w:szCs w:val="28"/>
          <w:rtl w:val="true"/>
          <w:lang w:bidi="ar-SA"/>
        </w:rPr>
        <w:t>، وأمّا الحكم فيها، فيشكل على ظاهره؛ لحكمه فيما تقدَّم بوقوع واحدة، فيمكن أن يكون رجوعاً عنه، ويمكن الجمع بين القولين بحمل عدم الوقوع هنا على المجموع من حيث المجموع، فلا ينافيه الحكم بوقوع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يصحّ للعدّة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السنّة، وأمّا العدّة فبالإجماع، بل للسنّة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المقابل للتحريم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 في التاسعة مؤبَّداً، وإنّما تفتقر إلى المحلِّل بعد كلِّ ثالثة</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2019522_1067777946"/>
      <w:bookmarkStart w:id="1609" w:name="_Toc599"/>
      <w:bookmarkEnd w:id="1608"/>
      <w:r>
        <w:rPr>
          <w:rtl w:val="true"/>
        </w:rPr>
        <w:t>[</w:t>
      </w:r>
      <w:r>
        <w:rPr>
          <w:rtl w:val="true"/>
        </w:rPr>
        <w:t>في اللواحق</w:t>
      </w:r>
      <w:r>
        <w:rPr>
          <w:rtl w:val="true"/>
        </w:rPr>
        <w:t>]</w:t>
      </w:r>
      <w:bookmarkEnd w:id="1609"/>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إذا كانت ثقة</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مع مضيِّ زمان يمكن فيه ذلك</w:t>
      </w:r>
      <w:r>
        <w:rPr>
          <w:rFonts w:eastAsia="Amiri" w:cs="Amiri" w:ascii="Amiri" w:hAnsi="Amiri"/>
          <w:color w:val="111111"/>
          <w:sz w:val="28"/>
          <w:szCs w:val="28"/>
          <w:rtl w:val="true"/>
          <w:lang w:bidi="ar-SA"/>
        </w:rPr>
        <w:t xml:space="preserve">. </w:t>
      </w:r>
      <w:bookmarkStart w:id="1610" w:name="pg10178_84160"/>
    </w:p>
    <w:p>
      <w:pPr>
        <w:pStyle w:val="Heading4"/>
        <w:numPr>
          <w:ilvl w:val="3"/>
          <w:numId w:val="1"/>
        </w:numPr>
        <w:rPr/>
      </w:pPr>
      <w:bookmarkStart w:id="1611" w:name="__RefHeading___Toc2019524_1067777946"/>
      <w:bookmarkStart w:id="1612" w:name="_Toc600"/>
      <w:bookmarkEnd w:id="1610"/>
      <w:bookmarkEnd w:id="1611"/>
      <w:r>
        <w:rPr>
          <w:rtl w:val="true"/>
        </w:rPr>
        <w:t>[</w:t>
      </w:r>
      <w:r>
        <w:rPr>
          <w:rtl w:val="true"/>
        </w:rPr>
        <w:t>العِدَد</w:t>
      </w:r>
      <w:r>
        <w:rPr>
          <w:rtl w:val="true"/>
        </w:rPr>
        <w:t>]</w:t>
      </w:r>
      <w:bookmarkEnd w:id="161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بثلاثة أطهار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العدَّة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رأت الحيض مرّتين أكملتها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تحيض إلّا في 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أربعة، والضابط أنّه متى مضت لها ثلاثة لا تحيض فيها اعتدّت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به علی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تبين إلّا بوضع الثاني</w:t>
      </w:r>
      <w:r>
        <w:rPr>
          <w:rFonts w:eastAsia="IRNazanin" w:cs="IRNazanin"/>
          <w:color w:val="111111"/>
          <w:sz w:val="28"/>
          <w:szCs w:val="28"/>
          <w:rtl w:val="true"/>
          <w:lang w:bidi="fa-IR"/>
        </w:rPr>
        <w:t>.</w:t>
      </w:r>
    </w:p>
    <w:p>
      <w:pPr>
        <w:pStyle w:val="Heading4"/>
        <w:numPr>
          <w:ilvl w:val="3"/>
          <w:numId w:val="1"/>
        </w:numPr>
        <w:rPr/>
      </w:pPr>
      <w:bookmarkStart w:id="1613" w:name="__RefHeading___Toc2019526_1067777946"/>
      <w:bookmarkStart w:id="1614" w:name="_Toc601"/>
      <w:bookmarkEnd w:id="1613"/>
      <w:r>
        <w:rPr>
          <w:rtl w:val="true"/>
        </w:rPr>
        <w:t>[</w:t>
      </w:r>
      <w:r>
        <w:rPr>
          <w:rtl w:val="true"/>
        </w:rPr>
        <w:t>عدَّة الوفاة</w:t>
      </w:r>
      <w:r>
        <w:rPr>
          <w:rtl w:val="true"/>
        </w:rPr>
        <w:t>]</w:t>
      </w:r>
      <w:bookmarkEnd w:id="16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الحرّة بأربعة أشهر وعشرة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ومتعةً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حِداد على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موطوءة بالملك، إلّا أن تكون أُمَّ ولدٍ</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2019528_1067777946"/>
      <w:bookmarkStart w:id="1616" w:name="_Toc602"/>
      <w:bookmarkEnd w:id="1615"/>
      <w:r>
        <w:rPr>
          <w:rtl w:val="true"/>
        </w:rPr>
        <w:t>[</w:t>
      </w:r>
      <w:r>
        <w:rPr>
          <w:rtl w:val="true"/>
        </w:rPr>
        <w:t>المفقود</w:t>
      </w:r>
      <w:r>
        <w:rPr>
          <w:rtl w:val="true"/>
        </w:rPr>
        <w:t>]</w:t>
      </w:r>
      <w:bookmarkEnd w:id="16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أجَّلَها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أربعة رسل في أربع جِهات ويبحث عنه كلّ واحد أربع سنين ثمّ يطلّقها الحاكم احتياطاً، وتعتدّ عدَّة الوفاة، ويلزمها الحداد، ولا منافاة للرواية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7" w:name="__RefHeading___Toc2019530_1067777946"/>
      <w:bookmarkStart w:id="1618" w:name="_Toc603"/>
      <w:bookmarkEnd w:id="1617"/>
      <w:r>
        <w:rPr>
          <w:rtl w:val="true"/>
        </w:rPr>
        <w:t>[</w:t>
      </w:r>
      <w:r>
        <w:rPr>
          <w:rtl w:val="true"/>
        </w:rPr>
        <w:t>عدَّة الإماء</w:t>
      </w:r>
      <w:r>
        <w:rPr>
          <w:rtl w:val="true"/>
        </w:rPr>
        <w:t>]</w:t>
      </w:r>
      <w:bookmarkEnd w:id="1618"/>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الدخول 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والطهر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الطهر قروء، وجمع الحيض أقراء، ذكره في القاموس </w:t>
      </w:r>
      <w:r>
        <w:rPr>
          <w:rStyle w:val="FootnoteAnchor"/>
          <w:rtl w:val="true"/>
        </w:rPr>
        <w:footnoteReference w:id="725"/>
      </w:r>
      <w:r>
        <w:rPr>
          <w:rFonts w:ascii="Amiri" w:hAnsi="Amiri" w:eastAsia="Amiri" w:cs="Amiri"/>
          <w:color w:val="111111"/>
          <w:sz w:val="28"/>
          <w:sz w:val="28"/>
          <w:szCs w:val="28"/>
          <w:rtl w:val="true"/>
          <w:lang w:bidi="ar-SA"/>
        </w:rPr>
        <w:t xml:space="preserve">فعلى هذا الآية </w:t>
      </w:r>
      <w:r>
        <w:rPr>
          <w:rStyle w:val="FootnoteAnchor"/>
          <w:rtl w:val="true"/>
        </w:rPr>
        <w:footnoteReference w:id="726"/>
      </w:r>
      <w:r>
        <w:rPr>
          <w:rFonts w:ascii="Amiri" w:hAnsi="Amiri" w:eastAsia="Amiri" w:cs="Amiri"/>
          <w:color w:val="111111"/>
          <w:sz w:val="28"/>
          <w:sz w:val="28"/>
          <w:szCs w:val="28"/>
          <w:rtl w:val="true"/>
          <w:lang w:bidi="ar-SA"/>
        </w:rPr>
        <w:t xml:space="preserve">ليست مشتركةً، </w:t>
      </w:r>
    </w:p>
    <w:p>
      <w:pPr>
        <w:pStyle w:val="BookText"/>
        <w:rPr/>
      </w:pPr>
      <w:r>
        <w:rPr>
          <w:rFonts w:ascii="Amiri" w:hAnsi="Amiri" w:eastAsia="Amiri" w:cs="Amiri"/>
          <w:color w:val="111111"/>
          <w:sz w:val="28"/>
          <w:sz w:val="28"/>
          <w:szCs w:val="28"/>
          <w:rtl w:val="true"/>
          <w:lang w:bidi="ar-SA"/>
        </w:rPr>
        <w:t>بل دالّة على أنّ المراد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الولد تعتدّ من وفاة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زوَّجها إيّاه مولاها، وكذا من موت مولاها</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الوفاة من حين يبلغها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تثبت به الوفاة، لكن لا تتزوَّج إلّا بعد ثبوتها</w:t>
      </w:r>
      <w:r>
        <w:rPr>
          <w:rFonts w:eastAsia="Amiri" w:cs="Amiri" w:ascii="Amiri" w:hAnsi="Amiri"/>
          <w:color w:val="111111"/>
          <w:sz w:val="28"/>
          <w:szCs w:val="28"/>
          <w:rtl w:val="true"/>
          <w:lang w:bidi="ar-SA"/>
        </w:rPr>
        <w:t xml:space="preserve">. </w:t>
      </w:r>
      <w:bookmarkStart w:id="1619" w:name="pg10178_84162"/>
    </w:p>
    <w:p>
      <w:pPr>
        <w:pStyle w:val="Heading3"/>
        <w:numPr>
          <w:ilvl w:val="2"/>
          <w:numId w:val="1"/>
        </w:numPr>
        <w:rPr/>
      </w:pPr>
      <w:bookmarkStart w:id="1620" w:name="__RefHeading___Toc2019532_1067777946"/>
      <w:bookmarkStart w:id="1621" w:name="_Toc604"/>
      <w:bookmarkEnd w:id="1619"/>
      <w:bookmarkEnd w:id="1620"/>
      <w:r>
        <w:rPr>
          <w:rtl w:val="true"/>
        </w:rPr>
        <w:t>كتاب الخلع والمباراة</w:t>
      </w:r>
      <w:bookmarkEnd w:id="16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يَقَعُ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بمجردِّه أقوى وإتباعه بالطلاق أحوط</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إتباعها بالطلاق على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غير متحقِّقٍ، نعم، به رواية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1622" w:name="pg10178_84163"/>
    </w:p>
    <w:p>
      <w:pPr>
        <w:pStyle w:val="Heading3"/>
        <w:numPr>
          <w:ilvl w:val="2"/>
          <w:numId w:val="1"/>
        </w:numPr>
        <w:rPr/>
      </w:pPr>
      <w:bookmarkStart w:id="1623" w:name="__RefHeading___Toc2019534_1067777946"/>
      <w:bookmarkStart w:id="1624" w:name="_Toc605"/>
      <w:bookmarkEnd w:id="1622"/>
      <w:bookmarkEnd w:id="1623"/>
      <w:r>
        <w:rPr>
          <w:rtl w:val="true"/>
        </w:rPr>
        <w:t>كتاب الظهار</w:t>
      </w:r>
      <w:bookmarkEnd w:id="16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صحّته الشرط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والشرط يشتركان في أصل التعليق، ويفترقان في أنّ الغرض من الشرط مجرَّد التعليق، ومن اليمين الزجر عن المعلّق عليه،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دار فلان فأنتِ عليّ كظهر أُمِّي ، فإن قصد مجرّد تعليق الظهار على دخولها الدار، فهو شرط، وإن قصد منعها من دخولها، فهو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يقع في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الدخول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استقرار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وجوبها بالعود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نيَّة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متزلزل، وإِنَّما يستقرّ بالوطء 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مات أحدهما أو طلَّقها بائناً قبل الدخول، فإنّ الكفّارة تسقط عنه على الثاني دون الأوَّلِ</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البحث لو كرَّر ظهار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الاستغفار</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الاستغفار الواجب بكفّارة وغيرها 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بل هو التوبة المشتملة على الندم على ما وقع، والعزم على عدم العود إليه أبداً، والاستغفار باللسان كاشف عن ذلك الندم والعزم</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المطعم والمشرب</w:t>
      </w:r>
      <w:r>
        <w:rPr>
          <w:rFonts w:eastAsia="Amiri" w:cs="Amiri" w:ascii="Amiri" w:hAnsi="Amiri"/>
          <w:color w:val="111111"/>
          <w:sz w:val="28"/>
          <w:szCs w:val="28"/>
          <w:rtl w:val="true"/>
          <w:lang w:bidi="ar-SA"/>
        </w:rPr>
        <w:t xml:space="preserve">. </w:t>
      </w:r>
      <w:bookmarkStart w:id="1625" w:name="pg10178_84165"/>
    </w:p>
    <w:p>
      <w:pPr>
        <w:pStyle w:val="Heading3"/>
        <w:numPr>
          <w:ilvl w:val="2"/>
          <w:numId w:val="1"/>
        </w:numPr>
        <w:rPr/>
      </w:pPr>
      <w:bookmarkStart w:id="1626" w:name="__RefHeading___Toc2019536_1067777946"/>
      <w:bookmarkStart w:id="1627" w:name="_Toc606"/>
      <w:bookmarkEnd w:id="1625"/>
      <w:bookmarkEnd w:id="1626"/>
      <w:r>
        <w:rPr>
          <w:rtl w:val="true"/>
        </w:rPr>
        <w:t>كتاب الإيلاء</w:t>
      </w:r>
      <w:bookmarkEnd w:id="1627"/>
    </w:p>
    <w:p>
      <w:pPr>
        <w:pStyle w:val="Heading4"/>
        <w:numPr>
          <w:ilvl w:val="3"/>
          <w:numId w:val="1"/>
        </w:numPr>
        <w:rPr/>
      </w:pPr>
      <w:bookmarkStart w:id="1628" w:name="__RefHeading___Toc2019538_1067777946"/>
      <w:bookmarkStart w:id="1629" w:name="_Toc607"/>
      <w:bookmarkEnd w:id="1628"/>
      <w:r>
        <w:rPr>
          <w:rtl w:val="true"/>
        </w:rPr>
        <w:t>اشارة</w:t>
      </w:r>
      <w:bookmarkEnd w:id="162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حلف لصلاح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الإيلاء، وينعقد يميناً بشروطه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أزيد من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الأربعة فما دون فلا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يكفّر ويفي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 كان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تشترط في ضرب المدَّة المرافعة؟ قال الشيخ نعم</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Heading4"/>
        <w:numPr>
          <w:ilvl w:val="3"/>
          <w:numId w:val="1"/>
        </w:numPr>
        <w:rPr/>
      </w:pPr>
      <w:bookmarkStart w:id="1630" w:name="__RefHeading___Toc2019540_1067777946"/>
      <w:bookmarkStart w:id="1631" w:name="_Toc608"/>
      <w:bookmarkEnd w:id="1630"/>
      <w:r>
        <w:rPr>
          <w:rtl w:val="true"/>
        </w:rPr>
        <w:t>[</w:t>
      </w:r>
      <w:r>
        <w:rPr>
          <w:rtl w:val="true"/>
        </w:rPr>
        <w:t>الكفّارات</w:t>
      </w:r>
      <w:r>
        <w:rPr>
          <w:rtl w:val="true"/>
        </w:rPr>
        <w:t>]</w:t>
      </w:r>
      <w:bookmarkEnd w:id="16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منذوراً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كفّارةَ خلف النذر مطلقاً والعهد كفّارةُ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كفّارة خلف العهد على تردّد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أنّ كفّارة خلف النذر والعهد واحدة كبرى مخيَّرة ككفّارة رمضان</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 أنّه يلزمه مع الحنث إطعام عَشرة مساكين لكلِّ مسكين مدّ ويستغفر الله، كما ورد في توقيع العسكري علیه السلام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1632" w:name="pg10178_84166"/>
    </w:p>
    <w:p>
      <w:pPr>
        <w:pStyle w:val="BookText"/>
        <w:rPr/>
      </w:pPr>
      <w:bookmarkEnd w:id="163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والاستحباب في الكلِّ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 الرجل ثوبه بموت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لا كفّارة في الجميع وإن حصل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صوم يوم فعجز عنه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النذر سقط مع العجز وإلّا توقّع المكنة، وما قيل من الكفّارة مستحبّ</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2019542_1067777946"/>
      <w:bookmarkStart w:id="1634" w:name="_Toc609"/>
      <w:bookmarkEnd w:id="1633"/>
      <w:r>
        <w:rPr>
          <w:rtl w:val="true"/>
        </w:rPr>
        <w:t>[</w:t>
      </w:r>
      <w:r>
        <w:rPr>
          <w:rtl w:val="true"/>
        </w:rPr>
        <w:t>في خصال الكفّارة</w:t>
      </w:r>
      <w:r>
        <w:rPr>
          <w:rtl w:val="true"/>
        </w:rPr>
        <w:t>]</w:t>
      </w:r>
      <w:bookmarkEnd w:id="16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كونها مؤمنة أو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الإيمان الخاصِّ، وتكفي في الطفل التبعيَّة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وكذا المكاتب المشروط والمطلق الذي لم يؤدِّ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الاستبدال في الخادم مع عدم زيادته عنه عادةً كمِّيّةً، ولا كيفيَّةً، وكذا المسكن والكسوة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منضمَّين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النصف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انفردوا احتسب الاثنان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إطعامهم، أمّا لو دفع إليهم، فإنّه يدفع إلى الصغير كما يدفع إلى الكبير، ويجزئ حينئذٍ؛ ولابدّ من إذن الوليِّ في الدفع أو مَن يعبأ 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كونه من جنس ما يصلّى فيه، ولا تجزئ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يلزمه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استمرار الصوم على الصحّة، فلو طرأ بعد ذلك ما يُفْسِد التتابع وجب العتق مع بقاء القدرة إلى حين الفساد</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الثمانية عشر</w:t>
      </w:r>
      <w:r>
        <w:rPr>
          <w:rFonts w:eastAsia="Amiri" w:cs="Amiri" w:ascii="Amiri" w:hAnsi="Amiri"/>
          <w:color w:val="111111"/>
          <w:sz w:val="28"/>
          <w:szCs w:val="28"/>
          <w:rtl w:val="true"/>
          <w:lang w:bidi="ar-SA"/>
        </w:rPr>
        <w:t xml:space="preserve">. </w:t>
      </w:r>
      <w:bookmarkStart w:id="1635" w:name="pg10178_84167"/>
    </w:p>
    <w:p>
      <w:pPr>
        <w:pStyle w:val="Heading3"/>
        <w:numPr>
          <w:ilvl w:val="2"/>
          <w:numId w:val="1"/>
        </w:numPr>
        <w:rPr/>
      </w:pPr>
      <w:bookmarkStart w:id="1636" w:name="__RefHeading___Toc2019544_1067777946"/>
      <w:bookmarkStart w:id="1637" w:name="_Toc610"/>
      <w:bookmarkEnd w:id="1635"/>
      <w:bookmarkEnd w:id="1636"/>
      <w:r>
        <w:rPr>
          <w:rtl w:val="true"/>
        </w:rPr>
        <w:t>كتاب اللعان</w:t>
      </w:r>
      <w:bookmarkEnd w:id="16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ثالث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نفي الولد والقذف، فيثبت بالأوّل دون الثاني، عكس الفرق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تشهد المرأة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إنّه لمن الكاذبين فيما رماها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تقرّ أربعاً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ثبوت الحدِّ بعد الإقرار أربعاً وعدمه، أمّا قبل الأربع فلا خلاف في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أرخى عليها الستر 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لا لعان ولا بينونة، ولا يثبت بذلك دخول، وتحمل الرواية </w:t>
      </w:r>
      <w:r>
        <w:rPr>
          <w:rStyle w:val="FootnoteAnchor"/>
          <w:rtl w:val="true"/>
        </w:rPr>
        <w:footnoteReference w:id="734"/>
      </w:r>
      <w:r>
        <w:rPr>
          <w:rFonts w:ascii="Amiri" w:hAnsi="Amiri" w:eastAsia="Amiri" w:cs="Amiri"/>
          <w:color w:val="111111"/>
          <w:sz w:val="28"/>
          <w:sz w:val="28"/>
          <w:szCs w:val="28"/>
          <w:rtl w:val="true"/>
          <w:lang w:bidi="ar-SA"/>
        </w:rPr>
        <w:t>على أنّ إرخاء الستر كناية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إيجاب الجلد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على الرواية، ويثبت الإرث والحدّ</w:t>
      </w:r>
      <w:r>
        <w:rPr>
          <w:rFonts w:eastAsia="Amiri" w:cs="Amiri" w:ascii="Amiri" w:hAnsi="Amiri"/>
          <w:color w:val="111111"/>
          <w:sz w:val="28"/>
          <w:szCs w:val="28"/>
          <w:rtl w:val="true"/>
          <w:lang w:bidi="ar-SA"/>
        </w:rPr>
        <w:t xml:space="preserve">. </w:t>
      </w:r>
      <w:bookmarkStart w:id="1638" w:name="pg10178_84168"/>
    </w:p>
    <w:p>
      <w:pPr>
        <w:pStyle w:val="Heading3"/>
        <w:numPr>
          <w:ilvl w:val="2"/>
          <w:numId w:val="1"/>
        </w:numPr>
        <w:rPr/>
      </w:pPr>
      <w:bookmarkStart w:id="1639" w:name="__RefHeading___Toc2019546_1067777946"/>
      <w:bookmarkStart w:id="1640" w:name="_Toc611"/>
      <w:bookmarkEnd w:id="1638"/>
      <w:bookmarkEnd w:id="1639"/>
      <w:r>
        <w:rPr>
          <w:rtl w:val="true"/>
        </w:rPr>
        <w:t>كتاب العتق</w:t>
      </w:r>
      <w:bookmarkEnd w:id="1640"/>
    </w:p>
    <w:p>
      <w:pPr>
        <w:pStyle w:val="Heading4"/>
        <w:numPr>
          <w:ilvl w:val="3"/>
          <w:numId w:val="1"/>
        </w:numPr>
        <w:rPr/>
      </w:pPr>
      <w:bookmarkStart w:id="1641" w:name="__RefHeading___Toc2019548_1067777946"/>
      <w:bookmarkStart w:id="1642" w:name="_Toc612"/>
      <w:bookmarkEnd w:id="1641"/>
      <w:r>
        <w:rPr>
          <w:rtl w:val="true"/>
        </w:rPr>
        <w:t>[</w:t>
      </w:r>
      <w:r>
        <w:rPr>
          <w:rtl w:val="true"/>
        </w:rPr>
        <w:t>في الرقّ</w:t>
      </w:r>
      <w:r>
        <w:rPr>
          <w:rtl w:val="true"/>
        </w:rPr>
        <w:t>]</w:t>
      </w:r>
      <w:bookmarkEnd w:id="164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برقِّيَّته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المقرّ له كافراً، ولا يقبل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بِيع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الحكم بالرقّيَّة مجرّد وجوده في السوق في يد مَن يدَّعي ملكه، إذا لم يُشاهَد شراؤه وبيعُه وإن كان لونه لون العبد؛ لأصالة الحرّيَّة، سواء أكذبه أم سكت، بل لابدّ من تصديقه له إن كان كبيراً، ولو كان صغيراً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العلّامة في التذكرة </w:t>
      </w:r>
      <w:r>
        <w:rPr>
          <w:rStyle w:val="FootnoteAnchor"/>
          <w:rtl w:val="true"/>
        </w:rPr>
        <w:footnoteReference w:id="736"/>
      </w:r>
      <w:r>
        <w:rPr>
          <w:rFonts w:ascii="Amiri" w:hAnsi="Amiri" w:eastAsia="Amiri" w:cs="Amiri"/>
          <w:color w:val="111111"/>
          <w:sz w:val="28"/>
          <w:sz w:val="28"/>
          <w:szCs w:val="28"/>
          <w:rtl w:val="true"/>
          <w:lang w:bidi="ar-SA"/>
        </w:rPr>
        <w:t xml:space="preserve">فيه الحكم بأصالة الحرّيَّة وفي غيرها </w:t>
      </w:r>
      <w:r>
        <w:rPr>
          <w:rStyle w:val="FootnoteAnchor"/>
          <w:rtl w:val="true"/>
        </w:rPr>
        <w:footnoteReference w:id="737"/>
      </w:r>
      <w:r>
        <w:rPr>
          <w:rFonts w:ascii="Amiri" w:hAnsi="Amiri" w:eastAsia="Amiri" w:cs="Amiri"/>
          <w:color w:val="111111"/>
          <w:sz w:val="28"/>
          <w:sz w:val="28"/>
          <w:szCs w:val="28"/>
          <w:rtl w:val="true"/>
          <w:lang w:bidi="ar-SA"/>
        </w:rPr>
        <w:t>الحكم بالرقِّيَّة؛ عملاً بظاهر اليد،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2019550_1067777946"/>
      <w:bookmarkStart w:id="1644" w:name="_Toc613"/>
      <w:bookmarkEnd w:id="1643"/>
      <w:r>
        <w:rPr>
          <w:rtl w:val="true"/>
        </w:rPr>
        <w:t>[</w:t>
      </w:r>
      <w:r>
        <w:rPr>
          <w:rtl w:val="true"/>
        </w:rPr>
        <w:t>في العتق</w:t>
      </w:r>
      <w:r>
        <w:rPr>
          <w:rtl w:val="true"/>
        </w:rPr>
        <w:t>]</w:t>
      </w:r>
      <w:bookmarkEnd w:id="1644"/>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لفظ العتق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إن كان صريحاً في الإنشاء، كأنت عتيق أو معتق، دون معتوق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أو معتقة، وكان اسمها ذلك، فإن قصد الإخبار بالاسم لم تعتق، وإن قصد الإنشاء صحّ، وإن جهل رجع إلى 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جعله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الشرط واليمين واحدة، وإنّما تتميَّزان بالنيَّة،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فأنت حرّ، فإن قصد منع نفسه من فعل ذلك الشيء فألزم نفسه بالعتق؛ زجراً عن ذلك الفعل المعلَّق عليه، أو الشكر عليه إذا كان طاعة والبعث عليه، كان يميناً، وإن قصد مجرّد التعليق على حصول الفعل المذكور، كان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الصفة، فهي ما لابدّ من وقوعه، كمجيء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 وبين الشرط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يمكن وقوعه في الحال،</w:t>
      </w:r>
    </w:p>
    <w:p>
      <w:pPr>
        <w:pStyle w:val="BookText"/>
        <w:rPr/>
      </w:pPr>
      <w:r>
        <w:rPr>
          <w:rFonts w:ascii="Amiri" w:hAnsi="Amiri" w:eastAsia="Amiri" w:cs="Amiri"/>
          <w:color w:val="111111"/>
          <w:sz w:val="28"/>
          <w:sz w:val="28"/>
          <w:szCs w:val="28"/>
          <w:rtl w:val="true"/>
          <w:lang w:bidi="ar-SA"/>
        </w:rPr>
        <w:t>والصفة لا يمكن وقوعها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يجوز وقوعه ويجوز أن لا يقع، والصفة لابدّ من وقوعها في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عدم صحَّة تعليق العتق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يشترط مع العتق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قبول المعتَق؛ لأنّه كاستثناء ما كان ملكاً للمالك، أمّا لو شرط عليه مالاً، اشتُرِط رضاه، لأنّ المال ليس نفسَ حقِّ السيّد وإنّما حقّه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بالجواز حسنة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وقوعه من الكافر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كفره بجحد الإلهيَّة، فلا إشكال في عدم الوقوع، وإلّا فالأجود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الرواية، لكن لهم المطالبة بالأُجرة، والرواية لا تنافيها</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 مملوكه ما هو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لحدّ وتجاوزه، فإنّه </w:t>
      </w:r>
    </w:p>
    <w:p>
      <w:pPr>
        <w:pStyle w:val="BookText"/>
        <w:rPr/>
      </w:pPr>
      <w:r>
        <w:rPr>
          <w:rFonts w:ascii="Amiri" w:hAnsi="Amiri" w:eastAsia="Amiri" w:cs="Amiri"/>
          <w:color w:val="111111"/>
          <w:sz w:val="28"/>
          <w:sz w:val="28"/>
          <w:szCs w:val="28"/>
          <w:rtl w:val="true"/>
          <w:lang w:bidi="ar-SA"/>
        </w:rPr>
        <w:t>يستحبّ له عتقه كفّارةً عمّا زاد،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نذر تحرير أوّل 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أوّل مملوك وأوّل ما تلده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الإثبات ولا يعمّ،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عامّة، فتشمل ما زاد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عبّر في الصيغة الأُولى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فولدت توأمين 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ولدا دفعة، وإلّا عتق الأوّل خاصَّة، إلّا أن تلده ميِّتاً فينعتق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ينعتق إلّا مَن سبق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صيغ الإنشاء، وهذا الحكم مخصوص بنفس الأمر، أما ظاهراً، فيحكم عليه بالعتق إن كان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فخرجت عن ملكه انحلَّت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قصد التخصيص بكونها مملوكته، أمّا لو عمّم، فلا ريب في عدم الحلِّ بالعود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مَن كان له في ملكه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رواية داود الرقِّي </w:t>
      </w:r>
      <w:r>
        <w:rPr>
          <w:rStyle w:val="FootnoteAnchor"/>
          <w:rtl w:val="true"/>
        </w:rPr>
        <w:footnoteReference w:id="742"/>
      </w:r>
      <w:r>
        <w:rPr>
          <w:rFonts w:ascii="Amiri" w:hAnsi="Amiri" w:eastAsia="Amiri" w:cs="Amiri"/>
          <w:color w:val="111111"/>
          <w:sz w:val="28"/>
          <w:sz w:val="28"/>
          <w:szCs w:val="28"/>
          <w:rtl w:val="true"/>
          <w:lang w:bidi="ar-SA"/>
        </w:rPr>
        <w:t>، وضعفها منجبر بالشهرة، ولا يتعدّى إلى نذر المال القديم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قَصُرت مدَّة الجميع عن ستَّة أشهر،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العتق</w:t>
      </w:r>
      <w:r>
        <w:rPr>
          <w:rStyle w:val="FootnoteAnchor"/>
          <w:rtl w:val="true"/>
        </w:rPr>
        <w:footnoteReference w:id="74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مَن مَلكَه أوّلاً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استخرج الثلث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القيمة لا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أمكن التعديل من غير احتياج إلى جزء وجب، وإلّا أكمل الثلث بجزء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يَمْلِك حال العتق زيادةً عن داره وخادمه ودابَّته وثيابه المعتادة، وقوت يومه وليلته له ولعياله ما يسع نصيب الشريك أو بعضه، ولا اعتبار بیساره بعد العتق إذا كان معسراً حالته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وسعى العبد في فكِّ باقيه إن كان المعتق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فكّه إن كان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الحامل تحرَّر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ينعتق الحمل بعتق أُمِّه إلّا مع القصد إلى عتقه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العوارض فالعمى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وتنكيل المولى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المثلة به، كجدع أنفه وقطع أُذنيه ورجليه وقلع عينَيه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وألحق الأصحاب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أسلم العبد في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الشراء عن عتقه، بل يُعْتِقه الحاكم</w:t>
      </w:r>
      <w:r>
        <w:rPr>
          <w:rFonts w:eastAsia="Amiri" w:cs="Amiri" w:ascii="Amiri" w:hAnsi="Amiri"/>
          <w:color w:val="111111"/>
          <w:sz w:val="28"/>
          <w:szCs w:val="28"/>
          <w:rtl w:val="true"/>
          <w:lang w:bidi="ar-SA"/>
        </w:rPr>
        <w:t xml:space="preserve">. </w:t>
      </w:r>
      <w:bookmarkStart w:id="1645" w:name="pg10178_84172"/>
    </w:p>
    <w:p>
      <w:pPr>
        <w:pStyle w:val="Heading3"/>
        <w:numPr>
          <w:ilvl w:val="2"/>
          <w:numId w:val="1"/>
        </w:numPr>
        <w:rPr/>
      </w:pPr>
      <w:bookmarkStart w:id="1646" w:name="__RefHeading___Toc2019552_1067777946"/>
      <w:bookmarkStart w:id="1647" w:name="_Toc614"/>
      <w:bookmarkEnd w:id="1645"/>
      <w:bookmarkEnd w:id="1646"/>
      <w:r>
        <w:rPr>
          <w:rtl w:val="true"/>
        </w:rPr>
        <w:t>كتاب التدبير والمكاتبة والاستيلاد</w:t>
      </w:r>
      <w:bookmarkEnd w:id="1647"/>
    </w:p>
    <w:p>
      <w:pPr>
        <w:pStyle w:val="Heading4"/>
        <w:numPr>
          <w:ilvl w:val="3"/>
          <w:numId w:val="1"/>
        </w:numPr>
        <w:rPr/>
      </w:pPr>
      <w:bookmarkStart w:id="1648" w:name="__RefHeading___Toc2019554_1067777946"/>
      <w:bookmarkStart w:id="1649" w:name="_Toc615"/>
      <w:bookmarkEnd w:id="1648"/>
      <w:r>
        <w:rPr>
          <w:rtl w:val="true"/>
        </w:rPr>
        <w:t>[</w:t>
      </w:r>
      <w:r>
        <w:rPr>
          <w:rtl w:val="true"/>
        </w:rPr>
        <w:t>التدبير</w:t>
      </w:r>
      <w:r>
        <w:rPr>
          <w:rtl w:val="true"/>
        </w:rPr>
        <w:t>]</w:t>
      </w:r>
      <w:bookmarkEnd w:id="16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عتق المملوك بعد وفاة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واشتقاقه من الدبر؛ لحصول العتق بعد الوفاة، وهي دبر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فيه مِن نيَّة</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بالنيَّة القصد إلى الصيغة وإن لم يقارنه بالقربة، واحترز بها عن عبارة السكران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المكرَه والمضيَّق عليه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فالولد مدبَّر كهيئتها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الولد لاحقاً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بحَبَلها</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رواية بالتفصيل</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حرّ بعد وفاة المخدوم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المجعول له الخدمة في حياة المالك، كان التدبير ماضياً مِن الأصل، ولو مات المالك أوّلاً خرج من الثلث، فإن قصر عنه بقي بعضه مدبَّراً يتحرّر بموت المخدوم، ويسعى في باقيه</w:t>
      </w:r>
      <w:r>
        <w:rPr>
          <w:rFonts w:eastAsia="Amiri" w:cs="Amiri" w:ascii="Amiri" w:hAnsi="Amiri"/>
          <w:color w:val="111111"/>
          <w:sz w:val="28"/>
          <w:szCs w:val="28"/>
          <w:rtl w:val="true"/>
          <w:lang w:bidi="ar-SA"/>
        </w:rPr>
        <w:t xml:space="preserve">. </w:t>
      </w:r>
      <w:bookmarkStart w:id="1650" w:name="pg10178_84173"/>
    </w:p>
    <w:p>
      <w:pPr>
        <w:pStyle w:val="Heading4"/>
        <w:numPr>
          <w:ilvl w:val="3"/>
          <w:numId w:val="1"/>
        </w:numPr>
        <w:rPr/>
      </w:pPr>
      <w:bookmarkStart w:id="1651" w:name="__RefHeading___Toc2019556_1067777946"/>
      <w:bookmarkStart w:id="1652" w:name="_Toc616"/>
      <w:bookmarkEnd w:id="1650"/>
      <w:bookmarkEnd w:id="1651"/>
      <w:r>
        <w:rPr>
          <w:rtl w:val="true"/>
        </w:rPr>
        <w:t>[</w:t>
      </w:r>
      <w:r>
        <w:rPr>
          <w:rtl w:val="true"/>
        </w:rPr>
        <w:t>المكاتبة</w:t>
      </w:r>
      <w:r>
        <w:rPr>
          <w:rtl w:val="true"/>
        </w:rPr>
        <w:t>]</w:t>
      </w:r>
      <w:bookmarkEnd w:id="16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مشتقَّة من الكتب وهو الجمع، ومنه سمِّي الكتاب كتاباً؛</w:t>
      </w:r>
    </w:p>
    <w:p>
      <w:pPr>
        <w:pStyle w:val="BookText"/>
        <w:rPr/>
      </w:pPr>
      <w:r>
        <w:rPr>
          <w:rFonts w:ascii="Amiri" w:hAnsi="Amiri" w:eastAsia="Amiri" w:cs="Amiri"/>
          <w:color w:val="111111"/>
          <w:sz w:val="28"/>
          <w:sz w:val="28"/>
          <w:szCs w:val="28"/>
          <w:rtl w:val="true"/>
          <w:lang w:bidi="ar-SA"/>
        </w:rPr>
        <w:t>لأنّه يجمع المسائل، وسمِّي هذا العقد كتابةً؛ لأنّه يجمع الآجال، وهو معاملة مستقلَّة، لا بيعاً للعبد من نفسه، ولا عتقاً بصفة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أن يؤخّر النجم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للرواية الصحيحة </w:t>
      </w:r>
      <w:r>
        <w:rPr>
          <w:rStyle w:val="FootnoteAnchor"/>
          <w:rtl w:val="true"/>
        </w:rPr>
        <w:footnoteReference w:id="752"/>
      </w:r>
      <w:r>
        <w:rPr>
          <w:rFonts w:ascii="Amiri" w:hAnsi="Amiri" w:eastAsia="Amiri" w:cs="Amiri"/>
          <w:color w:val="111111"/>
          <w:sz w:val="28"/>
          <w:sz w:val="28"/>
          <w:szCs w:val="28"/>
          <w:rtl w:val="true"/>
          <w:lang w:bidi="ar-SA"/>
        </w:rPr>
        <w:t>ولمخالفة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علم منه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القول المحكيّ، ومعناه أنّ حدّ العجز أن يؤخِّر نجماً إلى نجم، أو يعلم من حاله العجز بعد حلول النجم الأوّل، فلا يجب الصبر إلى حلول النجم الآخر، بل إذا حلّ نجم وعجز عنه، فإن رجي له الوفاء إلى النجم الآخر صبر عليه حتّى يحلّ عليه النجم الآخر، وإن علم من حاله العجز جاز الفسخ بعد حلول النجم الأوّل، ولا يجب الصبر حتّى يحلّ النجم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العبد كافراً وقلنا بجواز كتابته لم يشترط الإسلام، وإلّا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ولورثته بنسبة الحرّية إن كانوا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أُمّ الأولاد حرّة مثلاً، ولو كانت أمة وقد تجدَّدوا بعد الكتابة، تبعوه في حكمه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وأُلْزِموا بما بقي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إجبارهم على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يؤدّون ما بقي</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على مدلول الرواية التي ذكرها المصنِّف، والرواية ليست صريحة فيه، بل محتملة لما ذكره المصنِّف</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صحّة جميع الوصيّة له مطلقاً؛ لأنّ قبولها نوع اكتساب وهو أهل له</w:t>
      </w:r>
      <w:r>
        <w:rPr>
          <w:rFonts w:eastAsia="Amiri" w:cs="Amiri" w:ascii="Amiri" w:hAnsi="Amiri"/>
          <w:color w:val="111111"/>
          <w:sz w:val="28"/>
          <w:szCs w:val="28"/>
          <w:rtl w:val="true"/>
          <w:lang w:bidi="ar-SA"/>
        </w:rPr>
        <w:t xml:space="preserve">. </w:t>
      </w:r>
      <w:bookmarkStart w:id="1653" w:name="pg10178_84174"/>
    </w:p>
    <w:p>
      <w:pPr>
        <w:pStyle w:val="BookText"/>
        <w:rPr/>
      </w:pPr>
      <w:bookmarkEnd w:id="165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تتزوّج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ليس له تزويجها إلّا بإذنها، أي لا يزوِّجها بأحد إلّا بإذنها، ولا وَطؤها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يَطَأُها وإن 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بالعقد ولا بالملك ، ولو وطئها فعليه المهر</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2019558_1067777946"/>
      <w:bookmarkStart w:id="1655" w:name="_Toc617"/>
      <w:bookmarkEnd w:id="1654"/>
      <w:r>
        <w:rPr>
          <w:rtl w:val="true"/>
        </w:rPr>
        <w:t>[</w:t>
      </w:r>
      <w:r>
        <w:rPr>
          <w:rtl w:val="true"/>
        </w:rPr>
        <w:t>الاستيلاد</w:t>
      </w:r>
      <w:r>
        <w:rPr>
          <w:rtl w:val="true"/>
        </w:rPr>
        <w:t>]</w:t>
      </w:r>
      <w:bookmarkEnd w:id="165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بعلوق أمته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يتحقَّق كونه مبدأَ نُشُوءِ آدمى ولو علقةً أو مضغةً، سواء كان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غير الحيِّ انقضاء العدّة به، وإبطال سابق التصرّفات على الوضع إذا وقعت بعد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على ولدها إن كان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محمّد بن قيس في وليدة نصرانيّة</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مخالفة للأصل من جهَة اشتماله على استرقاق الحرّ؛ لأنّ ولدها حرّ؛ لتولّده عن نصراني محترم لا يجوز استرقاقه، إذ التقدير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تحتّم القتل على المرأة المرتدّة، وهو منتفٍ عن الفطريَّة، فكيف عن الملِّيَّة</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تحبس وتضرب أوقات الصلوات حتّى تموت أو تتوب، فما ذكره في النهاية </w:t>
      </w:r>
      <w:r>
        <w:rPr>
          <w:rStyle w:val="FootnoteAnchor"/>
          <w:rtl w:val="true"/>
        </w:rPr>
        <w:footnoteReference w:id="757"/>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 xml:space="preserve">. </w:t>
      </w:r>
      <w:bookmarkStart w:id="1656" w:name="pg10178_84175"/>
    </w:p>
    <w:p>
      <w:pPr>
        <w:pStyle w:val="Heading3"/>
        <w:numPr>
          <w:ilvl w:val="2"/>
          <w:numId w:val="1"/>
        </w:numPr>
        <w:rPr/>
      </w:pPr>
      <w:bookmarkStart w:id="1657" w:name="__RefHeading___Toc2019560_1067777946"/>
      <w:bookmarkStart w:id="1658" w:name="_Toc618"/>
      <w:bookmarkEnd w:id="1656"/>
      <w:bookmarkEnd w:id="1657"/>
      <w:r>
        <w:rPr>
          <w:rtl w:val="true"/>
        </w:rPr>
        <w:t>كتاب الإقرار</w:t>
      </w:r>
      <w:bookmarkEnd w:id="1658"/>
    </w:p>
    <w:p>
      <w:pPr>
        <w:pStyle w:val="Heading4"/>
        <w:numPr>
          <w:ilvl w:val="3"/>
          <w:numId w:val="1"/>
        </w:numPr>
        <w:rPr/>
      </w:pPr>
      <w:bookmarkStart w:id="1659" w:name="__RefHeading___Toc2019562_1067777946"/>
      <w:bookmarkStart w:id="1660" w:name="_Toc619"/>
      <w:bookmarkEnd w:id="1659"/>
      <w:r>
        <w:rPr>
          <w:rtl w:val="true"/>
        </w:rPr>
        <w:t>[</w:t>
      </w:r>
      <w:r>
        <w:rPr>
          <w:rtl w:val="true"/>
        </w:rPr>
        <w:t>الإقرار</w:t>
      </w:r>
      <w:r>
        <w:rPr>
          <w:rtl w:val="true"/>
        </w:rPr>
        <w:t>]</w:t>
      </w:r>
      <w:bookmarkEnd w:id="166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وتقوم مقامه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تعذّر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تصديق، فإذا وقعت في جواب الاستفهام، كانت تصديقاً لما دخل عليه الاستفهام، فتكون تصديقاً للنفي، وذلك منافٍ للإقرار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تكذيب له؛ لأنّ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عليها الألف، فهي للردِّ والاستدراك، وإذا كان كذلك،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الذي دخل عليه حرف الاستفهام ونفي له، ونفي النفي إثبات، ومِن هنا 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كفروا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التردّد في نَعَم ممّا ذكر، ومِن قول جماعة من أهل العربيَّة بمساواتها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نقل عن سيبويه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والعرف مطابق لذلك أيضاً، ولعلَّه الحجَّة</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بكونها إقراراً أقوى، كما اختاره الشهيد في الدروس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661" w:name="pg10178_84176"/>
    </w:p>
    <w:p>
      <w:pPr>
        <w:pStyle w:val="BookText"/>
        <w:rPr/>
      </w:pPr>
      <w:bookmarkEnd w:id="166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إقراراً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اقتضى الاستعمال عرفاً عدم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وإلّا فلا</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2019564_1067777946"/>
      <w:bookmarkStart w:id="1663" w:name="_Toc620"/>
      <w:bookmarkEnd w:id="1662"/>
      <w:r>
        <w:rPr>
          <w:rtl w:val="true"/>
        </w:rPr>
        <w:t>[</w:t>
      </w:r>
      <w:r>
        <w:rPr>
          <w:rtl w:val="true"/>
        </w:rPr>
        <w:t>في المُقرّ به</w:t>
      </w:r>
      <w:r>
        <w:rPr>
          <w:rtl w:val="true"/>
        </w:rPr>
        <w:t>]</w:t>
      </w:r>
      <w:bookmarkEnd w:id="16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ويقبل لو أقرّ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للإقرار للحمل 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ينسبه إلى سبب صحيح شرعاً، كالوصيَّة له والميراث، فلا إشكال في الصحّة؛ للاتّفاق على صحَّة الوصيَّة له، وأنّه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يَعْزِيَه إلى سبب ممتنع، كالجانية عليه والمعاملة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الإقرار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rtl w:val="true"/>
          <w:lang w:bidi="fa-IR"/>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 واللغو الضميمة؛ لاقتضائها إبطال الإقرار، فتكون منافية له فتلغو، ويجري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من ثمن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لأنّ الكلام لا يتمّ إلّا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وفيه أيضاً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تنزيلاً على المحتمل، وصوناً لكلام المكلَّف عن اللغو، ولعموم الخبر، ولأنّا قد بيَّنّا أنّه لو عزاه إلى سبب مبطل، لغى السبب وصحّ الإقرار، فهنا أولى</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2019566_1067777946"/>
      <w:bookmarkStart w:id="1665" w:name="_Toc621"/>
      <w:bookmarkEnd w:id="1664"/>
      <w:r>
        <w:rPr>
          <w:rtl w:val="true"/>
        </w:rPr>
        <w:t>[</w:t>
      </w:r>
      <w:r>
        <w:rPr>
          <w:rtl w:val="true"/>
        </w:rPr>
        <w:t>في المُقرّ به</w:t>
      </w:r>
      <w:r>
        <w:rPr>
          <w:rtl w:val="true"/>
        </w:rPr>
        <w:t>]</w:t>
      </w:r>
      <w:bookmarkEnd w:id="1665"/>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يملك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بما لم تجر العادة بملكه كقشر جوزة أو حبَّة حنطة أو بما لا يملك للمسلم كالخمر، لم يقبل منه</w:t>
      </w:r>
      <w:r>
        <w:rPr>
          <w:rFonts w:eastAsia="Amiri" w:cs="Amiri" w:ascii="Amiri" w:hAnsi="Amiri"/>
          <w:color w:val="111111"/>
          <w:sz w:val="28"/>
          <w:szCs w:val="28"/>
          <w:rtl w:val="true"/>
          <w:lang w:bidi="ar-SA"/>
        </w:rPr>
        <w:t xml:space="preserve">. </w:t>
      </w:r>
      <w:bookmarkStart w:id="1666" w:name="pg10178_84177"/>
    </w:p>
    <w:p>
      <w:pPr>
        <w:pStyle w:val="BookText"/>
        <w:rPr/>
      </w:pPr>
      <w:bookmarkEnd w:id="166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فالكلّ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Style w:val="FootnoteAnchor"/>
          <w:rtl w:val="true"/>
        </w:rPr>
        <w:footnoteReference w:id="763"/>
      </w:r>
      <w:r>
        <w:rPr>
          <w:rFonts w:ascii="Amiri" w:hAnsi="Amiri" w:eastAsia="Amiri" w:cs="Amiri"/>
          <w:color w:val="111111"/>
          <w:sz w:val="28"/>
          <w:sz w:val="28"/>
          <w:szCs w:val="28"/>
          <w:rtl w:val="true"/>
          <w:lang w:bidi="ar-SA"/>
        </w:rPr>
        <w:t>أنّ الدرهم لا يصلح لتفسير الألف المبهمة لمكان العطف، بخلاف ما لو وقع مفسِّراً بعد المبهم وإن تعدّد، والاستعمال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 فالإقرار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الرفع أو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الجرِّ فيلزمه جزء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فتقديره شيء هو درهم، فيكون الدرهم بدلاً معنويّاً من كذا، لا صناعيّاً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 على التمييز، فيكون قد ميَّز القدر المبهم جنسُه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عشرون؛ لأنّ أقلَّ عدد مفرد ينصب مميِّزه عشرون فصاعداً، فيحمل على الأقلِّ </w:t>
      </w:r>
      <w:r>
        <w:rPr>
          <w:rStyle w:val="FootnoteAnchor"/>
          <w:rtl w:val="true"/>
        </w:rPr>
        <w:footnoteReference w:id="764"/>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الجرِّ فكذا كناية عن الجزء ليطابق العربيَّة؛ لتعذّر جزء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الوقف ؛ لدورانه بين الأقل والأكثر، وصلاحيته لهما، فيقتصر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مع الجرِّ مائة؛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العدد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بمنزلة المميِّز، وأقلّ عدد مفرد يكون مميِّزه مجروراً مائةٌ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pStyle w:val="Heading4"/>
        <w:numPr>
          <w:ilvl w:val="3"/>
          <w:numId w:val="1"/>
        </w:numPr>
        <w:rPr/>
      </w:pPr>
      <w:bookmarkStart w:id="1667" w:name="__RefHeading___Toc2019568_1067777946"/>
      <w:bookmarkStart w:id="1668" w:name="_Toc622"/>
      <w:bookmarkEnd w:id="1667"/>
      <w:r>
        <w:rPr>
          <w:rtl w:val="true"/>
        </w:rPr>
        <w:t>[</w:t>
      </w:r>
      <w:r>
        <w:rPr>
          <w:rtl w:val="true"/>
        </w:rPr>
        <w:t>في الاستثناء</w:t>
      </w:r>
      <w:r>
        <w:rPr>
          <w:rtl w:val="true"/>
        </w:rPr>
        <w:t>]</w:t>
      </w:r>
      <w:bookmarkEnd w:id="16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نقصان المستثنى عن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الباقي منه بعد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الخمسة ينفي خمسة؛ لأنّها نفي واستثناء الثلاثة يُبْقي ثمانية؛ لأنّها إثبات، وقس على ذلك</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الإقرار بالأربعة</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كذلك؛ لأنّ الاستثناء الأخير إذا كان بقدر الأوّل رجعا جميعاً إلى المستثنى منه، وكذا لو كان الثاني أكثر من الأوّل، وكذا الحكم لو كان الاستثناء بواو العطف،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عشر إلّا ثلاثة وإلّا ثلاثة، ففي هذه الصور </w:t>
      </w:r>
      <w:bookmarkStart w:id="1669" w:name="pg10178_84178"/>
    </w:p>
    <w:p>
      <w:pPr>
        <w:pStyle w:val="BookText"/>
        <w:rPr/>
      </w:pPr>
      <w:bookmarkEnd w:id="1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رجعا جميعاً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قاعدة مطَّردة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الاستثناء راجع إلى الجملة الأخيرة ولا يصحّ عوده إلى الأُولى، فلا سبيل إلى صحّة الاستثناء حينئذٍ؛ لكونه مستغرقاً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بعوده إلى الجملتين فيلزمه درهم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يستغرق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استغرق بطل التفسير وطولب بغيره</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2019570_1067777946"/>
      <w:bookmarkStart w:id="1671" w:name="_Toc623"/>
      <w:bookmarkEnd w:id="1670"/>
      <w:r>
        <w:rPr>
          <w:rtl w:val="true"/>
        </w:rPr>
        <w:t>[</w:t>
      </w:r>
      <w:r>
        <w:rPr>
          <w:rtl w:val="true"/>
        </w:rPr>
        <w:t>الإقرار بالنسب</w:t>
      </w:r>
      <w:r>
        <w:rPr>
          <w:rtl w:val="true"/>
        </w:rPr>
        <w:t>]</w:t>
      </w:r>
      <w:bookmarkEnd w:id="167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الإقرار بالولد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المقرّ بالولد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 فالأصحّ أنّها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الأب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لحوق الولد بها من التصديق، اقتصاراً على محلِّ الوفاق، ولإمكان إقامتها البيِّنة على الوِلادة، بخلاف الأب فإنّ انتساب الولد إليه غير محسوس، فتمتنع إقامة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كذّبه ضمن المقرّ ما كان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العمّ بأخ ثمّ أقرّ العمّ بولد، فإن صدّقه الأخ فلا بحث، وإن كذّبه فالتركة للأخ؛ لأنّه استحقّها بالإقرار فلا يلتفت إلى الرجوع، لكن يغرم العمّ للولد التركة؛ لأنّه فوَّتها عليه بإقراره الأوّل على ما اختاره المصنِّف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إقراره بالأخ لا يستلزم كونه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التفصيل، فإن كان مع إقراره بالأخ سلَّمه التركة من غير حكم الحاكم ضَمِن، وإن دفعها إليه بعد بحث الحاكم عن الوارث واجتهاده فلم يظهر عليه الأخ، وأَمَرَه بدفعها إليه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البحث بين نفي العمِّ وارثاً غير الأخ أو لا، على أصحّ القولين، وكذا الإقرار بالمساوي ثمّ بالأولى</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يُكَذِّبَ نفسه فيغرم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ثبوت غرمه للثاني بمجرّد الإقرار، </w:t>
      </w:r>
    </w:p>
    <w:p>
      <w:pPr>
        <w:pStyle w:val="BookText"/>
        <w:rPr/>
      </w:pPr>
      <w:r>
        <w:rPr>
          <w:rFonts w:ascii="Amiri" w:hAnsi="Amiri" w:eastAsia="Amiri" w:cs="Amiri"/>
          <w:color w:val="111111"/>
          <w:sz w:val="28"/>
          <w:sz w:val="28"/>
          <w:szCs w:val="28"/>
          <w:rtl w:val="true"/>
          <w:lang w:bidi="ar-SA"/>
        </w:rPr>
        <w:t>سواء أكذّب نفسه في الإقرار الأوّل أم لا؟</w:t>
      </w:r>
    </w:p>
    <w:p>
      <w:pPr>
        <w:pStyle w:val="BookText"/>
        <w:rPr/>
      </w:pPr>
      <w:r>
        <w:rPr>
          <w:rFonts w:ascii="Amiri" w:hAnsi="Amiri" w:eastAsia="Amiri" w:cs="Amiri"/>
          <w:color w:val="111111"/>
          <w:sz w:val="28"/>
          <w:sz w:val="28"/>
          <w:szCs w:val="28"/>
          <w:rtl w:val="true"/>
          <w:lang w:bidi="ar-SA"/>
        </w:rPr>
        <w:t xml:space="preserve">ولو أظهر لإقراره للثاني </w:t>
      </w:r>
      <w:r>
        <w:rPr>
          <w:rStyle w:val="FootnoteAnchor"/>
          <w:rtl w:val="true"/>
        </w:rPr>
        <w:footnoteReference w:id="768"/>
      </w:r>
      <w:r>
        <w:rPr>
          <w:rFonts w:ascii="Amiri" w:hAnsi="Amiri" w:eastAsia="Amiri" w:cs="Amiri"/>
          <w:color w:val="111111"/>
          <w:sz w:val="28"/>
          <w:sz w:val="28"/>
          <w:szCs w:val="28"/>
          <w:rtl w:val="true"/>
          <w:lang w:bidi="ar-SA"/>
        </w:rPr>
        <w:t>تأويلاً يمكن في حقِّه،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تزوَّجها في عدَّة الأوّل ثمّ ماتت وظننت أنّه يرثها زوجان، فالأقرب القبول، وإن لم يكن في حقِّه ذلك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في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أقرَّ بزوجة ثمّ بأُخرى، فإن تصادقتا اقتسمتا الحصّة، وإن كذَّبته الأُولى غرم للثانية نصف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بثالثة غرم لها الثلث مع التكذيب، فإن أقرَّ برابعة غرم لها الربع، فإذا أقرَّ بخامسة غرم لها الربع أيضاً بمجرّد الإقرار</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الزوج مريضاً وتزوّج بعد الطلاق ودخل صحّ الإقرار، ولم يقف على حدّ إذا مات في سنته، فيشترك الجميع في النصيب مع التصادق، ويغرم للخامسة خمس النصيب، وللسادسة سدسه، وهكذا مع التكذيب</w:t>
      </w:r>
      <w:r>
        <w:rPr>
          <w:rFonts w:eastAsia="Amiri" w:cs="Amiri" w:ascii="Amiri" w:hAnsi="Amiri"/>
          <w:color w:val="111111"/>
          <w:sz w:val="28"/>
          <w:szCs w:val="28"/>
          <w:rtl w:val="true"/>
          <w:lang w:bidi="ar-SA"/>
        </w:rPr>
        <w:t xml:space="preserve">. </w:t>
      </w:r>
      <w:bookmarkStart w:id="1672" w:name="pg10178_84180"/>
    </w:p>
    <w:p>
      <w:pPr>
        <w:pStyle w:val="Heading3"/>
        <w:numPr>
          <w:ilvl w:val="2"/>
          <w:numId w:val="1"/>
        </w:numPr>
        <w:rPr/>
      </w:pPr>
      <w:bookmarkStart w:id="1673" w:name="__RefHeading___Toc2019572_1067777946"/>
      <w:bookmarkStart w:id="1674" w:name="_Toc624"/>
      <w:bookmarkEnd w:id="1672"/>
      <w:bookmarkEnd w:id="1673"/>
      <w:r>
        <w:rPr>
          <w:rtl w:val="true"/>
        </w:rPr>
        <w:t>كتاب الأيمان</w:t>
      </w:r>
      <w:bookmarkEnd w:id="1674"/>
    </w:p>
    <w:p>
      <w:pPr>
        <w:pStyle w:val="Heading4"/>
        <w:numPr>
          <w:ilvl w:val="3"/>
          <w:numId w:val="1"/>
        </w:numPr>
        <w:rPr/>
      </w:pPr>
      <w:bookmarkStart w:id="1675" w:name="__RefHeading___Toc2019574_1067777946"/>
      <w:bookmarkStart w:id="1676" w:name="_Toc625"/>
      <w:bookmarkEnd w:id="1675"/>
      <w:r>
        <w:rPr>
          <w:rtl w:val="true"/>
        </w:rPr>
        <w:t>[</w:t>
      </w:r>
      <w:r>
        <w:rPr>
          <w:rtl w:val="true"/>
        </w:rPr>
        <w:t>ما به تنعقد</w:t>
      </w:r>
      <w:r>
        <w:rPr>
          <w:rtl w:val="true"/>
        </w:rPr>
        <w:t>]</w:t>
      </w:r>
      <w:bookmarkEnd w:id="16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وبأسمائه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كالرحمن والرحيم والقديم والأزلي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ما لا ينصرف إطلاقه إليه، كالموجود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والسميع والبصير وإن نوى بها الحلف؛ لسقوط الحرمة بالمشارَكَة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أحلف،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حالفاً فليحلف بالله أو لَيَذَر</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كان يميناً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والعين وضمّ الراء، واللام فيه لتوكيد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قسمي، فإن لم تأت باللام نصبتَه نصب المصادر،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لعَمْرُ اللهِ وعَمْرَ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ببقاء الله ودوامه، ذكره الجوهري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اتّصل بما جرت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يفصل بالتنفّس والسُعال وابتلاع اللقمة وقذف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يشترط التلفّظ بالاستثناء أو تكفي النيَّة والاعتقاد؟ حكى الشارح فيه ثلاثة أقوال </w:t>
      </w:r>
      <w:r>
        <w:rPr>
          <w:rStyle w:val="FootnoteAnchor"/>
          <w:rtl w:val="true"/>
        </w:rPr>
        <w:footnoteReference w:id="771"/>
      </w:r>
      <w:r>
        <w:rPr>
          <w:rFonts w:ascii="Amiri" w:hAnsi="Amiri" w:eastAsia="Amiri" w:cs="Amiri"/>
          <w:color w:val="111111"/>
          <w:sz w:val="28"/>
          <w:sz w:val="28"/>
          <w:szCs w:val="28"/>
          <w:rtl w:val="true"/>
          <w:lang w:bidi="ar-SA"/>
        </w:rPr>
        <w:t>، أقواها اشتراط التلفّظ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اشترطه الفاضلان في القواعد والشرائع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تراخى عن ذلك من غير عذر لزمت اليمين ويسقط</w:t>
      </w:r>
      <w:r>
        <w:rPr>
          <w:rFonts w:eastAsia="Amiri" w:cs="Amiri" w:ascii="Amiri" w:hAnsi="Amiri"/>
          <w:color w:val="111111"/>
          <w:sz w:val="28"/>
          <w:szCs w:val="28"/>
          <w:rtl w:val="true"/>
          <w:lang w:bidi="ar-SA"/>
        </w:rPr>
        <w:t xml:space="preserve">. </w:t>
      </w:r>
      <w:bookmarkStart w:id="1677" w:name="pg10178_84181"/>
    </w:p>
    <w:p>
      <w:pPr>
        <w:pStyle w:val="BookText"/>
        <w:rPr/>
      </w:pPr>
      <w:bookmarkEnd w:id="16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الكافر لا يعرف الله سبحانه كأن يجحده أو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يمينه، وإن كان يجحد فريضة علم ثبوتها من الدين ضرورةً، انعقدت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المحلوف على فعله من الطاعات وجب عليه تقديم الإسلام على فعله، وإلّا وجب عليه فعله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حنث وجبت عليه الكفّارة، ولكن لا يصحّ منه أداؤها إلّا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والمملوك مع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توقّف يمين الثلاثة </w:t>
      </w:r>
      <w:r>
        <w:rPr>
          <w:rStyle w:val="FootnoteAnchor"/>
          <w:rtl w:val="true"/>
        </w:rPr>
        <w:footnoteReference w:id="774"/>
      </w:r>
      <w:r>
        <w:rPr>
          <w:rFonts w:ascii="Amiri" w:hAnsi="Amiri" w:eastAsia="Amiri" w:cs="Amiri"/>
          <w:color w:val="111111"/>
          <w:sz w:val="28"/>
          <w:sz w:val="28"/>
          <w:szCs w:val="28"/>
          <w:rtl w:val="true"/>
          <w:lang w:bidi="ar-SA"/>
        </w:rPr>
        <w:t>على تقديم الإذن، وبدونه تقع باطلةً</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2019576_1067777946"/>
      <w:bookmarkStart w:id="1679" w:name="_Toc626"/>
      <w:bookmarkEnd w:id="1678"/>
      <w:r>
        <w:rPr>
          <w:rtl w:val="true"/>
        </w:rPr>
        <w:t>[</w:t>
      </w:r>
      <w:r>
        <w:rPr>
          <w:rtl w:val="true"/>
        </w:rPr>
        <w:t>في متعلّق اليمين</w:t>
      </w:r>
      <w:r>
        <w:rPr>
          <w:rtl w:val="true"/>
        </w:rPr>
        <w:t>]</w:t>
      </w:r>
      <w:bookmarkEnd w:id="16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يمين إلّا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يَحْلِف عليه ماضياً ومستقبلاً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بالغموس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الحلف على الماضي كذباً، سمِّيت بذلك؛ لأنّها تَغْمِس صاحبَها في الذنب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الكبائر المتوعَّد عليها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الحلف على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بالقليلِ مِن المال ثلاثون درهماً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 لبن أولادها ولحومهم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قصر التحريم على المحلوف عليها، والرواية ضعيفة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فحلف بالأيمان أن لا يمسَّها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قصد الحرام أو أطلق، فالعمل بالرواية </w:t>
      </w:r>
      <w:r>
        <w:rPr>
          <w:rStyle w:val="FootnoteAnchor"/>
          <w:rtl w:val="true"/>
        </w:rPr>
        <w:footnoteReference w:id="777"/>
      </w:r>
      <w:r>
        <w:rPr>
          <w:rFonts w:ascii="Amiri" w:hAnsi="Amiri" w:eastAsia="Amiri" w:cs="Amiri"/>
          <w:color w:val="111111"/>
          <w:sz w:val="28"/>
          <w:sz w:val="28"/>
          <w:szCs w:val="28"/>
          <w:rtl w:val="true"/>
          <w:lang w:bidi="ar-SA"/>
        </w:rPr>
        <w:t>متّجه، وإن قصد التعميم لم يحلّ إلّا مع رجحان الوطء</w:t>
      </w:r>
      <w:r>
        <w:rPr>
          <w:rFonts w:eastAsia="Amiri" w:cs="Amiri" w:ascii="Amiri" w:hAnsi="Amiri"/>
          <w:color w:val="111111"/>
          <w:sz w:val="28"/>
          <w:szCs w:val="28"/>
          <w:rtl w:val="true"/>
          <w:lang w:bidi="ar-SA"/>
        </w:rPr>
        <w:t xml:space="preserve">. </w:t>
      </w:r>
      <w:bookmarkStart w:id="1680" w:name="pg10178_84182"/>
    </w:p>
    <w:p>
      <w:pPr>
        <w:pStyle w:val="Heading3"/>
        <w:numPr>
          <w:ilvl w:val="2"/>
          <w:numId w:val="1"/>
        </w:numPr>
        <w:rPr/>
      </w:pPr>
      <w:bookmarkStart w:id="1681" w:name="__RefHeading___Toc2019578_1067777946"/>
      <w:bookmarkStart w:id="1682" w:name="_Toc627"/>
      <w:bookmarkEnd w:id="1680"/>
      <w:bookmarkEnd w:id="1681"/>
      <w:r>
        <w:rPr>
          <w:rtl w:val="true"/>
        </w:rPr>
        <w:t>كتاب النذور والعهود</w:t>
      </w:r>
      <w:bookmarkEnd w:id="1682"/>
    </w:p>
    <w:p>
      <w:pPr>
        <w:pStyle w:val="Heading4"/>
        <w:numPr>
          <w:ilvl w:val="3"/>
          <w:numId w:val="1"/>
        </w:numPr>
        <w:rPr/>
      </w:pPr>
      <w:bookmarkStart w:id="1683" w:name="__RefHeading___Toc2019580_1067777946"/>
      <w:bookmarkStart w:id="1684" w:name="_Toc628"/>
      <w:bookmarkEnd w:id="1683"/>
      <w:r>
        <w:rPr>
          <w:rtl w:val="true"/>
        </w:rPr>
        <w:t>[</w:t>
      </w:r>
      <w:r>
        <w:rPr>
          <w:rtl w:val="true"/>
        </w:rPr>
        <w:t>في الناذر</w:t>
      </w:r>
      <w:r>
        <w:rPr>
          <w:rtl w:val="true"/>
        </w:rPr>
        <w:t>]</w:t>
      </w:r>
      <w:bookmarkEnd w:id="168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للزوج والمالك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الأصحّ توقّف انعقاده على الإذن، فبدونه 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فعل واجب أو ترك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 على جزاء توقّف الجزاء على الإذن، كغيرهما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كغير فعل الواجب وترك المحرّم</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2019582_1067777946"/>
      <w:bookmarkStart w:id="1686" w:name="_Toc629"/>
      <w:bookmarkEnd w:id="1685"/>
      <w:r>
        <w:rPr>
          <w:rtl w:val="true"/>
        </w:rPr>
        <w:t>[</w:t>
      </w:r>
      <w:r>
        <w:rPr>
          <w:rtl w:val="true"/>
        </w:rPr>
        <w:t>في الصيغة</w:t>
      </w:r>
      <w:r>
        <w:rPr>
          <w:rtl w:val="true"/>
        </w:rPr>
        <w:t>]</w:t>
      </w:r>
      <w:bookmarkEnd w:id="16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يكفّر ويفي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ما كان واجباً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2019584_1067777946"/>
      <w:bookmarkStart w:id="1688" w:name="_Toc630"/>
      <w:bookmarkEnd w:id="1687"/>
      <w:r>
        <w:rPr>
          <w:rtl w:val="true"/>
        </w:rPr>
        <w:t>[</w:t>
      </w:r>
      <w:r>
        <w:rPr>
          <w:rtl w:val="true"/>
        </w:rPr>
        <w:t>في متعلّق النذر</w:t>
      </w:r>
      <w:r>
        <w:rPr>
          <w:rtl w:val="true"/>
        </w:rPr>
        <w:t>]</w:t>
      </w:r>
      <w:bookmarkEnd w:id="16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النذر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الشكر عن الزجر في المسألتين بالقصد، أي والفارق بين الشكر والزجر في المسألتين القصد</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في سبيل الله صرفه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فيه قربة، كصدقة ومعونة الحاجّ أو زائر أو طالب علم أو عِمارة مسجد أو مدرسة ونحوها</w:t>
      </w:r>
      <w:r>
        <w:rPr>
          <w:rFonts w:eastAsia="Amiri" w:cs="Amiri" w:ascii="Amiri" w:hAnsi="Amiri"/>
          <w:color w:val="111111"/>
          <w:sz w:val="28"/>
          <w:szCs w:val="28"/>
          <w:rtl w:val="true"/>
          <w:lang w:bidi="ar-SA"/>
        </w:rPr>
        <w:t xml:space="preserve">. </w:t>
      </w:r>
      <w:bookmarkStart w:id="1689" w:name="pg10178_84183"/>
    </w:p>
    <w:p>
      <w:pPr>
        <w:pStyle w:val="BookText"/>
        <w:rPr/>
      </w:pPr>
      <w:bookmarkEnd w:id="168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الصدقة بما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إلّا ما كان في ملكه حين النذر، لا ما يَتَجدّد، ويجب تعجيل الصدقة بما لا يَضرّ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تعجيل الصدقة بما لا يضرّ به</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2019586_1067777946"/>
      <w:bookmarkStart w:id="1691" w:name="_Toc631"/>
      <w:bookmarkEnd w:id="1690"/>
      <w:r>
        <w:rPr>
          <w:rtl w:val="true"/>
        </w:rPr>
        <w:t>[</w:t>
      </w:r>
      <w:r>
        <w:rPr>
          <w:rtl w:val="true"/>
        </w:rPr>
        <w:t>في اللواحق</w:t>
      </w:r>
      <w:r>
        <w:rPr>
          <w:rtl w:val="true"/>
        </w:rPr>
        <w:t>]</w:t>
      </w:r>
      <w:bookmarkEnd w:id="16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بمدّ</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 لا يتضيَّق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فَعَلَ ذلك في غيره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تعيّن الزمان والمكان بتعيينهما مطلقاً، سواء اشتملا على المزيَّة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إِن رُزِقَ ولداً حجَّ به أو 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الصبيّ واستطاع بالمال حجّ به أجزأ عنه وعن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به أو عنه من أصل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 وأهمل،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إشكال إلّا أن يكون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استوفى شرائط النذر حكم بالتحرير،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يقصد ذلك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إلّا أن يقصد ذلك</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احتاج إلى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الحاجة</w:t>
      </w:r>
      <w:r>
        <w:rPr>
          <w:rFonts w:eastAsia="Amiri" w:cs="Amiri" w:ascii="Amiri" w:hAnsi="Amiri"/>
          <w:color w:val="111111"/>
          <w:sz w:val="28"/>
          <w:szCs w:val="28"/>
          <w:rtl w:val="true"/>
          <w:lang w:bidi="ar-SA"/>
        </w:rPr>
        <w:t xml:space="preserve">. </w:t>
      </w:r>
      <w:bookmarkStart w:id="1692" w:name="pg10178_84184"/>
    </w:p>
    <w:p>
      <w:pPr>
        <w:pStyle w:val="Heading3"/>
        <w:numPr>
          <w:ilvl w:val="2"/>
          <w:numId w:val="1"/>
        </w:numPr>
        <w:rPr/>
      </w:pPr>
      <w:bookmarkStart w:id="1693" w:name="__RefHeading___Toc2019588_1067777946"/>
      <w:bookmarkStart w:id="1694" w:name="_Toc632"/>
      <w:bookmarkEnd w:id="1692"/>
      <w:bookmarkEnd w:id="1693"/>
      <w:r>
        <w:rPr>
          <w:rtl w:val="true"/>
        </w:rPr>
        <w:t>کتاب الصيد والذبائح</w:t>
      </w:r>
      <w:bookmarkEnd w:id="1694"/>
    </w:p>
    <w:p>
      <w:pPr>
        <w:pStyle w:val="Heading4"/>
        <w:numPr>
          <w:ilvl w:val="3"/>
          <w:numId w:val="1"/>
        </w:numPr>
        <w:rPr/>
      </w:pPr>
      <w:bookmarkStart w:id="1695" w:name="__RefHeading___Toc2019590_1067777946"/>
      <w:bookmarkStart w:id="1696" w:name="_Toc633"/>
      <w:bookmarkEnd w:id="1695"/>
      <w:r>
        <w:rPr>
          <w:rtl w:val="true"/>
        </w:rPr>
        <w:t>[</w:t>
      </w:r>
      <w:r>
        <w:rPr>
          <w:rtl w:val="true"/>
        </w:rPr>
        <w:t>الصيد</w:t>
      </w:r>
      <w:r>
        <w:rPr>
          <w:rtl w:val="true"/>
        </w:rPr>
        <w:t>]</w:t>
      </w:r>
      <w:bookmarkEnd w:id="16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والسهم والمعراض إذا 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كلّ آلة محدَّدة، فلا يحلّ ما يقتله المثقَّل، كالحجر والبندق والخشبة غيرِ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الكلب أن يكون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التعليم بالاسترسال عند الإرسال، وعدم أكل الصيد ثلاث مرّات فتحلّ الثالثة، فلو أكل الصيد بعد التعليم مرَّة أو مرَّتين لم يحرم، بل يحرم في الثالثة، ويستمرّ مقتوله محرَّماً إلى أن يترك ثلاث مرّات، فتحلّ الثالثة،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عبرة بها في الأمرين معاً، أعني الأكل وما به يحصل التعليم، فلو ندر استرساله عند الإغراء وانزجاره عند الزجر فليس بمعلَّم، كما أنّه لو ندر أكله فليس بقادح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العادة بمرَّتين فيحلّ في الثالثة، وينبغي كذلك إلى أن يأكله مرَّتين فيحرم في الثالثة،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مسلماً أو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كالصبيِّ المميِّز، ولا يحلّ مَصيد المجنون ولا الطفل غير المميِّز ، وأمّا المكفوف فإن تصوّر فيه قصد الصيد حلّ،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مسمِّياً عند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بالتسمية هنا وفي الذبح والنحر ذكر الله، </w:t>
      </w:r>
      <w:bookmarkStart w:id="1697" w:name="pg10178_84185"/>
    </w:p>
    <w:p>
      <w:pPr>
        <w:pStyle w:val="BookText"/>
        <w:rPr/>
      </w:pPr>
      <w:bookmarkEnd w:id="1697"/>
      <w:r>
        <w:rPr>
          <w:rFonts w:ascii="Amiri" w:hAnsi="Amiri" w:eastAsia="Amiri" w:cs="Amiri"/>
          <w:color w:val="111111"/>
          <w:sz w:val="28"/>
          <w:sz w:val="28"/>
          <w:szCs w:val="28"/>
          <w:rtl w:val="true"/>
          <w:lang w:bidi="ar-SA"/>
        </w:rPr>
        <w:t>المشتمل على التعظيم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ترك التسمية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التسمية عند الإرسال وسمّى عند عضِّ الكلب فالوجه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وحياته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الإسراع حال الإصابة بالسهم أو الكلب ليُدْرِك ذَكاته، فإن أدركها فعل، وإلّا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رمى صيداً فأصاب غيره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المعتبر قصد جنس الصيد لا عينه، فلا يضرّ الخطأ في العين</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2019592_1067777946"/>
      <w:bookmarkStart w:id="1699" w:name="_Toc634"/>
      <w:bookmarkEnd w:id="1698"/>
      <w:r>
        <w:rPr>
          <w:rtl w:val="true"/>
        </w:rPr>
        <w:t>[</w:t>
      </w:r>
      <w:r>
        <w:rPr>
          <w:rtl w:val="true"/>
        </w:rPr>
        <w:t>الذابح والآلة</w:t>
      </w:r>
      <w:r>
        <w:rPr>
          <w:rtl w:val="true"/>
        </w:rPr>
        <w:t>]</w:t>
      </w:r>
      <w:bookmarkEnd w:id="16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تسميته فكل</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 ويحمل الجواز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ذبيحة المعادي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الناصبي والخارجي، وفي حكمه الغالي والمجسِّمة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مَرْوَةً أو لِيْطَةً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بيضاء برّاقَةٌ تُوري النار، وأصلب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القصبة والقوس والقناة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الظفر والسنِّ مع الضرورة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قويّ، وكذا بكلِّ ما يَفْري عند تعذّر الحديد</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2019594_1067777946"/>
      <w:bookmarkStart w:id="1701" w:name="_Toc635"/>
      <w:bookmarkEnd w:id="1700"/>
      <w:r>
        <w:rPr>
          <w:rtl w:val="true"/>
        </w:rPr>
        <w:t>[</w:t>
      </w:r>
      <w:r>
        <w:rPr>
          <w:rtl w:val="true"/>
        </w:rPr>
        <w:t>الكيفيّة</w:t>
      </w:r>
      <w:r>
        <w:rPr>
          <w:rtl w:val="true"/>
        </w:rPr>
        <w:t>]</w:t>
      </w:r>
      <w:bookmarkEnd w:id="1701"/>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الحركة</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الاكتفاء بحركته بعد الذبح، وإن خرج </w:t>
      </w:r>
    </w:p>
    <w:p>
      <w:pPr>
        <w:pStyle w:val="BookText"/>
        <w:rPr/>
      </w:pPr>
      <w:r>
        <w:rPr>
          <w:rFonts w:ascii="Amiri" w:hAnsi="Amiri" w:eastAsia="Amiri" w:cs="Amiri"/>
          <w:color w:val="111111"/>
          <w:sz w:val="28"/>
          <w:sz w:val="28"/>
          <w:szCs w:val="28"/>
          <w:rtl w:val="true"/>
          <w:lang w:bidi="ar-SA"/>
        </w:rPr>
        <w:t>الدم المعتدل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تحرم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الفعل دون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ونَخْع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 النخاع قبل أن يموت الحيوان، والأصحّ تحريم الفعل دون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 السكين في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يُدْخِل السكّين في وسط اللحم ويَذْبَح إلى فوق، فيقطع إلى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سلخ الذبيحة قبل 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الفعل دون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يباع في أسواق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بسوق الإسلام ما كان أغلب أهله مسلمين، ولا عبرة بنفوذ الأحكام وتسلّط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ابتياعه من غير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واجباً ولا مستحبّاً وإن كان البائع غير معتَقد للحقِّ، ما لم يحكم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يعتبر في المُخْرِج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يحلّ ما أخرجه الكافر إلّا مع مشاهدة المسلم الصيد بعد الإخراج حيّاً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المبادَرَةُ إلى إخراجه، فلو كان بحيث لو بادر خَرَجَ حيّاً حَرُمَ بتركها إذا وجده ميِّتاً</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مع إشعاره أن لا تلجه الروح</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 xml:space="preserve">. </w:t>
      </w:r>
      <w:bookmarkStart w:id="1702" w:name="pg10178_84187"/>
    </w:p>
    <w:p>
      <w:pPr>
        <w:pStyle w:val="Heading3"/>
        <w:numPr>
          <w:ilvl w:val="2"/>
          <w:numId w:val="1"/>
        </w:numPr>
        <w:rPr/>
      </w:pPr>
      <w:bookmarkStart w:id="1703" w:name="__RefHeading___Toc2019596_1067777946"/>
      <w:bookmarkStart w:id="1704" w:name="_Toc636"/>
      <w:bookmarkEnd w:id="1702"/>
      <w:bookmarkEnd w:id="1703"/>
      <w:r>
        <w:rPr>
          <w:rtl w:val="true"/>
        </w:rPr>
        <w:t>كتاب الأطعمة والأشربة</w:t>
      </w:r>
      <w:bookmarkEnd w:id="1704"/>
    </w:p>
    <w:p>
      <w:pPr>
        <w:pStyle w:val="Heading4"/>
        <w:numPr>
          <w:ilvl w:val="3"/>
          <w:numId w:val="1"/>
        </w:numPr>
        <w:rPr/>
      </w:pPr>
      <w:bookmarkStart w:id="1705" w:name="__RefHeading___Toc2019598_1067777946"/>
      <w:bookmarkStart w:id="1706" w:name="_Toc637"/>
      <w:bookmarkEnd w:id="1705"/>
      <w:r>
        <w:rPr>
          <w:rtl w:val="true"/>
        </w:rPr>
        <w:t>[</w:t>
      </w:r>
      <w:r>
        <w:rPr>
          <w:rtl w:val="true"/>
        </w:rPr>
        <w:t>في حيوان البحر</w:t>
      </w:r>
      <w:r>
        <w:rPr>
          <w:rtl w:val="true"/>
        </w:rPr>
        <w:t>]</w:t>
      </w:r>
      <w:bookmarkEnd w:id="17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زال عنه كالكنعَت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الكنعَت بالكافِ والنون والعين المهملة والتاء المثنّاة من فوق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الكنعد بالدال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السمك له فَلْس ضعيف يَحْتَكّ بالرمل الحرارته، فيذهب عنه فَلْسُه ثُمَّ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الرِبِيثا والإرْبِيان والطِمْر والطَبَرانيّ والإبلاميّ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الرِبِيثا بكسر الراء والباء الموحَّدة والياء المثنّاة من تحت الساكنة والثاء المثلَّثة والألف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والإربِيان بكسر الهمزة وكسر الباء الموَحَّدة والياء المثنّاة من تحت، ثمّ الألف المقصورة والنون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السمك أبيض كالدود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والطِمْر بكسر الطاء المهملة والميم الساكنة والراء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والطَبَراني بالطاء المهملة المفتوحة والباء الموَحَّدة المفتوحة والراء المهملة والنون المكسورة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والإبلامي بكسر الهمزة وسكون 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يؤكل السُلَحْفاة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والحاء المهملة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الزِمار والمارماهيّ والزهر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فَلْس حلَّت، وإلّا فلا</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في جوف سمكة سمكة أُخرى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تحقّقت حياتها بعد </w:t>
      </w:r>
      <w:bookmarkStart w:id="1707" w:name="pg10178_84188"/>
    </w:p>
    <w:p>
      <w:pPr>
        <w:pStyle w:val="BookText"/>
        <w:rPr/>
      </w:pPr>
      <w:bookmarkEnd w:id="1707"/>
      <w:r>
        <w:rPr>
          <w:rFonts w:ascii="IRNazanin" w:hAnsi="IRNazanin" w:eastAsia="IRNazanin"/>
          <w:color w:val="111111"/>
          <w:sz w:val="28"/>
          <w:sz w:val="28"/>
          <w:szCs w:val="28"/>
          <w:rtl w:val="true"/>
          <w:lang w:bidi="fa-IR"/>
        </w:rPr>
        <w:t>الإخراج من الماء،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والاجتناب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2019600_1067777946"/>
      <w:bookmarkStart w:id="1709" w:name="_Toc638"/>
      <w:bookmarkEnd w:id="1708"/>
      <w:r>
        <w:rPr>
          <w:rtl w:val="true"/>
        </w:rPr>
        <w:t>[</w:t>
      </w:r>
      <w:r>
        <w:rPr>
          <w:rtl w:val="true"/>
        </w:rPr>
        <w:t>في الطير</w:t>
      </w:r>
      <w:r>
        <w:rPr>
          <w:rtl w:val="true"/>
        </w:rPr>
        <w:t>]</w:t>
      </w:r>
      <w:bookmarkEnd w:id="17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الغُراب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تحريم الغُراب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ليس له 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بمنزلة المَصارين من غيره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الصِيصِيَةُ بكسر أوّلها بغير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الزائدة في باطن رِجل الطائر بمنزلة الإبهام من بني آدم؛ لأنّها شوك، ويقال للشوكة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صِيصِية أيضاً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والكراهيَة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والشقراق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كقرطاس، والشرقراق بالفتح والكسر والشرقرق كسفرجل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 مُرَقَّط بخُضْرَةٍ وحُمْرَةٍ وبَياضٍ، ويكون بأرض الحرم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شرب خمراً،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الخمر لطيف نفّاذ تشربه الأمعاء فلا تطهر بالغسل فتحرم، والبول كثيف غير نَفّاذ فلا يصلح للتغذية، فتظهر الأمعاء منه بالغسل فلا تحرُم</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2019602_1067777946"/>
      <w:bookmarkStart w:id="1711" w:name="_Toc639"/>
      <w:bookmarkEnd w:id="1710"/>
      <w:r>
        <w:rPr>
          <w:rtl w:val="true"/>
        </w:rPr>
        <w:t>[</w:t>
      </w:r>
      <w:r>
        <w:rPr>
          <w:rtl w:val="true"/>
        </w:rPr>
        <w:t>في الجامد</w:t>
      </w:r>
      <w:r>
        <w:rPr>
          <w:rtl w:val="true"/>
        </w:rPr>
        <w:t>]</w:t>
      </w:r>
      <w:bookmarkEnd w:id="171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غسل ظاهر الإنفحة؛ لملاقاة الميتة 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والإنفحة بكسر الهمزة وفتح الفاء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كَرِش الجدي ما لم يأكل، فإذا أكل فهو كَرِيش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والعِلباء والنخاع وذات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العِلباء بالعين المهملة المكسورة واللام </w:t>
      </w:r>
      <w:bookmarkStart w:id="1712" w:name="pg10178_84189"/>
    </w:p>
    <w:p>
      <w:pPr>
        <w:pStyle w:val="BookText"/>
        <w:rPr/>
      </w:pPr>
      <w:bookmarkEnd w:id="1712"/>
      <w:r>
        <w:rPr>
          <w:rFonts w:ascii="IRNazanin" w:hAnsi="IRNazanin" w:eastAsia="IRNazanin"/>
          <w:color w:val="111111"/>
          <w:sz w:val="28"/>
          <w:sz w:val="28"/>
          <w:szCs w:val="28"/>
          <w:rtl w:val="true"/>
          <w:lang w:bidi="fa-IR"/>
        </w:rPr>
        <w:t>الساكنة والباء الموحّدة المفتوحة والألف الممدودة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عصبتان عریضتان ممدودتان من الرقبة إلى عَجْب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في وسط الظهر ويسمّى الوَتين، لا قِوام للحيوان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الأصابع التي تتَّصل بعَصَب ظاهر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وخرزة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المخّ الكائن في وسط الدِماغ شبه الدودة بقدر الحِمْصَة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بالجواز</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 لكن لو وَضَعَه بعد الخَبْزِ في الكثير وتخلَّله طَهُرَ</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2019604_1067777946"/>
      <w:bookmarkStart w:id="1714" w:name="_Toc640"/>
      <w:bookmarkEnd w:id="1713"/>
      <w:r>
        <w:rPr>
          <w:rtl w:val="true"/>
        </w:rPr>
        <w:t>[</w:t>
      </w:r>
      <w:r>
        <w:rPr>
          <w:rtl w:val="true"/>
        </w:rPr>
        <w:t>في المائعات</w:t>
      </w:r>
      <w:r>
        <w:rPr>
          <w:rtl w:val="true"/>
        </w:rPr>
        <w:t>]</w:t>
      </w:r>
      <w:bookmarkEnd w:id="17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 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تحت الأظلَّة تعبّد شرعيّ لا لنجاسة دخانِة، فإنّ دخان الأعيان النجسة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بول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له منفعة حكمِيَّة حلّ،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والتاء وسكونها جمع أتان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الحمارة للذكر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أتانة</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2019606_1067777946"/>
      <w:bookmarkStart w:id="1716" w:name="_Toc641"/>
      <w:bookmarkEnd w:id="1715"/>
      <w:r>
        <w:rPr>
          <w:rtl w:val="true"/>
        </w:rPr>
        <w:t>[</w:t>
      </w:r>
      <w:r>
        <w:rPr>
          <w:rtl w:val="true"/>
        </w:rPr>
        <w:t>في اللواحق</w:t>
      </w:r>
      <w:r>
        <w:rPr>
          <w:rtl w:val="true"/>
        </w:rPr>
        <w:t>]</w:t>
      </w:r>
      <w:bookmarkEnd w:id="1716"/>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اضطرّ استعمل ما لا دسم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دَسَمه بأن يلقى في فخّار ويجعل في النار حتّى يذهب دَسَمه؛ لرواية بَرْد </w:t>
      </w:r>
      <w:r>
        <w:rPr>
          <w:rStyle w:val="FootnoteAnchor"/>
          <w:rtl w:val="true"/>
        </w:rPr>
        <w:footnoteReference w:id="790"/>
      </w:r>
      <w:r>
        <w:rPr>
          <w:rFonts w:ascii="IRNazanin" w:hAnsi="IRNazanin" w:eastAsia="IRNazanin"/>
          <w:color w:val="111111"/>
          <w:sz w:val="28"/>
          <w:sz w:val="28"/>
          <w:szCs w:val="28"/>
          <w:rtl w:val="true"/>
          <w:lang w:bidi="fa-IR"/>
        </w:rPr>
        <w:t xml:space="preserve">الإسكاف عن الصادق علیه السلام </w:t>
      </w:r>
      <w:r>
        <w:rPr>
          <w:rStyle w:val="FootnoteAnchor"/>
          <w:rtl w:val="true"/>
        </w:rPr>
        <w:footnoteReference w:id="791"/>
      </w:r>
      <w:r>
        <w:rPr>
          <w:rFonts w:ascii="Amiri" w:hAnsi="Amiri" w:eastAsia="Amiri" w:cs="Amiri"/>
          <w:color w:val="111111"/>
          <w:sz w:val="28"/>
          <w:sz w:val="28"/>
          <w:szCs w:val="28"/>
          <w:rtl w:val="true"/>
          <w:lang w:bidi="ar-SA"/>
        </w:rPr>
        <w:t>، وغَسَلَ يده مع الرطوبة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الاستقاء بجلود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انبسط فهو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وردت الرواية </w:t>
      </w:r>
      <w:r>
        <w:rPr>
          <w:rStyle w:val="FootnoteAnchor"/>
          <w:rtl w:val="true"/>
        </w:rPr>
        <w:footnoteReference w:id="792"/>
      </w:r>
      <w:r>
        <w:rPr>
          <w:rFonts w:ascii="Amiri" w:hAnsi="Amiri" w:eastAsia="Amiri" w:cs="Amiri"/>
          <w:color w:val="111111"/>
          <w:sz w:val="28"/>
          <w:sz w:val="28"/>
          <w:szCs w:val="28"/>
          <w:rtl w:val="true"/>
          <w:lang w:bidi="ar-SA"/>
        </w:rPr>
        <w:t xml:space="preserve">، وتوقّف فيه المصنِّف في الشرائع </w:t>
      </w:r>
      <w:r>
        <w:rPr>
          <w:rStyle w:val="FootnoteAnchor"/>
          <w:rtl w:val="true"/>
        </w:rPr>
        <w:footnoteReference w:id="793"/>
      </w:r>
      <w:r>
        <w:rPr>
          <w:rFonts w:ascii="Amiri" w:hAnsi="Amiri" w:eastAsia="Amiri" w:cs="Amiri"/>
          <w:color w:val="111111"/>
          <w:sz w:val="28"/>
          <w:sz w:val="28"/>
          <w:szCs w:val="28"/>
          <w:rtl w:val="true"/>
          <w:lang w:bidi="ar-SA"/>
        </w:rPr>
        <w:t xml:space="preserve">، حيث حكاه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العلّامة اجتنابه للشكّ في التذكية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الميتة</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يقصد ولا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تطهر إذا انقلبت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تكون نجاسته مستَنِدةً إلى التخمير، فلو حصلت له نجاسة أُخرى قبل التخليل كمباشَرة الكافر لم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الإسلاف في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غليانه، أمّا بعده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التحريم؛ للرواية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والاستشفاء بمياه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تخرج من فَوح </w:t>
      </w:r>
      <w:r>
        <w:rPr>
          <w:rStyle w:val="FootnoteAnchor"/>
          <w:rtl w:val="true"/>
        </w:rPr>
        <w:footnoteReference w:id="797"/>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bookmarkStart w:id="1717" w:name="pg10178_84191"/>
    </w:p>
    <w:p>
      <w:pPr>
        <w:pStyle w:val="Heading3"/>
        <w:numPr>
          <w:ilvl w:val="2"/>
          <w:numId w:val="1"/>
        </w:numPr>
        <w:rPr/>
      </w:pPr>
      <w:bookmarkStart w:id="1718" w:name="__RefHeading___Toc2019608_1067777946"/>
      <w:bookmarkStart w:id="1719" w:name="_Toc642"/>
      <w:bookmarkEnd w:id="1717"/>
      <w:bookmarkEnd w:id="1718"/>
      <w:r>
        <w:rPr>
          <w:rtl w:val="true"/>
        </w:rPr>
        <w:t>كتاب الغصب</w:t>
      </w:r>
      <w:bookmarkEnd w:id="1719"/>
    </w:p>
    <w:p>
      <w:pPr>
        <w:pStyle w:val="Heading4"/>
        <w:numPr>
          <w:ilvl w:val="3"/>
          <w:numId w:val="1"/>
        </w:numPr>
        <w:rPr/>
      </w:pPr>
      <w:bookmarkStart w:id="1720" w:name="__RefHeading___Toc2019610_1067777946"/>
      <w:bookmarkStart w:id="1721" w:name="_Toc643"/>
      <w:bookmarkEnd w:id="1720"/>
      <w:r>
        <w:rPr>
          <w:rtl w:val="true"/>
        </w:rPr>
        <w:t>[</w:t>
      </w:r>
      <w:r>
        <w:rPr>
          <w:rtl w:val="true"/>
        </w:rPr>
        <w:t>الغصب</w:t>
      </w:r>
      <w:r>
        <w:rPr>
          <w:rtl w:val="true"/>
        </w:rPr>
        <w:t>]</w:t>
      </w:r>
      <w:bookmarkEnd w:id="172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يَضْمَن لو منع المالكَ من إمساك الدابّة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الضَمان؛ لتوقّف حفظها على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منعه من القعود على بساطه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فاتّفق التلف، وإنّما لم يَضْمَن؛</w:t>
      </w:r>
    </w:p>
    <w:p>
      <w:pPr>
        <w:pStyle w:val="BookText"/>
        <w:rPr/>
      </w:pPr>
      <w:r>
        <w:rPr>
          <w:rFonts w:ascii="Amiri" w:hAnsi="Amiri" w:eastAsia="Amiri" w:cs="Amiri"/>
          <w:color w:val="111111"/>
          <w:sz w:val="28"/>
          <w:sz w:val="28"/>
          <w:szCs w:val="28"/>
          <w:rtl w:val="true"/>
          <w:lang w:bidi="ar-SA"/>
        </w:rPr>
        <w:t>لأنّه لم يستقّل بإثبات اليد عليه، ومجرَّد رفع يد المالك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غصب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بالصحّة هنا ما يقابل الامتناع، بمعنى أنّ غصب العَقار غير ممتنع، بل يمكن تحقّقه برفع يد المالك والاستقلال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بذلك على قول بعض العامَّة </w:t>
      </w:r>
      <w:r>
        <w:rPr>
          <w:rStyle w:val="FootnoteAnchor"/>
          <w:rtl w:val="true"/>
        </w:rPr>
        <w:footnoteReference w:id="798"/>
      </w:r>
      <w:r>
        <w:rPr>
          <w:rFonts w:ascii="Amiri" w:hAnsi="Amiri" w:eastAsia="Amiri" w:cs="Amiri"/>
          <w:color w:val="111111"/>
          <w:sz w:val="28"/>
          <w:sz w:val="28"/>
          <w:szCs w:val="28"/>
          <w:rtl w:val="true"/>
          <w:lang w:bidi="ar-SA"/>
        </w:rPr>
        <w:t xml:space="preserve">حيث مَنَعَ مِن تصوّره، بل الاستيلاء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لنفعه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تحقّقه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غصب شبراً من أرض طوّقه الله من سبع أرضين</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الضَمان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بنسبة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حمل الدابّة لو غصبها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كالحامل</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ويَضْمَنها لو غصبها مِن 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بقيمتِها عند مستحلِّيها إن كان الغاصب مسلماً، وبالمثل إن كان كافراً</w:t>
      </w:r>
      <w:r>
        <w:rPr>
          <w:rFonts w:eastAsia="Amiri" w:cs="Amiri" w:ascii="Amiri" w:hAnsi="Amiri"/>
          <w:color w:val="111111"/>
          <w:sz w:val="28"/>
          <w:szCs w:val="28"/>
          <w:rtl w:val="true"/>
          <w:lang w:bidi="ar-SA"/>
        </w:rPr>
        <w:t xml:space="preserve">. </w:t>
      </w:r>
      <w:bookmarkStart w:id="1722" w:name="pg10178_84192"/>
    </w:p>
    <w:p>
      <w:pPr>
        <w:pStyle w:val="BookText"/>
        <w:rPr/>
      </w:pPr>
      <w:bookmarkEnd w:id="172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يَضْمَنُ لو أزاله عن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قصد العاقل فهو مباشر، وعدم قصد المجنون، فالسبب أقوى منه</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2019612_1067777946"/>
      <w:bookmarkStart w:id="1724" w:name="_Toc644"/>
      <w:bookmarkEnd w:id="1723"/>
      <w:r>
        <w:rPr>
          <w:rtl w:val="true"/>
        </w:rPr>
        <w:t>[</w:t>
      </w:r>
      <w:r>
        <w:rPr>
          <w:rtl w:val="true"/>
        </w:rPr>
        <w:t>في الأحكام</w:t>
      </w:r>
      <w:r>
        <w:rPr>
          <w:rtl w:val="true"/>
        </w:rPr>
        <w:t>]</w:t>
      </w:r>
      <w:bookmarkEnd w:id="17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مثله إن كان متساوي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كالحبوب والأدهان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الغصب إلى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يَضْمَن قيمتها يوم التلف، وهو الأصحّ، لكن ذلك إنّما يتمّ إذا كان اختلاف القيمة بسبب اختلاف السُوق، وهذا هو محلّ الخلاف، أمّا لو كان بسبب نقص في العين أو زيادةٍ كالهُزال والسِمَنِ ونحوه </w:t>
      </w:r>
      <w:r>
        <w:rPr>
          <w:rStyle w:val="FootnoteAnchor"/>
          <w:rtl w:val="true"/>
        </w:rPr>
        <w:footnoteReference w:id="800"/>
      </w:r>
      <w:r>
        <w:rPr>
          <w:rFonts w:ascii="Amiri" w:hAnsi="Amiri" w:eastAsia="Amiri" w:cs="Amiri"/>
          <w:color w:val="111111"/>
          <w:sz w:val="28"/>
          <w:sz w:val="28"/>
          <w:szCs w:val="28"/>
          <w:rtl w:val="true"/>
          <w:lang w:bidi="ar-SA"/>
        </w:rPr>
        <w:t>، فإنّ الفائت مضمون قطعاً، فيَضْمَنُ حينئذٍ 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يَضْمَن أكثر الأمرين من المقدَّر الشرعي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الأجود؛ لأنّ ضَمان الغاصب باعتبار الماليَّة، فيلْحَقُ المغصوب بالأموال، ويَضْمَن قدر ما 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الجاني غيرَ الغاصب، فإنّ ضَمانَه ليس باعتبار الماليَّة المحضةِ، بل يَلْحَق العبد بالأحرار، ويلْزَمُه المقدَّر، ويَلْزَم الغاصبَ الزائدُ</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2019614_1067777946"/>
      <w:bookmarkStart w:id="1726" w:name="_Toc645"/>
      <w:bookmarkEnd w:id="1725"/>
      <w:r>
        <w:rPr>
          <w:rtl w:val="true"/>
        </w:rPr>
        <w:t>[</w:t>
      </w:r>
      <w:r>
        <w:rPr>
          <w:rtl w:val="true"/>
        </w:rPr>
        <w:t>في اللواحق</w:t>
      </w:r>
      <w:r>
        <w:rPr>
          <w:rtl w:val="true"/>
        </w:rPr>
        <w:t>]</w:t>
      </w:r>
      <w:bookmarkEnd w:id="172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المشتري ما يَقْبِضه 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الثمن باقياً فله الرجوع؛ لأنّ البيع الفاسد لا يَمْنَع المتبايعين من رجوعِ كلّ إلى عين ماله، فيرجع المشتري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وأُجرة السكنى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بالجميع</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المغصوب منه</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الأصحّ، إلّا أن يدَّعيَ ما يُعْلَم كذبُه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الجارية درهم، ونحوه، فلا يُسْمَعُ بل يُطالِبُه بجواب محتَمَلٍ</w:t>
      </w:r>
      <w:r>
        <w:rPr>
          <w:rFonts w:eastAsia="Amiri" w:cs="Amiri" w:ascii="Amiri" w:hAnsi="Amiri"/>
          <w:color w:val="111111"/>
          <w:sz w:val="28"/>
          <w:szCs w:val="28"/>
          <w:rtl w:val="true"/>
          <w:lang w:bidi="ar-SA"/>
        </w:rPr>
        <w:t xml:space="preserve">. </w:t>
      </w:r>
      <w:bookmarkStart w:id="1727" w:name="pg10178_84193"/>
    </w:p>
    <w:p>
      <w:pPr>
        <w:pStyle w:val="Heading3"/>
        <w:numPr>
          <w:ilvl w:val="2"/>
          <w:numId w:val="1"/>
        </w:numPr>
        <w:rPr/>
      </w:pPr>
      <w:bookmarkStart w:id="1728" w:name="__RefHeading___Toc2019616_1067777946"/>
      <w:bookmarkStart w:id="1729" w:name="_Toc646"/>
      <w:bookmarkEnd w:id="1727"/>
      <w:bookmarkEnd w:id="1728"/>
      <w:r>
        <w:rPr>
          <w:rtl w:val="true"/>
        </w:rPr>
        <w:t>كتاب الشُفْعَة</w:t>
      </w:r>
      <w:bookmarkEnd w:id="1729"/>
    </w:p>
    <w:p>
      <w:pPr>
        <w:pStyle w:val="Heading4"/>
        <w:numPr>
          <w:ilvl w:val="3"/>
          <w:numId w:val="1"/>
        </w:numPr>
        <w:rPr/>
      </w:pPr>
      <w:bookmarkStart w:id="1730" w:name="__RefHeading___Toc2019618_1067777946"/>
      <w:bookmarkStart w:id="1731" w:name="_Toc647"/>
      <w:bookmarkEnd w:id="1730"/>
      <w:r>
        <w:rPr>
          <w:rtl w:val="true"/>
        </w:rPr>
        <w:t>اشارة</w:t>
      </w:r>
      <w:bookmarkEnd w:id="17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مأخوذة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كذا بكذا، أي جعلتُه شَفْعاً أي زوجاً، كأنّ الشفيع يجعَل نصيبه شَفعاً بنصيب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التقوِية والإعانة، ومنه الشفاعَة والشفيع؛ لأنّ كلَّ واحد من الوترَين يَتَقوّى بالآخر</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2019620_1067777946"/>
      <w:bookmarkStart w:id="1733" w:name="_Toc648"/>
      <w:bookmarkEnd w:id="1732"/>
      <w:r>
        <w:rPr>
          <w:rtl w:val="true"/>
        </w:rPr>
        <w:t>[</w:t>
      </w:r>
      <w:r>
        <w:rPr>
          <w:rtl w:val="true"/>
        </w:rPr>
        <w:t>ما تثبت فيه</w:t>
      </w:r>
      <w:r>
        <w:rPr>
          <w:rtl w:val="true"/>
        </w:rPr>
        <w:t>]</w:t>
      </w:r>
      <w:bookmarkEnd w:id="173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والأبنية تبعاً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انفردت عن الأرض، كما لو باع شِقْصاً من غرفةٍ مشتركةٍ مبنيَّةٍ على سقفِ صاحب الأسفل فلا شفعة؛ إذ لا أرض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السقف لهما في ثبوتها إشكال، 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لأنّه ليس بأرض بل هو كسائر السقوف والأبنيَة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تثبت فيما لا ينقسم كالعضائد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يَقْبَل القسمَةَ؛ لحصول الضرر بها، وهو إبطال المنفعة المقصودةِ منه</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انتفى الضرر بقسمة الحَمّام والطاحون، كما لو كان الحمّام كبيراً، بحيثُ يُمكن إفراد حصَّة كلّ من الشريكين عن صاحبه من غير تضرّر، أو كانت للطاحونة عدَّة أحجار دائرة يمكن أن ينفرد كلّ منهما بشيء منها، أو كان الطريق واسعاً لا تبطُل منفعته بالقسمة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الشفعة</w:t>
      </w:r>
      <w:r>
        <w:rPr>
          <w:rFonts w:eastAsia="Amiri" w:cs="Amiri" w:ascii="Amiri" w:hAnsi="Amiri"/>
          <w:color w:val="111111"/>
          <w:sz w:val="28"/>
          <w:szCs w:val="28"/>
          <w:rtl w:val="true"/>
          <w:lang w:bidi="ar-SA"/>
        </w:rPr>
        <w:t xml:space="preserve">] . </w:t>
      </w:r>
      <w:bookmarkStart w:id="1734" w:name="pg10178_84194"/>
    </w:p>
    <w:p>
      <w:pPr>
        <w:pStyle w:val="BookText"/>
        <w:rPr/>
      </w:pPr>
      <w:bookmarkEnd w:id="173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الموقوف عليه واحداً تثبُت،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بالشركة في الطريق أو النهر إذا بيع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قبولهما القسمة،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ما لم يتضرَّر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الضرر بطول المسافة بما لم تجر العادة بمثله، كسفرٍ من العِراق إلى الشام،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أفاق المجنون فله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تركه أصلح، وإلّا فليس له ذلك</w:t>
      </w:r>
      <w:r>
        <w:rPr>
          <w:rFonts w:eastAsia="Amiri" w:cs="Amiri" w:ascii="Amiri" w:hAnsi="Amiri"/>
          <w:color w:val="111111"/>
          <w:sz w:val="28"/>
          <w:szCs w:val="28"/>
          <w:rtl w:val="true"/>
          <w:lang w:bidi="ar-SA"/>
        </w:rPr>
        <w:t>.</w:t>
      </w:r>
    </w:p>
    <w:p>
      <w:pPr>
        <w:pStyle w:val="Heading4"/>
        <w:numPr>
          <w:ilvl w:val="3"/>
          <w:numId w:val="1"/>
        </w:numPr>
        <w:rPr/>
      </w:pPr>
      <w:bookmarkStart w:id="1735" w:name="__RefHeading___Toc2019622_1067777946"/>
      <w:bookmarkStart w:id="1736" w:name="_Toc649"/>
      <w:bookmarkEnd w:id="1735"/>
      <w:r>
        <w:rPr>
          <w:rtl w:val="true"/>
        </w:rPr>
        <w:t>[</w:t>
      </w:r>
      <w:r>
        <w:rPr>
          <w:rtl w:val="true"/>
        </w:rPr>
        <w:t>في كيفيّة الأخذ</w:t>
      </w:r>
      <w:r>
        <w:rPr>
          <w:rtl w:val="true"/>
        </w:rPr>
        <w:t>]</w:t>
      </w:r>
      <w:bookmarkEnd w:id="17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كالرقيق والجواهر أخذه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وللشفيع المطالبة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إلى العرف، فلا تجب مخالفة العادة في المشي، ولا قطع العبادة وإن كانت مندوبة، ولا تقديمها على صلاةٍ حضر وقتها، وغير ذلك من أكل وقضاء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في حمّام فله الإتمام، ولا يكلَّف القطع على خلاف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حضر وقت الأكل وقضاء الحاجة جاز له تقديمها، رجوعاً في كلِّ ذلك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تشييع المؤمن والجِنازَة وقضاء حاجة طالب الحاجة، وعيادةُ المريض، ونحوه ممّا لم تجرِ العادة به بالإعراض عنه</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لعذر 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العذر الجمل بالشفعة أو الفوريَّةِ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شَهِد على البائع أو بارك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الشهادةَ على العقد لا تُبْطِلُ الشُفْعَةَ؛ لأنّها تحققِّها لا تنافيها، وكذا الإذن في البيع أو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بارك فإن كان قبل البيع لم يضرّ، وإن كان بعده بطلت؛ لمنافاته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لا تُورَث</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أنَّها تُورَث، وتراعى في أخذ الوارث الفوريَّة كالمورِّث</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الجميع على الأقوى</w:t>
      </w:r>
      <w:r>
        <w:rPr>
          <w:rFonts w:eastAsia="Amiri" w:cs="Amiri" w:ascii="Amiri" w:hAnsi="Amiri"/>
          <w:color w:val="111111"/>
          <w:sz w:val="28"/>
          <w:szCs w:val="28"/>
          <w:rtl w:val="true"/>
          <w:lang w:bidi="ar-SA"/>
        </w:rPr>
        <w:t xml:space="preserve">. </w:t>
      </w:r>
      <w:bookmarkStart w:id="1737" w:name="pg10178_84196"/>
    </w:p>
    <w:p>
      <w:pPr>
        <w:pStyle w:val="Heading3"/>
        <w:numPr>
          <w:ilvl w:val="2"/>
          <w:numId w:val="1"/>
        </w:numPr>
        <w:rPr/>
      </w:pPr>
      <w:bookmarkStart w:id="1738" w:name="__RefHeading___Toc2019624_1067777946"/>
      <w:bookmarkStart w:id="1739" w:name="_Toc650"/>
      <w:bookmarkEnd w:id="1737"/>
      <w:bookmarkEnd w:id="1738"/>
      <w:r>
        <w:rPr>
          <w:rtl w:val="true"/>
        </w:rPr>
        <w:t>كتاب إحياء الموات</w:t>
      </w:r>
      <w:bookmarkEnd w:id="173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إلى إحيائه كان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في إحياء الموات 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ميتة فهى له</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في يد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معاهَدٍ، فلو سبق تملّك واحد منهما لم يصحّ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تعطَّلت الأرض وجب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الإذن بغيره أو الانتفاع، فلو امتنع فللحاكم الإذن، وللمالك طَسْقُها على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أن ينصب عليها مِرْزاً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التراب حواليه لينفصل المُحْيا عن غيره، وفي معناه نصب قَصَب وحجر وشوك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 كيفيَّته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كبناء الحائط ولو بالخشب ونحوه، والسقف في إحياء المسكن، والمِرْز وسوق الماء في أرض الزرع إن لم يشرب بالمطر ونحوه، وإلّا لم يحتج إلى السوق وعضد الشجر المضرّ في الأرض الأجَمَة، وقطع الماء الغالب ونحوه، ولو فعل دون هذه الأُمور المحصِّلة للإحياء لم يَملِك، بل يفيد أولويّةً، وهو المعبّر عنه بالتحجير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إن لم يحتج إلى الأزيد، وإلّا وجب</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بئر المَعْطِن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المعطن هو الذي يستقى منه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والمَعْطِن واحد </w:t>
      </w:r>
    </w:p>
    <w:p>
      <w:pPr>
        <w:pStyle w:val="BookText"/>
        <w:rPr/>
      </w:pPr>
      <w:r>
        <w:rPr>
          <w:rFonts w:ascii="Amiri" w:hAnsi="Amiri" w:eastAsia="Amiri" w:cs="Amiri"/>
          <w:color w:val="111111"/>
          <w:sz w:val="28"/>
          <w:sz w:val="28"/>
          <w:szCs w:val="28"/>
          <w:rtl w:val="true"/>
          <w:lang w:bidi="ar-SA"/>
        </w:rPr>
        <w:t xml:space="preserve">المعاطن، وهي مَبارِك الإبل عند الماء لتشرب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يستقى عليه، قاله في الصحاح </w:t>
      </w:r>
      <w:r>
        <w:rPr>
          <w:rStyle w:val="FootnoteAnchor"/>
          <w:rtl w:val="true"/>
        </w:rPr>
        <w:footnoteReference w:id="807"/>
      </w:r>
      <w:r>
        <w:rPr>
          <w:rFonts w:ascii="Amiri" w:hAnsi="Amiri" w:eastAsia="Amiri" w:cs="Amiri"/>
          <w:color w:val="111111"/>
          <w:sz w:val="28"/>
          <w:sz w:val="28"/>
          <w:szCs w:val="28"/>
          <w:rtl w:val="true"/>
          <w:lang w:bidi="ar-SA"/>
        </w:rPr>
        <w:t>، فالاعتبار به لا بما يشرب، فيشمل الزرع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والعين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للغير استنباط عين أُخرى في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حبسه الأعلى للنخل إلى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يبدأ بالأعلى فالأعلى مع جهالة السابق في الإحياء، أو إحيائهم دفعةً، ولو علم السابق بدئ به وإن كانت أرضه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بالأعلى مَن يلي فُوَّهَة الماء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وللإمام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وفي المباح، لنفسه وللمصالح، كنعم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زالت المصلحة التي حماها لها فالأقرب جواز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 الطريق </w:t>
      </w:r>
      <w:r>
        <w:rPr>
          <w:rStyle w:val="FootnoteAnchor"/>
          <w:rtl w:val="true"/>
        </w:rPr>
        <w:footnoteReference w:id="809"/>
      </w:r>
      <w:r>
        <w:rPr>
          <w:rFonts w:ascii="Amiri" w:hAnsi="Amiri" w:eastAsia="Amiri" w:cs="Amiri"/>
          <w:color w:val="111111"/>
          <w:sz w:val="28"/>
          <w:sz w:val="28"/>
          <w:szCs w:val="28"/>
          <w:rtl w:val="true"/>
          <w:lang w:bidi="ar-SA"/>
        </w:rPr>
        <w:t>إذا لم يتميَّز بالحدود كان ما وَقَعَ عليه البيع من ملك البائع مجهولاً، فيبطل البيع، وأمّا على تقدير الامتياز فله الفسخ؛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 بيعه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جعلها صلحاً؛ لعدم إمكانه تسليم الماء، وهو شرط في البيع، وانضمام الأرض إليه غير كافٍ غالباً </w:t>
      </w:r>
      <w:r>
        <w:rPr>
          <w:rStyle w:val="FootnoteAnchor"/>
          <w:rtl w:val="true"/>
        </w:rPr>
        <w:footnoteReference w:id="810"/>
      </w:r>
      <w:r>
        <w:rPr>
          <w:rFonts w:ascii="Amiri" w:hAnsi="Amiri" w:eastAsia="Amiri" w:cs="Amiri"/>
          <w:color w:val="111111"/>
          <w:sz w:val="28"/>
          <w:sz w:val="28"/>
          <w:szCs w:val="28"/>
          <w:rtl w:val="true"/>
          <w:lang w:bidi="ar-SA"/>
        </w:rPr>
        <w:t>لأنّها غيرُ مقصودة بالذات، بل تابعة للماء المقصود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فرضت ضميمته إلى مقصود بالذات معلوم </w:t>
      </w:r>
      <w:r>
        <w:rPr>
          <w:rStyle w:val="FootnoteAnchor"/>
          <w:rtl w:val="true"/>
        </w:rPr>
        <w:footnoteReference w:id="811"/>
      </w:r>
      <w:r>
        <w:rPr>
          <w:rFonts w:ascii="Amiri" w:hAnsi="Amiri" w:eastAsia="Amiri" w:cs="Amiri"/>
          <w:color w:val="111111"/>
          <w:sz w:val="28"/>
          <w:sz w:val="28"/>
          <w:szCs w:val="28"/>
          <w:rtl w:val="true"/>
          <w:lang w:bidi="ar-SA"/>
        </w:rPr>
        <w:t>صحّ تبعاً</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يبيع 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يؤجرها ولا يبيع رقبتها؛ لأنَّه لا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اسم البيع على الإجارة تجوّز</w:t>
      </w:r>
      <w:r>
        <w:rPr>
          <w:rFonts w:eastAsia="Amiri" w:cs="Amiri" w:ascii="Amiri" w:hAnsi="Amiri"/>
          <w:color w:val="111111"/>
          <w:sz w:val="28"/>
          <w:szCs w:val="28"/>
          <w:rtl w:val="true"/>
          <w:lang w:bidi="ar-SA"/>
        </w:rPr>
        <w:t xml:space="preserve">. </w:t>
      </w:r>
      <w:bookmarkStart w:id="1740" w:name="pg10178_84198"/>
    </w:p>
    <w:p>
      <w:pPr>
        <w:pStyle w:val="Heading3"/>
        <w:numPr>
          <w:ilvl w:val="2"/>
          <w:numId w:val="1"/>
        </w:numPr>
        <w:rPr/>
      </w:pPr>
      <w:bookmarkStart w:id="1741" w:name="__RefHeading___Toc2019626_1067777946"/>
      <w:bookmarkStart w:id="1742" w:name="_Toc651"/>
      <w:bookmarkEnd w:id="1740"/>
      <w:bookmarkEnd w:id="1741"/>
      <w:r>
        <w:rPr>
          <w:rtl w:val="true"/>
        </w:rPr>
        <w:t>كتاب اللُقطة</w:t>
      </w:r>
      <w:bookmarkEnd w:id="1742"/>
    </w:p>
    <w:p>
      <w:pPr>
        <w:pStyle w:val="Heading4"/>
        <w:numPr>
          <w:ilvl w:val="3"/>
          <w:numId w:val="1"/>
        </w:numPr>
        <w:rPr/>
      </w:pPr>
      <w:bookmarkStart w:id="1743" w:name="__RefHeading___Toc2019628_1067777946"/>
      <w:bookmarkStart w:id="1744" w:name="_Toc652"/>
      <w:bookmarkEnd w:id="1743"/>
      <w:r>
        <w:rPr>
          <w:rtl w:val="true"/>
        </w:rPr>
        <w:t>اشارة</w:t>
      </w:r>
      <w:bookmarkEnd w:id="17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للشيء الملقوط، وهو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وبفتح القاف اسم لآخذ اللَقطَة إذا كان كثير الالتقاط؛ لأنّ فُعَلَةَ كذلك كالهُمَزَة واللُمَزَة، أي كثير الهَمْز واللمْز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تفتح القاف في الأوّل</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2019630_1067777946"/>
      <w:bookmarkStart w:id="1746" w:name="_Toc653"/>
      <w:bookmarkEnd w:id="1745"/>
      <w:r>
        <w:rPr>
          <w:rtl w:val="true"/>
        </w:rPr>
        <w:t>[</w:t>
      </w:r>
      <w:r>
        <w:rPr>
          <w:rtl w:val="true"/>
        </w:rPr>
        <w:t>في اللقيط</w:t>
      </w:r>
      <w:r>
        <w:rPr>
          <w:rtl w:val="true"/>
        </w:rPr>
        <w:t>]</w:t>
      </w:r>
      <w:bookmarkEnd w:id="174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الإسلام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إسلام الملتقط مع الحكم بإسلام اللقيط، كما لو وجد في دار الإسلام أو دار الكفر وفيها مسلم صالح للاستيلاد، أخذاً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ولأنّه لا تؤمن مخادَعَته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أخذ من بلاد الشرك ولم يكن فيها مسلم ولو واحداً، فلم يمنع الكافر من التقاطه قولاً واحداً؛ لعدم الحكم بإسلامه</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اللقيط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وجوبه على الكفاية؛ لأنّه تعاون على البرّ، ودافع لضرورة المضطرّ، وهو اختيار العلّامة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1747" w:name="pg10178_84199"/>
    </w:p>
    <w:p>
      <w:pPr>
        <w:pStyle w:val="BookText"/>
        <w:rPr/>
      </w:pPr>
      <w:bookmarkEnd w:id="174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دار الشرك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 فيها مسلم صالح للاستيلاد ولو تاجراً أو أسيراً أو محبوساً يمكن الاستيلاد منه، وإلّا لم يَرِقّ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السلطان وإعانة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 عليه إذا نوى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الإشهاد في جواز الرجوع مع النيَّة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تحصل به السلامة من اليمين لو ادّعى اللقيط التبرّع</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2019632_1067777946"/>
      <w:bookmarkStart w:id="1749" w:name="_Toc654"/>
      <w:bookmarkEnd w:id="1748"/>
      <w:r>
        <w:rPr>
          <w:rtl w:val="true"/>
        </w:rPr>
        <w:t>[</w:t>
      </w:r>
      <w:r>
        <w:rPr>
          <w:rtl w:val="true"/>
        </w:rPr>
        <w:t>في الضوال</w:t>
      </w:r>
      <w:r>
        <w:rPr>
          <w:rtl w:val="true"/>
        </w:rPr>
        <w:t>]</w:t>
      </w:r>
      <w:bookmarkEnd w:id="17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ترکه صاحبه من جَهْد في غير كَلإ ولا ماء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العَطَبُ أعمّ من المرض والكسر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إباحة المجهود عدم الكَلإ والماء معاً، فلو وجد أحدهما لم يجز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جاز أخذه مَلكَه الآخذ، ولا عيب عليه دفع القيمة إلى المالك إن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ردّ العين مع وجودها؟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لا تمنع مِن صغير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حفظها أمانةً وبين الدفع إلى الحاكم، ولا ضَمان فيهما، وبين التملّك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نيَّة الرجوع وتعذّر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2019634_1067777946"/>
      <w:bookmarkStart w:id="1751" w:name="_Toc655"/>
      <w:bookmarkEnd w:id="1750"/>
      <w:r>
        <w:rPr>
          <w:rtl w:val="true"/>
        </w:rPr>
        <w:t>[</w:t>
      </w:r>
      <w:r>
        <w:rPr>
          <w:rtl w:val="true"/>
        </w:rPr>
        <w:t>اللقطة</w:t>
      </w:r>
      <w:r>
        <w:rPr>
          <w:rtl w:val="true"/>
        </w:rPr>
        <w:t>]</w:t>
      </w:r>
      <w:bookmarkEnd w:id="17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قدر الدرهم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تعريفه</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ما في الحرم، ولا يجوز تملّكها وإن كانت أقلّ من درهم</w:t>
      </w:r>
      <w:r>
        <w:rPr>
          <w:rFonts w:eastAsia="Amiri" w:cs="Amiri" w:ascii="Amiri" w:hAnsi="Amiri"/>
          <w:color w:val="111111"/>
          <w:sz w:val="28"/>
          <w:szCs w:val="28"/>
          <w:rtl w:val="true"/>
          <w:lang w:bidi="ar-SA"/>
        </w:rPr>
        <w:t xml:space="preserve">. </w:t>
      </w:r>
      <w:bookmarkStart w:id="1752" w:name="pg10178_84200"/>
    </w:p>
    <w:p>
      <w:pPr>
        <w:pStyle w:val="BookText"/>
        <w:rPr/>
      </w:pPr>
      <w:bookmarkEnd w:id="175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كونه عقيب الالتقاط في موضعه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كلَّ يوم مرَّةً أو مرَّتين في الأُسبوع الأوّل، ثمّ مرّةً في كلِّ أُسبوع إلى تمام الشهر، ثمّ في كلِّ شهر مرَّةً إلى تمام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يتابع بينها بحيث لا ينسى اتّصال التالي بملتوّه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عند اجتماع الناس، كالغداة والعشيِّ والجُمَع والأعياد والأسواق وأبواب</w:t>
      </w:r>
    </w:p>
    <w:p>
      <w:pPr>
        <w:pStyle w:val="BookText"/>
        <w:rPr/>
      </w:pP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والحبل والعقال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تقلّ قيمته ويكثر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تحت الأرض فهو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الخمس إن لم يكن عليه أثر الإسلام، وإِلّا فَلُقَطَة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تتبّع الملّاك والبائعين، فإن عرفه أحد منهم فهو له بغير بيِّنة ولا يمين، وإلّا فإن كان عليه أثر الإسلام فهو لقطة تجري فيه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فهو لواجده، وعليه الخمس، هذا هو المناسب لأُصول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بلا تعريف</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عليه أثر الإسلام، وإلّا فلقطة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السمك والدابّة أنّ الدابَّة مملوكة الأصل فكذا أجزاؤها، وهي مظنَّة أن تكون قد ابتلعت ما هو ملك البائع أو المالك، بخلاف السمكة فإنَّها تملك بالحيازة مع النيَّة، وما في بطنها لم تتعلَّق به النيَّة؛ لعدم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وجده في صُنْدُوقه أو داره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انتفاؤه عنه، وإلّا كان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كاللقطة إذا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اعترف به دفعه إليه بغير يمين</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2019636_1067777946"/>
      <w:bookmarkStart w:id="1754" w:name="_Toc656"/>
      <w:bookmarkEnd w:id="1753"/>
      <w:r>
        <w:rPr>
          <w:rtl w:val="true"/>
        </w:rPr>
        <w:t>[</w:t>
      </w:r>
      <w:r>
        <w:rPr>
          <w:rtl w:val="true"/>
        </w:rPr>
        <w:t>في الأحكام</w:t>
      </w:r>
      <w:r>
        <w:rPr>
          <w:rtl w:val="true"/>
        </w:rPr>
        <w:t>]</w:t>
      </w:r>
      <w:bookmarkEnd w:id="1754"/>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 اللقطة إلّا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الوصف في وجوب الدفع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يجوز الدفع به إذا ظُنَّ صدقُه؛ لإطنابه في الوصف أو لرجحان عدالته، فلو دفعها بالوصف ثمّ ظهر مدَّعٍ ببيِّنة انتزعت من الواصف، فإن تعذّر ضَمِن الدافع لذي البيِّنة، وله الرجوع على الواصف إذا لم يَقِرَّ له بالملك، وللمالك الرجوع على الواصف ابتداءً، فلا يرجِع على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رواية </w:t>
      </w:r>
      <w:r>
        <w:rPr>
          <w:rStyle w:val="FootnoteAnchor"/>
          <w:rtl w:val="true"/>
        </w:rPr>
        <w:footnoteReference w:id="817"/>
      </w:r>
      <w:r>
        <w:rPr>
          <w:rFonts w:ascii="Amiri" w:hAnsi="Amiri" w:eastAsia="Amiri" w:cs="Amiri"/>
          <w:color w:val="111111"/>
          <w:sz w:val="28"/>
          <w:sz w:val="28"/>
          <w:szCs w:val="28"/>
          <w:rtl w:val="true"/>
          <w:lang w:bidi="ar-SA"/>
        </w:rPr>
        <w:t>ضعيفة تعضدها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ما عداهما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ثبوت أُجرة المثل في الجميع مع عدم التعيين</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الملتقط في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يفرِّط، أو ينوِ التملّك ابتداءً من غير تعريف، فإنَّه يضمَن وإن عاد إلى نيَّة التعريف</w:t>
      </w:r>
      <w:r>
        <w:rPr>
          <w:rFonts w:eastAsia="Amiri" w:cs="Amiri" w:ascii="Amiri" w:hAnsi="Amiri"/>
          <w:color w:val="111111"/>
          <w:sz w:val="28"/>
          <w:szCs w:val="28"/>
          <w:rtl w:val="true"/>
          <w:lang w:bidi="ar-SA"/>
        </w:rPr>
        <w:t xml:space="preserve">. </w:t>
      </w:r>
      <w:bookmarkStart w:id="1755" w:name="pg10178_84202"/>
    </w:p>
    <w:p>
      <w:pPr>
        <w:pStyle w:val="Heading3"/>
        <w:numPr>
          <w:ilvl w:val="2"/>
          <w:numId w:val="1"/>
        </w:numPr>
        <w:rPr/>
      </w:pPr>
      <w:bookmarkStart w:id="1756" w:name="__RefHeading___Toc2019638_1067777946"/>
      <w:bookmarkStart w:id="1757" w:name="_Toc657"/>
      <w:bookmarkEnd w:id="1755"/>
      <w:bookmarkEnd w:id="1756"/>
      <w:r>
        <w:rPr>
          <w:rtl w:val="true"/>
        </w:rPr>
        <w:t>كتاب المواريث</w:t>
      </w:r>
      <w:bookmarkEnd w:id="1757"/>
    </w:p>
    <w:p>
      <w:pPr>
        <w:pStyle w:val="Heading4"/>
        <w:numPr>
          <w:ilvl w:val="3"/>
          <w:numId w:val="1"/>
        </w:numPr>
        <w:rPr/>
      </w:pPr>
      <w:bookmarkStart w:id="1758" w:name="__RefHeading___Toc2019640_1067777946"/>
      <w:bookmarkStart w:id="1759" w:name="_Toc658"/>
      <w:bookmarkEnd w:id="1758"/>
      <w:r>
        <w:rPr>
          <w:rtl w:val="true"/>
        </w:rPr>
        <w:t>[</w:t>
      </w:r>
      <w:r>
        <w:rPr>
          <w:rtl w:val="true"/>
        </w:rPr>
        <w:t>موجبات الإرث</w:t>
      </w:r>
      <w:r>
        <w:rPr>
          <w:rtl w:val="true"/>
        </w:rPr>
        <w:t>]</w:t>
      </w:r>
      <w:bookmarkEnd w:id="17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فالنسب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بترتّب هذه الطبقات أنّ الثانية لا تَرِث مع وجود واحد من الطبقة الأُولى مستحقّ للميراث، وكذا الثالثة لا تَرِث مع واحد كذلك من الثانية</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2019642_1067777946"/>
      <w:bookmarkStart w:id="1761" w:name="_Toc659"/>
      <w:bookmarkEnd w:id="1760"/>
      <w:r>
        <w:rPr>
          <w:rtl w:val="true"/>
        </w:rPr>
        <w:t>[</w:t>
      </w:r>
      <w:r>
        <w:rPr>
          <w:rtl w:val="true"/>
        </w:rPr>
        <w:t>موانع الإرث</w:t>
      </w:r>
      <w:r>
        <w:rPr>
          <w:rtl w:val="true"/>
        </w:rPr>
        <w:t>]</w:t>
      </w:r>
      <w:bookmarkEnd w:id="176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أسلم الكافر على ميراث قبل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قبل قسمة البعض شارك في الباقي، واختصّ إن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أعتق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قبل قسمة الحاكم للزوجة،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نصراني مات وله ابن أخ وابن أُخت مسلمان وأولاد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أنّ الميراث لهما دون الأولاد، ولا 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w:t>
      </w:r>
      <w:r>
        <w:rPr>
          <w:rStyle w:val="FootnoteAnchor"/>
          <w:rtl w:val="true"/>
        </w:rPr>
        <w:footnoteReference w:id="818"/>
      </w:r>
      <w:r>
        <w:rPr>
          <w:rFonts w:ascii="Amiri" w:hAnsi="Amiri" w:eastAsia="Amiri" w:cs="Amiri"/>
          <w:color w:val="111111"/>
          <w:sz w:val="28"/>
          <w:sz w:val="28"/>
          <w:szCs w:val="28"/>
          <w:rtl w:val="true"/>
          <w:lang w:bidi="ar-SA"/>
        </w:rPr>
        <w:t>منزّلةٌ على الاستحباب</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أبي، كان كالمرتدِّ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فطرة إن كانا مسلمين أو أحدهما حال انعقاده، وعن ملَّة إن سبق انعقادُه إسلامَهما، وحكم الجدِّ حكم الأب</w:t>
      </w:r>
      <w:r>
        <w:rPr>
          <w:rFonts w:eastAsia="Amiri" w:cs="Amiri" w:ascii="Amiri" w:hAnsi="Amiri"/>
          <w:color w:val="111111"/>
          <w:sz w:val="28"/>
          <w:szCs w:val="28"/>
          <w:rtl w:val="true"/>
          <w:lang w:bidi="ar-SA"/>
        </w:rPr>
        <w:t xml:space="preserve">. </w:t>
      </w:r>
      <w:bookmarkStart w:id="1762" w:name="pg10178_84203"/>
    </w:p>
    <w:p>
      <w:pPr>
        <w:pStyle w:val="BookText"/>
        <w:rPr/>
      </w:pPr>
      <w:bookmarkEnd w:id="176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يتوارثون وإن اختلفت آراؤهم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الخوارج والغلاة والنواصب والمجسِّمةِ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عن فطرة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بعد إسلام أحد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والمرتدّ 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إسلامه بعد كفر ولو بالتبعيَّة، كما لو أسلم أحد أبويه وهو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وتعتدّ زوجته عدَّةَ الطلاق مع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في أثناء العدَّة أكملت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الدية حسب</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الشيخين هو المفتى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وأعتق ليحوز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ذلك الإمام أو نائبه، فإن تعذَّر تولّاه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توقّف عتقه على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الزوج والزوجة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المكاتب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لذلك الحاكم، ولا يعتق إلّا بدفع القيمة والإعتاق، فيجوز لمالكه بيعه بعد موت القريب وعتقه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وكسبه قبل الإعتاق له</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2019644_1067777946"/>
      <w:bookmarkStart w:id="1764" w:name="_Toc660"/>
      <w:bookmarkEnd w:id="1763"/>
      <w:r>
        <w:rPr>
          <w:rtl w:val="true"/>
        </w:rPr>
        <w:t>[</w:t>
      </w:r>
      <w:r>
        <w:rPr>
          <w:rtl w:val="true"/>
        </w:rPr>
        <w:t>السهام</w:t>
      </w:r>
      <w:r>
        <w:rPr>
          <w:rtl w:val="true"/>
        </w:rPr>
        <w:t>]</w:t>
      </w:r>
      <w:bookmarkEnd w:id="17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المذكورة في كتاب الله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ونصفه ونصف نصفه، والثلثان ونصفها ونصف نصفها، وصور اجتماعها مِثْلاً ستَّة وثلاثون حاصلة من ضرب ستّة في نفسها، تسقط منها أربعة مكرَّرة، فإنّ النصف مع الربع هو الربع مع النصف، وهكذا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أيضاً منها سبعة، لامتناعها، تبقى خمس عشرة، ذكر المصنِّف منها عَشْرَةً، وأهمل خمسة</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والنصف يجتمع مع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 وأُخت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كزوج وبنت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كزوجة وواحد مِن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يجتمع الربع مع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الربع نصيب الزوجة مع عدم الولد، والثمن نصيبها معه، فلا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ويجتمع الربع مع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كزوجة وأُختين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كزوجة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كزوجة وأحد الأبوين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يجتمع مع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الثُمْن حقّ الزوجة مع الولد، والثلث حق الأُمِّ 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الثلث مع السدس 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يجتمع معه لكن لا تسميةً بل اتّفاقاً، كزوج وأبوين والأُمّ محجوبة بالإخوة، فللزوج النصف وللأُمّ السدس،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لكنّه بالقرابة لا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التعصيب </w:t>
      </w:r>
      <w:r>
        <w:rPr>
          <w:rStyle w:val="FootnoteAnchor"/>
          <w:rtl w:val="true"/>
        </w:rPr>
        <w:footnoteReference w:id="820"/>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إعطاء الفاضل من التركة عن أصحاب الفروض لعَصَبَة الميِّت، وهم المنتسبون إليه من جِهة الأب، كما إذا خلَّف الميِّت بنتاً واحدةً وله أخ، أو أُختاً واحدةً وله عمّ، فإنّ نصفَ التركة الزائد عن فرض الأُنثى للأخ أو العمِّ عند المخالف، وعندنا يردّ على ذات الفرض أو ذوي الفروض؛ لأنّهم أُولو الأرحام، ولإجماع أهل البيت علیهم السلام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عَولَ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السِهام عن التركة </w:t>
      </w:r>
      <w:r>
        <w:rPr>
          <w:rStyle w:val="FootnoteAnchor"/>
          <w:rtl w:val="true"/>
        </w:rPr>
        <w:footnoteReference w:id="822"/>
      </w:r>
      <w:r>
        <w:rPr>
          <w:rFonts w:ascii="IRNazanin" w:hAnsi="IRNazanin" w:eastAsia="IRNazanin"/>
          <w:color w:val="111111"/>
          <w:sz w:val="28"/>
          <w:sz w:val="28"/>
          <w:szCs w:val="28"/>
          <w:rtl w:val="true"/>
          <w:lang w:bidi="fa-IR"/>
        </w:rPr>
        <w:t xml:space="preserve">، وهو </w:t>
      </w:r>
      <w:bookmarkStart w:id="1765" w:name="pg10178_84205"/>
    </w:p>
    <w:p>
      <w:pPr>
        <w:pStyle w:val="BookText"/>
        <w:rPr/>
      </w:pPr>
      <w:bookmarkEnd w:id="1765"/>
      <w:r>
        <w:rPr>
          <w:rFonts w:ascii="Amiri" w:hAnsi="Amiri" w:eastAsia="Amiri" w:cs="Amiri"/>
          <w:color w:val="111111"/>
          <w:sz w:val="28"/>
          <w:sz w:val="28"/>
          <w:szCs w:val="28"/>
          <w:rtl w:val="true"/>
          <w:lang w:bidi="ar-SA"/>
        </w:rPr>
        <w:t xml:space="preserve">ضدّ التعصيب، كأُختين وزوج، فإنّ للأُختين الثلثين وللزوج النصف، فقد زادت السهام سدساً عن التركة، فعندنا يدخل النقص على مَن يتقرّب بالأب كالبنات والأخوات؛ لتواتر الأخبار </w:t>
      </w:r>
      <w:r>
        <w:rPr>
          <w:rStyle w:val="FootnoteAnchor"/>
          <w:rtl w:val="true"/>
        </w:rPr>
        <w:footnoteReference w:id="823"/>
      </w:r>
      <w:r>
        <w:rPr>
          <w:rFonts w:ascii="IRNazanin" w:hAnsi="IRNazanin" w:eastAsia="IRNazanin"/>
          <w:color w:val="111111"/>
          <w:sz w:val="28"/>
          <w:sz w:val="28"/>
          <w:szCs w:val="28"/>
          <w:rtl w:val="true"/>
          <w:lang w:bidi="fa-IR"/>
        </w:rPr>
        <w:t xml:space="preserve">عن أهل البيت علیهم السلام وإجماعهم عليه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المخالف يُوَزَّع النقص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الأب هنا نظر؛ لأنّ الأب مع الولد لا ينقص سهمه عن السدس، ومع عدم الولد ليس بذي فرض، ومسألة العول مختصَّة بذوي الفروض</w:t>
      </w:r>
      <w:r>
        <w:rPr>
          <w:rFonts w:eastAsia="Amiri" w:cs="Amiri" w:ascii="Amiri" w:hAnsi="Amiri"/>
          <w:color w:val="111111"/>
          <w:sz w:val="28"/>
          <w:szCs w:val="28"/>
          <w:rtl w:val="true"/>
          <w:lang w:bidi="ar-SA"/>
        </w:rPr>
        <w:t>.</w:t>
      </w:r>
    </w:p>
    <w:p>
      <w:pPr>
        <w:pStyle w:val="Heading4"/>
        <w:numPr>
          <w:ilvl w:val="3"/>
          <w:numId w:val="1"/>
        </w:numPr>
        <w:rPr/>
      </w:pPr>
      <w:bookmarkStart w:id="1766" w:name="__RefHeading___Toc2019646_1067777946"/>
      <w:bookmarkStart w:id="1767" w:name="_Toc661"/>
      <w:bookmarkEnd w:id="1766"/>
      <w:r>
        <w:rPr>
          <w:rtl w:val="true"/>
        </w:rPr>
        <w:t>[</w:t>
      </w:r>
      <w:r>
        <w:rPr>
          <w:rtl w:val="true"/>
        </w:rPr>
        <w:t>في الأنساب</w:t>
      </w:r>
      <w:r>
        <w:rPr>
          <w:rtl w:val="true"/>
        </w:rPr>
        <w:t>]</w:t>
      </w:r>
      <w:bookmarkEnd w:id="17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 يردّ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من ثلاثين أصل الفريضة ستَّة، للأبوين اثنان، وللبنت ثلاثة، يبقى واحد لا ينقسم على صحَّته، تضرب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 ومنها تصحّ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الحاجب للأُمِّ تصحّ من أربعة وعشرين حاصلة من ضرب أربعة ضرب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سهام مَن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يفضل عن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يكون مع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المسألة حينئذٍ من أربعة وعشرين؛ لأنّ فيها ثمناً وسدساً، للزوجة ثلاثة، وللأبوين ثمانية، وللبنت اثنا عشر، ويبقى واحد يردّ على البنت والأبوين أخماساً مع عدم الحاجب، بضرب خمسة في أصل الفريضة تبلغ مائةً وعشرين، ومنها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الحاجب، يردّ على البنت والأب أرباعاً، وتصحّ من ستَّة وتسعين حاصلةً من ضرب أربعة في أربعة وعشرين</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ولد البنت كما يردّ على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بذلك على المرتضى وابن إدريس ومعين الدين المصري </w:t>
      </w:r>
      <w:r>
        <w:rPr>
          <w:rStyle w:val="FootnoteAnchor"/>
          <w:rtl w:val="true"/>
        </w:rPr>
        <w:footnoteReference w:id="825"/>
      </w:r>
      <w:r>
        <w:rPr>
          <w:rFonts w:ascii="Amiri" w:hAnsi="Amiri" w:eastAsia="Amiri" w:cs="Amiri"/>
          <w:color w:val="111111"/>
          <w:sz w:val="28"/>
          <w:sz w:val="28"/>
          <w:szCs w:val="28"/>
          <w:rtl w:val="true"/>
          <w:lang w:bidi="ar-SA"/>
        </w:rPr>
        <w:t>حيث جعلوا أولاد الأولاد أولاداً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يحبى الولد الأكبر بثياب 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منها بلفظ الجمع كالثياب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 ومنها العِمامة والقَلنسوة، سواء لبسها أم لا إذا اتَّخذت للبس، وما كان بلفظ الواحدة كالمصحف والسيف لايدخل الجميع، بل له واحدة منها، فإن اعتاد الانتفاع ببعضها بحيث تدلّ القرينة على إطلاقه عليه أكثر، دخل، وإلّا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للأب أن يُطْعِم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أنّه تستحبّ لهما طعمةُ </w:t>
      </w:r>
      <w:r>
        <w:rPr>
          <w:rStyle w:val="FootnoteAnchor"/>
          <w:rtl w:val="true"/>
        </w:rPr>
        <w:footnoteReference w:id="826"/>
      </w:r>
      <w:r>
        <w:rPr>
          <w:rFonts w:ascii="Amiri" w:hAnsi="Amiri" w:eastAsia="Amiri" w:cs="Amiri"/>
          <w:color w:val="111111"/>
          <w:sz w:val="28"/>
          <w:sz w:val="28"/>
          <w:szCs w:val="28"/>
          <w:rtl w:val="true"/>
          <w:lang w:bidi="ar-SA"/>
        </w:rPr>
        <w:t>أقلِّ الأمرين من السدس والزيادة مع زيادة نصيب المطعم عن السدس، فلو كانت أُمّ مع بنت أطعمت نصف 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استحبّ له طعمة الجدِّ والجدَّة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خلّف أبوين وإخوةً استحبّ للأب الطعمة خاصَّة، ولو خلَّفت أبوين وزوجاً استحبّ للأُمِّ الطعمة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أربع أخوات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والخُناثى كالإناث إلّا أن يحكم بالذكوريَّة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القتلَة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انتفاء موانع الإرث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اجتمعت الكَلالات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من الأقارب على حاشية النسب وليس في عموده، وذلك مَن عدا الآباء والأولاد، وقيل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على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 اختصاص كلالة الأب بالردِّ؛ لقيامهم مقامَ كَلالة الأبوين؛ ولدخول النقص عليهم؛ وللرواية عن الباقر علیه السلام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فيصحّ مِن مائة وثمانية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الفريضة ثلاثة تنكسر على الفريقين، وسِهام أقرباء الأب تسعة وأقرباء الأُمِّ أربعة، وبينهما تباين، فتضرب إحداهما في الأُخرى تبلغ ستّة وثلاثين، ثمَّ تضربها في أصل الفريضة تبلغ مائةً وثمانيةً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ابن عمِّ لأب وأُمّ مع عمّ لأبٍ فابن العمِّ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تتغيَّر الحال بتعدّد أحدِهما أو تعدّدهما، ولا بدخول الزوج والزوجة، وتتغيَّر بالذكوريَّة والأُنوثيّة، فلو كان بدل العمِّ عمّةً أو بدل ابن العمّ بنتاً 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عمّ الأب وعمَّته وخاله وخالته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من مائة وثمانية؛ لأنّ أصل الفريضة ثلاثة، وسِهام أقرباء الأُمِّ أربعة، وسِهام أقرباء الأب ثمانية عشر، وبينهما توافق بالنصف، فنضرب نصف أحدهما في الآخر، ثمّ الحاصل في أصل الفريضة، تبلغ مائةً وثمانيةً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8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لخال الأُمِّ وخالتها ثلث الثلث بالسويّة، وثلثاه لعمِّها وعمَّتها بالسويَّة، وصحّتها من أربعة وخمسين؛ لأنّ سِهام أقرباء الأُمّ ستَّةٌ، وهي تداخل سِهام أقرباء الأب، فنكتفي بها، ونضربها في ثلاثة أصل الفريضة تبلغ أربعةً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وثلثه لخاله وخالته بالسويّة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الآخر يقسّم أثلاثاً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اجتمع له سببان، وَرِث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لا يمنع أحدهما الآخر، كابن عمّ هو ابن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لكن يحجب أحدهما الآخر، كأخٍ لأُمّ هو ابن عمّ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نسبان لواحد ونسب لواحد آخر، كابن أحدهما ابن خالٍ وَرِث ذو النسبين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في أحدٍ لا يحجب أحدهما الآخر، كزوج هو مُعْتِق أو ضامن 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يحجب أحدهما الآخر كالإمام، إذا مات عتيقه فإنّه يَرِثُ بالعتق لا بالإمامة</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وهناك مَن يحجب أحدهما، كزوجةٍ مُعْتِقَةٍ ولها ولد</w:t>
      </w:r>
      <w:r>
        <w:rPr>
          <w:rFonts w:eastAsia="Amiri" w:cs="Amiri" w:ascii="Amiri" w:hAnsi="Amiri"/>
          <w:color w:val="111111"/>
          <w:sz w:val="28"/>
          <w:szCs w:val="28"/>
          <w:rtl w:val="true"/>
          <w:lang w:bidi="ar-SA"/>
        </w:rPr>
        <w:t xml:space="preserve">. </w:t>
      </w:r>
      <w:bookmarkStart w:id="1768" w:name="pg10178_84208"/>
    </w:p>
    <w:p>
      <w:pPr>
        <w:pStyle w:val="Heading4"/>
        <w:numPr>
          <w:ilvl w:val="3"/>
          <w:numId w:val="1"/>
        </w:numPr>
        <w:rPr/>
      </w:pPr>
      <w:bookmarkStart w:id="1769" w:name="__RefHeading___Toc2019648_1067777946"/>
      <w:bookmarkStart w:id="1770" w:name="_Toc662"/>
      <w:bookmarkEnd w:id="1768"/>
      <w:bookmarkEnd w:id="1769"/>
      <w:r>
        <w:rPr>
          <w:rtl w:val="true"/>
        </w:rPr>
        <w:t>[</w:t>
      </w:r>
      <w:r>
        <w:rPr>
          <w:rtl w:val="true"/>
        </w:rPr>
        <w:t>ميراث الأزواج</w:t>
      </w:r>
      <w:r>
        <w:rPr>
          <w:rtl w:val="true"/>
        </w:rPr>
        <w:t>]</w:t>
      </w:r>
      <w:bookmarkEnd w:id="177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ويَرِثُ الزوج مِن جميع ما تَرَكَتْه المرأة، وكذا المرأة عدا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غير ذاتِ الولدِ لا ترث من رقبة الأرض شيئاً، وتعطى قيمة الأشجار النابتة فيها مستحقَّةَ البقاءِ في الأرض حتّى تفنى، وقيمة آلات البناء من خشب وحجارة ونحوهما ثابتة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تقويم الشجر ولو كانت الأرض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تقوَّما معاً، ثمّ تقوَّم الأرض وحدها مشغولةً بالشجر مستحِقَّ البقاءِ فيها إلى أن تفنى، فإنّ لها قيمة ما،</w:t>
      </w:r>
    </w:p>
    <w:p>
      <w:pPr>
        <w:pStyle w:val="BookText"/>
        <w:rPr/>
      </w:pPr>
      <w:r>
        <w:rPr>
          <w:rFonts w:ascii="Amiri" w:hAnsi="Amiri" w:eastAsia="Amiri" w:cs="Amiri"/>
          <w:color w:val="111111"/>
          <w:sz w:val="28"/>
          <w:sz w:val="28"/>
          <w:szCs w:val="28"/>
          <w:rtl w:val="true"/>
          <w:lang w:bidi="ar-SA"/>
        </w:rPr>
        <w:t>وإن كانت مملوءة من الشجر رجي زواله، ثمّ يحسب تفاوت ما تفاوت ما بين القيمتين، وتعطى حصّتها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معها ذات ولد، فالظاهر اختصاص الثُمْن من ذلك بها، وتدفع هي القيمة لا الوارث؛ لخروج سهم الزوجيّة عنه، ولها كمال الثُمْن في الأرض بغير 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اختصاصها بنصف ثُمْنِ ما زاد على الأرض، ودفع الوارث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واحدة من أربع وتزوّج أخرى فاشتبهت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النصّ </w:t>
      </w:r>
      <w:r>
        <w:rPr>
          <w:rStyle w:val="FootnoteAnchor"/>
          <w:rtl w:val="true"/>
        </w:rPr>
        <w:footnoteReference w:id="832"/>
      </w:r>
      <w:r>
        <w:rPr>
          <w:rFonts w:ascii="Amiri" w:hAnsi="Amiri" w:eastAsia="Amiri" w:cs="Amiri"/>
          <w:color w:val="111111"/>
          <w:sz w:val="28"/>
          <w:sz w:val="28"/>
          <w:szCs w:val="28"/>
          <w:rtl w:val="true"/>
          <w:lang w:bidi="ar-SA"/>
        </w:rPr>
        <w:t xml:space="preserve">، ولا يتعدّى الحكم </w:t>
      </w:r>
      <w:r>
        <w:rPr>
          <w:rStyle w:val="FootnoteAnchor"/>
          <w:rtl w:val="true"/>
        </w:rPr>
        <w:footnoteReference w:id="833"/>
      </w:r>
      <w:r>
        <w:rPr>
          <w:rFonts w:ascii="Amiri" w:hAnsi="Amiri" w:eastAsia="Amiri" w:cs="Amiri"/>
          <w:color w:val="111111"/>
          <w:sz w:val="28"/>
          <w:sz w:val="28"/>
          <w:szCs w:val="28"/>
          <w:rtl w:val="true"/>
          <w:lang w:bidi="ar-SA"/>
        </w:rPr>
        <w:t>إلى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اشتبهت المطلَّقَةُ بواحدةٍ من الأربعِ خاصَّةً، أو باثنتين، أو اشتبهت بخامسة، أقرع</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 بين الأربعةِ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من مائة وثمانيةِ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بالقرعة بين المشتبهات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المشهور </w:t>
      </w:r>
      <w:r>
        <w:rPr>
          <w:rStyle w:val="FootnoteAnchor"/>
          <w:rtl w:val="true"/>
        </w:rPr>
        <w:footnoteReference w:id="835"/>
      </w:r>
      <w:r>
        <w:rPr>
          <w:rFonts w:ascii="Amiri" w:hAnsi="Amiri" w:eastAsia="Amiri" w:cs="Amiri"/>
          <w:color w:val="111111"/>
          <w:sz w:val="28"/>
          <w:sz w:val="28"/>
          <w:szCs w:val="28"/>
          <w:rtl w:val="true"/>
          <w:lang w:bidi="ar-SA"/>
        </w:rPr>
        <w:t xml:space="preserve">، و به رواية </w:t>
      </w:r>
      <w:r>
        <w:rPr>
          <w:rStyle w:val="FootnoteAnchor"/>
          <w:rtl w:val="true"/>
        </w:rPr>
        <w:footnoteReference w:id="836"/>
      </w:r>
      <w:r>
        <w:rPr>
          <w:rFonts w:ascii="Amiri" w:hAnsi="Amiri" w:eastAsia="Amiri" w:cs="Amiri"/>
          <w:color w:val="111111"/>
          <w:sz w:val="28"/>
          <w:sz w:val="28"/>
          <w:szCs w:val="28"/>
          <w:rtl w:val="true"/>
          <w:lang w:bidi="ar-SA"/>
        </w:rPr>
        <w:t xml:space="preserve">وعليه الفتوى، </w:t>
      </w:r>
      <w:bookmarkStart w:id="1771" w:name="pg10178_84209"/>
    </w:p>
    <w:p>
      <w:pPr>
        <w:pStyle w:val="BookText"/>
        <w:rPr/>
      </w:pPr>
      <w:bookmarkEnd w:id="1771"/>
      <w:r>
        <w:rPr>
          <w:rFonts w:ascii="Amiri" w:hAnsi="Amiri" w:eastAsia="Amiri" w:cs="Amiri"/>
          <w:color w:val="111111"/>
          <w:sz w:val="28"/>
          <w:sz w:val="28"/>
          <w:szCs w:val="28"/>
          <w:rtl w:val="true"/>
          <w:lang w:bidi="ar-SA"/>
        </w:rPr>
        <w:t>على أنّ القول بالقرعة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قبله فلا مهر لها ولا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ماتت هي قبلَ الدخولِ لم يَرِثها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المريضُ الزوجةَ، فكالصحيح</w:t>
      </w:r>
      <w:r>
        <w:rPr>
          <w:rFonts w:eastAsia="Amiri" w:cs="Amiri" w:ascii="Amiri" w:hAnsi="Amiri"/>
          <w:color w:val="111111"/>
          <w:sz w:val="28"/>
          <w:szCs w:val="28"/>
          <w:rtl w:val="true"/>
          <w:lang w:bidi="ar-SA"/>
        </w:rPr>
        <w:t>.</w:t>
      </w:r>
    </w:p>
    <w:p>
      <w:pPr>
        <w:pStyle w:val="Heading4"/>
        <w:numPr>
          <w:ilvl w:val="3"/>
          <w:numId w:val="1"/>
        </w:numPr>
        <w:rPr/>
      </w:pPr>
      <w:bookmarkStart w:id="1772" w:name="__RefHeading___Toc2019650_1067777946"/>
      <w:bookmarkStart w:id="1773" w:name="_Toc663"/>
      <w:bookmarkEnd w:id="1772"/>
      <w:r>
        <w:rPr>
          <w:rtl w:val="true"/>
        </w:rPr>
        <w:t>[</w:t>
      </w:r>
      <w:r>
        <w:rPr>
          <w:rtl w:val="true"/>
        </w:rPr>
        <w:t>في الوَلاء</w:t>
      </w:r>
      <w:r>
        <w:rPr>
          <w:rtl w:val="true"/>
        </w:rPr>
        <w:t>]</w:t>
      </w:r>
      <w:bookmarkEnd w:id="17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الواو، وأصله القرب والدنوّ، والمراد هاهنا تقرّب أحد الشيخين بالآخر على وجه يوجب الإرث بغير نسب ولا 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الوَلاء إلى الأولاد الذكور دون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الأولاد مولودين على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ولدوا من معتقة أحراراً مع كون أبيهم رقّاً فإنّ ولاءهم لمولى أُمِّهم، فإن أعتق الأب بعد ذلك انجرّ ولاؤهم إليه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الزوجة فإنّها تشاركه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عليّ علیه السلام يعطيه فقراء بلده</w:t>
      </w:r>
      <w:r>
        <w:rPr>
          <w:rFonts w:eastAsia="IRNazanin" w:cs="IRNazanin"/>
          <w:color w:val="111111"/>
          <w:sz w:val="28"/>
          <w:szCs w:val="28"/>
          <w:rtl w:val="true"/>
          <w:lang w:bidi="fa-IR"/>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ذلك الحاكم الشرعي حقَّ النيابة كغيره من أمواله</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2019652_1067777946"/>
      <w:bookmarkStart w:id="1775" w:name="_Toc664"/>
      <w:bookmarkEnd w:id="1774"/>
      <w:r>
        <w:rPr>
          <w:rtl w:val="true"/>
        </w:rPr>
        <w:t>[</w:t>
      </w:r>
      <w:r>
        <w:rPr>
          <w:rtl w:val="true"/>
        </w:rPr>
        <w:t>ميراث ابن الملاعنة</w:t>
      </w:r>
      <w:r>
        <w:rPr>
          <w:rtl w:val="true"/>
        </w:rPr>
        <w:t>]</w:t>
      </w:r>
      <w:bookmarkEnd w:id="17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هو أباه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يرثهم إن اعترفوا به وكذَّبوا الأب في اللعان، ويرثونه مع تصديقهم أباه، كان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ولد الزنى</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أُمّه كابن الملاعنة</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bookmarkStart w:id="1776" w:name="pg10178_84210"/>
    </w:p>
    <w:p>
      <w:pPr>
        <w:pStyle w:val="BookText"/>
        <w:rPr/>
      </w:pPr>
      <w:bookmarkEnd w:id="17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 يرِث إن سقط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تشترط حياته عند موت الموروث، فلو كان نطفة وَرِث إذا انفصل حيّاً، ولا يشترط استقرار الحياة، فلو سقط بجناية جانٍ وتحرَّك حركةً تدلّ على الحياة وَرِث، وانتقل ماله إلى وارثه، ولا يشترط الاستهلال؛ لأنّه قد يكون أخرس، بل تكفي الحركة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يكلَّف أحدهما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مجهُولَي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بتصادقهما إذا كانا معروفَين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خِيَرَةِ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تمضي مدَّةٌ لا يعيش مثله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العادة، ولا تقدير لها، بل تختلف باختلاف القرون، وفي زماننا هذا يكفي التربّص مائةً وعشرين سنةً من حين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تبرَّاً من جريرة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بالتبرُّؤ والإرث بحاله</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2019654_1067777946"/>
      <w:bookmarkStart w:id="1778" w:name="_Toc665"/>
      <w:bookmarkEnd w:id="1777"/>
      <w:r>
        <w:rPr>
          <w:rtl w:val="true"/>
        </w:rPr>
        <w:t>[</w:t>
      </w:r>
      <w:r>
        <w:rPr>
          <w:rtl w:val="true"/>
        </w:rPr>
        <w:t>ميراث الخنثى</w:t>
      </w:r>
      <w:r>
        <w:rPr>
          <w:rtl w:val="true"/>
        </w:rPr>
        <w:t>]</w:t>
      </w:r>
      <w:bookmarkEnd w:id="1778"/>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أربعة وللخنثى ثلاثة وللأُنثى سهمان</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الثاني يسمّى طريق التنزيل، وهو أشهر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التفاوت بينهما في بعض الصور، ومن مواضع 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اجتمع أُنثى وخنثى وذكر، فإنّ للخنثى على الطريق الأوّل ثلاثة من تسعة، وهي ثلثها، وله على الطريق الثاني ثلاثة عَشَرَ من أربعين، وهي لا تبلغ ثلث الفريضة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أشهر بين الأصحاب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خنثى وذكر تفرضهما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على هذا القول أن تصحَّحَ المسألةُ على تقدير الذكوريَّة ثمّ على تقدير الأُنوثيَّة، ثمّ تضرب إحداهما في الأخرى إن تباينتا، وفي وَفْقِهما إن توافقتا، ثمّ يضرب الحاصل في اثنين، ويعطى كلُّ وارثٍ نصفَ ما حصل له في المسألتين، ففي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خنثى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الذكوريَّة مِن اثنتين، والأنوثيَّة من ثلاثة، وهما متباينان، فتضرب إحداهما في الأُخرى ثمّ في اثنتين، تبلغ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خنثى وأُنثى لو اجتمعا معه، فمع فرضه ذَكَراً الفريضة خمسة، ومع فرضه أُنثى أربعة، ومضروب إحداهما في الأُخرى تبلغ عشرين، ثمّ نضربها في اثنين تبلغ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للخنثى ثلاثةَ عَشَرَ، وللذكر ثمانيةَ عَشَرَ، وللأُنثى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الأبوَين مع خنثى، فريضة الذكوريَّة ستَّة، والأنوثيَّةِ أربعة، وهما متوافقان بالنصف، فنضرب اثنين في ستَّةٍ، ثمّ المجتمع في اثنين تبلغ، أربعةً وعشرين، فلأحد الأبوَين خمسة، وللخنثى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شاركهم زوج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فنضرب في الفرض المذكور مع زوج أربعةً في اثنَي عَشَرَ، تبلغ ثمانيةً وأربعين، للزوج اثنا عَشَر، ويقسم الباقي بين الخنثى والذكر، فَمَنْ حصل له من الأصل شيء أخذه مضروباً في ثلاثة، فللخنثى خمسةَ عَشَرَ، وللذكر أحد وعشرون، ولو كان زوجةً، ضربت الاثنا عَشَر في ثمانية، تبلغ ستَّةً وتسعين، للزوجة اثنا عَشَر، وللذكر مضروبُ سبعة في سبعة تسعةٌ وأربعون، وللخنثى مضروبُ</w:t>
      </w:r>
    </w:p>
    <w:p>
      <w:pPr>
        <w:pStyle w:val="BookText"/>
        <w:rPr/>
      </w:pPr>
      <w:r>
        <w:rPr>
          <w:rFonts w:ascii="Amiri" w:hAnsi="Amiri" w:eastAsia="Amiri" w:cs="Amiri"/>
          <w:color w:val="111111"/>
          <w:sz w:val="28"/>
          <w:sz w:val="28"/>
          <w:szCs w:val="28"/>
          <w:rtl w:val="true"/>
          <w:lang w:bidi="ar-SA"/>
        </w:rPr>
        <w:t>خمسةٍ في سبعةٍ خمسة وثلاثون</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انتبه أحدهما فهما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وكذا التَفصيل في الشَهادةَ، وفي النكاح واحد، وفي التكليف اثنان</w:t>
      </w:r>
      <w:r>
        <w:rPr>
          <w:rFonts w:eastAsia="Amiri" w:cs="Amiri" w:ascii="Amiri" w:hAnsi="Amiri"/>
          <w:color w:val="111111"/>
          <w:sz w:val="28"/>
          <w:szCs w:val="28"/>
          <w:rtl w:val="true"/>
          <w:lang w:bidi="ar-SA"/>
        </w:rPr>
        <w:t xml:space="preserve">. </w:t>
      </w:r>
      <w:bookmarkStart w:id="1779" w:name="pg10178_84212"/>
    </w:p>
    <w:p>
      <w:pPr>
        <w:pStyle w:val="BookText"/>
        <w:rPr/>
      </w:pPr>
      <w:bookmarkEnd w:id="1779"/>
      <w:r>
        <w:rPr>
          <w:rFonts w:ascii="Amiri" w:hAnsi="Amiri" w:eastAsia="Amiri" w:cs="Amiri"/>
          <w:color w:val="111111"/>
          <w:sz w:val="28"/>
          <w:sz w:val="28"/>
          <w:szCs w:val="28"/>
          <w:rtl w:val="true"/>
          <w:lang w:bidi="ar-SA"/>
        </w:rPr>
        <w:t>والأولى في الوضوء أن يغسِّل كلّ منهما أعضاءَ كلّ منهما</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2019656_1067777946"/>
      <w:bookmarkStart w:id="1781" w:name="_Toc666"/>
      <w:bookmarkEnd w:id="1780"/>
      <w:r>
        <w:rPr>
          <w:rtl w:val="true"/>
        </w:rPr>
        <w:t>[</w:t>
      </w:r>
      <w:r>
        <w:rPr>
          <w:rtl w:val="true"/>
        </w:rPr>
        <w:t>في ميراث الغرقى والمهدوم عليهم</w:t>
      </w:r>
      <w:r>
        <w:rPr>
          <w:rtl w:val="true"/>
        </w:rPr>
        <w:t>]</w:t>
      </w:r>
      <w:bookmarkEnd w:id="17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 هذا الحكم بغير سبب الغَرَقِ والهَدْمِ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لعدم النصِّ، فمع الاشتباه لا يرث أحدهما الآخر بل ميراث كلّ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الأضعف أوّلاً، ثمّ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الأضعف نصيباً كالزوجة مع الزوج؛ تعبّداً </w:t>
      </w:r>
      <w:r>
        <w:rPr>
          <w:rStyle w:val="FootnoteAnchor"/>
          <w:rtl w:val="true"/>
        </w:rPr>
        <w:footnoteReference w:id="843"/>
      </w:r>
      <w:r>
        <w:rPr>
          <w:rFonts w:ascii="Amiri" w:hAnsi="Amiri" w:eastAsia="Amiri" w:cs="Amiri"/>
          <w:color w:val="111111"/>
          <w:sz w:val="28"/>
          <w:sz w:val="28"/>
          <w:szCs w:val="28"/>
          <w:rtl w:val="true"/>
          <w:lang w:bidi="ar-SA"/>
        </w:rPr>
        <w:t>لا لعلَّة مقبولة، إلّا أن يحكم بالتوارث ممّا وَرِث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والتقديم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2019658_1067777946"/>
      <w:bookmarkStart w:id="1783" w:name="_Toc667"/>
      <w:bookmarkEnd w:id="1782"/>
      <w:r>
        <w:rPr>
          <w:rtl w:val="true"/>
        </w:rPr>
        <w:t>[</w:t>
      </w:r>
      <w:r>
        <w:rPr>
          <w:rtl w:val="true"/>
        </w:rPr>
        <w:t>في ميراث المجوس</w:t>
      </w:r>
      <w:r>
        <w:rPr>
          <w:rtl w:val="true"/>
        </w:rPr>
        <w:t>]</w:t>
      </w:r>
      <w:bookmarkEnd w:id="178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يورّثهم بالنسب، صحيحه وفاسده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مقالة الفضل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خلَّف جدَّةً هي أُخت، وَرِثت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تزوَّج مجوسي بأُمِّ أُمِّه فأولد منها وَلَداً، فأُمّ الأب أُخت لهذا الولد؛ لكونها بنت أُمِّه وجدّة لكونها أُمّ أبيه</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2019660_1067777946"/>
      <w:bookmarkStart w:id="1785" w:name="_Toc668"/>
      <w:bookmarkEnd w:id="1784"/>
      <w:r>
        <w:rPr>
          <w:rtl w:val="true"/>
        </w:rPr>
        <w:t>[</w:t>
      </w:r>
      <w:r>
        <w:rPr>
          <w:rtl w:val="true"/>
        </w:rPr>
        <w:t>في حساب الفرائض</w:t>
      </w:r>
      <w:r>
        <w:rPr>
          <w:rtl w:val="true"/>
        </w:rPr>
        <w:t>]</w:t>
      </w:r>
      <w:bookmarkEnd w:id="1785"/>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وَفْق بين نصيبهنّ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العددان اللذان يعدّهما عدد ثالث غير الواحد، أو اللَذان إذا أسقطتَ أقلّهما من الأكثر مرَّةً أو مراراً بقي أكثر من واحد، كعشرة واثنَي عَشَر يعدّهما الاثنان، وإذا أسقطت أقلّهما من الأكثر بقي اثنان، فَيُجْتَزى </w:t>
      </w:r>
      <w:bookmarkStart w:id="1786" w:name="pg10178_84213"/>
    </w:p>
    <w:p>
      <w:pPr>
        <w:pStyle w:val="BookText"/>
        <w:rPr/>
      </w:pPr>
      <w:bookmarkEnd w:id="1786"/>
      <w:r>
        <w:rPr>
          <w:rFonts w:ascii="Amiri" w:hAnsi="Amiri" w:eastAsia="Amiri" w:cs="Amiri"/>
          <w:color w:val="111111"/>
          <w:sz w:val="28"/>
          <w:sz w:val="28"/>
          <w:szCs w:val="28"/>
          <w:rtl w:val="true"/>
          <w:lang w:bidi="ar-SA"/>
        </w:rPr>
        <w:t>بضرب أحدهما في الكسر الذي ذلك المشترك سمّي له، كالنصفِ في الأربعة والستَّةِ، والثلثِ في الستَّةِ والتسعةِ، والربعِ في الثمانيةِ والاثنَي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يعدّهما إلّا الواحد فهما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 أقلّهما الأكثر ولم يتجاوز نصفه، فهما متداخلان</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2019662_1067777946"/>
      <w:bookmarkStart w:id="1788" w:name="_Toc669"/>
      <w:bookmarkEnd w:id="1787"/>
      <w:r>
        <w:rPr>
          <w:rtl w:val="true"/>
        </w:rPr>
        <w:t>[</w:t>
      </w:r>
      <w:r>
        <w:rPr>
          <w:rtl w:val="true"/>
        </w:rPr>
        <w:t>في المناسخات</w:t>
      </w:r>
      <w:r>
        <w:rPr>
          <w:rtl w:val="true"/>
        </w:rPr>
        <w:t>]</w:t>
      </w:r>
      <w:bookmarkEnd w:id="178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اختلف الوارث أو الاستحقاق أو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 الوارث والاستحقاق، كإخوَةٍ ثلاثةٍ مات أخ ثمّ آخر وبقي أخ، فالمال له، فالوارث واحد، وكذا الاستحقاق بالأخوَّة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معاً، كأخوَين مات أحدهما ثمّ مات الآخر عن ابن، فالمال له، فوارث الأوّل غير الثاني، والاستحقاق في الأوَّل بالأُخوَّة، وفي الثاني بالبُنُوَّة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الوارث خاصَّةً، كمَن مات عن وَلَدَين، ثمّ أحدهما عن ابن، فوارث الثاني غير الأوَّل، والاستحقاق بالبُنُوَّة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الاستحقاق خاصَّة، كَمَن تَرَكَ زوجةً وابناً، ثمّ تموت الزوجةُ عن هذا الابن، فوارث الثاني هو وارث الأوَّل، والاستحقاق في الأوَّل بالزوجِيَّة، وفي الثاني بالبُنُوَّة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فاضرب الوَفْق من الفريضة الثانية في الفريضة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كأَبَوَين وابن، ثمّ يموت الابن ويترك ابنين وبنتين، فالفريضة الأُولى من ستَّةِ، ونصيبُ الابن أربعةٌ، وسِهامُ ورثتِه ستّةٌ توافقتا بالنصف، فتضرب ثلاثة في ستَّة، تبلغ ثمانيةَ عَشَر، للابن اثنا عَشَر، تنقسم على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من اعتبارِ التناسبِ بين الفريضتَين ليس بجيِّدٍ، وإنّما المعتبر ما ذكرناه</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بلغ صحَّت منه الفريضتان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كالأبوَين وابنٍ، ثمّ مات الابن وترك ابنين وبنتاً، فنصيبُه أربعةٌ في الفريضة الأُولى، وسِهام ورثته خمسة، فتضرب خمسة في ستّة تبلغ ثلاثين</w:t>
      </w:r>
      <w:r>
        <w:rPr>
          <w:rFonts w:eastAsia="Amiri" w:cs="Amiri" w:ascii="Amiri" w:hAnsi="Amiri"/>
          <w:color w:val="111111"/>
          <w:sz w:val="28"/>
          <w:szCs w:val="28"/>
          <w:rtl w:val="true"/>
          <w:lang w:bidi="ar-SA"/>
        </w:rPr>
        <w:t xml:space="preserve">. </w:t>
      </w:r>
      <w:bookmarkStart w:id="1789" w:name="pg10178_84214"/>
    </w:p>
    <w:p>
      <w:pPr>
        <w:pStyle w:val="Heading3"/>
        <w:numPr>
          <w:ilvl w:val="2"/>
          <w:numId w:val="1"/>
        </w:numPr>
        <w:rPr/>
      </w:pPr>
      <w:bookmarkStart w:id="1790" w:name="__RefHeading___Toc2019664_1067777946"/>
      <w:bookmarkStart w:id="1791" w:name="_Toc670"/>
      <w:bookmarkEnd w:id="1789"/>
      <w:bookmarkEnd w:id="1790"/>
      <w:r>
        <w:rPr>
          <w:rtl w:val="true"/>
        </w:rPr>
        <w:t>كتاب القضاء</w:t>
      </w:r>
      <w:bookmarkEnd w:id="1791"/>
    </w:p>
    <w:p>
      <w:pPr>
        <w:pStyle w:val="Heading4"/>
        <w:numPr>
          <w:ilvl w:val="3"/>
          <w:numId w:val="1"/>
        </w:numPr>
        <w:rPr/>
      </w:pPr>
      <w:bookmarkStart w:id="1792" w:name="__RefHeading___Toc2019666_1067777946"/>
      <w:bookmarkStart w:id="1793" w:name="_Toc671"/>
      <w:bookmarkEnd w:id="1792"/>
      <w:r>
        <w:rPr>
          <w:rtl w:val="true"/>
        </w:rPr>
        <w:t>[</w:t>
      </w:r>
      <w:r>
        <w:rPr>
          <w:rtl w:val="true"/>
        </w:rPr>
        <w:t>صفات القاضي</w:t>
      </w:r>
      <w:r>
        <w:rPr>
          <w:rtl w:val="true"/>
        </w:rPr>
        <w:t>]</w:t>
      </w:r>
      <w:bookmarkEnd w:id="17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علمه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اعتبار الكتابة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الحرِّيَّة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قويّ، وإلّا لزم انعزاله بانعزال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تراضی اثنان بواحد من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في المتراضى به استجماع شرائط الفتوى، وإنّما يتوقَّف حكمه على التراضي؛ لأنّه ليس منصوباً من قبل الإمام؛ إذ لا يتصوّر التحكيم إلّا مع حضور الإمام علیه السلام، أمّا مع غَيْبَتِه، فينفذ قضاء الجامع للشرائط مطلقاً، ولا ينفذ قضاء غيره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غيره مستجمعاً للشرائط، وإذا أمره الإمام به وإن وجد غيره</w:t>
      </w:r>
      <w:r>
        <w:rPr>
          <w:rFonts w:eastAsia="Amiri" w:cs="Amiri" w:ascii="Amiri" w:hAnsi="Amiri"/>
          <w:color w:val="111111"/>
          <w:sz w:val="28"/>
          <w:szCs w:val="28"/>
          <w:rtl w:val="true"/>
          <w:lang w:bidi="ar-SA"/>
        </w:rPr>
        <w:t>.</w:t>
      </w:r>
    </w:p>
    <w:p>
      <w:pPr>
        <w:pStyle w:val="Heading4"/>
        <w:numPr>
          <w:ilvl w:val="3"/>
          <w:numId w:val="1"/>
        </w:numPr>
        <w:rPr/>
      </w:pPr>
      <w:bookmarkStart w:id="1794" w:name="__RefHeading___Toc2019668_1067777946"/>
      <w:bookmarkStart w:id="1795" w:name="_Toc672"/>
      <w:bookmarkEnd w:id="1794"/>
      <w:r>
        <w:rPr>
          <w:rtl w:val="true"/>
        </w:rPr>
        <w:t>[</w:t>
      </w:r>
      <w:r>
        <w:rPr>
          <w:rtl w:val="true"/>
        </w:rPr>
        <w:t>في آداب القضاء</w:t>
      </w:r>
      <w:r>
        <w:rPr>
          <w:rtl w:val="true"/>
        </w:rPr>
        <w:t>]</w:t>
      </w:r>
      <w:bookmarkEnd w:id="1795"/>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يستحضر من أهل العلم مَن يخاوضه في المسائل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المأخذ والخطأ لا للتقليد، فإنّه غير جائز وإن ضاق الوقت، ولا ينفذ قضاء المقلِّد إجماعاً ذكره العلّامة في المختلف </w:t>
      </w:r>
      <w:r>
        <w:rPr>
          <w:rStyle w:val="FootnoteAnchor"/>
          <w:rtl w:val="true"/>
        </w:rPr>
        <w:footnoteReference w:id="845"/>
      </w:r>
      <w:r>
        <w:rPr>
          <w:rFonts w:ascii="Amiri" w:hAnsi="Amiri" w:eastAsia="Amiri" w:cs="Amiri"/>
          <w:color w:val="111111"/>
          <w:sz w:val="28"/>
          <w:sz w:val="28"/>
          <w:szCs w:val="28"/>
          <w:rtl w:val="true"/>
          <w:lang w:bidi="ar-SA"/>
        </w:rPr>
        <w:t xml:space="preserve">وغيره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1796" w:name="pg10178_84215"/>
    </w:p>
    <w:p>
      <w:pPr>
        <w:pStyle w:val="BookText"/>
        <w:rPr/>
      </w:pPr>
      <w:bookmarkEnd w:id="179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حقوق الله قولان</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يقضي بعلمه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 الأمرين فالأصحّ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شهادة الجرح إلّا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التفصيل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على الحاكم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الراشي والمرتشي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توقّف التوصّل إلى الحقِّ على الرشوَة حَرُمَت على القاضي خاصَّةً</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2019670_1067777946"/>
      <w:bookmarkStart w:id="1798" w:name="_Toc673"/>
      <w:bookmarkEnd w:id="1797"/>
      <w:r>
        <w:rPr>
          <w:rtl w:val="true"/>
        </w:rPr>
        <w:t>[</w:t>
      </w:r>
      <w:r>
        <w:rPr>
          <w:rtl w:val="true"/>
        </w:rPr>
        <w:t>في وظائف الحاكم</w:t>
      </w:r>
      <w:r>
        <w:rPr>
          <w:rtl w:val="true"/>
        </w:rPr>
        <w:t>]</w:t>
      </w:r>
      <w:bookmarkEnd w:id="17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التسوية بين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الوظائف كلّها واجبة، أمّا التسوية في الميل القلبي، فمستحبَّة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ليتكلّم المدّعي منكما، ولا يخصِّص أحدهما بالخطاب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w:t>
      </w:r>
      <w:r>
        <w:rPr>
          <w:rStyle w:val="FootnoteAnchor"/>
          <w:rtl w:val="true"/>
        </w:rPr>
        <w:footnoteReference w:id="848"/>
      </w:r>
      <w:r>
        <w:rPr>
          <w:rFonts w:ascii="Amiri" w:hAnsi="Amiri" w:eastAsia="Amiri" w:cs="Amiri"/>
          <w:color w:val="111111"/>
          <w:sz w:val="28"/>
          <w:sz w:val="28"/>
          <w:szCs w:val="28"/>
          <w:rtl w:val="true"/>
          <w:lang w:bidi="ar-SA"/>
        </w:rPr>
        <w:t>اجتمع 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باجتماعهم دفعةً، فيكتب أسماء المدَّعِين كلَّ واحد في رُقْعَة، ويضع الرِقاع بين يديه و يَخْلِطها بحيث تشتبه، ثمّ يُخْرِجُ رُقْعَةً وينظر في أمر صاحبها، وخَصْمِهِ في حكومة واحدة، ثمّ يؤخِّر الأُخرى إن كان؟ حتّى يفرُغَ من الجميع، ثمّ ينظر في دعوى الأوّل ثمّ الثاني،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واستدعى مَن يخرج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ضرورة أحدهم، كالمسافر المستوفِز </w:t>
      </w:r>
      <w:r>
        <w:rPr>
          <w:rStyle w:val="FootnoteAnchor"/>
          <w:rtl w:val="true"/>
        </w:rPr>
        <w:footnoteReference w:id="849"/>
      </w: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2019672_1067777946"/>
      <w:bookmarkStart w:id="1800" w:name="_Toc674"/>
      <w:bookmarkEnd w:id="1799"/>
      <w:r>
        <w:rPr>
          <w:rtl w:val="true"/>
        </w:rPr>
        <w:t>[</w:t>
      </w:r>
      <w:r>
        <w:rPr>
          <w:rtl w:val="true"/>
        </w:rPr>
        <w:t>في جواب المدّعى عليه</w:t>
      </w:r>
      <w:r>
        <w:rPr>
          <w:rtl w:val="true"/>
        </w:rPr>
        <w:t>]</w:t>
      </w:r>
      <w:bookmarkEnd w:id="1800"/>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الإعسار كُلّف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يكلَّف البيِّنة بالإعسار إذا كان له أصل </w:t>
      </w:r>
      <w:bookmarkStart w:id="1801" w:name="pg10178_84216"/>
    </w:p>
    <w:p>
      <w:pPr>
        <w:pStyle w:val="BookText"/>
        <w:rPr/>
      </w:pPr>
      <w:bookmarkEnd w:id="1801"/>
      <w:r>
        <w:rPr>
          <w:rFonts w:ascii="Amiri" w:hAnsi="Amiri" w:eastAsia="Amiri" w:cs="Amiri"/>
          <w:color w:val="111111"/>
          <w:sz w:val="28"/>
          <w:sz w:val="28"/>
          <w:szCs w:val="28"/>
          <w:rtl w:val="true"/>
          <w:lang w:bidi="ar-SA"/>
        </w:rPr>
        <w:t>مال أو كان أصل الدعوى مالاً، أمّا لو لم يعرف له أصل مال ولا كان أصل الدعوى مالاً بل جنايةً أو صداقاً أو نفقة زوجته أو قريب استدان عليه بإذن منه أو من الحاكم، فإنّه يقنع بيمينه، وله ردّ اليمين على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لكن يجب عليه التكسّب ولو بإيجار نفسه فيما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تكفيل المدّعى عليه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التكفيل؛ لأنّه تعجيل عقوبةٍ لم يثبت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اليمين على المدَّعي</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فى الدَّين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الدعوى على الصبيّ والمجنون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الاستظهار احتمال أن يكون المدَّعي قد استوفى ماله، أو أبرأه و لم يعلم الشهود، فيستظهر الحاكم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بالدين عن العين، كما لو أقام بيِّنةً بعاريتها أو غصبها من الميِّت وشبهه، فإنّه ينزعها مِن غير يمين؛ لأنّ قِيامَ البيِّنةِ له بذلك يستلزم الشهادة له بالملك، والأصل بقاؤه</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2019674_1067777946"/>
      <w:bookmarkStart w:id="1803" w:name="_Toc675"/>
      <w:bookmarkEnd w:id="1802"/>
      <w:r>
        <w:rPr>
          <w:rtl w:val="true"/>
        </w:rPr>
        <w:t>[</w:t>
      </w:r>
      <w:r>
        <w:rPr>
          <w:rtl w:val="true"/>
        </w:rPr>
        <w:t>كيفيّة الاستحلاف</w:t>
      </w:r>
      <w:r>
        <w:rPr>
          <w:rtl w:val="true"/>
        </w:rPr>
        <w:t>]</w:t>
      </w:r>
      <w:bookmarkEnd w:id="1803"/>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تغليظ اليمين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التغليظ بالقول أن يأتي بالألفاظ المشتملة على الثناء عليه المختصّ به،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الطالب الغالب الضارّ النافع المدرك المهلك، الذي يعلم من السرِّ ما يعلمه مِن العَلانيةِ،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كالجُمُعَةِ والعِيد وبعد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 كالمسجد والحرم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ويغلّظ على الكافر بما يعتقده مُشَرَّفاً من القول والزمان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امتنع الحالف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عليه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ويحلف الأخرس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المُفهمة لليمين، وهذا هو المشهور </w:t>
      </w:r>
      <w:r>
        <w:rPr>
          <w:rStyle w:val="FootnoteAnchor"/>
          <w:rtl w:val="true"/>
        </w:rPr>
        <w:footnoteReference w:id="852"/>
      </w:r>
      <w:r>
        <w:rPr>
          <w:rFonts w:ascii="IRNazanin" w:hAnsi="IRNazanin" w:eastAsia="IRNazanin"/>
          <w:color w:val="111111"/>
          <w:sz w:val="28"/>
          <w:sz w:val="28"/>
          <w:szCs w:val="28"/>
          <w:rtl w:val="true"/>
          <w:lang w:bidi="fa-IR"/>
        </w:rPr>
        <w:t>، والأجود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دعوى علمِه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تمامِ الدعوى عليه بالقيودِ الثلاثةِ </w:t>
      </w:r>
      <w:r>
        <w:rPr>
          <w:rStyle w:val="FootnoteAnchor"/>
          <w:rtl w:val="true"/>
        </w:rPr>
        <w:footnoteReference w:id="853"/>
      </w:r>
      <w:r>
        <w:rPr>
          <w:rFonts w:ascii="Amiri" w:hAnsi="Amiri" w:eastAsia="Amiri" w:cs="Amiri"/>
          <w:color w:val="111111"/>
          <w:sz w:val="28"/>
          <w:sz w:val="28"/>
          <w:szCs w:val="28"/>
          <w:rtl w:val="true"/>
          <w:lang w:bidi="ar-SA"/>
        </w:rPr>
        <w:t xml:space="preserve">في العلم بالموت أو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العلم، وفي ادّعاء المال في يده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يثبت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نفعه عائداً عليه، كما لو ادّعى غريم الميِّت مالاً للميِّت على غيره وأقام شاهداً، فإنّ الغريم لا يحلف معه وإن كان الدَين مستوعِباً، بل الوارث، فإن امتنع من اليمين لم يثبت الحقّ، ولا يُجْبَر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إنفاذ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إمضائه، لا الحكم بموجبِه وصحَّتِه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قطعُ الخصومةِ لو عاود الخصمان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عدِّلت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بتعديلها تسويتُها من غيرِ احتياجٍ إلى شيء يجعل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تضمَّنت ردّاً من أحدٍ لم يجبر الممتنع عليها؛ لاستلزامها المعاوَضَةَ على بعضِ العينِ</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في القسمة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الضرر بنقص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أحد الجانبين فرضي، أُجبر الآخر</w:t>
      </w:r>
      <w:r>
        <w:rPr>
          <w:rFonts w:eastAsia="Amiri" w:cs="Amiri" w:ascii="Amiri" w:hAnsi="Amiri"/>
          <w:color w:val="111111"/>
          <w:sz w:val="28"/>
          <w:szCs w:val="28"/>
          <w:rtl w:val="true"/>
          <w:lang w:bidi="ar-SA"/>
        </w:rPr>
        <w:t xml:space="preserve">. </w:t>
      </w:r>
      <w:bookmarkStart w:id="1804" w:name="pg10178_84218"/>
    </w:p>
    <w:p>
      <w:pPr>
        <w:pStyle w:val="Heading4"/>
        <w:numPr>
          <w:ilvl w:val="3"/>
          <w:numId w:val="1"/>
        </w:numPr>
        <w:rPr/>
      </w:pPr>
      <w:bookmarkStart w:id="1805" w:name="__RefHeading___Toc2019676_1067777946"/>
      <w:bookmarkStart w:id="1806" w:name="_Toc676"/>
      <w:bookmarkEnd w:id="1804"/>
      <w:bookmarkEnd w:id="1805"/>
      <w:r>
        <w:rPr>
          <w:rtl w:val="true"/>
        </w:rPr>
        <w:t>[</w:t>
      </w:r>
      <w:r>
        <w:rPr>
          <w:rtl w:val="true"/>
        </w:rPr>
        <w:t>المدّعي</w:t>
      </w:r>
      <w:r>
        <w:rPr>
          <w:rtl w:val="true"/>
        </w:rPr>
        <w:t>]</w:t>
      </w:r>
      <w:bookmarkEnd w:id="18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يدَّعي خلاف الأصل أو أمراً خفيّاً</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بمدَّعي خلاف الظاهر؛ لأنّ الخفيَّ يقابل الظاهرَ، والمنكر يقابله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التعريفات تجتمع غالباً، كما لو ادّعى زيد على عمرو ديناً، فإنّ زيداً وسكوتَه، أي يترك لو ترك الخصومة، ويدَّعي خلاف الأصل؛ لأنّ الأصل براءة ذمَّة عمرو من الدين، ويدَّعي أيضاً أمراً خفيّاً، وعمر و يقابله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تعارضت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لو أسلم الزَوْجان قبل الدخول،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معاً فالنكاح باقٍ، وقالت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التعاقب فلا نكاح بيننا، فعلى الأصل هى المدَّعية؛ لأنّ الأصل عدم تقدّم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التخلية؛ لأنّها لو سكتت لم يعرض لها الزوج واستمرّ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الظاهر هو المدَّعي؛ لأنّ التقارن خلاف الظاهر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وإيراد الدعوى بصيغة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يعسر الاطِّلاع عليه، كالسرقة، وإلّا لم يشترط على الأقوى، ولا يتوجَّه هنا ردّ </w:t>
      </w:r>
      <w:r>
        <w:rPr>
          <w:rStyle w:val="FootnoteAnchor"/>
          <w:rtl w:val="true"/>
        </w:rPr>
        <w:footnoteReference w:id="856"/>
      </w:r>
      <w:r>
        <w:rPr>
          <w:rFonts w:ascii="Amiri" w:hAnsi="Amiri" w:eastAsia="Amiri" w:cs="Amiri"/>
          <w:color w:val="111111"/>
          <w:sz w:val="28"/>
          <w:sz w:val="28"/>
          <w:szCs w:val="28"/>
          <w:rtl w:val="true"/>
          <w:lang w:bidi="ar-SA"/>
        </w:rPr>
        <w:t>اليمين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أعرض مالكه جاز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رجوع مالكه فيه ما لم يتصرَّف</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الرواية </w:t>
      </w:r>
      <w:r>
        <w:rPr>
          <w:rStyle w:val="FootnoteAnchor"/>
          <w:rtl w:val="true"/>
        </w:rPr>
        <w:footnoteReference w:id="857"/>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الإعراض عمّا يقذفه البحر لإياس منه، فإن فرض ذلك صحّ أخذه، وإلّا فهو لمالكه، ولا أُجرة للمخرج إلّا أن يأمره المالك</w:t>
      </w:r>
      <w:r>
        <w:rPr>
          <w:rFonts w:eastAsia="Amiri" w:cs="Amiri" w:ascii="Amiri" w:hAnsi="Amiri"/>
          <w:color w:val="111111"/>
          <w:sz w:val="28"/>
          <w:szCs w:val="28"/>
          <w:rtl w:val="true"/>
          <w:lang w:bidi="ar-SA"/>
        </w:rPr>
        <w:t xml:space="preserve">. </w:t>
      </w:r>
      <w:bookmarkStart w:id="1807" w:name="pg10178_84219"/>
    </w:p>
    <w:p>
      <w:pPr>
        <w:pStyle w:val="BookText"/>
        <w:rPr/>
      </w:pPr>
      <w:bookmarkEnd w:id="180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 ذلك على مَن خَلَط المال ولم يأذن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ليس بجيِّد على ما نقله في صدر الرواية </w:t>
      </w:r>
      <w:r>
        <w:rPr>
          <w:rStyle w:val="FootnoteAnchor"/>
          <w:rtl w:val="true"/>
        </w:rPr>
        <w:footnoteReference w:id="858"/>
      </w:r>
      <w:r>
        <w:rPr>
          <w:rFonts w:ascii="Amiri" w:hAnsi="Amiri" w:eastAsia="Amiri" w:cs="Amiri"/>
          <w:color w:val="111111"/>
          <w:sz w:val="28"/>
          <w:sz w:val="28"/>
          <w:szCs w:val="28"/>
          <w:rtl w:val="true"/>
          <w:lang w:bidi="ar-SA"/>
        </w:rPr>
        <w:t>أنّ حمله بخلطها في العبارة صفة للبضاعة، وحينئذٍ لا يتوجَّه خلط المال بغير إذن صاحبه، لاقتضاء الأوّل إذنه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المسألة مع قطع النظر عن الرواية، فهو أنّه إن خلطها بغير إذنه ضَمِن، وإلّا اعتبر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الأجير دعاه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عنده مع دعاء الأجير إليه كوكيله، فيده يده، بخلاف الأوّل، فإنّ الأُجرة في ضَمان المستأجر حتّى يقبضها الأجير أو مَن يقوم مقامه</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2019678_1067777946"/>
      <w:bookmarkStart w:id="1809" w:name="_Toc677"/>
      <w:bookmarkEnd w:id="1808"/>
      <w:r>
        <w:rPr>
          <w:rtl w:val="true"/>
        </w:rPr>
        <w:t>[</w:t>
      </w:r>
      <w:r>
        <w:rPr>
          <w:rtl w:val="true"/>
        </w:rPr>
        <w:t>الاختلاف في الدعوى</w:t>
      </w:r>
      <w:r>
        <w:rPr>
          <w:rtl w:val="true"/>
        </w:rPr>
        <w:t>]</w:t>
      </w:r>
      <w:bookmarkEnd w:id="18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له إحلاف مَن كانت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ادّعى عليه العلم كفى حلفه على عدمه، وإن ادّعى عليه غصبها منه ونحوه حلف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تداعيا خُصّاً، قضي لمَن إليه القِمْط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يشدّ به الأخصاص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الرواية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مَن كانت إليه المعاقد وقف في ملكه وعقد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العمل على الرواية وضعفها منجَبرٌ بالشهرة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رواية </w:t>
      </w:r>
      <w:r>
        <w:rPr>
          <w:rStyle w:val="FootnoteAnchor"/>
          <w:rtl w:val="true"/>
        </w:rPr>
        <w:footnoteReference w:id="862"/>
      </w:r>
      <w:r>
        <w:rPr>
          <w:rFonts w:ascii="Amiri" w:hAnsi="Amiri" w:eastAsia="Amiri" w:cs="Amiri"/>
          <w:color w:val="111111"/>
          <w:sz w:val="28"/>
          <w:sz w:val="28"/>
          <w:szCs w:val="28"/>
          <w:rtl w:val="true"/>
          <w:lang w:bidi="ar-SA"/>
        </w:rPr>
        <w:t>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الأب وغيره، ضعيفة</w:t>
      </w:r>
      <w:r>
        <w:rPr>
          <w:rFonts w:eastAsia="Amiri" w:cs="Amiri" w:ascii="Amiri" w:hAnsi="Amiri"/>
          <w:color w:val="111111"/>
          <w:sz w:val="28"/>
          <w:szCs w:val="28"/>
          <w:rtl w:val="true"/>
          <w:lang w:bidi="ar-SA"/>
        </w:rPr>
        <w:t xml:space="preserve">. </w:t>
      </w:r>
      <w:bookmarkStart w:id="1810" w:name="pg10178_84220"/>
    </w:p>
    <w:p>
      <w:pPr>
        <w:pStyle w:val="BookText"/>
        <w:rPr/>
      </w:pPr>
      <w:bookmarkEnd w:id="181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ويدهما عليه،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إن كان هناك عرفٌ عامٌّ أو خاصٌّ حكم به، وإلّا حكم بما يصلح للرجل له، وللمرأة لها، وما يصلح لهما بينهما، كلّ ذلك مع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ورثتِهما أو ورثة أحدهما حكمهما</w:t>
      </w:r>
      <w:r>
        <w:rPr>
          <w:rFonts w:eastAsia="Amiri" w:cs="Amiri" w:ascii="Amiri" w:hAnsi="Amiri"/>
          <w:color w:val="111111"/>
          <w:sz w:val="28"/>
          <w:szCs w:val="28"/>
          <w:rtl w:val="true"/>
          <w:lang w:bidi="ar-SA"/>
        </w:rPr>
        <w:t>.</w:t>
      </w:r>
    </w:p>
    <w:p>
      <w:pPr>
        <w:pStyle w:val="Heading4"/>
        <w:numPr>
          <w:ilvl w:val="3"/>
          <w:numId w:val="1"/>
        </w:numPr>
        <w:rPr/>
      </w:pPr>
      <w:bookmarkStart w:id="1811" w:name="__RefHeading___Toc2019680_1067777946"/>
      <w:bookmarkStart w:id="1812" w:name="_Toc678"/>
      <w:bookmarkEnd w:id="1811"/>
      <w:r>
        <w:rPr>
          <w:rtl w:val="true"/>
        </w:rPr>
        <w:t>[</w:t>
      </w:r>
      <w:r>
        <w:rPr>
          <w:rtl w:val="true"/>
        </w:rPr>
        <w:t>تعارض البيّنات</w:t>
      </w:r>
      <w:r>
        <w:rPr>
          <w:rtl w:val="true"/>
        </w:rPr>
        <w:t>]</w:t>
      </w:r>
      <w:bookmarkEnd w:id="181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bookmarkStart w:id="1813" w:name="pg10178_84221"/>
    </w:p>
    <w:p>
      <w:pPr>
        <w:pStyle w:val="Heading3"/>
        <w:numPr>
          <w:ilvl w:val="2"/>
          <w:numId w:val="1"/>
        </w:numPr>
        <w:rPr/>
      </w:pPr>
      <w:bookmarkStart w:id="1814" w:name="__RefHeading___Toc2019682_1067777946"/>
      <w:bookmarkStart w:id="1815" w:name="_Toc679"/>
      <w:bookmarkEnd w:id="1813"/>
      <w:bookmarkEnd w:id="1814"/>
      <w:r>
        <w:rPr>
          <w:rtl w:val="true"/>
        </w:rPr>
        <w:t>كتاب الشهادات</w:t>
      </w:r>
      <w:bookmarkEnd w:id="1815"/>
    </w:p>
    <w:p>
      <w:pPr>
        <w:pStyle w:val="Heading4"/>
        <w:numPr>
          <w:ilvl w:val="3"/>
          <w:numId w:val="1"/>
        </w:numPr>
        <w:rPr/>
      </w:pPr>
      <w:bookmarkStart w:id="1816" w:name="__RefHeading___Toc2019684_1067777946"/>
      <w:bookmarkStart w:id="1817" w:name="_Toc680"/>
      <w:bookmarkEnd w:id="1816"/>
      <w:r>
        <w:rPr>
          <w:rtl w:val="true"/>
        </w:rPr>
        <w:t>[</w:t>
      </w:r>
      <w:r>
        <w:rPr>
          <w:rtl w:val="true"/>
        </w:rPr>
        <w:t>صفات الشاهد</w:t>
      </w:r>
      <w:r>
        <w:rPr>
          <w:rtl w:val="true"/>
        </w:rPr>
        <w:t>]</w:t>
      </w:r>
      <w:bookmarkEnd w:id="18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اعتبار الغربة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عَدالتُهما في دِينِهما، وكونُ الوصيَّةِ بالمال لا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إحلافه بعد العصرِ؛ عملاً بظاهرِ الآية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نفسانيَّة راسخة تبعث على ملازمة التقوى والمروءة بحيث لا يفعل الكبائر، ولا يُصِرّ على الصغائِر، وهذا هو المراد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المُرُوءة، فهي تنزيهُ النفسِ عن الدَناءةِ التي لا تليق بأمثاله، كالسخريّة وكثرة الضحك، ولُبسِ الفقيه لباس الجندي بحيث يسخر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العورة التي يتأكّد استحباب سترها في الصلاة،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الإملاك</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لا يكون مصنَّجاً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إكذابُ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ويُورّي باطناً إن كان صادقاً</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الآخر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يُخَطَّئُ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p>
    <w:p>
      <w:pPr>
        <w:pStyle w:val="BookText"/>
        <w:rPr/>
      </w:pPr>
      <w:r>
        <w:rPr>
          <w:rFonts w:ascii="Amiri" w:hAnsi="Amiri" w:eastAsia="Amiri" w:cs="Amiri"/>
          <w:color w:val="111111"/>
          <w:sz w:val="28"/>
          <w:sz w:val="28"/>
          <w:szCs w:val="28"/>
          <w:rtl w:val="true"/>
          <w:lang w:bidi="ar-SA"/>
        </w:rPr>
        <w:t>نفسي في الملأ، ولا يكذِّبها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بأنَّه قذف تعريضي، وبأنّ الله تعالى سمّى القاذف الذي لا يأتي بالشهود كاذباً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شهادة ذي العداوة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اختصَّت العداوة بأحد الجانبين، اختصَّ بالقبول الخالي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بالدنيويّة عن الدينيَّة، فإنّها لا تمنع القبول؛ لقبول شهادة المسلم على أهل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قبول شهادة الولد على أبيه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قويّ؛ للآية </w:t>
      </w:r>
      <w:r>
        <w:rPr>
          <w:rStyle w:val="FootnoteAnchor"/>
          <w:rtl w:val="true"/>
        </w:rPr>
        <w:footnoteReference w:id="867"/>
      </w:r>
      <w:r>
        <w:rPr>
          <w:rFonts w:ascii="IRNazanin" w:hAnsi="IRNazanin" w:eastAsia="IRNazanin"/>
          <w:color w:val="111111"/>
          <w:sz w:val="28"/>
          <w:sz w:val="28"/>
          <w:szCs w:val="28"/>
          <w:rtl w:val="true"/>
          <w:lang w:bidi="fa-IR"/>
        </w:rPr>
        <w:t xml:space="preserve">والخبر </w:t>
      </w:r>
      <w:r>
        <w:rPr>
          <w:rStyle w:val="FootnoteAnchor"/>
          <w:rtl w:val="true"/>
        </w:rPr>
        <w:footnoteReference w:id="868"/>
      </w:r>
      <w:r>
        <w:rPr>
          <w:rFonts w:ascii="Amiri" w:hAnsi="Amiri" w:eastAsia="Amiri" w:cs="Amiri"/>
          <w:color w:val="111111"/>
          <w:sz w:val="28"/>
          <w:sz w:val="28"/>
          <w:szCs w:val="28"/>
          <w:rtl w:val="true"/>
          <w:lang w:bidi="ar-SA"/>
        </w:rPr>
        <w:t>وفي حكمه الجدّ وإن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بعض الأصحاب انضمام غيره</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صحَّ فيها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أيضاً، فتُثْبِت مفردةً ربع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كالضيف والأجير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الشيء الدون</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التبرّع بالأداء قبل الاستنطاق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استنطاق الحاكم، ولا عبرة بالتبرّع وعنده غيره</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التبرّع قبل الدعوى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يصير بالردِّ مجروحاً</w:t>
      </w:r>
      <w:r>
        <w:rPr>
          <w:rFonts w:eastAsia="Amiri" w:cs="Amiri" w:ascii="Amiri" w:hAnsi="Amiri"/>
          <w:color w:val="111111"/>
          <w:sz w:val="28"/>
          <w:szCs w:val="28"/>
          <w:rtl w:val="true"/>
          <w:lang w:bidi="ar-SA"/>
        </w:rPr>
        <w:t xml:space="preserve">. </w:t>
      </w:r>
      <w:bookmarkStart w:id="1818" w:name="pg10178_84223"/>
    </w:p>
    <w:p>
      <w:pPr>
        <w:pStyle w:val="BookText"/>
        <w:rPr/>
      </w:pPr>
      <w:bookmarkEnd w:id="1818"/>
      <w:r>
        <w:rPr>
          <w:rFonts w:ascii="Amiri" w:hAnsi="Amiri" w:eastAsia="Amiri" w:cs="Amiri"/>
          <w:color w:val="111111"/>
          <w:sz w:val="28"/>
          <w:sz w:val="28"/>
          <w:szCs w:val="28"/>
          <w:rtl w:val="true"/>
          <w:lang w:bidi="ar-SA"/>
        </w:rPr>
        <w:t xml:space="preserve">والأصحّ أنّ المنع مخصوص بحقِّ الآدمي، فلا يقدح في حقِّ الله، ولو اشترك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يمنع في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واحدة في ربع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مع مرأتين ثبت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للمرأة تضعيف المال ليصير ما أُوصي به الربع، فلو فعلت قبل ظاهراً، ويستبيحه المشهود له مع الحكم على الأقوى إن علم بالوصيَّة</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2019686_1067777946"/>
      <w:bookmarkStart w:id="1820" w:name="_Toc681"/>
      <w:bookmarkEnd w:id="1819"/>
      <w:r>
        <w:rPr>
          <w:rtl w:val="true"/>
        </w:rPr>
        <w:t>[</w:t>
      </w:r>
      <w:r>
        <w:rPr>
          <w:rtl w:val="true"/>
        </w:rPr>
        <w:t>فيما يصير به شاهداً</w:t>
      </w:r>
      <w:r>
        <w:rPr>
          <w:rtl w:val="true"/>
        </w:rPr>
        <w:t>]</w:t>
      </w:r>
      <w:bookmarkEnd w:id="18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السماع، فيثبت به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والوِلاية والملك والعتق والرقّ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إخبار جماعة يتاخم قولهم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 في ملك يد واستفاضة، فاليد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بالملك الذي يثبت 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لا المسبَّب عن 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 بالملك وأسنده إلى ما لا يثبت بالاستفاضة كالبيع، قُبِل في أصل الملك، لا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ترجيحه على مدَّعٍ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أسنده إلى سبب يثبت بالاستفاضة كالإرث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دعي الشاهد للإقامة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صاحب الحقِّ لا يعلم بشهادته، وجب عليه تعريفه إن خاف بطلان الحقِّ بدون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الشاهد عدلاً، ولو كان فاسقاً ففي وجوب التعريف عليه نظر، 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لتوقّع العَدالة بالتوبة</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 الوجوب</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bookmarkStart w:id="1821" w:name="pg10178_84224"/>
    </w:p>
    <w:p>
      <w:pPr>
        <w:pStyle w:val="BookText"/>
        <w:rPr/>
      </w:pPr>
      <w:bookmarkEnd w:id="182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يُقِيمها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يشهد أنّه أقرّ؛ لأنّه إخبار يقتضي اللفظ، وإنّما يشهد عليه بأنّ في ذمَّته كذا،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الشهادة بالملك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مشاهدته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رأى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أمِن التزوير، كما لو حَفِظه بنفسه، ما لم يعلم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مع آخر</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يخش بطلان الحقِّ 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مَن استشهد وغيره في وجوب الإقامة على الأصحّ</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2019688_1067777946"/>
      <w:bookmarkStart w:id="1823" w:name="_Toc682"/>
      <w:bookmarkEnd w:id="1822"/>
      <w:r>
        <w:rPr>
          <w:rtl w:val="true"/>
        </w:rPr>
        <w:t>[</w:t>
      </w:r>
      <w:r>
        <w:rPr>
          <w:rtl w:val="true"/>
        </w:rPr>
        <w:t>في الشهادة على الشهادة</w:t>
      </w:r>
      <w:r>
        <w:rPr>
          <w:rtl w:val="true"/>
        </w:rPr>
        <w:t>]</w:t>
      </w:r>
      <w:bookmarkEnd w:id="182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إلّا اثنان على شاهد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الاثنان على شهادة كلّ منهما جاز، بل يجوز أن يشهد شاهد الأصل مع آخر على شهادة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شهود الفرع تزكية شهود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تعيين شاهدَي الأصل، فلا يكفي أشهدنا عدلان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ذلك مشقَّة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تقدير للغَيبَةِ، بل ضابطها اعتبار المشقَّةِ على شاهدَي الأصل في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تشترط مسافة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يبطل إن كان قبل الحكم، ولو كان بعده لم ينقض</w:t>
      </w:r>
      <w:r>
        <w:rPr>
          <w:rFonts w:eastAsia="Amiri" w:cs="Amiri" w:ascii="Amiri" w:hAnsi="Amiri"/>
          <w:color w:val="111111"/>
          <w:sz w:val="28"/>
          <w:szCs w:val="28"/>
          <w:rtl w:val="true"/>
          <w:lang w:bidi="ar-SA"/>
        </w:rPr>
        <w:t>.</w:t>
      </w:r>
    </w:p>
    <w:p>
      <w:pPr>
        <w:pStyle w:val="Heading4"/>
        <w:numPr>
          <w:ilvl w:val="3"/>
          <w:numId w:val="1"/>
        </w:numPr>
        <w:rPr/>
      </w:pPr>
      <w:bookmarkStart w:id="1824" w:name="__RefHeading___Toc2019690_1067777946"/>
      <w:bookmarkStart w:id="1825" w:name="_Toc683"/>
      <w:bookmarkEnd w:id="1824"/>
      <w:r>
        <w:rPr>
          <w:rtl w:val="true"/>
        </w:rPr>
        <w:t>[</w:t>
      </w:r>
      <w:r>
        <w:rPr>
          <w:rtl w:val="true"/>
        </w:rPr>
        <w:t>في اللواحق</w:t>
      </w:r>
      <w:r>
        <w:rPr>
          <w:rtl w:val="true"/>
        </w:rPr>
        <w:t>]</w:t>
      </w:r>
      <w:bookmarkEnd w:id="1825"/>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أنّهما شاهدا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يثبت التزوير بقاطع، كعلم الحاكم، لا </w:t>
      </w:r>
    </w:p>
    <w:p>
      <w:pPr>
        <w:pStyle w:val="BookText"/>
        <w:rPr/>
      </w:pPr>
      <w:r>
        <w:rPr>
          <w:rFonts w:ascii="Amiri" w:hAnsi="Amiri" w:eastAsia="Amiri" w:cs="Amiri"/>
          <w:color w:val="111111"/>
          <w:sz w:val="28"/>
          <w:sz w:val="28"/>
          <w:szCs w:val="28"/>
          <w:rtl w:val="true"/>
          <w:lang w:bidi="ar-SA"/>
        </w:rPr>
        <w:t xml:space="preserve">بشهادة غيرهما؛ لأنّه تعارض، ولا بالإقرار </w:t>
      </w:r>
      <w:r>
        <w:rPr>
          <w:rStyle w:val="FootnoteAnchor"/>
          <w:rtl w:val="true"/>
        </w:rPr>
        <w:footnoteReference w:id="874"/>
      </w:r>
      <w:r>
        <w:rPr>
          <w:rFonts w:ascii="Amiri" w:hAnsi="Amiri" w:eastAsia="Amiri" w:cs="Amiri"/>
          <w:color w:val="111111"/>
          <w:sz w:val="28"/>
          <w:sz w:val="28"/>
          <w:szCs w:val="28"/>
          <w:rtl w:val="true"/>
          <w:lang w:bidi="ar-SA"/>
        </w:rPr>
        <w:t xml:space="preserve">لأنّه رجوع، كذا نبَّه عليه في الدروس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الباقون من شهود الزنى</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عدم الغرم إلّا مع التصديق، ولو صدَّقه الباقون في كذبِه في الشهادة، لا في كذب الشهادة اختصّ القتل به، ولا يؤخذ منهم شيء</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رجعا، ضمنا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ويَغْرَمان نصف المهر الذي غَرِمَه الزوج إن كان قبل الدخول؛ لأنّه إن كان في معرض السقوط بِرِدَّتِها أو الفسخ لعيب ولو كان بعد الدخول، فلا ضَمان</w:t>
      </w:r>
      <w:r>
        <w:rPr>
          <w:rFonts w:eastAsia="Amiri" w:cs="Amiri" w:ascii="Amiri" w:hAnsi="Amiri"/>
          <w:color w:val="111111"/>
          <w:sz w:val="28"/>
          <w:szCs w:val="28"/>
          <w:rtl w:val="true"/>
          <w:lang w:bidi="ar-SA"/>
        </w:rPr>
        <w:t xml:space="preserve">. </w:t>
      </w:r>
      <w:bookmarkStart w:id="1826" w:name="pg10178_84226"/>
    </w:p>
    <w:p>
      <w:pPr>
        <w:pStyle w:val="Heading3"/>
        <w:numPr>
          <w:ilvl w:val="2"/>
          <w:numId w:val="1"/>
        </w:numPr>
        <w:rPr/>
      </w:pPr>
      <w:bookmarkStart w:id="1827" w:name="__RefHeading___Toc2019692_1067777946"/>
      <w:bookmarkStart w:id="1828" w:name="_Toc684"/>
      <w:bookmarkEnd w:id="1826"/>
      <w:bookmarkEnd w:id="1827"/>
      <w:r>
        <w:rPr>
          <w:rtl w:val="true"/>
        </w:rPr>
        <w:t>كتاب الحدود</w:t>
      </w:r>
      <w:bookmarkEnd w:id="1828"/>
    </w:p>
    <w:p>
      <w:pPr>
        <w:pStyle w:val="Heading4"/>
        <w:numPr>
          <w:ilvl w:val="3"/>
          <w:numId w:val="1"/>
        </w:numPr>
        <w:rPr/>
      </w:pPr>
      <w:bookmarkStart w:id="1829" w:name="__RefHeading___Toc2019694_1067777946"/>
      <w:bookmarkStart w:id="1830" w:name="_Toc685"/>
      <w:bookmarkEnd w:id="1829"/>
      <w:r>
        <w:rPr>
          <w:rtl w:val="true"/>
        </w:rPr>
        <w:t>[</w:t>
      </w:r>
      <w:r>
        <w:rPr>
          <w:rtl w:val="true"/>
        </w:rPr>
        <w:t>موجب الزنى</w:t>
      </w:r>
      <w:r>
        <w:rPr>
          <w:rtl w:val="true"/>
        </w:rPr>
        <w:t>]</w:t>
      </w:r>
      <w:bookmarkEnd w:id="183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ويتحقّق بغَيبوبة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بقدرها من مقطوعها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العقد بمجرّده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لو عقد علمه بفساده؛ لعدم قبول الموطوءة للعقد بوجه من الوجوه، لم يكن العقد بمجرَّده شبهةً في سقوط الحدِّ؛ خلافاً لأبي حنيفة </w:t>
      </w:r>
      <w:r>
        <w:rPr>
          <w:rStyle w:val="FootnoteAnchor"/>
          <w:rtl w:val="true"/>
        </w:rPr>
        <w:footnoteReference w:id="877"/>
      </w:r>
      <w:r>
        <w:rPr>
          <w:rFonts w:ascii="IRNazanin" w:hAnsi="IRNazanin" w:eastAsia="IRNazanin"/>
          <w:color w:val="111111"/>
          <w:sz w:val="28"/>
          <w:sz w:val="28"/>
          <w:szCs w:val="28"/>
          <w:rtl w:val="true"/>
          <w:lang w:bidi="fa-IR"/>
        </w:rPr>
        <w:t>نفى وجوب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وجوب الحدِّ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المجنون، والأصحّ عدم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العاقلة، فتحدّ مع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فرج مملوك بالعقد الدائم أو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سافر إليه غدوةً وصل إليه الظهر، أو الظهر وصل عشيَّةً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ادّعيا الجهالة أو أحدُهما، قبل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راجع المخالع، لم يتوجّه عليه الرجم حتّى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الوطء السابق على الخلع قد زال أثره بزوال الزوجيَّةِ بالطلاق البائن، فلابدَّ من الوطء بعد رجوع المخالِع في تحقّق الإحصان</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العبد إذا كان متزوِّجاً داخلاً بالزوجيَّة ثمَّ أعتق، فلابدّ في تحقّق إحصانه من </w:t>
      </w:r>
      <w:bookmarkStart w:id="1831" w:name="pg10178_84227"/>
    </w:p>
    <w:p>
      <w:pPr>
        <w:pStyle w:val="BookText"/>
        <w:rPr/>
      </w:pPr>
      <w:bookmarkEnd w:id="1831"/>
      <w:r>
        <w:rPr>
          <w:rFonts w:ascii="Amiri" w:hAnsi="Amiri" w:eastAsia="Amiri" w:cs="Amiri"/>
          <w:color w:val="111111"/>
          <w:sz w:val="28"/>
          <w:sz w:val="28"/>
          <w:szCs w:val="28"/>
          <w:rtl w:val="true"/>
          <w:lang w:bidi="ar-SA"/>
        </w:rPr>
        <w:t>الوطء بعد العتق؛ لأنّ الوطء السابق كان في حال الرِقيَّة التي لا يتحقّق معها 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المكاتَب إذا كان متزوّجاً ثمَّ تحرَّر بأداء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جائز ولإطلاق الأخبار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الاشتراط قضيَّة ماعز بن مالك الأنصاري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حتّى ينهى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رواية محمّد بن قيس عن الباقر علیه السلام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إنّه إن أقرَّ مرَّةً لم يتجاوز التعزير؛ لأنّ الحدَّ لا يثبت بالإقرار مرَّةً، وإن أقرَّ مرَّتين لم يتجاوز الثمانين؛ لأنّ حدَّ الشرب يثبت بالإقرار مرَّتين، وإن أقرَّ أربعاً لم يتجاوز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الفعل الواحد في الزمان الواحد والمكان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اختلفوا في الزمان أو المكان أو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كالزنى عارياً ومكسيّاً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الجمع، حدّ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بعدم إمكان الجمع عمّا لو شهد أحدهم بأنّه زنى وعليه قميص أبيض، والبعض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قميص أسود، فلا حدّ عليهم؛ لإمكان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الحدّ عليه نظر</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2019696_1067777946"/>
      <w:bookmarkStart w:id="1833" w:name="_Toc686"/>
      <w:bookmarkEnd w:id="1832"/>
      <w:r>
        <w:rPr>
          <w:rtl w:val="true"/>
        </w:rPr>
        <w:t>[</w:t>
      </w:r>
      <w:r>
        <w:rPr>
          <w:rtl w:val="true"/>
        </w:rPr>
        <w:t>في حدّ الزنى</w:t>
      </w:r>
      <w:r>
        <w:rPr>
          <w:rtl w:val="true"/>
        </w:rPr>
        <w:t>]</w:t>
      </w:r>
      <w:bookmarkEnd w:id="1833"/>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الشيخ امرأةَ الأب</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عدم الإلحاقِ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جلده قبل القتل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الأجود الجمع بينهما جمعاً بين الآية </w:t>
      </w:r>
      <w:r>
        <w:rPr>
          <w:rStyle w:val="FootnoteAnchor"/>
          <w:rtl w:val="true"/>
        </w:rPr>
        <w:footnoteReference w:id="883"/>
      </w:r>
      <w:r>
        <w:rPr>
          <w:rFonts w:ascii="Amiri" w:hAnsi="Amiri" w:eastAsia="Amiri" w:cs="Amiri"/>
          <w:color w:val="111111"/>
          <w:sz w:val="28"/>
          <w:sz w:val="28"/>
          <w:szCs w:val="28"/>
          <w:rtl w:val="true"/>
          <w:lang w:bidi="ar-SA"/>
        </w:rPr>
        <w:t xml:space="preserve">والرواية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ويجمع للشيخ والشيخة بين الحدِّ 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سنّه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تجاوز البلوغ إلى الثلاثين، وما بينهما كَهْلٌ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ويغرَّب عن بلده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كون التغريب إلى مسافة القصر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التخيير في جِهات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الطريق مخوفةً لم ينتظر الأمن إلّا أن يخشى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ومؤونة التغريب على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وتُرْضِع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 مرضع غيرها أُنظرت حتّى تُكْمِل الرَضاعَةَ، وإن وُجِد غيرها أُنظِرت حتّى تُشْرِب اللِبأ خاصَّة؛ إذ لا قِوام للولد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ولد الزنى وغيره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رأى الحاكم التعجيل ضَرَبَه بالضغْثِ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قبضة من سياط أو عصاً ونحوِها، فإن اشتمل على تمام العدد، کفی به ضربةٌ واحدةٌ مُؤلِمَةٌ يتثاقل عليه جميع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 على أقلَّ من العدد كرَّره، فيضرب بالخمسين مرَّتين،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احتمل سِياطاً خِفافاً، فهو أولى من الضِغْثِ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تصبه الحِجارَةُ، أعيدُ</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إصابتها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وأقلّها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أقلّها ثلاثة وجوباً</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يرجمه مَن لله قبله 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w:t>
      </w:r>
      <w:r>
        <w:rPr>
          <w:rFonts w:eastAsia="Amiri" w:cs="Amiri" w:ascii="Amiri" w:hAnsi="Amiri"/>
          <w:color w:val="111111"/>
          <w:sz w:val="28"/>
          <w:szCs w:val="28"/>
          <w:rtl w:val="true"/>
          <w:lang w:bidi="ar-SA"/>
        </w:rPr>
        <w:t xml:space="preserve">. </w:t>
      </w:r>
      <w:bookmarkStart w:id="1834" w:name="pg10178_84229"/>
    </w:p>
    <w:p>
      <w:pPr>
        <w:pStyle w:val="Heading4"/>
        <w:numPr>
          <w:ilvl w:val="3"/>
          <w:numId w:val="1"/>
        </w:numPr>
        <w:rPr/>
      </w:pPr>
      <w:bookmarkStart w:id="1835" w:name="__RefHeading___Toc2019698_1067777946"/>
      <w:bookmarkStart w:id="1836" w:name="_Toc687"/>
      <w:bookmarkEnd w:id="1834"/>
      <w:bookmarkEnd w:id="1835"/>
      <w:r>
        <w:rPr>
          <w:rtl w:val="true"/>
        </w:rPr>
        <w:t>[</w:t>
      </w:r>
      <w:r>
        <w:rPr>
          <w:rtl w:val="true"/>
        </w:rPr>
        <w:t>في اللواحق</w:t>
      </w:r>
      <w:r>
        <w:rPr>
          <w:rtl w:val="true"/>
        </w:rPr>
        <w:t>]</w:t>
      </w:r>
      <w:bookmarkEnd w:id="183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فشهدت أربع نساء بِالبكارة، فلا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عدم الحدّ؛ لإمكان عود البِكارة، فلا يعلم الفِرْيَةُ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الزوج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شهادته، ويجب الحدّ، إلّا أن يسبق بالقذف، فيُحدّ هو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مع تكرار الإقرار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الزِنى وحدُّ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إلّا أن تفسِّر بالإكراه ونحوه، فتعزَّر</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2019700_1067777946"/>
      <w:bookmarkStart w:id="1838" w:name="_Toc688"/>
      <w:bookmarkEnd w:id="1837"/>
      <w:r>
        <w:rPr>
          <w:rtl w:val="true"/>
        </w:rPr>
        <w:t>[</w:t>
      </w:r>
      <w:r>
        <w:rPr>
          <w:rtl w:val="true"/>
        </w:rPr>
        <w:t>في اللواط والسحق والقيادة</w:t>
      </w:r>
      <w:r>
        <w:rPr>
          <w:rtl w:val="true"/>
        </w:rPr>
        <w:t>]</w:t>
      </w:r>
      <w:bookmarkEnd w:id="183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 الموقب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الإيقاب غَيبوبة الحشفة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المحصَن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يُحَدّ المجنون ولو كان فاعلاً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زوجته الحدّ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لها المهر دون الزانية؛ لأنّ الزانية أذنت في الافتضاض دون هذه</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2019702_1067777946"/>
      <w:bookmarkStart w:id="1840" w:name="_Toc689"/>
      <w:bookmarkEnd w:id="1839"/>
      <w:r>
        <w:rPr>
          <w:rtl w:val="true"/>
        </w:rPr>
        <w:t>[</w:t>
      </w:r>
      <w:r>
        <w:rPr>
          <w:rtl w:val="true"/>
        </w:rPr>
        <w:t>في حدِّ القذف</w:t>
      </w:r>
      <w:r>
        <w:rPr>
          <w:rtl w:val="true"/>
        </w:rPr>
        <w:t>]</w:t>
      </w:r>
      <w:bookmarkEnd w:id="18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 لمَن أقرَّ بُنوَّته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الأب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 إنسان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فالحدّ للمنسوبة إلى الزنى دون المواجَه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للمواجَه في جميع هذه الصور</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ثبوته للمرأة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bookmarkStart w:id="1841" w:name="pg10178_84230"/>
    </w:p>
    <w:p>
      <w:pPr>
        <w:pStyle w:val="BookText"/>
        <w:rPr/>
      </w:pPr>
      <w:bookmarkEnd w:id="184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يوضع للقذف عرفاً أو وضعاً،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ولد حرام، أو حملت بك أُمُّك في حيضِها، أو لستَ بولد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قال لغيره ما يُوجب أذىً، كالخسيس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الكلب والخنزير، والفاسق والكافر والمرتدّ، والتعیير ببلاء الله،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أجذم وأبرص وأعور وغير ذلك ممّا يُوجِب الأذى إذا لم يكن المقول له مستَحِقّاً للاستخفاف، ولو كان مستحقّاً له سقط التعزير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المقول له مستَحِقّاً للاستخفاف فيسقط التعزير</w:t>
      </w:r>
      <w:r>
        <w:rPr>
          <w:rFonts w:eastAsia="Amiri" w:cs="Amiri" w:ascii="Amiri" w:hAnsi="Amiri"/>
          <w:color w:val="111111"/>
          <w:sz w:val="28"/>
          <w:szCs w:val="28"/>
          <w:rtl w:val="true"/>
          <w:lang w:bidi="ar-SA"/>
        </w:rPr>
        <w:t>.</w:t>
      </w:r>
    </w:p>
    <w:p>
      <w:pPr>
        <w:pStyle w:val="Heading4"/>
        <w:numPr>
          <w:ilvl w:val="3"/>
          <w:numId w:val="1"/>
        </w:numPr>
        <w:rPr/>
      </w:pPr>
      <w:bookmarkStart w:id="1842" w:name="__RefHeading___Toc2019704_1067777946"/>
      <w:bookmarkStart w:id="1843" w:name="_Toc690"/>
      <w:bookmarkEnd w:id="1842"/>
      <w:r>
        <w:rPr>
          <w:rtl w:val="true"/>
        </w:rPr>
        <w:t>[</w:t>
      </w:r>
      <w:r>
        <w:rPr>
          <w:rtl w:val="true"/>
        </w:rPr>
        <w:t>في أحكام القذف</w:t>
      </w:r>
      <w:r>
        <w:rPr>
          <w:rtl w:val="true"/>
        </w:rPr>
        <w:t>]</w:t>
      </w:r>
      <w:bookmarkEnd w:id="184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زانٍ أو ابنتك زانية، فالحدّ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بالغَين كاملَين، وإلّا فللأب، ويثبت التعزير للمواجَه على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ويَحلّ دمه لكل سامع إذا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وماله أو غيره من أهل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أُمِّه علیه السلام وبنتِه حكمُه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مدّعي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مصدِّق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أو رُقىً أو كلام يَتَكَلَّم به أو يكتُبُه، أو يعمل شيئاً يُؤَثِّر فى بدن المسحور أو عقله أو قلبه من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التفريق بين الرجل والمرأة وبغض أحدهما لصاحبه، ومحبَّة أحد الشخصين للآخر</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2019706_1067777946"/>
      <w:bookmarkStart w:id="1845" w:name="_Toc691"/>
      <w:bookmarkEnd w:id="1844"/>
      <w:r>
        <w:rPr>
          <w:rtl w:val="true"/>
        </w:rPr>
        <w:t>[</w:t>
      </w:r>
      <w:r>
        <w:rPr>
          <w:rtl w:val="true"/>
        </w:rPr>
        <w:t>في حدّ المسكر</w:t>
      </w:r>
      <w:r>
        <w:rPr>
          <w:rtl w:val="true"/>
        </w:rPr>
        <w:t>]</w:t>
      </w:r>
      <w:bookmarkEnd w:id="184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العِنَبي خاصَّةً</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الحدّ عمّنَ جَهِل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ذلك في حقِّه، كقرب عهده بالإسلام، أو كونه نَشَأَ في بادية لا يعلمون معالم الإسلام</w:t>
      </w:r>
      <w:r>
        <w:rPr>
          <w:rFonts w:eastAsia="Amiri" w:cs="Amiri" w:ascii="Amiri" w:hAnsi="Amiri"/>
          <w:color w:val="111111"/>
          <w:sz w:val="28"/>
          <w:szCs w:val="28"/>
          <w:rtl w:val="true"/>
          <w:lang w:bidi="ar-SA"/>
        </w:rPr>
        <w:t xml:space="preserve">. </w:t>
      </w:r>
      <w:bookmarkStart w:id="1846" w:name="pg10178_84231"/>
    </w:p>
    <w:p>
      <w:pPr>
        <w:pStyle w:val="BookText"/>
        <w:rPr/>
      </w:pPr>
      <w:bookmarkEnd w:id="184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 واحد بشربها وآخر بقيئها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ماقاء إلّا وقد شرب</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شَهِدا بقيئها؛ لشهادة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المرتّد</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ولد على الفطرة قتل، وإلّا استتيب كما ذكر، فإن تاب،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كلِّ مَن اعتقد إباحة ما أُجمع على تحريمه، كالزنى ونكاح المحرَّمات وغيرها</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2019708_1067777946"/>
      <w:bookmarkStart w:id="1848" w:name="_Toc692"/>
      <w:bookmarkEnd w:id="1847"/>
      <w:r>
        <w:rPr>
          <w:rtl w:val="true"/>
        </w:rPr>
        <w:t>[</w:t>
      </w:r>
      <w:r>
        <w:rPr>
          <w:rtl w:val="true"/>
        </w:rPr>
        <w:t>في حدِّ السرقة</w:t>
      </w:r>
      <w:r>
        <w:rPr>
          <w:rtl w:val="true"/>
        </w:rPr>
        <w:t>]</w:t>
      </w:r>
      <w:bookmarkEnd w:id="184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لو زاد عن نصيبه قدر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عدم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كلِّ ما للسارق فيه حقّ، كبيت المال، ومال الزكاة والخمس للفقير والعلوي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الأجير إذا أحرز المال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الرواية على ما لو سرق ما لم يحرز عنه، وإلّا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من كونه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الحرز إلى العرف؛ لعدم تنصيص الشارع عليه على الخصوص</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ليس لغير المالك دخوله</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bookmarkStart w:id="1849" w:name="pg10178_84232"/>
    </w:p>
    <w:p>
      <w:pPr>
        <w:pStyle w:val="BookText"/>
        <w:rPr/>
      </w:pPr>
      <w:bookmarkEnd w:id="184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لو كانا باطنين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بالباطن ما جعل عقده إلى داخل الثوب، والظاهر ما جعل إلى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قطع في الثمر على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الشجرة في موضع محرز كالدار ونحوها، فيقطع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عام مَجاعَةٍ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ويقطع سارق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حرز للكفن خاصَّة، ومنه العِمامة، فلو أُلبس الميِّت ثياباً ونحوها فلا قطع على سارقها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تقطع اليمين ولو كانت 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انحسامها، وإلّا لم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على الرواية، ولا على ما في النهاية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0" w:name="__RefHeading___Toc2019710_1067777946"/>
      <w:bookmarkStart w:id="1851" w:name="_Toc693"/>
      <w:bookmarkEnd w:id="1850"/>
      <w:r>
        <w:rPr>
          <w:rtl w:val="true"/>
        </w:rPr>
        <w:t>[</w:t>
      </w:r>
      <w:r>
        <w:rPr>
          <w:rtl w:val="true"/>
        </w:rPr>
        <w:t>في حدّ المحارب</w:t>
      </w:r>
      <w:r>
        <w:rPr>
          <w:rtl w:val="true"/>
        </w:rPr>
        <w:t>]</w:t>
      </w:r>
      <w:bookmarkEnd w:id="185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مجرِّدٍ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السلاح، بل لو أخاف بالحجر والعصا فهو قاطع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شهد بعض اللصوص على بعض، لم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عرضوا لنا وأخذوا هؤلاء،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شهد اثنان على بعض اللصوص أنّهم أخذوا قوماً، وشهد القوم على بعض آخرين من اللصوص أنّهم أخذوا الشهود، قبل الجميع</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المفيد بالتخيير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1852" w:name="pg10178_84233"/>
    </w:p>
    <w:p>
      <w:pPr>
        <w:pStyle w:val="BookText"/>
        <w:rPr/>
      </w:pPr>
      <w:bookmarkEnd w:id="185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يقطع المستَلب ولا المختَلس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المستلب آخذ المال من غير غفلة المالك، والمختلس عكسه، وكلاهما ليس بذي 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المبنِّج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جنى المبنِّج أو المرقِد على البدن، ضَمِن الفاعل</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2019712_1067777946"/>
      <w:bookmarkStart w:id="1854" w:name="_Toc694"/>
      <w:bookmarkEnd w:id="1853"/>
      <w:r>
        <w:rPr>
          <w:rtl w:val="true"/>
        </w:rPr>
        <w:t>[</w:t>
      </w:r>
      <w:r>
        <w:rPr>
          <w:rtl w:val="true"/>
        </w:rPr>
        <w:t>في إتيان البهائم ووطء الأموات وما يتبعه</w:t>
      </w:r>
      <w:r>
        <w:rPr>
          <w:rtl w:val="true"/>
        </w:rPr>
        <w:t>]</w:t>
      </w:r>
      <w:bookmarkEnd w:id="185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وتُذْبَح وتُخْرَق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الإحراق عقوبةً لها، بل لحكمةٍ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والذَبح للأمن من شياع نسلها، وتعذّر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والإحراق حذراً من اشتباه لحمها لولاه</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استمنى بیده، عزِّر بما يراه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بين الاستمناء بيده وغيره حتّى يد زوجته ومملوكته</w:t>
      </w:r>
      <w:r>
        <w:rPr>
          <w:rFonts w:eastAsia="IRNazanin" w:cs="IRNazanin"/>
          <w:color w:val="111111"/>
          <w:sz w:val="28"/>
          <w:szCs w:val="28"/>
          <w:rtl w:val="true"/>
          <w:lang w:bidi="fa-IR"/>
        </w:rPr>
        <w:t xml:space="preserve">. </w:t>
      </w:r>
      <w:bookmarkStart w:id="1855" w:name="pg10178_84234"/>
    </w:p>
    <w:p>
      <w:pPr>
        <w:pStyle w:val="Heading3"/>
        <w:numPr>
          <w:ilvl w:val="2"/>
          <w:numId w:val="1"/>
        </w:numPr>
        <w:rPr/>
      </w:pPr>
      <w:bookmarkStart w:id="1856" w:name="__RefHeading___Toc2019714_1067777946"/>
      <w:bookmarkStart w:id="1857" w:name="_Toc695"/>
      <w:bookmarkEnd w:id="1855"/>
      <w:bookmarkEnd w:id="1856"/>
      <w:r>
        <w:rPr>
          <w:rtl w:val="true"/>
        </w:rPr>
        <w:t>كتاب القِصاص</w:t>
      </w:r>
      <w:bookmarkEnd w:id="1857"/>
    </w:p>
    <w:p>
      <w:pPr>
        <w:pStyle w:val="Heading4"/>
        <w:numPr>
          <w:ilvl w:val="3"/>
          <w:numId w:val="1"/>
        </w:numPr>
        <w:rPr/>
      </w:pPr>
      <w:bookmarkStart w:id="1858" w:name="__RefHeading___Toc2019716_1067777946"/>
      <w:bookmarkStart w:id="1859" w:name="_Toc696"/>
      <w:bookmarkEnd w:id="1858"/>
      <w:r>
        <w:rPr>
          <w:rtl w:val="true"/>
        </w:rPr>
        <w:t>[</w:t>
      </w:r>
      <w:r>
        <w:rPr>
          <w:rtl w:val="true"/>
        </w:rPr>
        <w:t>في قصاص النفس</w:t>
      </w:r>
      <w:r>
        <w:rPr>
          <w:rtl w:val="true"/>
        </w:rPr>
        <w:t>]</w:t>
      </w:r>
      <w:bookmarkEnd w:id="185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إزهاق البالغ العاقل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زَهَقَت نفسُه تَزْهَقُ زُهُوقاً، أي خرجت </w:t>
      </w:r>
      <w:r>
        <w:rPr>
          <w:rStyle w:val="FootnoteAnchor"/>
          <w:rtl w:val="true"/>
        </w:rPr>
        <w:footnoteReference w:id="899"/>
      </w:r>
      <w:r>
        <w:rPr>
          <w:rFonts w:ascii="Amiri" w:hAnsi="Amiri" w:eastAsia="Amiri" w:cs="Amiri"/>
          <w:color w:val="111111"/>
          <w:sz w:val="28"/>
          <w:sz w:val="28"/>
          <w:szCs w:val="28"/>
          <w:rtl w:val="true"/>
          <w:lang w:bidi="ar-SA"/>
        </w:rPr>
        <w:t xml:space="preserve">، وخروج النفس هنا على طريق المجاز لا الحَقِيقة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الإسلام والحرِّيَّة وغيرها من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فالأشهر أنّه خطأ كالضرب بالحصاة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شبيه عمد، فتثبت فيه الديةُ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فالقِصاص على القاتل لا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المكرَه صغيراً أو مجنوناً فالقِصاص على الآمر؛ لأنَّهما كالآلة، وإن كان مميّزاً غيرَ بالغ فالدية على عاقلته، وإن كان بالغاً فعليه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كبيراً عاقلاً فعليه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صغيراً أو مجنوناً فالقَوَد على سيِّده، وإن كان صغيراً مميّزاً فلا قَوَد، وتجب الدية في رقبته</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فضل للمقتولين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قتل ثلاثة واحداً فاختار الوليّ قتل اثنين، فيأخذ من الثالث ثلث دية، ويردّ على أولياء المقتولَين ديةً وثلثاً، لكلِّ واحدٍ ثلثان</w:t>
      </w:r>
      <w:r>
        <w:rPr>
          <w:rFonts w:eastAsia="Amiri" w:cs="Amiri" w:ascii="Amiri" w:hAnsi="Amiri"/>
          <w:color w:val="111111"/>
          <w:sz w:val="28"/>
          <w:szCs w:val="28"/>
          <w:rtl w:val="true"/>
          <w:lang w:bidi="ar-SA"/>
        </w:rPr>
        <w:t xml:space="preserve">. </w:t>
      </w:r>
      <w:bookmarkStart w:id="1860" w:name="pg10178_84235"/>
    </w:p>
    <w:p>
      <w:pPr>
        <w:pStyle w:val="BookText"/>
        <w:rPr/>
      </w:pPr>
      <w:bookmarkEnd w:id="186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فضل منهم،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قتل رجل وخنثى رجلاً فقتل الوليّ الخنثى، فإنّ الرجل يردّ خمسمائة دينار، لورثة الخنثى مائتان وخمسون ديناراً، ولورثة الرجل المقتول مائتان وخمسون</w:t>
      </w:r>
      <w:r>
        <w:rPr>
          <w:rFonts w:eastAsia="Amiri" w:cs="Amiri" w:ascii="Amiri" w:hAnsi="Amiri"/>
          <w:color w:val="111111"/>
          <w:sz w:val="28"/>
          <w:szCs w:val="28"/>
          <w:rtl w:val="true"/>
          <w:lang w:bidi="ar-SA"/>
        </w:rPr>
        <w:t>.</w:t>
      </w:r>
    </w:p>
    <w:p>
      <w:pPr>
        <w:pStyle w:val="Heading4"/>
        <w:numPr>
          <w:ilvl w:val="3"/>
          <w:numId w:val="1"/>
        </w:numPr>
        <w:rPr/>
      </w:pPr>
      <w:bookmarkStart w:id="1861" w:name="__RefHeading___Toc2019718_1067777946"/>
      <w:bookmarkStart w:id="1862" w:name="_Toc697"/>
      <w:bookmarkEnd w:id="1861"/>
      <w:r>
        <w:rPr>
          <w:rtl w:val="true"/>
        </w:rPr>
        <w:t>[</w:t>
      </w:r>
      <w:r>
        <w:rPr>
          <w:rtl w:val="true"/>
        </w:rPr>
        <w:t>في الشرائط المعتبرة في القصاص</w:t>
      </w:r>
      <w:r>
        <w:rPr>
          <w:rtl w:val="true"/>
        </w:rPr>
        <w:t>]</w:t>
      </w:r>
      <w:bookmarkEnd w:id="18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يقتل الحرّ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انعتق بعضه لا يقتل بالقِنِّ، ولا بمَن انعتق منه أقلّ وإن كانت قيمتُه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العبد ملكه عزِّر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الصدقة بقيمته رواية</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اعتاد ذلك قتل به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 بأرش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كانا لاثنين، فللمولى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تساوَيا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تفاوتا، قتل الناقص قيمةً بالكامل، ولا يرجع مالكه بشيء، والكامل بالناقص مع ردِّ الفاضل، وإن لم يقتله مولى الناقص كان له أن يسترقَّ منه بقدر قيمة عبده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عليّ بن جعفر</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عليها</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 حُرّ حُرَّين فليس للأولياء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ليس لهم أخذ دية الزائد عن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قتله واحد منهم عن صاحبه فالأقرب أنّ للباقين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العبد حرَّين على التعاقب، ففي رواية</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تكون الجِناية على النفس أو الطرف إذا كانت كلّ واحدة منهما تحيط بقيمتِه، وإن لم تحط كلّ واحدةٍ وأحاطتا تشاركا فيه مع وفاء قيمته بهما، وإن فضل فيه فضل كان للسيِّد، وإن قصرت قيمته عنهما قسِّم بينهما على نسبة استحقاقهما مع عدم 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استناداً إلى رواية حبيب السجستاني</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الصحّة بتقدّم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دفع الدية أوّلاً أو ضَمِنها ورضي الوليّ صحّ،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اعتاد ذلك جاز الاقتصاص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الاعتياد بالقتل مرَّتين، فيقتل في الثالثة، وقيل في الثانية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قتل الجدِّ بوَلد الوَلد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يُقتل العاقل بالمجنون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العاقل ووليّ المجنون في قصد الدفاع وغيره، فالقول قول العاقل مع اليمين،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قَوَد على النائم، وعليه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العاقلة على المعتمد ؛ لأنّه خطأ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كالمبصر في توجّه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المقتول محقون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يقتل المسلم بالمرتدِّ، والزاني المحصَن واللائط وإن وجب عليه الإثم؛ لأنّ قتلَه موقوف على إذن الإمام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القاتل الذي يتوجَّه عليه القِصاص، فإنَّه معصوم بالنسبة إلى غير المستحقِّ، فيقتصّ له منه لو قتله</w:t>
      </w:r>
      <w:r>
        <w:rPr>
          <w:rFonts w:eastAsia="Amiri" w:cs="Amiri" w:ascii="Amiri" w:hAnsi="Amiri"/>
          <w:color w:val="111111"/>
          <w:sz w:val="28"/>
          <w:szCs w:val="28"/>
          <w:rtl w:val="true"/>
          <w:lang w:bidi="ar-SA"/>
        </w:rPr>
        <w:t xml:space="preserve">. </w:t>
      </w:r>
      <w:bookmarkStart w:id="1863" w:name="pg10178_84237"/>
    </w:p>
    <w:p>
      <w:pPr>
        <w:pStyle w:val="BookText"/>
        <w:rPr/>
      </w:pPr>
      <w:bookmarkEnd w:id="186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الإقرار، فتكفي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قتلهما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 البيِّنة والإقرار يقتضي الانفراد وعدم الاشتراك، فلا وجه لقتلهما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إشكال من وجه آخر، وهو تضمّنها استيفاء الوليّ أكثر ممّا له؛ لأنّه على تقدير قتلهما يكون الواجب عليه ردَّ ديةٍ كاملةٍ؛ لأنّه قتل اثنين، وله قتل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المتَّهم بالدم</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الحبس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الكثيرة، وقد تطلق على الحالفين، واشتقاقها من القَسَم، وهو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والقَسامة تخالف غيرها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اليمين ابتداءً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حلف الإنسان لإثبات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الأيمان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وعشرون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خمسون كالعمد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القَسامة ستّة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ثبوت خمسين فيما فيه الدِية كالذكر والأنف، وما نقص بحسابها ففي اليد خمس وعشرون، وفي الإصبع خمس أيمان</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2019720_1067777946"/>
      <w:bookmarkStart w:id="1865" w:name="_Toc698"/>
      <w:bookmarkEnd w:id="1864"/>
      <w:r>
        <w:rPr>
          <w:rtl w:val="true"/>
        </w:rPr>
        <w:t>[</w:t>
      </w:r>
      <w:r>
        <w:rPr>
          <w:rtl w:val="true"/>
        </w:rPr>
        <w:t>في كيفيّة الاستيفاء</w:t>
      </w:r>
      <w:r>
        <w:rPr>
          <w:rtl w:val="true"/>
        </w:rPr>
        <w:t>]</w:t>
      </w:r>
      <w:bookmarkEnd w:id="18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وللوليّ الواحد المبادَرة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بادر أحدهم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لأحدهم المبادَرة من دون إذن الباقين، لكن لو بادر ضَمِن حِصَصَهم وأثِمَ</w:t>
      </w:r>
      <w:r>
        <w:rPr>
          <w:rFonts w:eastAsia="Amiri" w:cs="Amiri" w:ascii="Amiri" w:hAnsi="Amiri"/>
          <w:color w:val="111111"/>
          <w:sz w:val="28"/>
          <w:szCs w:val="28"/>
          <w:rtl w:val="true"/>
          <w:lang w:bidi="ar-SA"/>
        </w:rPr>
        <w:t xml:space="preserve">. </w:t>
      </w:r>
      <w:bookmarkStart w:id="1866" w:name="pg10178_84238"/>
    </w:p>
    <w:p>
      <w:pPr>
        <w:pStyle w:val="BookText"/>
        <w:rPr/>
      </w:pPr>
      <w:bookmarkEnd w:id="186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الدية في ماله</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بما يسوغ به الاقتصاص لم يقتصّ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وله قتله ثانياً</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2019722_1067777946"/>
      <w:bookmarkStart w:id="1868" w:name="_Toc699"/>
      <w:bookmarkEnd w:id="1867"/>
      <w:r>
        <w:rPr>
          <w:rtl w:val="true"/>
        </w:rPr>
        <w:t>[</w:t>
      </w:r>
      <w:r>
        <w:rPr>
          <w:rtl w:val="true"/>
        </w:rPr>
        <w:t>في قِصاص الطرف</w:t>
      </w:r>
      <w:r>
        <w:rPr>
          <w:rtl w:val="true"/>
        </w:rPr>
        <w:t>]</w:t>
      </w:r>
      <w:bookmarkEnd w:id="186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الردّ فيما زاد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الثلث كالزائد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يقطع العضو الصحيح بالأشلِّ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والشلل فساد في العضو، والمرجِع في الانحسام إلى أهل الخِبرَة، فإن أخبروا بعدمه وجبت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يراعى حصول اسم الشَجَّة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الناس في السِمن والهُزال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أعماه، فلا يطلق عليه إذهاب نظر كامل بنصف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كفّ القاطع</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القطع قويّ</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يُطْعَم من الطعام ويُسقى من الشراب ما لا يحتمله مثله عادةً ليَخْرُج</w:t>
      </w:r>
      <w:r>
        <w:rPr>
          <w:rFonts w:eastAsia="Amiri" w:cs="Amiri" w:ascii="Amiri" w:hAnsi="Amiri"/>
          <w:color w:val="111111"/>
          <w:sz w:val="28"/>
          <w:szCs w:val="28"/>
          <w:rtl w:val="true"/>
          <w:lang w:bidi="ar-SA"/>
        </w:rPr>
        <w:t xml:space="preserve">. </w:t>
      </w:r>
      <w:bookmarkStart w:id="1869" w:name="pg10178_84239"/>
    </w:p>
    <w:p>
      <w:pPr>
        <w:pStyle w:val="Heading3"/>
        <w:numPr>
          <w:ilvl w:val="2"/>
          <w:numId w:val="1"/>
        </w:numPr>
        <w:rPr/>
      </w:pPr>
      <w:bookmarkStart w:id="1870" w:name="__RefHeading___Toc2019724_1067777946"/>
      <w:bookmarkStart w:id="1871" w:name="_Toc700"/>
      <w:bookmarkEnd w:id="1869"/>
      <w:bookmarkEnd w:id="1870"/>
      <w:r>
        <w:rPr>
          <w:rtl w:val="true"/>
        </w:rPr>
        <w:t>كتاب الديات</w:t>
      </w:r>
      <w:bookmarkEnd w:id="1871"/>
    </w:p>
    <w:p>
      <w:pPr>
        <w:pStyle w:val="Heading4"/>
        <w:numPr>
          <w:ilvl w:val="3"/>
          <w:numId w:val="1"/>
        </w:numPr>
        <w:rPr/>
      </w:pPr>
      <w:bookmarkStart w:id="1872" w:name="__RefHeading___Toc2019726_1067777946"/>
      <w:bookmarkStart w:id="1873" w:name="_Toc701"/>
      <w:bookmarkEnd w:id="1872"/>
      <w:r>
        <w:rPr>
          <w:rtl w:val="true"/>
        </w:rPr>
        <w:t>[</w:t>
      </w:r>
      <w:r>
        <w:rPr>
          <w:rtl w:val="true"/>
        </w:rPr>
        <w:t>في مقادير الديات</w:t>
      </w:r>
      <w:r>
        <w:rPr>
          <w:rtl w:val="true"/>
        </w:rPr>
        <w:t>]</w:t>
      </w:r>
      <w:bookmarkEnd w:id="187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 جمع دِية بتخفيف الياء، سمِّيت بها؛ لأنَّها تُؤدّى عِوضاً عن النفس، وقد تسمّى عقلاً ؛ لمنعها من التجرؤ على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مَسانِّ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جمع 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الإبل ما دخل في السادسة، وتسمّى الثَنيَّة أيضاً حتّى تدخل في التاسعة فهي بازل أي طلع نابها، فإذا دخلت في العاشرة فهي بازل عامٍ، ثمَّ بازل عامين،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مائتا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 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حُلَّة ثوبان مِن برود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في ذلك للجاني وإن تفاوت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وثلاثون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غير معلومة </w:t>
      </w:r>
      <w:r>
        <w:rPr>
          <w:rStyle w:val="FootnoteAnchor"/>
          <w:rtl w:val="true"/>
        </w:rPr>
        <w:footnoteReference w:id="911"/>
      </w:r>
      <w:r>
        <w:rPr>
          <w:rFonts w:ascii="Amiri" w:hAnsi="Amiri" w:eastAsia="Amiri" w:cs="Amiri"/>
          <w:color w:val="111111"/>
          <w:sz w:val="28"/>
          <w:sz w:val="28"/>
          <w:szCs w:val="28"/>
          <w:rtl w:val="true"/>
          <w:lang w:bidi="ar-SA"/>
        </w:rPr>
        <w:t>فضلاً عن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حوامل</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هذه الجاني لا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الخمسة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الدِية مخفَّفة عن دِية العمد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الإبل، فإنّها في العمد كلّها ثَنايا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الاستيفاء فإنّها هناك سنة وهنا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في سنتين</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w:t>
      </w:r>
      <w:r>
        <w:rPr>
          <w:rStyle w:val="FootnoteAnchor"/>
          <w:rtl w:val="true"/>
        </w:rPr>
        <w:footnoteReference w:id="913"/>
      </w:r>
      <w:r>
        <w:rPr>
          <w:rFonts w:ascii="Amiri" w:hAnsi="Amiri" w:eastAsia="Amiri" w:cs="Amiri"/>
          <w:color w:val="111111"/>
          <w:sz w:val="28"/>
          <w:sz w:val="28"/>
          <w:szCs w:val="28"/>
          <w:rtl w:val="true"/>
          <w:lang w:bidi="ar-SA"/>
        </w:rPr>
        <w:t>، والمستند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يلزم مثل ذلك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مساواته للشهر في الاحترام وزيادةُ، لتضاعُف كفّارة الصيد فيه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الذَكَر والأُنثى، والحرِّ والعبدِ، والمسلمِ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المرأة على النصف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الخنثى ثلاثة أرباع دِية الذكر؛ لانّ ذلك نصف الدِيتين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كدِية المسلم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يدفع العبدِ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الحبل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رُمَمَ،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الشيء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وأصله أنّ رجلاً دفع إلى رجل بعيراً بحبل في عنقه، فقيل ذلك لكلِّ مَن دفع شيئاً بجملتِه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وللمولى فكّه بأرش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بأقلِّ الأمرَين</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 ولد على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في العهد الذكريِّ، ولم يسبق له في هذا الكتاب كلام في جنايتها وتعلّق الأرش برقبتِها، وأنّه هل يجوز تسليمها إلى المجنيّ عليه أم لا حتّى يكون هو المعهود؟ بل ولا سبق له تردّد في باب أُمِّ الولد، بل هو جَزَمَ أنَّها لا تباع إلّا في ثمن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تردَّد في المسألة في الشرائع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كون اللام للعهد الذهني؛ إذ الخلاف فيها معهود في أذهان العلماء </w:t>
      </w:r>
      <w:bookmarkStart w:id="1874" w:name="pg10178_84241"/>
    </w:p>
    <w:p>
      <w:pPr>
        <w:pStyle w:val="BookText"/>
        <w:rPr/>
      </w:pPr>
      <w:bookmarkEnd w:id="1874"/>
      <w:r>
        <w:rPr>
          <w:rFonts w:ascii="Amiri" w:hAnsi="Amiri" w:eastAsia="Amiri" w:cs="Amiri"/>
          <w:color w:val="111111"/>
          <w:sz w:val="28"/>
          <w:sz w:val="28"/>
          <w:szCs w:val="28"/>
          <w:rtl w:val="true"/>
          <w:lang w:bidi="ar-SA"/>
        </w:rPr>
        <w:t xml:space="preserve">مشهور، كاللام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عهد في الخارج،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يُبَايِعُونَكَ تَحْتَ الشَّجَرَةِ</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كون اللام فيه زائدةً، وهو باب متَّسِع</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2019728_1067777946"/>
      <w:bookmarkStart w:id="1876" w:name="_Toc702"/>
      <w:bookmarkEnd w:id="1875"/>
      <w:r>
        <w:rPr>
          <w:rtl w:val="true"/>
        </w:rPr>
        <w:t>[</w:t>
      </w:r>
      <w:r>
        <w:rPr>
          <w:rtl w:val="true"/>
        </w:rPr>
        <w:t>في موجبات الضمان</w:t>
      </w:r>
      <w:r>
        <w:rPr>
          <w:rtl w:val="true"/>
        </w:rPr>
        <w:t>]</w:t>
      </w:r>
      <w:bookmarkEnd w:id="187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لأنّه إبراء ممّا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في ماله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الظئر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على ولد غيرها، المرضعة له في الناس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والأنثى</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قاموس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فالدية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العاقلة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التفصيل رواية </w:t>
      </w:r>
      <w:r>
        <w:rPr>
          <w:rStyle w:val="FootnoteAnchor"/>
          <w:rtl w:val="true"/>
        </w:rPr>
        <w:footnoteReference w:id="919"/>
      </w:r>
      <w:r>
        <w:rPr>
          <w:rFonts w:ascii="Amiri" w:hAnsi="Amiri" w:eastAsia="Amiri" w:cs="Amiri"/>
          <w:color w:val="111111"/>
          <w:sz w:val="28"/>
          <w:sz w:val="28"/>
          <w:szCs w:val="28"/>
          <w:rtl w:val="true"/>
          <w:lang w:bidi="ar-SA"/>
        </w:rPr>
        <w:t>مجهولة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 لأنَّه حينئذٍ شبيه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الرواية </w:t>
      </w:r>
      <w:r>
        <w:rPr>
          <w:rStyle w:val="FootnoteAnchor"/>
          <w:rtl w:val="true"/>
        </w:rPr>
        <w:footnoteReference w:id="920"/>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الرِواية المتضمِّنة بالأمانة وعدمها، والأقوى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فالضمان على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 المتأخِّر </w:t>
      </w:r>
      <w:r>
        <w:rPr>
          <w:rStyle w:val="FootnoteAnchor"/>
          <w:rtl w:val="true"/>
        </w:rPr>
        <w:footnoteReference w:id="921"/>
      </w:r>
      <w:r>
        <w:rPr>
          <w:rFonts w:ascii="Amiri" w:hAnsi="Amiri" w:eastAsia="Amiri" w:cs="Amiri"/>
          <w:color w:val="111111"/>
          <w:sz w:val="28"/>
          <w:sz w:val="28"/>
          <w:szCs w:val="28"/>
          <w:rtl w:val="true"/>
          <w:lang w:bidi="ar-SA"/>
        </w:rPr>
        <w:t>وجهاً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من منزله ليلاً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المواعَدة</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متاعاً ووَطِئ صاحبة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في واقعة فلا تتعدّى، بل يُرْجَع إلى 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أربعة آلاف على كونها مهر أمثالها، وقتل اللصِّ على الدِفاع، وضَمان الدِية لفوات محلِّ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أدخلت الحَجَلَة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كالقبَّة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يزيَّن بالثياب والسُتُور للعروس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أنّ دم الصديق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أنّها تقتل بالزوج، ولا تضمن الصديق إلّا أن تدعوه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رواية محمّد بن قيس</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على الرِواية لكن تفيد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رواية السكونيِّ</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هنا ثبوت اللوث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ضَمان ما يتلف به قولان</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التفصيل، وهو أنَّ الساقط إن كان هو القدر الخارج عن الحائط ضَمِن الجميع، وإن كان الساقط الجميع ضَمِن النصف، كلّ ذلك مع عدم التفريط، وإلّا ضَمِن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اعتبار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دون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يتولّى الراكب حفظَها فيَضْمَن</w:t>
      </w:r>
      <w:r>
        <w:rPr>
          <w:rFonts w:eastAsia="Amiri" w:cs="Amiri" w:ascii="Amiri" w:hAnsi="Amiri"/>
          <w:color w:val="111111"/>
          <w:sz w:val="28"/>
          <w:szCs w:val="28"/>
          <w:rtl w:val="true"/>
          <w:lang w:bidi="ar-SA"/>
        </w:rPr>
        <w:t xml:space="preserve">. </w:t>
      </w:r>
      <w:bookmarkStart w:id="1877" w:name="pg10178_84243"/>
    </w:p>
    <w:p>
      <w:pPr>
        <w:pStyle w:val="BookText"/>
        <w:rPr/>
      </w:pPr>
      <w:bookmarkEnd w:id="187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الأصحاب مَن شرط في ضَمان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المشترط هو ابن إدريسَ </w:t>
      </w:r>
      <w:r>
        <w:rPr>
          <w:rStyle w:val="FootnoteAnchor"/>
          <w:rtl w:val="true"/>
        </w:rPr>
        <w:footnoteReference w:id="926"/>
      </w:r>
      <w:r>
        <w:rPr>
          <w:rFonts w:ascii="Amiri" w:hAnsi="Amiri" w:eastAsia="Amiri" w:cs="Amiri"/>
          <w:color w:val="111111"/>
          <w:sz w:val="28"/>
          <w:sz w:val="28"/>
          <w:szCs w:val="28"/>
          <w:rtl w:val="true"/>
          <w:lang w:bidi="ar-SA"/>
        </w:rPr>
        <w:t>، وهو قويّ، فلو كان كبيراً فالضَمان على العبد، يُتْبَعُ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فالضَمان على الحافر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الحافر متَّجِه </w:t>
      </w:r>
      <w:r>
        <w:rPr>
          <w:rStyle w:val="FootnoteAnchor"/>
          <w:rtl w:val="true"/>
        </w:rPr>
        <w:footnoteReference w:id="927"/>
      </w:r>
      <w:r>
        <w:rPr>
          <w:rFonts w:ascii="IRNazanin" w:hAnsi="IRNazanin" w:eastAsia="IRNazanin"/>
          <w:color w:val="111111"/>
          <w:sz w:val="28"/>
          <w:sz w:val="28"/>
          <w:szCs w:val="28"/>
          <w:rtl w:val="true"/>
          <w:lang w:bidi="fa-IR"/>
        </w:rPr>
        <w:t>لضعف المباشر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وللثاني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دِية الثاني على الأوّل، والثالث على الثاني، والرابع على الثالث</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2019730_1067777946"/>
      <w:bookmarkStart w:id="1879" w:name="_Toc703"/>
      <w:bookmarkEnd w:id="1878"/>
      <w:r>
        <w:rPr>
          <w:rtl w:val="true"/>
        </w:rPr>
        <w:t>[</w:t>
      </w:r>
      <w:r>
        <w:rPr>
          <w:rtl w:val="true"/>
        </w:rPr>
        <w:t>في الجناية على الأطراف</w:t>
      </w:r>
      <w:r>
        <w:rPr>
          <w:rtl w:val="true"/>
        </w:rPr>
        <w:t>]</w:t>
      </w:r>
      <w:bookmarkEnd w:id="18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نبتت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ثمانية وعشرون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اعتبار أكثر الأمرَين من الحروف الذاهبة ومساحة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الدم أسود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هنا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حلمة ثدي الرجل ثمن الدية</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كالمرأة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أُدرة الخصيتين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الأُدرة بالدال المهملة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نَفْخَة في </w:t>
      </w:r>
      <w:bookmarkStart w:id="1880" w:name="pg10178_84244"/>
    </w:p>
    <w:p>
      <w:pPr>
        <w:pStyle w:val="BookText"/>
        <w:rPr/>
      </w:pPr>
      <w:bookmarkEnd w:id="1880"/>
      <w:r>
        <w:rPr>
          <w:rFonts w:ascii="Amiri" w:hAnsi="Amiri" w:eastAsia="Amiri" w:cs="Amiri"/>
          <w:color w:val="111111"/>
          <w:sz w:val="28"/>
          <w:sz w:val="28"/>
          <w:szCs w:val="28"/>
          <w:rtl w:val="true"/>
          <w:lang w:bidi="ar-SA"/>
        </w:rPr>
        <w:t>الخُصْيَة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آدَرُ بيِّن الأُدرة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 بُعْصوص الإنسان أو عِجانه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دقيق حول الدبر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الفَقْحَةِ والخُصْيَة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داس بطن إنسان</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العمل بالرواية، وجعلوا ضعفَها منجبِراً بالشهرة</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2019732_1067777946"/>
      <w:bookmarkStart w:id="1882" w:name="_Toc704"/>
      <w:bookmarkEnd w:id="1881"/>
      <w:r>
        <w:rPr>
          <w:rtl w:val="true"/>
        </w:rPr>
        <w:t>[</w:t>
      </w:r>
      <w:r>
        <w:rPr>
          <w:rtl w:val="true"/>
        </w:rPr>
        <w:t>في الجناية على المنافع</w:t>
      </w:r>
      <w:r>
        <w:rPr>
          <w:rtl w:val="true"/>
        </w:rPr>
        <w:t>]</w:t>
      </w:r>
      <w:bookmarkEnd w:id="18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تتداخل الجنايتان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ويتوخّى القياس في سكون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في سلس البول الدية</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2019734_1067777946"/>
      <w:bookmarkStart w:id="1884" w:name="_Toc705"/>
      <w:bookmarkEnd w:id="1883"/>
      <w:r>
        <w:rPr>
          <w:rtl w:val="true"/>
        </w:rPr>
        <w:t>[</w:t>
      </w:r>
      <w:r>
        <w:rPr>
          <w:rtl w:val="true"/>
        </w:rPr>
        <w:t>في الشِجاج والجراح</w:t>
      </w:r>
      <w:r>
        <w:rPr>
          <w:rtl w:val="true"/>
        </w:rPr>
        <w:t>]</w:t>
      </w:r>
      <w:bookmarkEnd w:id="188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تأخذ في اللحم يسيراً، وفيها بعيران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فالباضعة غير 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الباضعة هي المتلاحمة؛ لأنّ الباضعة غير الدامية، والباضعة هي النافذة التي تأخذ في اللحم كثيراً بحيث لا يبلغ منتهاه</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والهاشمة هي التي تهشم العظم، وفيها عشرة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كانت خطأً، فهى بنتا مخاص وابنا لبون، وثلاث بنات لبون، وثلاث حقق، وإن كانت شبيه عمد، فهي ثلاث بنات لبون، وثلاث حقق، وأربع ثنايا حوامل، وإن كانت عمداً، فالعشرة من </w:t>
      </w:r>
      <w:bookmarkStart w:id="1885" w:name="pg10178_84245"/>
    </w:p>
    <w:p>
      <w:pPr>
        <w:pStyle w:val="BookText"/>
        <w:rPr/>
      </w:pPr>
      <w:bookmarkEnd w:id="1885"/>
      <w:r>
        <w:rPr>
          <w:rFonts w:ascii="Amiri" w:hAnsi="Amiri" w:eastAsia="Amiri" w:cs="Amiri"/>
          <w:color w:val="111111"/>
          <w:sz w:val="28"/>
          <w:sz w:val="28"/>
          <w:szCs w:val="28"/>
          <w:rtl w:val="true"/>
          <w:lang w:bidi="ar-SA"/>
        </w:rPr>
        <w:t>مَسانِّ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له العفو؟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الرواية</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2019736_1067777946"/>
      <w:bookmarkStart w:id="1887" w:name="_Toc706"/>
      <w:bookmarkEnd w:id="1886"/>
      <w:r>
        <w:rPr>
          <w:rtl w:val="true"/>
        </w:rPr>
        <w:t>[</w:t>
      </w:r>
      <w:r>
        <w:rPr>
          <w:rtl w:val="true"/>
        </w:rPr>
        <w:t>في دية الجنين</w:t>
      </w:r>
      <w:r>
        <w:rPr>
          <w:rtl w:val="true"/>
        </w:rPr>
        <w:t>]</w:t>
      </w:r>
      <w:bookmarkEnd w:id="18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يكتس اللحم، ففي دِيته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دِيته غُرَّة، وهي عبد أو أمّة ليس بمعيب ولا بشيخ كبير، ولا ينقص سنّه عن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ونصف الديتين عن الجنين إن جهل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1888" w:name="__RefHeading___Toc2019738_1067777946"/>
      <w:bookmarkStart w:id="1889" w:name="_Toc707"/>
      <w:bookmarkEnd w:id="1888"/>
      <w:r>
        <w:rPr>
          <w:rtl w:val="true"/>
        </w:rPr>
        <w:t>[</w:t>
      </w:r>
      <w:r>
        <w:rPr>
          <w:rtl w:val="true"/>
        </w:rPr>
        <w:t>في الجناية على الحيوان</w:t>
      </w:r>
      <w:r>
        <w:rPr>
          <w:rtl w:val="true"/>
        </w:rPr>
        <w:t>]</w:t>
      </w:r>
      <w:bookmarkEnd w:id="18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والأشبه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أتلفه لا بالذكاة لزمته قيمته يوم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لبعض أجزائه قيمة، كالصوف والشعر، وإلّا وضع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حكم في واقعة فلا تتعدّى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اعتبار التفريط في الضَمان وعدمه، ويمكن حمل الرواية </w:t>
      </w:r>
      <w:r>
        <w:rPr>
          <w:rStyle w:val="FootnoteAnchor"/>
          <w:rtl w:val="true"/>
        </w:rPr>
        <w:footnoteReference w:id="936"/>
      </w:r>
      <w:r>
        <w:rPr>
          <w:rFonts w:ascii="IRNazanin" w:hAnsi="IRNazanin" w:eastAsia="IRNazanin"/>
          <w:color w:val="111111"/>
          <w:sz w:val="28"/>
          <w:sz w:val="28"/>
          <w:szCs w:val="28"/>
          <w:rtl w:val="true"/>
          <w:lang w:bidi="fa-IR"/>
        </w:rPr>
        <w:t>على ما إذا أودعهم ففرَّطوا</w:t>
      </w:r>
      <w:r>
        <w:rPr>
          <w:rFonts w:eastAsia="IRNazanin" w:cs="IRNazanin"/>
          <w:color w:val="111111"/>
          <w:sz w:val="28"/>
          <w:szCs w:val="28"/>
          <w:rtl w:val="true"/>
          <w:lang w:bidi="fa-IR"/>
        </w:rPr>
        <w:t>.</w:t>
      </w:r>
    </w:p>
    <w:p>
      <w:pPr>
        <w:pStyle w:val="Heading4"/>
        <w:numPr>
          <w:ilvl w:val="3"/>
          <w:numId w:val="1"/>
        </w:numPr>
        <w:rPr/>
      </w:pPr>
      <w:bookmarkStart w:id="1890" w:name="__RefHeading___Toc2019740_1067777946"/>
      <w:bookmarkStart w:id="1891" w:name="_Toc708"/>
      <w:bookmarkEnd w:id="1890"/>
      <w:r>
        <w:rPr>
          <w:rtl w:val="true"/>
        </w:rPr>
        <w:t>[</w:t>
      </w:r>
      <w:r>
        <w:rPr>
          <w:rtl w:val="true"/>
        </w:rPr>
        <w:t>في كفّارة القتل</w:t>
      </w:r>
      <w:r>
        <w:rPr>
          <w:rtl w:val="true"/>
        </w:rPr>
        <w:t>]</w:t>
      </w:r>
      <w:bookmarkEnd w:id="1891"/>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ظنَّه حربيّاً، فلا دِية، وعليه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أسيراً، بأن يكون </w:t>
      </w:r>
      <w:bookmarkStart w:id="1892" w:name="pg10178_84246"/>
    </w:p>
    <w:p>
      <w:pPr>
        <w:pStyle w:val="BookText"/>
        <w:rPr/>
      </w:pPr>
      <w:bookmarkEnd w:id="1892"/>
      <w:r>
        <w:rPr>
          <w:rFonts w:ascii="Amiri" w:hAnsi="Amiri" w:eastAsia="Amiri" w:cs="Amiri"/>
          <w:color w:val="111111"/>
          <w:sz w:val="28"/>
          <w:sz w:val="28"/>
          <w:szCs w:val="28"/>
          <w:rtl w:val="true"/>
          <w:lang w:bidi="ar-SA"/>
        </w:rPr>
        <w:t>قادراً على الخروج ولم يخرج، أمّا الأسير، فالأصحّ وجوب الدِية في قتله خطأً؛ لعجزه عن التخلّص</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2019742_1067777946"/>
      <w:bookmarkStart w:id="1894" w:name="_Toc709"/>
      <w:bookmarkEnd w:id="1893"/>
      <w:r>
        <w:rPr>
          <w:rtl w:val="true"/>
        </w:rPr>
        <w:t>[</w:t>
      </w:r>
      <w:r>
        <w:rPr>
          <w:rtl w:val="true"/>
        </w:rPr>
        <w:t>في العاقلة</w:t>
      </w:r>
      <w:r>
        <w:rPr>
          <w:rtl w:val="true"/>
        </w:rPr>
        <w:t>]</w:t>
      </w:r>
      <w:bookmarkEnd w:id="18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يَرثون دِية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الإطلاق وهم، فإنّ الزوجَين والمتقرِّب بالأُمِّ يَرِثون من الدِية وليسوا بعصبة، وأيضاً فإنّ الأُنثى المتقرِّبة بالأب تَرِث من الدِية وليست بعصبة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أنّ في الرواية </w:t>
      </w:r>
      <w:r>
        <w:rPr>
          <w:rStyle w:val="FootnoteAnchor"/>
          <w:rtl w:val="true"/>
        </w:rPr>
        <w:footnoteReference w:id="938"/>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أنَّها لا تحمل 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نصبه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أو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تمَّت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لخاتم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الشيخ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النافع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 قضاء حاجة المؤمن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والثلاثة التي تليه للشهيد الأوّل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الأواني المنطبعة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الأواني المصنوعة من الفلزّات كالحديد والرصاص والنحاس وغيرها عدا الذهب والفضّة ؛ لأنّ الشمس إذا أثّرت فيها استخرجت منها زهومة تعلو الماء، ومنها يتولّد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الذهب والفضّة فلصفاء معدنها لا تؤثّر فيهما الشمس هذا التأثير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المسلوس والمبطون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كلام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أتحقّق إلى الآن ما ادّعاه، فالأولى التمسّك فيه بالأصل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أنّ الميّت يؤذن به الناس، 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من يدخل القبر و من لايدخل،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 بها الشهيد الأوّل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الأداء والقضاء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المرتضى في جمل العلم والعمل،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الثوب يصيبه الدم والمِدَة،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والظهرين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المشهور ؛ والماتن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الناصريّات،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اللباس الذي تكره الصلاة فيه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والماتن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 والعامّة تخفّفه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الخطّيتين المعتمدتين في التحقيق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صحيح قطعاً؛ إذ لا جواب له في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أنسب في المقام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الماتن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ذكر الأذان والإقامة؛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ومنفردين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بدء الأذان والإقامة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الماتن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الصدوق في كتابه الكبير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الأصحاب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الشيخ الكبير والمريض،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نقص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مطابق لبعض طبعات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يُستظلّ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وشرحه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جُدَّة وهي طرائق ملوّنة في الأرض والجبال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إصبعاً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 أنّه ليس على الحليّ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أساس البلاغة،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كأنّها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الأزهري في تهذيب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بمصر؛ لأنّه يفيض ثمّ يزرعون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الشافعي والقاضي ابن قدامة في 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الزكاة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الخطّيتين المعتمدتين في التحقيق،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مثال لذي اليد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به الشهيد في البيان،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اختلف مالك الدار ومستأجرها، أو مستعيرها أو معمّرها في ملكيّة الكنز، عمل بقرينة الحال مع اليمين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استفاده من حمل خبر النهي على الكراهة في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وإلّا فقد أطلق الحكم باستحبابه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وصرّح بعدم الفرق بين الرطب واليابس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وسكون الراء، وقيل بفتحتين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وقد يكنى به عن الهوى أو العضو التناسلي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المسائل الناصريّات،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المقنعة،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الرجل يموت و عليه من صيام شهر رمضان أو غيره،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سلّار في المراسم،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فضل إفطار الرجل عند أخيه إذا سأله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إفطار الرجل عند أخيه إذا سأله،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المعتكف لا يخرج من المسجد إلّا لحاجة،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أشهر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السمعاني،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قراءة القرآن،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صلاة الإحرام وعقده والاشتراط فيه؛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حجّ النبيّ صلی الله علیه و آله و سلم،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الوقوف بعرفة وحدّ الموقف،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السعى في وادي محسّر،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باب رمي الجمار في أيّام التشريق،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الهدي يعطب أو يهلك قبل أن يبلغ محلّه والأكل منه،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الهدي يعطب أو يهلك قبل أن يبلغ محلّه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الهدي يعطب أو يهلك قبل أن يبلغ محلّه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الحلق والتقصير،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حجّ النبيّ صلی الله علیه و آله و سلم،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حجّ إبراهيم وإسماعيل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الأقوى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المحرم يأتي أهله وقد مضى بعض مناسكه،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لازم للرجال والصبيان والخناثي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والدعاء،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و الدعاء،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بذلك العلّامة في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الزوال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زيارة النبيّ صلى الله عليه و آله و سلم،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شجر الحرم،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معرّس النبيّ صلى الله عليه و آله و سلم،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باب إتيان المشاهد وقبور الشهداء،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صيد الحرم وماتجب فيه الكفّارة،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كفّارة ما أصاب المحرم من الطير والبيض،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الصلاح الحلبي في الكافي في الفقه،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صيد الحرم وما تجب فيه الكفّارة،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الرفق بالأسير وإطعامه،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الحلّي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كعلف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صدقة أهل الجزية،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أداب الحكم،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 من 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قوليه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المفتوحة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ومثله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التلقّي،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محمّد بن مسلم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التزاماً من البائع بالبيع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والزمخشري في الفائق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الزبيدي في تاج العروس،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بيّاع الزطي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 بيع المرابحة،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هشام بن الحكم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بيع النسيئة،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اليبس، وذهاب الماء الذي كان في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والمعجم الوسيط، ص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حيث بعد قبول ضعف دلالة أخبار المسألة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 يعضدها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منصور بن حازم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3775</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رواية الحلبي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مرسلة رواها الكليني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إذا اختلف البائع والمشتري،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الكركي إلى الشهيد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قائله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أيضاً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ولم نعثر على قائله؛ وقال العاملي في 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القول لأحد من العامّة والخاصّة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الجنيد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وقال العاملي في مفتاح الكرمة،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القائل، ولعلّه فهمه من قوله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آبقاً وسارقاً</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عن المحقّق نجم الدين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النهاية،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والسلّار في المراسم،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الحلبي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الفاضل الآبي قوله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 رواية عمّار الساباطي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يبيع الدراهم بالدنانير نسيئة،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لفخر المحقّقين في الإيضاح،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الغير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عبد الرحمن بن الحجّاج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الشهيد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على قائل له من الأصحاب؛ كما قال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جواهر الکلام،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القائل بذلك منّا، نعم حكاه في تذكرة الفقهاء عن الشافعي في القديم معلّلاً له بأنّ التخلية ليست بقبض صحيح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يعقوب بن شعيب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بيع العدد و المجازفة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3837</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الفضيل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 العبد يسأل مولاه أنْ يبيعه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البزنطي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المرويّ في التفسير المنسوب إلى الإمام العسكري 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وفي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ابن أُشيم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الوصايا،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النهاية،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محمّد بن مسلم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النادر،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 له إلّا أنّ الشهيد الثاني نسبه إلى الشهيد الأوّل في بعض تحقيقاته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النهاية،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يعقوب بن شعيب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الرجل يقرض الدراهم ويأخذ أجود منها،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المنذر إلى مجاهد، على ما حكاه عنه ابن قدامة في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تقدّم من كلام الشهيد إلّا أنّه تقدّم الكلام فيه في كلام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رهن ديناً لم ينعقد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رهن منفعة كسكني الدار</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السكوني التي رواها الشيخ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عبد الله بن الحكم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ورواية سليمان بن حفص المروزي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للراهن التصرّف في الرهن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حنيفة، نُسب إليه ذلك في حلية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أبي ولّاد، رواها الشيخ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أبي بصير عن الصادق علیه السلام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أنّه إذا مات الرجل حلّ دينه،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السكوني عن الصادق علیه السلام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إلى الشهيد الأوّل في مسالك الأفهام،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الغير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والأظهر ثبوت الفرق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والضمان المؤجّل جائز إجماعاً، وفي الحالّ تردّد، أظهره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زرارة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تبطل الحوالة بلاخلاف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والسلّار في المراسم،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والعلّامة في ارشاد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الكفالة والحوالة،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شرائع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الكفالة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السكوني رواها 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إسحاق بن عمّار رواها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هو 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يبنى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يبقى في العبارة إشكال وهو</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حنيفة، نُسب إليه في المجموع شرح المهذّب،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ونسبه العلّامة إلى ابن البرّاج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النضر بن سويد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قبالة الأرضين والمزارعة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ورواية أبي الربيع الشامي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39071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ازرع هذه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الأمر استناداً إلى روايتي أبي الربيع الشامي والنضر بن سويد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قاصرتان عن الدلالة على ذلك، فالاقتصار على لفظ الماضي أقوى؛ إلحاقاً له بغيره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هو قول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الماتن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الأرض ممّا يمكن الانتفاع بها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رأيه في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والأجود عدم الصحّة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ولكنّ 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الأرض قبل بدوّ صلاحها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قدامة في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الثاني منها الشيخ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والأخير فخر الدين في بعض ما ينسب إليه، والآخران ذكرهما من لا يعتدّ بقوله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أيضاً في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حواشيه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أداء الأمانة،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الحسين الشيباني عن الصادق علیه السلام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الأمانة،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حفص بن غياث عن الصادق علیه السلام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الذي لا يُرى طرفاه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البلوغ</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رجع بغير ما أقدم على ضمانه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للمعير دخول الأرض والانتفاع بها والاستظلال بالبناء والشجر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كلام المصنِّف بعد هذا،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وتضمن إذا كانت ذهباً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يشترط سقوط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محمّد بن مسلم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فيجاوز بها الحدّ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المستأجر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مِن جلد يخرز من جانب واحد، وتستعمل لحفظ الماء أو اللبن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يحمل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يطبخ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أكمَحْتُها وأكْفَحْتُها وكبَحْتُها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القضاء والأحكام،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قدامة إلى الشافعي في الشرح الكبير المطبوع مع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المصنّف ضمان قيمتها يوم التلف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إجارة الأجير وما يجب عليه،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قدامة إلى أبي حنيفة وبعض الشافعيّة في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كلام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وتجوز وكالة العبد إذا أذن مولاء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في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حنيفة على ما حكي عنه في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العلماء المتقدّمين في كتبهم عن النبيّ صلی الله علیه و آله و سلم ولكن لم نعثر عليه في كتب الحديث المؤلّفة قبل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العاملي في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أبي حنيفة على ما حكاه عنه ابن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الصحيح ما أثبتناه كما يظهر من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رواها عليّ بن إبراهيم في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تُبْدُوا الصَّدَقَٰتِ فَنِعِمَّا هِيَ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الزكاة المفروضة تخرج علانيّة وتدفع علانيّة، وبعد ذلك غير الزكاة إنْ دفعته سرّاً فهو أفضل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سيأتي في كلام الماتن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والصدقة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نهاية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سقط بقيّة الحاشية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القدامة إلى أحمد في المغني،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خيل الحلبة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على ما حكى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الشافعي،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مختصر المزني،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وانظر مقدّمه ای بر فقه شیعه،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التراث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آية الله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معاني الأخبار،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والسيّد المرتضى، والشيخ، كما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نقل قول السيّد عن المصباح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التشبيه بالدهن مبالغة في الإجزاء بالجريان القليل على جهة المجاز لا الحقيقة، كما 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أدنى الحيض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فاضل الميسي العاملي في 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الكتاب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الروايات المختلفة كما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 بأُصولنا كما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ظاهر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المسائل الناصريّات،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وقتها مغيب الشفق الذي هو الحمرة، وروي ربع الليل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حكى قول ابن أبي عقيل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دابّة ثمّ أطلق على الثوب المتّخذ من وبرها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لا خلاف في وبره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جلده تردّد، والحقّ جوازه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يكفي شاهد الحال في المكان كما في الصحاري والحمّامات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جادّة وهي سواء الطريق ووسطه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الصلاح، حكى عنه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 في الفقه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المفيد في المقنعة،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وكذلك في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به الخبر 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يصير استفهاماً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مبطل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أشبع فتحة الباء بحيث صارت ألفاً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جمع كَبَرَ بفتح الكاف وهو الطبل له وجه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والألية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ثنّيْت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أليان، كما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التأمين، قال 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شيخنا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الدرس عن أبي الصلاح، الكراهية وما وجدته في مصنَّفه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القراءة في الركعتين الأخيرتين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في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في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والدعاء،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ضمن الرسائل العشر،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صلاة العيدين والخطبة فيهما،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السيّد المرتضى في الانتصار،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النهي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الجمل والعقود، ضمن الرسائل العشر،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أبي الصلاح الحلبي في الكافي في الفقه،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به آفة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الشيء الذي يصحّ السجود عليه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الوضع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المفيد في المقنعة،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ولم نسمع من الشيوخ قائله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والمصباح المنير،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المنجنون التي تديرها الدابّة،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المفيد في المقنعة،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السيّد المرتضى في 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المسألة السابعة والعشرون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الصفايا جمع الصفيّة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عطية وعطايا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يختاره الرئيس لنفسه من المغنم قبل القسمة، كما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والمصباح المنير،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أبي عقيل، وحكاه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في المتن لم ترد في المطبوعة بمؤسّسة البعثة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المخبر عدلاً، وجبت الكفّارة أيضاً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أخلدتُ إلى فلان أي رَكنْتُ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المفيد في المقنعة،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مصباح المتهجّد،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أخيه إذا سأله،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 في رسالته؛ راجع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المفيد في المقنعة،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والشيخ الصدوق في المقنع،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الشيخ والعجوز يضعفان عن الصوم،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أطلق الشيخان لزوم الكفّارة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كفّارة إفطار صوم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ارتكب المعتكف في أيّام اعتكافه ما يفسد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خصّا ذلك بالثالث، كان أليق بمذهبهما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وجوب الثالث إذا مضى يومان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استطاعة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النهاية،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الحجّ المنذور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أنّه يخرج من أصل المال كحجّة الإسلام، كما قال به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السيّد المرتضى في جمل العلم والعمل،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وسار في المراسم،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بالتخيير هو الشيخ الصدوق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صلاة الإحرام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شيح</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الخزامی کحباری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أو خيري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السيّد المرتضى في الانتصار،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صلاة الفريضة والوتر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لتوضيح المطلب 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الربا،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طزج</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الرواية الدالّة على اشتراط انضمام شيء إن أراد البيع بالجنس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ونسبه إلى الشيخ في المبسوط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المفيد في المقنعة،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المرتضى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ما يجوز من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مغني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المصباح المنير،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وصية الغلام والجارية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الأُجرة والكفاية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أنّه لا رضاع بعد فطام،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المفيد في المقنعة،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ما يجوز من الأجل،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المهاياة أن يجعل لها يوماً وللمولى يوماً من خدمتها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الفهد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5680</w:t>
      </w:r>
      <w:r>
        <w:rPr>
          <w:rFonts w:ascii="IRNazanin" w:hAnsi="IRNazanin" w:eastAsia="IRNazanin"/>
          <w:b w:val="false"/>
          <w:b w:val="false"/>
          <w:bCs w:val="false"/>
          <w:i w:val="false"/>
          <w:i w:val="false"/>
          <w:iCs w:val="false"/>
          <w:color w:val="333333"/>
          <w:sz w:val="20"/>
          <w:sz w:val="20"/>
          <w:szCs w:val="20"/>
          <w:rtl w:val="true"/>
        </w:rPr>
        <w:t xml:space="preserve">؛ ولتوضيح المطلب راجع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ونفقتها،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ونفقتها،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يصحّ الطلاق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بالوقوع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التردّد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الشرط في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الشرط في العتق،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 فيما بين أيدينا من المصادر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الرقّي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نسبه إلى الأصحاب لاستناده إلى الإجماع وعدم النصّ</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بها ما يفعل بالمرتدّة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قول ابن عبّاس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الكتب الروائية ولكن ورد في الكتب الفقهية،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الفرق بين ألف ودرهم وبين مائة وعشرون درهماً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إقراراً بأربعة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ولتوضيح المطلب 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لإقرار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لإقراره للثاني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الولد والزوجة والمملوك</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الصدوق في المقنع،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ما ذبح لغير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المَصارين جمع 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زيد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النسخ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ما أثبتناه من المصادر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الميتة بالذكي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الميتة بالذكي،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فَوح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فوح</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حنيفة وأبو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 ولم تردا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المفيد في المقنعة،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فوَّهَةُ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 وأوّله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الطريق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الطريق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آخر في ميراث أهل الملل،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وحكى قول المفيد الشيخ الطوسي في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ورثة الرجل عن كلالة من غير ولدٍ ولا 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في الفرائض فكلّ من لم يكن له فريضةً مسمّاة فهو عَصَبَة يأخذ ما بقي من الفرائض، ومنه اشتقّت العصبة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الحساب في الفرائض</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الإعلام،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وحكى قول معين الدين المصري الفاضل المقداد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 الرزق، يريد به ما كان له من الفيء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طُعَم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حاشية إرشاد الأذهان،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أفضل المحقّقين نصير الحقّ والدين الطوسي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إلى ابن إدريس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فتوى الأصحاب ؛ وفي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ما أعرف له مخالفاً إلّا المتأخّر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مولى الأب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الصدوق في المقنع،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6398</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السيوري في التنقيح الرائع،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ولتوضيح المطلب راجع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ميراث الغرقى وأصحاب الهدم،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 الفضل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لتوضيح المطلب راجع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الأكثرون على أنّ للحاكم أن يحكم بعلمه، ومنهم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الجنيد بالعدم ؛ حكى قوله السيّد المرتضى في الانتصار،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المستوفز</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يعدّ ناكلاً، كما ذهب إليه بعض العامّة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دعوى المدّعي علم الوارث بموت المورِّث، وأنّ المورِّث مديون، وأنّ الميّت ترك مالاً في يد الوارث، بانتفاء أحد هذه القيود الثلاثة تنتفي تماميّة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الفاضل المقداد في التنقيح الرائع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أميّة بن عمرو عن الشعيري في مسألة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حريز عن أبي عبيدة في مسألة البضاعة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معاقد القِمط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والأخصاص جمع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عمرو بن شمر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القضاء،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مختار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يسمع الشهادة ولم يشهد عليها،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المشترط هو الشيخ في النهاية،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وراجع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يُدعىٰ إلى الشهادة،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الرجل ينسى الشهادة ويعرف خطّه بالشهادة،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بإقرارهما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بالإقرار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ما يجب على مَن أقرّ على نفسه بحدّ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كحسنة زرارة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الرجل يغتصب المرأة فرجها،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يحيى بن سعيد في الجامع للشرائع،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الكَذْبة كما في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الأشربة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الشهادات،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سَنَةٍ وعام مَجاعَة لفظان مترادفتان، وهو عام القحط والجدب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المفيد في المقنعة،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المطلب راجع التنقيح الرائع،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الرجل يقتل مملوكه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الرجل يقتل مملوكه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انّ الجروح قصاص،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المقداد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وابن الفهد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العاقلة،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وحكاه عن الشيخ ابن 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وراجع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به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ظئر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الديات،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الديات،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نقلهما ابن الفهد الحلّي في المهذّب البارع،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 بدل متّجه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بعص</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الشيخ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القول الثاني هو التوزيع، وهو المشهور، وهو مختار الشيخ في النهاية،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محمّد بن قيس عن الباقر علیه السلام في قضاء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العاقلة،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3.jpeg"/><Relationship Id="rId51" Type="http://schemas.openxmlformats.org/officeDocument/2006/relationships/image" Target="media/image3.jpeg"/><Relationship Id="rId52" Type="http://schemas.openxmlformats.org/officeDocument/2006/relationships/footer" Target="footer45.xml"/><Relationship Id="rId53" Type="http://schemas.openxmlformats.org/officeDocument/2006/relationships/image" Target="media/image4.jpeg"/><Relationship Id="rId54" Type="http://schemas.openxmlformats.org/officeDocument/2006/relationships/image" Target="media/image4.jpeg"/><Relationship Id="rId55" Type="http://schemas.openxmlformats.org/officeDocument/2006/relationships/footer" Target="footer46.xml"/><Relationship Id="rId56" Type="http://schemas.openxmlformats.org/officeDocument/2006/relationships/image" Target="media/image5.jpeg"/><Relationship Id="rId57" Type="http://schemas.openxmlformats.org/officeDocument/2006/relationships/image" Target="media/image5.jpeg"/><Relationship Id="rId58" Type="http://schemas.openxmlformats.org/officeDocument/2006/relationships/footer" Target="footer47.xml"/><Relationship Id="rId59" Type="http://schemas.openxmlformats.org/officeDocument/2006/relationships/image" Target="media/image6.jpeg"/><Relationship Id="rId60" Type="http://schemas.openxmlformats.org/officeDocument/2006/relationships/image" Target="media/image6.jpeg"/><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image" Target="media/image7.jpeg"/><Relationship Id="rId630" Type="http://schemas.openxmlformats.org/officeDocument/2006/relationships/image" Target="media/image7.jpeg"/><Relationship Id="rId631" Type="http://schemas.openxmlformats.org/officeDocument/2006/relationships/footer" Target="footer616.xml"/><Relationship Id="rId632" Type="http://schemas.openxmlformats.org/officeDocument/2006/relationships/footer" Target="footer617.xml"/><Relationship Id="rId633" Type="http://schemas.openxmlformats.org/officeDocument/2006/relationships/footer" Target="footer618.xml"/><Relationship Id="rId634" Type="http://schemas.openxmlformats.org/officeDocument/2006/relationships/footer" Target="footer619.xml"/><Relationship Id="rId635" Type="http://schemas.openxmlformats.org/officeDocument/2006/relationships/footer" Target="footer620.xml"/><Relationship Id="rId636" Type="http://schemas.openxmlformats.org/officeDocument/2006/relationships/footer" Target="footer621.xml"/><Relationship Id="rId637" Type="http://schemas.openxmlformats.org/officeDocument/2006/relationships/footer" Target="footer622.xml"/><Relationship Id="rId638" Type="http://schemas.openxmlformats.org/officeDocument/2006/relationships/footer" Target="footer623.xml"/><Relationship Id="rId639" Type="http://schemas.openxmlformats.org/officeDocument/2006/relationships/footer" Target="footer624.xml"/><Relationship Id="rId640" Type="http://schemas.openxmlformats.org/officeDocument/2006/relationships/footer" Target="footer625.xml"/><Relationship Id="rId641" Type="http://schemas.openxmlformats.org/officeDocument/2006/relationships/footer" Target="footer626.xml"/><Relationship Id="rId642" Type="http://schemas.openxmlformats.org/officeDocument/2006/relationships/footer" Target="footer627.xml"/><Relationship Id="rId643" Type="http://schemas.openxmlformats.org/officeDocument/2006/relationships/footer" Target="footer628.xml"/><Relationship Id="rId644" Type="http://schemas.openxmlformats.org/officeDocument/2006/relationships/footer" Target="footer629.xml"/><Relationship Id="rId645" Type="http://schemas.openxmlformats.org/officeDocument/2006/relationships/footer" Target="footer630.xml"/><Relationship Id="rId646" Type="http://schemas.openxmlformats.org/officeDocument/2006/relationships/footer" Target="footer631.xml"/><Relationship Id="rId647" Type="http://schemas.openxmlformats.org/officeDocument/2006/relationships/footer" Target="footer632.xml"/><Relationship Id="rId648" Type="http://schemas.openxmlformats.org/officeDocument/2006/relationships/footer" Target="footer633.xml"/><Relationship Id="rId649" Type="http://schemas.openxmlformats.org/officeDocument/2006/relationships/footer" Target="footer634.xml"/><Relationship Id="rId650" Type="http://schemas.openxmlformats.org/officeDocument/2006/relationships/footer" Target="footer635.xml"/><Relationship Id="rId651" Type="http://schemas.openxmlformats.org/officeDocument/2006/relationships/footer" Target="footer636.xml"/><Relationship Id="rId652" Type="http://schemas.openxmlformats.org/officeDocument/2006/relationships/footer" Target="footer637.xml"/><Relationship Id="rId653" Type="http://schemas.openxmlformats.org/officeDocument/2006/relationships/footer" Target="footer638.xml"/><Relationship Id="rId654" Type="http://schemas.openxmlformats.org/officeDocument/2006/relationships/footer" Target="footer639.xml"/><Relationship Id="rId655" Type="http://schemas.openxmlformats.org/officeDocument/2006/relationships/footer" Target="footer640.xml"/><Relationship Id="rId656" Type="http://schemas.openxmlformats.org/officeDocument/2006/relationships/footer" Target="footer641.xml"/><Relationship Id="rId657" Type="http://schemas.openxmlformats.org/officeDocument/2006/relationships/footer" Target="footer642.xml"/><Relationship Id="rId658" Type="http://schemas.openxmlformats.org/officeDocument/2006/relationships/footer" Target="footer643.xml"/><Relationship Id="rId659" Type="http://schemas.openxmlformats.org/officeDocument/2006/relationships/footer" Target="footer644.xml"/><Relationship Id="rId660" Type="http://schemas.openxmlformats.org/officeDocument/2006/relationships/footer" Target="footer645.xml"/><Relationship Id="rId661" Type="http://schemas.openxmlformats.org/officeDocument/2006/relationships/footer" Target="footer646.xml"/><Relationship Id="rId662" Type="http://schemas.openxmlformats.org/officeDocument/2006/relationships/footer" Target="footer647.xml"/><Relationship Id="rId663" Type="http://schemas.openxmlformats.org/officeDocument/2006/relationships/footer" Target="footer648.xml"/><Relationship Id="rId664" Type="http://schemas.openxmlformats.org/officeDocument/2006/relationships/footer" Target="footer649.xml"/><Relationship Id="rId665" Type="http://schemas.openxmlformats.org/officeDocument/2006/relationships/footer" Target="footer650.xml"/><Relationship Id="rId666" Type="http://schemas.openxmlformats.org/officeDocument/2006/relationships/footer" Target="footer651.xml"/><Relationship Id="rId667" Type="http://schemas.openxmlformats.org/officeDocument/2006/relationships/footer" Target="footer652.xml"/><Relationship Id="rId668" Type="http://schemas.openxmlformats.org/officeDocument/2006/relationships/footer" Target="footer653.xml"/><Relationship Id="rId669" Type="http://schemas.openxmlformats.org/officeDocument/2006/relationships/footer" Target="footer654.xml"/><Relationship Id="rId670" Type="http://schemas.openxmlformats.org/officeDocument/2006/relationships/footer" Target="footer655.xml"/><Relationship Id="rId671" Type="http://schemas.openxmlformats.org/officeDocument/2006/relationships/footer" Target="footer656.xml"/><Relationship Id="rId672" Type="http://schemas.openxmlformats.org/officeDocument/2006/relationships/footer" Target="footer657.xml"/><Relationship Id="rId673" Type="http://schemas.openxmlformats.org/officeDocument/2006/relationships/footer" Target="footer658.xml"/><Relationship Id="rId674" Type="http://schemas.openxmlformats.org/officeDocument/2006/relationships/footer" Target="footer659.xml"/><Relationship Id="rId675" Type="http://schemas.openxmlformats.org/officeDocument/2006/relationships/footer" Target="footer660.xml"/><Relationship Id="rId676" Type="http://schemas.openxmlformats.org/officeDocument/2006/relationships/footer" Target="footer661.xml"/><Relationship Id="rId677" Type="http://schemas.openxmlformats.org/officeDocument/2006/relationships/footer" Target="footer662.xml"/><Relationship Id="rId678" Type="http://schemas.openxmlformats.org/officeDocument/2006/relationships/footer" Target="footer663.xml"/><Relationship Id="rId679" Type="http://schemas.openxmlformats.org/officeDocument/2006/relationships/footer" Target="footer664.xml"/><Relationship Id="rId680" Type="http://schemas.openxmlformats.org/officeDocument/2006/relationships/footer" Target="footer665.xml"/><Relationship Id="rId681" Type="http://schemas.openxmlformats.org/officeDocument/2006/relationships/footer" Target="footer666.xml"/><Relationship Id="rId682" Type="http://schemas.openxmlformats.org/officeDocument/2006/relationships/footer" Target="footer667.xml"/><Relationship Id="rId683" Type="http://schemas.openxmlformats.org/officeDocument/2006/relationships/footer" Target="footer668.xml"/><Relationship Id="rId684" Type="http://schemas.openxmlformats.org/officeDocument/2006/relationships/footer" Target="footer669.xml"/><Relationship Id="rId685" Type="http://schemas.openxmlformats.org/officeDocument/2006/relationships/footer" Target="footer670.xml"/><Relationship Id="rId686" Type="http://schemas.openxmlformats.org/officeDocument/2006/relationships/footer" Target="footer671.xml"/><Relationship Id="rId687" Type="http://schemas.openxmlformats.org/officeDocument/2006/relationships/footer" Target="footer672.xml"/><Relationship Id="rId688" Type="http://schemas.openxmlformats.org/officeDocument/2006/relationships/footer" Target="footer673.xml"/><Relationship Id="rId689" Type="http://schemas.openxmlformats.org/officeDocument/2006/relationships/footer" Target="footer674.xml"/><Relationship Id="rId690" Type="http://schemas.openxmlformats.org/officeDocument/2006/relationships/footer" Target="footer675.xml"/><Relationship Id="rId691" Type="http://schemas.openxmlformats.org/officeDocument/2006/relationships/footer" Target="footer676.xml"/><Relationship Id="rId692" Type="http://schemas.openxmlformats.org/officeDocument/2006/relationships/footer" Target="footer677.xml"/><Relationship Id="rId693" Type="http://schemas.openxmlformats.org/officeDocument/2006/relationships/footer" Target="footer678.xml"/><Relationship Id="rId694" Type="http://schemas.openxmlformats.org/officeDocument/2006/relationships/footer" Target="footer679.xml"/><Relationship Id="rId695" Type="http://schemas.openxmlformats.org/officeDocument/2006/relationships/footer" Target="footer680.xml"/><Relationship Id="rId696" Type="http://schemas.openxmlformats.org/officeDocument/2006/relationships/footer" Target="footer681.xml"/><Relationship Id="rId697" Type="http://schemas.openxmlformats.org/officeDocument/2006/relationships/footer" Target="footer682.xml"/><Relationship Id="rId698" Type="http://schemas.openxmlformats.org/officeDocument/2006/relationships/footer" Target="footer683.xml"/><Relationship Id="rId699" Type="http://schemas.openxmlformats.org/officeDocument/2006/relationships/footer" Target="footer684.xml"/><Relationship Id="rId700" Type="http://schemas.openxmlformats.org/officeDocument/2006/relationships/footer" Target="footer685.xml"/><Relationship Id="rId701" Type="http://schemas.openxmlformats.org/officeDocument/2006/relationships/footer" Target="footer686.xml"/><Relationship Id="rId702" Type="http://schemas.openxmlformats.org/officeDocument/2006/relationships/footer" Target="footer687.xml"/><Relationship Id="rId703" Type="http://schemas.openxmlformats.org/officeDocument/2006/relationships/footer" Target="footer688.xml"/><Relationship Id="rId704" Type="http://schemas.openxmlformats.org/officeDocument/2006/relationships/footer" Target="footer689.xml"/><Relationship Id="rId705" Type="http://schemas.openxmlformats.org/officeDocument/2006/relationships/footer" Target="footer690.xml"/><Relationship Id="rId706" Type="http://schemas.openxmlformats.org/officeDocument/2006/relationships/footer" Target="footer691.xml"/><Relationship Id="rId707" Type="http://schemas.openxmlformats.org/officeDocument/2006/relationships/footer" Target="footer692.xml"/><Relationship Id="rId708" Type="http://schemas.openxmlformats.org/officeDocument/2006/relationships/footer" Target="footer693.xml"/><Relationship Id="rId709" Type="http://schemas.openxmlformats.org/officeDocument/2006/relationships/footer" Target="footer694.xml"/><Relationship Id="rId710" Type="http://schemas.openxmlformats.org/officeDocument/2006/relationships/footer" Target="footer695.xml"/><Relationship Id="rId711" Type="http://schemas.openxmlformats.org/officeDocument/2006/relationships/footer" Target="footer696.xml"/><Relationship Id="rId712" Type="http://schemas.openxmlformats.org/officeDocument/2006/relationships/footer" Target="footer697.xml"/><Relationship Id="rId713" Type="http://schemas.openxmlformats.org/officeDocument/2006/relationships/footer" Target="footer698.xml"/><Relationship Id="rId714" Type="http://schemas.openxmlformats.org/officeDocument/2006/relationships/footer" Target="footer699.xml"/><Relationship Id="rId715" Type="http://schemas.openxmlformats.org/officeDocument/2006/relationships/footer" Target="footer700.xml"/><Relationship Id="rId716" Type="http://schemas.openxmlformats.org/officeDocument/2006/relationships/footer" Target="footer701.xml"/><Relationship Id="rId717" Type="http://schemas.openxmlformats.org/officeDocument/2006/relationships/footer" Target="footer702.xml"/><Relationship Id="rId718" Type="http://schemas.openxmlformats.org/officeDocument/2006/relationships/footer" Target="footer703.xml"/><Relationship Id="rId719" Type="http://schemas.openxmlformats.org/officeDocument/2006/relationships/footer" Target="footer704.xml"/><Relationship Id="rId720" Type="http://schemas.openxmlformats.org/officeDocument/2006/relationships/footer" Target="footer705.xml"/><Relationship Id="rId721" Type="http://schemas.openxmlformats.org/officeDocument/2006/relationships/footer" Target="footer706.xml"/><Relationship Id="rId722" Type="http://schemas.openxmlformats.org/officeDocument/2006/relationships/footer" Target="footer707.xml"/><Relationship Id="rId723" Type="http://schemas.openxmlformats.org/officeDocument/2006/relationships/footer" Target="footer708.xml"/><Relationship Id="rId724" Type="http://schemas.openxmlformats.org/officeDocument/2006/relationships/footer" Target="footer709.xml"/><Relationship Id="rId725" Type="http://schemas.openxmlformats.org/officeDocument/2006/relationships/footer" Target="footer710.xml"/><Relationship Id="rId726" Type="http://schemas.openxmlformats.org/officeDocument/2006/relationships/footer" Target="footer711.xml"/><Relationship Id="rId727" Type="http://schemas.openxmlformats.org/officeDocument/2006/relationships/footer" Target="footer712.xml"/><Relationship Id="rId728" Type="http://schemas.openxmlformats.org/officeDocument/2006/relationships/footer" Target="footer713.xml"/><Relationship Id="rId729" Type="http://schemas.openxmlformats.org/officeDocument/2006/relationships/footer" Target="footer714.xml"/><Relationship Id="rId730" Type="http://schemas.openxmlformats.org/officeDocument/2006/relationships/footer" Target="footer715.xml"/><Relationship Id="rId731" Type="http://schemas.openxmlformats.org/officeDocument/2006/relationships/footer" Target="footer716.xml"/><Relationship Id="rId732" Type="http://schemas.openxmlformats.org/officeDocument/2006/relationships/footer" Target="footer717.xml"/><Relationship Id="rId733" Type="http://schemas.openxmlformats.org/officeDocument/2006/relationships/footer" Target="footer718.xml"/><Relationship Id="rId734" Type="http://schemas.openxmlformats.org/officeDocument/2006/relationships/footer" Target="footer719.xml"/><Relationship Id="rId735" Type="http://schemas.openxmlformats.org/officeDocument/2006/relationships/footer" Target="footer720.xml"/><Relationship Id="rId736" Type="http://schemas.openxmlformats.org/officeDocument/2006/relationships/footer" Target="footer721.xml"/><Relationship Id="rId737" Type="http://schemas.openxmlformats.org/officeDocument/2006/relationships/footer" Target="footer722.xml"/><Relationship Id="rId738" Type="http://schemas.openxmlformats.org/officeDocument/2006/relationships/footer" Target="footer723.xml"/><Relationship Id="rId739" Type="http://schemas.openxmlformats.org/officeDocument/2006/relationships/footer" Target="footer724.xml"/><Relationship Id="rId740" Type="http://schemas.openxmlformats.org/officeDocument/2006/relationships/footer" Target="footer725.xml"/><Relationship Id="rId741" Type="http://schemas.openxmlformats.org/officeDocument/2006/relationships/footer" Target="footer726.xml"/><Relationship Id="rId742" Type="http://schemas.openxmlformats.org/officeDocument/2006/relationships/footer" Target="footer727.xml"/><Relationship Id="rId743" Type="http://schemas.openxmlformats.org/officeDocument/2006/relationships/footer" Target="footer728.xml"/><Relationship Id="rId744" Type="http://schemas.openxmlformats.org/officeDocument/2006/relationships/footer" Target="footer729.xml"/><Relationship Id="rId745" Type="http://schemas.openxmlformats.org/officeDocument/2006/relationships/footer" Target="footer730.xml"/><Relationship Id="rId746" Type="http://schemas.openxmlformats.org/officeDocument/2006/relationships/footer" Target="footer731.xml"/><Relationship Id="rId747" Type="http://schemas.openxmlformats.org/officeDocument/2006/relationships/footer" Target="footer732.xml"/><Relationship Id="rId748" Type="http://schemas.openxmlformats.org/officeDocument/2006/relationships/footer" Target="footer733.xml"/><Relationship Id="rId749" Type="http://schemas.openxmlformats.org/officeDocument/2006/relationships/footer" Target="footer734.xml"/><Relationship Id="rId750" Type="http://schemas.openxmlformats.org/officeDocument/2006/relationships/footer" Target="footer735.xml"/><Relationship Id="rId751" Type="http://schemas.openxmlformats.org/officeDocument/2006/relationships/footer" Target="footer736.xml"/><Relationship Id="rId752" Type="http://schemas.openxmlformats.org/officeDocument/2006/relationships/footer" Target="footer737.xml"/><Relationship Id="rId753" Type="http://schemas.openxmlformats.org/officeDocument/2006/relationships/footer" Target="footer738.xml"/><Relationship Id="rId754" Type="http://schemas.openxmlformats.org/officeDocument/2006/relationships/footer" Target="footer739.xml"/><Relationship Id="rId755" Type="http://schemas.openxmlformats.org/officeDocument/2006/relationships/footer" Target="footer740.xml"/><Relationship Id="rId756" Type="http://schemas.openxmlformats.org/officeDocument/2006/relationships/footer" Target="footer741.xml"/><Relationship Id="rId757" Type="http://schemas.openxmlformats.org/officeDocument/2006/relationships/footer" Target="footer742.xml"/><Relationship Id="rId758" Type="http://schemas.openxmlformats.org/officeDocument/2006/relationships/footer" Target="footer743.xml"/><Relationship Id="rId759" Type="http://schemas.openxmlformats.org/officeDocument/2006/relationships/footer" Target="footer744.xml"/><Relationship Id="rId760" Type="http://schemas.openxmlformats.org/officeDocument/2006/relationships/footer" Target="footer745.xml"/><Relationship Id="rId761" Type="http://schemas.openxmlformats.org/officeDocument/2006/relationships/footer" Target="footer746.xml"/><Relationship Id="rId762" Type="http://schemas.openxmlformats.org/officeDocument/2006/relationships/footer" Target="footer747.xml"/><Relationship Id="rId763" Type="http://schemas.openxmlformats.org/officeDocument/2006/relationships/footer" Target="footer748.xml"/><Relationship Id="rId764" Type="http://schemas.openxmlformats.org/officeDocument/2006/relationships/footer" Target="footer749.xml"/><Relationship Id="rId765" Type="http://schemas.openxmlformats.org/officeDocument/2006/relationships/footer" Target="footer750.xml"/><Relationship Id="rId766" Type="http://schemas.openxmlformats.org/officeDocument/2006/relationships/footer" Target="footer751.xml"/><Relationship Id="rId767" Type="http://schemas.openxmlformats.org/officeDocument/2006/relationships/footer" Target="footer752.xml"/><Relationship Id="rId768" Type="http://schemas.openxmlformats.org/officeDocument/2006/relationships/footer" Target="footer753.xml"/><Relationship Id="rId769" Type="http://schemas.openxmlformats.org/officeDocument/2006/relationships/footer" Target="footer754.xml"/><Relationship Id="rId770" Type="http://schemas.openxmlformats.org/officeDocument/2006/relationships/footer" Target="footer755.xml"/><Relationship Id="rId771" Type="http://schemas.openxmlformats.org/officeDocument/2006/relationships/footer" Target="footer756.xml"/><Relationship Id="rId772" Type="http://schemas.openxmlformats.org/officeDocument/2006/relationships/footer" Target="footer757.xml"/><Relationship Id="rId773" Type="http://schemas.openxmlformats.org/officeDocument/2006/relationships/footer" Target="footer758.xml"/><Relationship Id="rId774" Type="http://schemas.openxmlformats.org/officeDocument/2006/relationships/footer" Target="footer759.xml"/><Relationship Id="rId775" Type="http://schemas.openxmlformats.org/officeDocument/2006/relationships/footer" Target="footer760.xml"/><Relationship Id="rId776" Type="http://schemas.openxmlformats.org/officeDocument/2006/relationships/footer" Target="footer761.xml"/><Relationship Id="rId777" Type="http://schemas.openxmlformats.org/officeDocument/2006/relationships/footer" Target="footer762.xml"/><Relationship Id="rId778" Type="http://schemas.openxmlformats.org/officeDocument/2006/relationships/footer" Target="footer763.xml"/><Relationship Id="rId779" Type="http://schemas.openxmlformats.org/officeDocument/2006/relationships/footer" Target="footer764.xml"/><Relationship Id="rId780" Type="http://schemas.openxmlformats.org/officeDocument/2006/relationships/footer" Target="footer765.xml"/><Relationship Id="rId781" Type="http://schemas.openxmlformats.org/officeDocument/2006/relationships/footer" Target="footer766.xml"/><Relationship Id="rId782" Type="http://schemas.openxmlformats.org/officeDocument/2006/relationships/footer" Target="footer767.xml"/><Relationship Id="rId783" Type="http://schemas.openxmlformats.org/officeDocument/2006/relationships/footer" Target="footer768.xml"/><Relationship Id="rId784" Type="http://schemas.openxmlformats.org/officeDocument/2006/relationships/footer" Target="footer769.xml"/><Relationship Id="rId785" Type="http://schemas.openxmlformats.org/officeDocument/2006/relationships/footer" Target="footer770.xml"/><Relationship Id="rId786" Type="http://schemas.openxmlformats.org/officeDocument/2006/relationships/footer" Target="footer771.xml"/><Relationship Id="rId787" Type="http://schemas.openxmlformats.org/officeDocument/2006/relationships/footer" Target="footer772.xml"/><Relationship Id="rId788" Type="http://schemas.openxmlformats.org/officeDocument/2006/relationships/footer" Target="footer773.xml"/><Relationship Id="rId789" Type="http://schemas.openxmlformats.org/officeDocument/2006/relationships/footer" Target="footer774.xml"/><Relationship Id="rId790" Type="http://schemas.openxmlformats.org/officeDocument/2006/relationships/footer" Target="footer775.xml"/><Relationship Id="rId791" Type="http://schemas.openxmlformats.org/officeDocument/2006/relationships/footer" Target="footer776.xml"/><Relationship Id="rId792" Type="http://schemas.openxmlformats.org/officeDocument/2006/relationships/footer" Target="footer777.xml"/><Relationship Id="rId793" Type="http://schemas.openxmlformats.org/officeDocument/2006/relationships/footer" Target="footer778.xml"/><Relationship Id="rId794" Type="http://schemas.openxmlformats.org/officeDocument/2006/relationships/footer" Target="footer779.xml"/><Relationship Id="rId795" Type="http://schemas.openxmlformats.org/officeDocument/2006/relationships/footer" Target="footer780.xml"/><Relationship Id="rId796" Type="http://schemas.openxmlformats.org/officeDocument/2006/relationships/footer" Target="footer781.xml"/><Relationship Id="rId797" Type="http://schemas.openxmlformats.org/officeDocument/2006/relationships/footer" Target="footer782.xml"/><Relationship Id="rId798" Type="http://schemas.openxmlformats.org/officeDocument/2006/relationships/footer" Target="footer783.xml"/><Relationship Id="rId799" Type="http://schemas.openxmlformats.org/officeDocument/2006/relationships/footer" Target="footer784.xml"/><Relationship Id="rId800" Type="http://schemas.openxmlformats.org/officeDocument/2006/relationships/footer" Target="footer785.xml"/><Relationship Id="rId801" Type="http://schemas.openxmlformats.org/officeDocument/2006/relationships/footer" Target="footer786.xml"/><Relationship Id="rId802" Type="http://schemas.openxmlformats.org/officeDocument/2006/relationships/footer" Target="footer787.xml"/><Relationship Id="rId803" Type="http://schemas.openxmlformats.org/officeDocument/2006/relationships/footer" Target="footer788.xml"/><Relationship Id="rId804" Type="http://schemas.openxmlformats.org/officeDocument/2006/relationships/footer" Target="footer789.xml"/><Relationship Id="rId805" Type="http://schemas.openxmlformats.org/officeDocument/2006/relationships/footer" Target="footer790.xml"/><Relationship Id="rId806" Type="http://schemas.openxmlformats.org/officeDocument/2006/relationships/footer" Target="footer791.xml"/><Relationship Id="rId807" Type="http://schemas.openxmlformats.org/officeDocument/2006/relationships/footer" Target="footer792.xml"/><Relationship Id="rId808" Type="http://schemas.openxmlformats.org/officeDocument/2006/relationships/footer" Target="footer793.xml"/><Relationship Id="rId809" Type="http://schemas.openxmlformats.org/officeDocument/2006/relationships/footer" Target="footer794.xml"/><Relationship Id="rId810" Type="http://schemas.openxmlformats.org/officeDocument/2006/relationships/footer" Target="footer795.xml"/><Relationship Id="rId811" Type="http://schemas.openxmlformats.org/officeDocument/2006/relationships/footer" Target="footer796.xml"/><Relationship Id="rId812" Type="http://schemas.openxmlformats.org/officeDocument/2006/relationships/footer" Target="footer797.xml"/><Relationship Id="rId813" Type="http://schemas.openxmlformats.org/officeDocument/2006/relationships/footer" Target="footer798.xml"/><Relationship Id="rId814" Type="http://schemas.openxmlformats.org/officeDocument/2006/relationships/footer" Target="footer799.xml"/><Relationship Id="rId815" Type="http://schemas.openxmlformats.org/officeDocument/2006/relationships/footer" Target="footer800.xml"/><Relationship Id="rId816" Type="http://schemas.openxmlformats.org/officeDocument/2006/relationships/footer" Target="footer801.xml"/><Relationship Id="rId817" Type="http://schemas.openxmlformats.org/officeDocument/2006/relationships/footer" Target="footer802.xml"/><Relationship Id="rId818" Type="http://schemas.openxmlformats.org/officeDocument/2006/relationships/footer" Target="footer803.xml"/><Relationship Id="rId819" Type="http://schemas.openxmlformats.org/officeDocument/2006/relationships/footer" Target="footer804.xml"/><Relationship Id="rId820" Type="http://schemas.openxmlformats.org/officeDocument/2006/relationships/footer" Target="footer805.xml"/><Relationship Id="rId821" Type="http://schemas.openxmlformats.org/officeDocument/2006/relationships/footer" Target="footer806.xml"/><Relationship Id="rId822" Type="http://schemas.openxmlformats.org/officeDocument/2006/relationships/footer" Target="footer807.xml"/><Relationship Id="rId823" Type="http://schemas.openxmlformats.org/officeDocument/2006/relationships/footer" Target="footer808.xml"/><Relationship Id="rId824" Type="http://schemas.openxmlformats.org/officeDocument/2006/relationships/footer" Target="footer809.xml"/><Relationship Id="rId825" Type="http://schemas.openxmlformats.org/officeDocument/2006/relationships/footer" Target="footer810.xml"/><Relationship Id="rId826" Type="http://schemas.openxmlformats.org/officeDocument/2006/relationships/footer" Target="footer811.xml"/><Relationship Id="rId827" Type="http://schemas.openxmlformats.org/officeDocument/2006/relationships/footer" Target="footer812.xml"/><Relationship Id="rId828" Type="http://schemas.openxmlformats.org/officeDocument/2006/relationships/footer" Target="footer813.xml"/><Relationship Id="rId829" Type="http://schemas.openxmlformats.org/officeDocument/2006/relationships/footer" Target="footer814.xml"/><Relationship Id="rId830" Type="http://schemas.openxmlformats.org/officeDocument/2006/relationships/footer" Target="footer815.xml"/><Relationship Id="rId831" Type="http://schemas.openxmlformats.org/officeDocument/2006/relationships/footer" Target="footer816.xml"/><Relationship Id="rId832" Type="http://schemas.openxmlformats.org/officeDocument/2006/relationships/footer" Target="footer817.xml"/><Relationship Id="rId833" Type="http://schemas.openxmlformats.org/officeDocument/2006/relationships/footer" Target="footer818.xml"/><Relationship Id="rId834" Type="http://schemas.openxmlformats.org/officeDocument/2006/relationships/footer" Target="footer819.xml"/><Relationship Id="rId835" Type="http://schemas.openxmlformats.org/officeDocument/2006/relationships/footer" Target="footer820.xml"/><Relationship Id="rId836" Type="http://schemas.openxmlformats.org/officeDocument/2006/relationships/footer" Target="footer821.xml"/><Relationship Id="rId837" Type="http://schemas.openxmlformats.org/officeDocument/2006/relationships/footer" Target="footer822.xml"/><Relationship Id="rId838" Type="http://schemas.openxmlformats.org/officeDocument/2006/relationships/footer" Target="footer823.xml"/><Relationship Id="rId839" Type="http://schemas.openxmlformats.org/officeDocument/2006/relationships/footer" Target="footer824.xml"/><Relationship Id="rId840" Type="http://schemas.openxmlformats.org/officeDocument/2006/relationships/footer" Target="footer825.xml"/><Relationship Id="rId841" Type="http://schemas.openxmlformats.org/officeDocument/2006/relationships/footer" Target="footer826.xml"/><Relationship Id="rId842" Type="http://schemas.openxmlformats.org/officeDocument/2006/relationships/footer" Target="footer827.xml"/><Relationship Id="rId843" Type="http://schemas.openxmlformats.org/officeDocument/2006/relationships/footer" Target="footer828.xml"/><Relationship Id="rId844" Type="http://schemas.openxmlformats.org/officeDocument/2006/relationships/image" Target="media/image2.jpeg"/><Relationship Id="rId845" Type="http://schemas.openxmlformats.org/officeDocument/2006/relationships/image" Target="media/image2.jpeg"/><Relationship Id="rId846" Type="http://schemas.openxmlformats.org/officeDocument/2006/relationships/footer" Target="footer829.xml"/><Relationship Id="rId847" Type="http://schemas.openxmlformats.org/officeDocument/2006/relationships/footnotes" Target="footnotes.xml"/><Relationship Id="rId848" Type="http://schemas.openxmlformats.org/officeDocument/2006/relationships/numbering" Target="numbering.xml"/><Relationship Id="rId849" Type="http://schemas.openxmlformats.org/officeDocument/2006/relationships/fontTable" Target="fontTable.xml"/><Relationship Id="rId850" Type="http://schemas.openxmlformats.org/officeDocument/2006/relationships/settings" Target="settings.xml"/><Relationship Id="rId8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847</Pages>
  <Words>64186</Words>
  <Characters>290229</Characters>
  <CharactersWithSpaces>351483</CharactersWithSpaces>
  <Paragraphs>3278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2026-08-21T01:41:23Z</dcterms:created>
  <dc:creator>ghaemiyeh.com</dc:creator>
  <dc:description/>
  <dc:language>en-US</dc:language>
  <cp:lastModifiedBy/>
  <dcterms:modified xsi:type="dcterms:W3CDTF">2026-08-21T05:11:44Z</dcterms:modified>
  <cp:revision>1</cp:revision>
  <dc:subject/>
  <dc:title>موسوعة الشهید الثانی جلد 14</dc:title>
</cp:coreProperties>
</file>

<file path=docProps/custom.xml><?xml version="1.0" encoding="utf-8"?>
<Properties xmlns="http://schemas.openxmlformats.org/officeDocument/2006/custom-properties" xmlns:vt="http://schemas.openxmlformats.org/officeDocument/2006/docPropsVTypes"/>
</file>