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الوضوء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1131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19113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91135_2870459653">
            <w:r>
              <w:rPr>
                <w:webHidden/>
                <w:rStyle w:val="IndexLink"/>
                <w:rtl w:val="true"/>
              </w:rPr>
              <w:t>الوضوء</w:t>
            </w:r>
            <w:r>
              <w:rPr>
                <w:rStyle w:val="IndexLink"/>
                <w:rtl w:val="true"/>
              </w:rPr>
              <w:tab/>
            </w:r>
            <w:r>
              <w:rPr>
                <w:rStyle w:val="IndexLink"/>
              </w:rPr>
              <w:t>8</w:t>
            </w:r>
          </w:hyperlink>
        </w:p>
        <w:p>
          <w:pPr>
            <w:pStyle w:val="Contents3"/>
            <w:tabs>
              <w:tab w:val="clear" w:pos="8459"/>
              <w:tab w:val="right" w:pos="9026" w:leader="dot"/>
            </w:tabs>
            <w:rPr/>
          </w:pPr>
          <w:hyperlink w:anchor="__RefHeading___Toc7191137_2870459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191139_2870459653">
            <w:r>
              <w:rPr>
                <w:webHidden/>
                <w:rStyle w:val="IndexLink"/>
                <w:rtl w:val="true"/>
              </w:rPr>
              <w:t>السابع الوضوء منكوساً ومعكوساً</w:t>
            </w:r>
            <w:r>
              <w:rPr>
                <w:rStyle w:val="IndexLink"/>
                <w:rtl w:val="true"/>
              </w:rPr>
              <w:t>:</w:t>
              <w:tab/>
            </w:r>
            <w:r>
              <w:rPr>
                <w:rStyle w:val="IndexLink"/>
              </w:rPr>
              <w:t>22</w:t>
            </w:r>
          </w:hyperlink>
        </w:p>
        <w:p>
          <w:pPr>
            <w:pStyle w:val="Contents3"/>
            <w:tabs>
              <w:tab w:val="clear" w:pos="8459"/>
              <w:tab w:val="right" w:pos="9026" w:leader="dot"/>
            </w:tabs>
            <w:rPr/>
          </w:pPr>
          <w:hyperlink w:anchor="__RefHeading___Toc7191141_2870459653">
            <w:r>
              <w:rPr>
                <w:webHidden/>
                <w:rStyle w:val="IndexLink"/>
                <w:rtl w:val="true"/>
              </w:rPr>
              <w:t>المصادر</w:t>
            </w:r>
            <w:r>
              <w:rPr>
                <w:rStyle w:val="IndexLink"/>
                <w:rtl w:val="true"/>
              </w:rPr>
              <w:tab/>
            </w:r>
            <w:r>
              <w:rPr>
                <w:rStyle w:val="IndexLink"/>
              </w:rPr>
              <w:t>26</w:t>
            </w:r>
          </w:hyperlink>
        </w:p>
        <w:p>
          <w:pPr>
            <w:pStyle w:val="Contents2"/>
            <w:tabs>
              <w:tab w:val="clear" w:pos="8743"/>
              <w:tab w:val="right" w:pos="9026" w:leader="dot"/>
            </w:tabs>
            <w:rPr/>
          </w:pPr>
          <w:hyperlink w:anchor="__RefHeading___Toc7191143_2870459653">
            <w:r>
              <w:rPr>
                <w:webHidden/>
                <w:rStyle w:val="IndexLink"/>
                <w:rtl w:val="true"/>
              </w:rPr>
              <w:t>محتويات الكتاب</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0_120405"/>
      <w:bookmarkStart w:id="1" w:name="pg9590_120405"/>
      <w:bookmarkEnd w:id="1"/>
    </w:p>
    <w:p>
      <w:pPr>
        <w:pStyle w:val="Heading2"/>
        <w:numPr>
          <w:ilvl w:val="1"/>
          <w:numId w:val="1"/>
        </w:numPr>
        <w:rPr/>
      </w:pPr>
      <w:bookmarkStart w:id="2" w:name="pg9590_120405"/>
      <w:bookmarkStart w:id="3" w:name="__RefHeading___Toc719113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الوضوء فى الكتاب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عبدالكريم قزوینی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برگزیده،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الوضوء فى الكتاب و السنّة</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الشابك الدوره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113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w:t>
      </w:r>
    </w:p>
    <w:p>
      <w:pPr>
        <w:pStyle w:val="BookText"/>
        <w:rPr/>
      </w:pPr>
      <w:r>
        <w:rPr>
          <w:rFonts w:ascii="Amiri" w:hAnsi="Amiri" w:eastAsia="Amiri" w:cs="Amiri"/>
          <w:color w:val="111111"/>
          <w:sz w:val="28"/>
          <w:sz w:val="28"/>
          <w:szCs w:val="28"/>
          <w:rtl w:val="true"/>
          <w:lang w:bidi="ar-SA"/>
        </w:rPr>
        <w:t>مع وضوح النصّ القرآني والنبوى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في الكتاب والسنّة</w:t>
      </w:r>
    </w:p>
    <w:p>
      <w:pPr>
        <w:pStyle w:val="BookText"/>
        <w:rPr/>
      </w:pPr>
      <w:r>
        <w:rPr>
          <w:rFonts w:ascii="Amiri" w:hAnsi="Amiri" w:eastAsia="Amiri" w:cs="Amiri"/>
          <w:color w:val="111111"/>
          <w:sz w:val="28"/>
          <w:sz w:val="28"/>
          <w:szCs w:val="28"/>
          <w:rtl w:val="true"/>
          <w:lang w:bidi="ar-SA"/>
        </w:rPr>
        <w:t>دراسة موضوعية لاختلاف المذاهب في الوضوء</w:t>
      </w:r>
    </w:p>
    <w:p>
      <w:pPr>
        <w:pStyle w:val="BookText"/>
        <w:rPr/>
      </w:pPr>
      <w:r>
        <w:rPr>
          <w:rFonts w:ascii="Amiri" w:hAnsi="Amiri" w:eastAsia="Amiri" w:cs="Amiri"/>
          <w:color w:val="111111"/>
          <w:sz w:val="28"/>
          <w:sz w:val="28"/>
          <w:szCs w:val="28"/>
          <w:rtl w:val="true"/>
          <w:lang w:bidi="ar-SA"/>
        </w:rPr>
        <w:t>على ضوء القرآن والسنّة</w:t>
      </w:r>
    </w:p>
    <w:p>
      <w:pPr>
        <w:pStyle w:val="BookText"/>
        <w:rPr/>
      </w:pPr>
      <w:r>
        <w:rPr>
          <w:rFonts w:ascii="Amiri" w:hAnsi="Amiri" w:eastAsia="Amiri" w:cs="Amiri"/>
          <w:color w:val="111111"/>
          <w:sz w:val="28"/>
          <w:sz w:val="28"/>
          <w:szCs w:val="28"/>
          <w:rtl w:val="true"/>
          <w:lang w:bidi="ar-SA"/>
        </w:rPr>
        <w:t>عبدالكريم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احمدلله ربَ العالمین</w:t>
      </w:r>
    </w:p>
    <w:p>
      <w:pPr>
        <w:pStyle w:val="BookText"/>
        <w:rPr/>
      </w:pPr>
      <w:r>
        <w:rPr>
          <w:rFonts w:ascii="IRNazanin" w:hAnsi="IRNazanin" w:eastAsia="IRNazanin"/>
          <w:color w:val="111111"/>
          <w:sz w:val="28"/>
          <w:sz w:val="28"/>
          <w:szCs w:val="28"/>
          <w:rtl w:val="true"/>
          <w:lang w:bidi="fa-IR"/>
        </w:rPr>
        <w:t>والصلاة والسلام علی سیّدنا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الطیّبین الطاهرین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90_120409"/>
      <w:bookmarkStart w:id="8" w:name="pg9590_120409"/>
      <w:bookmarkEnd w:id="8"/>
    </w:p>
    <w:p>
      <w:pPr>
        <w:pStyle w:val="Heading2"/>
        <w:numPr>
          <w:ilvl w:val="1"/>
          <w:numId w:val="1"/>
        </w:numPr>
        <w:rPr/>
      </w:pPr>
      <w:bookmarkStart w:id="9" w:name="pg9590_120409"/>
      <w:bookmarkStart w:id="10" w:name="__RefHeading___Toc7191135_2870459653"/>
      <w:bookmarkStart w:id="11" w:name="_Toc3"/>
      <w:bookmarkEnd w:id="9"/>
      <w:bookmarkEnd w:id="10"/>
      <w:r>
        <w:rPr>
          <w:rtl w:val="true"/>
        </w:rPr>
        <w:t>الوضوء</w:t>
      </w:r>
      <w:bookmarkEnd w:id="11"/>
    </w:p>
    <w:p>
      <w:pPr>
        <w:pStyle w:val="Heading3"/>
        <w:numPr>
          <w:ilvl w:val="2"/>
          <w:numId w:val="1"/>
        </w:numPr>
        <w:rPr/>
      </w:pPr>
      <w:bookmarkStart w:id="12" w:name="__RefHeading___Toc7191137_2870459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الوضوء من شروط الصلوات الواجبة والمستحبّة ما عدى صلاة الميّت لأنه من باب مقدمة الواجب ولا صلاة الّا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الاختلاف في كيفية الوضوء بين المذاهب الإسلامية ولكننّا نستغرب من حصوله بين هذه المذاهب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توفّر أسباب وشروط عدم الاختلاف فيه وذلك للأسباب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ظاهرة الوضوء تلازم وتباشر الإنسان المؤمن في أوقاته العبادية الخمس بالاضافة إلى بقية الواجبات في الوضوء واستحبابها الواردة في الكتب الفقهية ولهذا نحن نستغرب كيف حصل هذا الاختلاف في هذه الظاهرة العبادية الواجبة التي يمارسها المؤمن في كثير من واجباته ومستحبّاته في عدّة مرّات يومياً ممّا يقوى الظنّ إنّ هذا الاختلاف فى الوضوء مستحدث بعد وفاة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الروايات المروية من طريق أهل البيت عن كيفية وضوء جدّهم رسول الله صلی الله علیه وآله وسلم تبيّن وتوضّح كيفية وضوئه صلی الله علیه وآله وسلم وإذا أراد إنسان أن يسأل عن صفات رجل ما فإنّه يسأل أقربائه وأهل بيته لأنّهم أدرى بصفاته وتقاليده وعاداته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بيّنوا كيفية وضوئه صلی الله علیه وآله وسلم وإليك صورة وضوئه صلی الله علیه وآله وسلم في هذه الرواية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علي بن إبراهيم، عن أبيه، عن ابن أبي عمير، عن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أُذينة، عن زرارة وبكير أنّهما سألا أبا جعفر علیه السلام عن وضوء رسول الله صلی الله علیه وآله وسلم فدعا بطست أو تور فيه ماء</w:t>
      </w:r>
      <w:r>
        <w:rPr>
          <w:rFonts w:ascii="Amiri" w:hAnsi="Amiri" w:eastAsia="Amiri" w:cs="Amiri"/>
          <w:color w:val="111111"/>
          <w:sz w:val="28"/>
          <w:sz w:val="28"/>
          <w:szCs w:val="28"/>
          <w:rtl w:val="true"/>
          <w:lang w:bidi="ar-SA"/>
        </w:rPr>
        <w:t>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 صنع باليمنى، ثمّ مسح رأسه وقدميه ببلل كفّه لم يحدث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فليس له أن يدع شيئاً من وجهه إلا غسله، وأمر بغسل اليدين إلى المرفقين فليس له أن يدع من يديه إلى المرفقين شيئاً إلّا غسله،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الكعبين إلى أطراف الأصابع فقد أجزأه،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يعني 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 هذا من عظم الساق والكعب أسفل من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وغرفة للذراع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الشيخ بإسناده عن الحسين بن سعيد، عن ابن أبي عمير نحوه إلّا أنّه أورد منه حكم المسح في بابه وحذف باقيه مع التنبيه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أيضاً بإسناده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الثنتين غرفة الوجه وغرفة الذراع واللام للعهد الذكري ولا أقل من الاحتمال فلا دلالة فيه على استحباب التثنية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حديث </w:t>
      </w:r>
      <w:r>
        <w:rPr>
          <w:rFonts w:eastAsia="Amiri" w:cs="Amiri" w:ascii="Amiri" w:hAnsi="Amiri"/>
          <w:color w:val="111111"/>
          <w:sz w:val="28"/>
          <w:szCs w:val="28"/>
          <w:lang w:bidi="ar-SA"/>
        </w:rPr>
        <w:t>26908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علي في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جاء رجل إلى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وضوء رسول الله صلی الله علیه وآله وسلم فدعا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بكوز من ماء فغسل يديه ووجهه ثلاثاً، فأدخل بعض أصابعه في فيه واستنشق ثلاثاً، وغسل ذراعيه ثلاثاً، ومسح رأسه واحدة إلى أن يقول ورجليه إلى الكعبين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أنّ أحد العلماء بيّن كيفية وضوء النبي الله صلی الله علیه وآله وسلم كما هو الآن عليه المذاهب ولكن جاء عالم آخر وفقيه من فقهاء أهل البيت وبيّن حقيقة وضوء رسول الله صلی الله علیه وآله وسلم وكيفيته تخالف ما عليه وضوء بعض أهل المذاهب فنقول بمن يؤخذ؟ وعلى من يعتمد على فرض القول بالتساوي بين العالمين، فالعقل هنا يرشد ويبيّن ويشير أن نأخذ برأي العالم من أهل البيت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أدرى بما في البيت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علماء أهل البيت فيهم نصّ صريح من قبل رسول الله صلی الله علیه وآله وسلم فيكون مقدّماً على العالم من غير أهل البيت علیهم السلام الذي لا نصّ عليه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آية الوضوء الدالَة على وجوبه بيّنة وظاهرة وواضحة كلّ الوضوح ولا نجد فيها أي لبس أو غموض وذلك لأنّها تحتوي على شعبتين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الشعبة الأُولى الغسل يشمل جانبين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وجوب غسل الوجه طولاً من قصاص الشعر إلى آخر الذقن وعرضاً وهي ما تشتمل عليه الابهام والسبّابة الوسطى لغسل العارضين وهذا ما يستفاد من الآية الكريمة واغسلوا وجوهكم أي بوجوب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أيضاً وجوب غسل الأيدي ويستفاد ذلك من الآية الكريمة واغسلوا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نستفيد وجوب غسل الوجه والأيدي من الآية الكريمة لأنّها تحتوي على فعل وفاعل وهو اغسلوا وعلى المفعول المنصوب وهو وجوهكم وأيديكم وهنا تمّت شعبة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الغسل ويأتي دوره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غسل الوجه واليدين ويحتوي على جوانب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وهو وجوب المسح ببعض الرأس لا كلّه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وهو أيضاً وجوب المسح على القدمين من رأس الأصابع إلى الكعبين ويستفاد ذلك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وَامْسَحُوا بِرُءُوسِكُمْ وَأَرْجُلَكُمْ إِلَى الْكَعْبَيْنِ  فتتكوّن هذه الآية من فعل وفاعل وهي امسحوا برؤسكم وأرجلكم مفعول لا مسحوا وعلامة نصبه بالفتح فعلى كل حال مسح الرأس والرجلين يكون مفعول للفعل والفاعل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أن يبيّن حكم مسح بعض الرأس وبعض القدمين لا كلّها ولهذا أدخل الباء برؤوسكم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يعني ببعض رؤوسكم لا كلّه وببعض أرجلكم لاكلها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مسح بعض الرأس وبعض القدمين مأخوذ ومستفاد من الآية الكريمة وامسحوا برؤوسكم لأنّ باء الجر دخلت على رؤوسكم فقرأ بكسرة السين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برؤوسكم فهي مجرورة بالكسر لحرف الجرّ وهو الباء برؤوسكم، وأمّا الأرجل فقُرأت بالجر وأرجلكم بكسر اللام لأنّها معطوفة على باء الجر برؤوسكم وقرأت أيضاً بفتح اللام لأنّها مفعول للفعل والفاعل الذي هو وامسحوا برؤوسكم وأرجلكم ولهذا قيل الوضوء غسلتان ومسحتان فهو مأخوذ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وُجُوهَكُمْ وَأَيْدِيَكُمْ إِلَى الْمَرَافِقِ وَامْسَحُوا بِرُءُوسِكُمْ وَأَرْجُلَكُمْ وإذا أراد الله غسل القدمين فيلحقها بغسل الوجه واليدين لجاءت الآية الكريمة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وجوهكم وأيديكم إلى المرافق 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يجب غسل الأرجل وتلحق بالوجه واليدين وهذا خلاف الآية الكريمة القائلة اغسلوا وجوهكم وأيديكم إلى المرافق وامسحوا برؤوسكم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الاستغراب نرى بعض المذاهب توجب غسل الرجلين بدل مسحهما ويستدلّون على ذلك بأنّها معطوفة على شعبة الغسل للوجه واليدين وهو محال لما يلي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شعبة وامسحوا برؤوسكم وأرجلكم هي جملة مستقلّة عن شعبة الغسل التي لها أحكامها الخاصّة بها فلا يمكن عطف أرجلكم على شعبة الغسل لأنَها أجنبية تفصل بينهما جملة وامسحوا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جاء بجملة من فعل وفاعل ومفعول وتعني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لنا كلوا الرز والخبز والبرتقال والرمّان ثمّ جاؤوا بجملة مستقلَة بالشرب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لنا اشربوا الماء والشاي والشربت والبصل مع أنّ البصل ليس من مادّة الشرب فيكون غريباً على جملة الشرب ولا يمكن عطف البصل على جملة الشرب فيقال لنا البصل يعطف على مادة وشعبة الأكل لا الشرب، لأنّ الشرب جملة منفصلة عن الأكل والعطف عليه يكون شاذاً من ناحية بلاغية والقرآن هو سيّد البلاغة والفصاحة ويؤخذ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القول بغسل الرجلين عطفاً على غسل الوجه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واليدين هو يصطدم بالقرآن الكريم وآياته قال الله تعالى واغسلوا وجوهكم وأيديكم ثمّ قال وامسحوا برؤوسكم وأرجلكم وهذه مخالفة صريحة للقرآن ولا يجوز مخالفة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بأي حال من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 الإمام 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فخر الرازي في تفسيره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مسح الرجلين وفي غسلهما فنقل القفال في تفسيره عن ابن عبّاس وأنس بن مالك وعكرمة والشعبي وأبي جعفر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فيهما مبني على القرائتين المشهورتين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ابن كثير وحمزة وأبو عمر وعاصم في رواية أبي بكر عنه بالجر وقرأ نافع وابن عامر وعاصم في رواية حفص عنه بالنصب،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قرائته بالجر فهي تقتضي كون الأرجل معطوفة على الرؤوس فكما وجب المسح في الرأس فكذلك فى 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القراءة بالنصب فقالوا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توجب المسح وذلك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وأمسحوا 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فرؤوسكم في محلّ النصب ولكنّها مجرورة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عطفت الأرجل على الرؤوس جاز في الأرجل النصب عطفاً على محلّ الرؤوس والجر عطفاً على الظاهر وهذا هو مذهب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النحّاة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كلّ ما بيّناه وحقّقناه يأتى هذا السؤال لماذا هذا التلاعب في كيفية الوضوء وظاهره وهي مخالفة للكتاب والسنّة وما هي العوامل التي تدفعهم لذلك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ينطلقون في تغيير كيفية الوضوء طبقاً لمشتهياتهم النفسية ورغبات ميولهم وعواطفهم الشخصية لأنّهم مشدودين إليها أكثر من إيمانهم وعقيدتهم ولأنّهم أيضاً غير ملتزمين بالكتاب والسنّة ويفسّرون الدين على وفق عواطفهم ونزعاتهم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الصحابة كان يعزّ في نفوسهم أن لا يشتركوا في تشريع الأحكام وانشائها من عندهم حتّى يقال إنّهم ساهموا في التشريع الإسلامي ولهذا نراهم يتسابقون في جعل كثيراً من الأحكام من عند أنفسهم مخالفين في ذلك الكتاب والسنّة ولنضرب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أمثالاً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زادوا في الأذان لصلاة الصبح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وجعلوها سنّة ولم تكن في عهد رسول صلى الله عليه واله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أنقصوا من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عهد رسول الله صلى الله عليه واله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التكفير في الصلاة وهو وضع اليد على اليد الأُخرى فى حال الوقوف في الصلاة وجعلوها سنّة ولم تكن في عهد رسول الله بل كان الاسبال في عهد رسول الله صلى الله عليه واله وسلم عل الله واجباً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 صلاة التراويح جماعة وفرضوها كسنّة حسنة ولم تكن في عهد رسول الله ولهذا عبّروا عنها بأنّها بدعة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وتبديل كيفية الوضوء وتبديل أفعاله وهناك عشرات من الأحكام الجعلية وكلّ هذه الأحكام الجعلية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لا عن الله ولا عن رسوله وتندرج تحت عنوان التي عبّر عنها النبي الكريم عليها الله بالبدعة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بدعة ضلال وكلّ ضلال في النار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فإنّما ينطلقون في ذلك من أجل أن يقال إنّهم ساهموا في تشريع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الإسلام وتعاليمه يحتاج إلى قلوب واعية لفهم أحكام القرآن والسنّة النبوية ولا يتأتّى ذلك إلّا للراسخين في العلم، والقرآن لا يفهمه إلّا الراسخون في العلم وجلّ هؤلاء كانوا لا يفقهون القرآن ولا السنّة وقد عبّر القرآن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ما بيناه وبحثناه هنا يتّضح لنا أنّ هذه الأُمور الخلافية استحدثت بعد النبي محمّد صلی الله علیه و آله وسلم وأخذوا يتسابقون في وضع الأحاديث وإدخالها في التشريع الإسلامي لكي يقال إنّهم ساهموا في التشريع وهذا الادّعاء مردود بالكتاب والسنّة فقد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التأويلات والتبريرات المخالفة للكتاب والسنّة فلا مجال لها ولا اعتبار بها مهما كان مصدر قائلها من أمثال ابن تيمية وغيره لأنّنا نعتمد على الكتاب والسنّة أوّلاً وثانياً وقد أمر أئمَة أهل البيت بذلك قائلين انظروا كلّما روي عنّا فاعرضوه على الكتاب والسنّة فإن وافقهما فخذوه وإن خالفاهما فاضربوا به عرض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تفسير الرازي عن النبي صلی الله علیه وآله وسلم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روي لكم عنّي حديث فاعرضوه على الكتاب فإن وافقه فاقبلوه وإلا فردّوه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4" w:name="pg9590_120423"/>
    </w:p>
    <w:p>
      <w:pPr>
        <w:pStyle w:val="Heading3"/>
        <w:numPr>
          <w:ilvl w:val="2"/>
          <w:numId w:val="1"/>
        </w:numPr>
        <w:rPr/>
      </w:pPr>
      <w:bookmarkStart w:id="15" w:name="__RefHeading___Toc7191139_2870459653"/>
      <w:bookmarkStart w:id="16" w:name="_Toc5"/>
      <w:bookmarkEnd w:id="14"/>
      <w:bookmarkEnd w:id="15"/>
      <w:r>
        <w:rPr>
          <w:rtl w:val="true"/>
        </w:rPr>
        <w:t>السابع الوضوء منكوساً ومعكوساً</w:t>
      </w:r>
      <w:r>
        <w:rPr>
          <w:rtl w:val="true"/>
        </w:rPr>
        <w:t>:</w:t>
      </w:r>
      <w:bookmarkEnd w:id="16"/>
    </w:p>
    <w:p>
      <w:pPr>
        <w:pStyle w:val="BookText"/>
        <w:rPr/>
      </w:pPr>
      <w:r>
        <w:rPr>
          <w:rFonts w:ascii="Amiri" w:hAnsi="Amiri" w:eastAsia="Amiri" w:cs="Amiri"/>
          <w:color w:val="111111"/>
          <w:sz w:val="28"/>
          <w:sz w:val="28"/>
          <w:szCs w:val="28"/>
          <w:rtl w:val="true"/>
          <w:lang w:bidi="ar-SA"/>
        </w:rPr>
        <w:t xml:space="preserve">من الغريب أن نرى أتباع بعض المذاهب الإسلامية في الوضوء يغسل الوجه واليدين معكوساً ومنكوساً ويستندون في وضوئهم المعكوس إلى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وُجُوهَكُمْ وَأَيْدِيَكُمْ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إن حرف إلى يفيد الانتهاء من غسل الوضوء للوجه واليدين فهم يغسلون الوجه واليدين من الأسفل إلى الأعلى، وهذا الفهم يكون غريباً ومخالف لطبيعة الوضوء المتعارف من وجوه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حرف إلى هنا لا تفيد الانتهاء من غسل الوجه واليدين وإنّما تفيد تحديد كمية المغسول لا كيفيته لنضرب لذلك مثالاً، لو قيل لك نظّف الدار من الباب إلى آخره فهو يريد تنظيف الدار بكاملها ولا تعيّن لك كيفية التنظيف الدار ومن أين تبدأ بالتنظيف وأين تنتهي به فهو متروك للطريقة المألوفة للتنظيف ولا يحدّد لنا أو يلزمنا بأن نبدأ عملية تنظيف الدار من باب الدار وإنّما العمل المتعارف عليه أن يبدأ التنظيف من داخل الدار إلى بابه </w:t>
      </w:r>
    </w:p>
    <w:p>
      <w:pPr>
        <w:pStyle w:val="BookText"/>
        <w:rPr/>
      </w:pPr>
      <w:r>
        <w:rPr>
          <w:rFonts w:ascii="Amiri" w:hAnsi="Amiri" w:eastAsia="Amiri" w:cs="Amiri"/>
          <w:color w:val="111111"/>
          <w:sz w:val="28"/>
          <w:sz w:val="28"/>
          <w:szCs w:val="28"/>
          <w:rtl w:val="true"/>
          <w:lang w:bidi="ar-SA"/>
        </w:rPr>
        <w:t xml:space="preserve">وهذا هو المعروف والمألوف عند العقلاء والإسلام هو دين العرف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دين الطبيعة فلا يعاكس مفهوم الطبيعة وجريانها الطبيعي فالماء عادة حينما يصب من الأعلى إلى الأسفل وينحدر من الأعلى إلى الأسفل والإسلام لا يخالف مجرى الطبيعة في أسلوبه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لو أردنا أن نغتسل غسل الواجب منكوساً كيف نغتسل وكيف نتصوّر الغسل منكوساً؟ ونحن تحت مصب الماء المتّصل بالسقف فهل نغتسل مقلوبين؟ بأن نضع أيدينا على الأرض ونرفع أرجلنا إلى الأعلى؟ ونغتسل وهذا العمل مخالف للطبيعة، والإسلام لا يرغب الأعمال الموجبة للمشقة والازهاق وهذا العمل مجافي ومنافي للعمل العقلاني والسيرة التي عليها الإنسان من صبّ الماء من الأعلى إلى الأسفل لا من الأسفل إلى الأعلى فإنّه مخالف لسير الطبيعة والإسلام هو دين العرف والطبيعة ولا يخالف الطريقة المألوفة للطبيعة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الذي عليها بعض المذاهب مخالف </w:t>
      </w:r>
    </w:p>
    <w:p>
      <w:pPr>
        <w:pStyle w:val="BookText"/>
        <w:rPr/>
      </w:pPr>
      <w:r>
        <w:rPr>
          <w:rFonts w:ascii="Amiri" w:hAnsi="Amiri" w:eastAsia="Amiri" w:cs="Amiri"/>
          <w:color w:val="111111"/>
          <w:sz w:val="28"/>
          <w:sz w:val="28"/>
          <w:szCs w:val="28"/>
          <w:rtl w:val="true"/>
          <w:lang w:bidi="ar-SA"/>
        </w:rPr>
        <w:t xml:space="preserve">لطريقة وضوء رسول الله صلی الله علیه وآله وسلم الواردة عن طريق أهل البيت التي تبيّن كيفية وضوئه علیه السلام والله تعالى يقول في محكم كتابه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المسلم ينبغي أن يتبع وضوء الرسول لا أن يخالفه ويعاكسه فانظر وثيقة وضوء رسول الله من الصفحة الأُولى من هذا الباب السبب السابع؟</w:t>
      </w:r>
    </w:p>
    <w:p>
      <w:pPr>
        <w:pStyle w:val="BookText"/>
        <w:rPr/>
      </w:pPr>
      <w:r>
        <w:rPr>
          <w:rFonts w:ascii="Amiri" w:hAnsi="Amiri" w:eastAsia="Amiri" w:cs="Amiri"/>
          <w:color w:val="111111"/>
          <w:sz w:val="28"/>
          <w:sz w:val="28"/>
          <w:szCs w:val="28"/>
          <w:rtl w:val="true"/>
          <w:lang w:bidi="ar-SA"/>
        </w:rPr>
        <w:t xml:space="preserve">إنّ هذه الاختلافات في الوضوء وفي غيرها حدثت بعد وفاة رسول الله وأخذت تتّسع دائرة الاختلاف بين المسلمين ولا سيّما في عصر الصحابي عثمان بن عفّان ويحدّثنا عن ذلك صاحب كنز العمّال المتّقى الهندي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مالك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عثمان بن عفّان اختلف في خلافته في الوضوء</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الزيادة في الوضوء أو النقيصة لا يجوز العمل بها </w:t>
      </w:r>
    </w:p>
    <w:p>
      <w:pPr>
        <w:pStyle w:val="BookText"/>
        <w:rPr/>
      </w:pPr>
      <w:r>
        <w:rPr>
          <w:rFonts w:ascii="Amiri" w:hAnsi="Amiri" w:eastAsia="Amiri" w:cs="Amiri"/>
          <w:color w:val="111111"/>
          <w:sz w:val="28"/>
          <w:sz w:val="28"/>
          <w:szCs w:val="28"/>
          <w:rtl w:val="true"/>
          <w:lang w:bidi="ar-SA"/>
        </w:rPr>
        <w:t xml:space="preserve">والسير عليها لأنّها جاءت بعد وفاة رسول الله والإنسان مطلوب أن يعمل بما جاء في الكتاب والسنّة لأنّ الله تعالى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هذا الاختلاف بين المسلمين في كيفية الوضوء ما جاء في حديث رقم </w:t>
      </w:r>
      <w:r>
        <w:rPr>
          <w:rFonts w:eastAsia="Amiri" w:cs="Amiri" w:ascii="Amiri" w:hAnsi="Amiri"/>
          <w:color w:val="111111"/>
          <w:sz w:val="28"/>
          <w:szCs w:val="28"/>
          <w:lang w:bidi="ar-SA"/>
        </w:rPr>
        <w:t>26798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 ما نصّه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حمران مولی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عثمان بن عفّان بوضوء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يتحدَثون عن رسول الله صلی الله علیه وآله وسلم أحاديث لا أدري ما هي؟ إلَا أنّي رأيت رسول الله صلی الله علیه وآله وسلم توضّأ مثل وضوئي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7" w:name="pg9590_120427"/>
    </w:p>
    <w:p>
      <w:pPr>
        <w:pStyle w:val="Heading3"/>
        <w:numPr>
          <w:ilvl w:val="2"/>
          <w:numId w:val="1"/>
        </w:numPr>
        <w:rPr/>
      </w:pPr>
      <w:bookmarkStart w:id="18" w:name="__RefHeading___Toc7191141_2870459653"/>
      <w:bookmarkStart w:id="19" w:name="_Toc6"/>
      <w:bookmarkEnd w:id="17"/>
      <w:bookmarkEnd w:id="18"/>
      <w:r>
        <w:rPr>
          <w:rtl w:val="true"/>
        </w:rPr>
        <w:t>المصادر</w:t>
      </w:r>
      <w:bookmarkEnd w:id="1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تفسير الرازي</w:t>
      </w:r>
    </w:p>
    <w:p>
      <w:pPr>
        <w:pStyle w:val="BookText"/>
        <w:rPr/>
      </w:pPr>
      <w:r>
        <w:rPr>
          <w:rFonts w:ascii="Amiri" w:hAnsi="Amiri" w:eastAsia="Amiri" w:cs="Amiri"/>
          <w:color w:val="111111"/>
          <w:sz w:val="28"/>
          <w:sz w:val="28"/>
          <w:szCs w:val="28"/>
          <w:rtl w:val="true"/>
          <w:lang w:bidi="ar-SA"/>
        </w:rPr>
        <w:t>وسائل الشيعة للحر العاملي</w:t>
      </w:r>
    </w:p>
    <w:p>
      <w:pPr>
        <w:pStyle w:val="BookText"/>
        <w:rPr/>
      </w:pPr>
      <w:r>
        <w:rPr>
          <w:rFonts w:ascii="Amiri" w:hAnsi="Amiri" w:eastAsia="Amiri" w:cs="Amiri"/>
          <w:color w:val="111111"/>
          <w:sz w:val="28"/>
          <w:sz w:val="28"/>
          <w:szCs w:val="28"/>
          <w:rtl w:val="true"/>
          <w:lang w:bidi="ar-SA"/>
        </w:rPr>
        <w:t>كنز العمال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المجتهد ونهاية المقصد </w:t>
      </w:r>
      <w:bookmarkStart w:id="20" w:name="pg9590_120428"/>
    </w:p>
    <w:p>
      <w:pPr>
        <w:pStyle w:val="Heading2"/>
        <w:numPr>
          <w:ilvl w:val="1"/>
          <w:numId w:val="1"/>
        </w:numPr>
        <w:rPr/>
      </w:pPr>
      <w:bookmarkStart w:id="21" w:name="__RefHeading___Toc7191143_2870459653"/>
      <w:bookmarkStart w:id="22" w:name="_Toc7"/>
      <w:bookmarkEnd w:id="20"/>
      <w:bookmarkEnd w:id="21"/>
      <w:r>
        <w:rPr>
          <w:rtl w:val="true"/>
        </w:rPr>
        <w:t>محتويات الكتاب</w:t>
      </w:r>
      <w:bookmarkEnd w:id="22"/>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الوضوء يحتوى على شعبتين الغسل والمسح والفرق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رأى فخر الرازى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عوامل الاختلاف فى الوضوء</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الزيادة والنقيصة في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الوضوء منكوساً ومعكوساً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الوضوء حدث الاختلاف 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تفسير 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لابن رشد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2638</Words>
  <Characters>11689</Characters>
  <CharactersWithSpaces>14221</CharactersWithSpaces>
  <Paragraphs>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2026-08-20T16:46:14Z</dcterms:created>
  <dc:creator>ghaemiyeh.com</dc:creator>
  <dc:description/>
  <dc:language>en-US</dc:language>
  <cp:lastModifiedBy/>
  <dcterms:modified xsi:type="dcterms:W3CDTF">2026-08-20T20:16:16Z</dcterms:modified>
  <cp:revision>1</cp:revision>
  <dc:subject/>
  <dc:title>الوضوء فی الکتاب و السنه</dc:title>
</cp:coreProperties>
</file>

<file path=docProps/custom.xml><?xml version="1.0" encoding="utf-8"?>
<Properties xmlns="http://schemas.openxmlformats.org/officeDocument/2006/custom-properties" xmlns:vt="http://schemas.openxmlformats.org/officeDocument/2006/docPropsVTypes"/>
</file>