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مباحث من کتاب الطهارة تقریراً لبحث السید المجدد الشیرازی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67804_2870459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967806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967808_2870459653">
            <w:r>
              <w:rPr>
                <w:webHidden/>
                <w:rStyle w:val="IndexLink"/>
                <w:rtl w:val="true"/>
              </w:rPr>
              <w:t>مقدّمة المركز</w:t>
            </w:r>
            <w:r>
              <w:rPr>
                <w:rStyle w:val="IndexLink"/>
                <w:rtl w:val="true"/>
              </w:rPr>
              <w:tab/>
            </w:r>
            <w:r>
              <w:rPr>
                <w:rStyle w:val="IndexLink"/>
              </w:rPr>
              <w:t>13</w:t>
            </w:r>
          </w:hyperlink>
        </w:p>
        <w:p>
          <w:pPr>
            <w:pStyle w:val="Contents2"/>
            <w:tabs>
              <w:tab w:val="clear" w:pos="8743"/>
              <w:tab w:val="right" w:pos="9026" w:leader="dot"/>
            </w:tabs>
            <w:rPr/>
          </w:pPr>
          <w:hyperlink w:anchor="__RefHeading___Toc3967810_2870459653">
            <w:r>
              <w:rPr>
                <w:webHidden/>
                <w:rStyle w:val="IndexLink"/>
                <w:rtl w:val="true"/>
              </w:rPr>
              <w:t>لمحات من حياة</w:t>
            </w:r>
            <w:r>
              <w:rPr>
                <w:rStyle w:val="IndexLink"/>
                <w:rtl w:val="true"/>
              </w:rPr>
              <w:tab/>
            </w:r>
            <w:r>
              <w:rPr>
                <w:rStyle w:val="IndexLink"/>
              </w:rPr>
              <w:t>17</w:t>
            </w:r>
          </w:hyperlink>
        </w:p>
        <w:p>
          <w:pPr>
            <w:pStyle w:val="Contents2"/>
            <w:tabs>
              <w:tab w:val="clear" w:pos="8743"/>
              <w:tab w:val="right" w:pos="9026" w:leader="dot"/>
            </w:tabs>
            <w:rPr/>
          </w:pPr>
          <w:hyperlink w:anchor="__RefHeading___Toc3967812_2870459653">
            <w:r>
              <w:rPr>
                <w:webHidden/>
                <w:rStyle w:val="IndexLink"/>
                <w:rtl w:val="true"/>
              </w:rPr>
              <w:t>وفاته</w:t>
            </w:r>
            <w:r>
              <w:rPr>
                <w:rStyle w:val="IndexLink"/>
                <w:rtl w:val="true"/>
              </w:rPr>
              <w:tab/>
            </w:r>
            <w:r>
              <w:rPr>
                <w:rStyle w:val="IndexLink"/>
              </w:rPr>
              <w:t>21</w:t>
            </w:r>
          </w:hyperlink>
        </w:p>
        <w:p>
          <w:pPr>
            <w:pStyle w:val="Contents2"/>
            <w:tabs>
              <w:tab w:val="clear" w:pos="8743"/>
              <w:tab w:val="right" w:pos="9026" w:leader="dot"/>
            </w:tabs>
            <w:rPr/>
          </w:pPr>
          <w:hyperlink w:anchor="__RefHeading___Toc3967814_2870459653">
            <w:r>
              <w:rPr>
                <w:webHidden/>
                <w:rStyle w:val="IndexLink"/>
                <w:rtl w:val="true"/>
              </w:rPr>
              <w:t>مصادر الترجمة</w:t>
            </w:r>
            <w:r>
              <w:rPr>
                <w:rStyle w:val="IndexLink"/>
                <w:rtl w:val="true"/>
              </w:rPr>
              <w:t>:</w:t>
              <w:tab/>
            </w:r>
            <w:r>
              <w:rPr>
                <w:rStyle w:val="IndexLink"/>
              </w:rPr>
              <w:t>21</w:t>
            </w:r>
          </w:hyperlink>
        </w:p>
        <w:p>
          <w:pPr>
            <w:pStyle w:val="Contents2"/>
            <w:tabs>
              <w:tab w:val="clear" w:pos="8743"/>
              <w:tab w:val="right" w:pos="9026" w:leader="dot"/>
            </w:tabs>
            <w:rPr/>
          </w:pPr>
          <w:hyperlink w:anchor="__RefHeading___Toc3967816_2870459653">
            <w:r>
              <w:rPr>
                <w:webHidden/>
                <w:rStyle w:val="IndexLink"/>
                <w:rtl w:val="true"/>
              </w:rPr>
              <w:t>النسخ المعتمدة</w:t>
            </w:r>
            <w:r>
              <w:rPr>
                <w:rStyle w:val="IndexLink"/>
                <w:rtl w:val="true"/>
              </w:rPr>
              <w:tab/>
            </w:r>
            <w:r>
              <w:rPr>
                <w:rStyle w:val="IndexLink"/>
              </w:rPr>
              <w:t>22</w:t>
            </w:r>
          </w:hyperlink>
        </w:p>
        <w:p>
          <w:pPr>
            <w:pStyle w:val="Contents2"/>
            <w:tabs>
              <w:tab w:val="clear" w:pos="8743"/>
              <w:tab w:val="right" w:pos="9026" w:leader="dot"/>
            </w:tabs>
            <w:rPr/>
          </w:pPr>
          <w:hyperlink w:anchor="__RefHeading___Toc3967818_2870459653">
            <w:r>
              <w:rPr>
                <w:webHidden/>
                <w:rStyle w:val="IndexLink"/>
                <w:rtl w:val="true"/>
              </w:rPr>
              <w:t>منهج التحقیق</w:t>
            </w:r>
            <w:r>
              <w:rPr>
                <w:rStyle w:val="IndexLink"/>
                <w:rtl w:val="true"/>
              </w:rPr>
              <w:tab/>
            </w:r>
            <w:r>
              <w:rPr>
                <w:rStyle w:val="IndexLink"/>
              </w:rPr>
              <w:t>24</w:t>
            </w:r>
          </w:hyperlink>
        </w:p>
        <w:p>
          <w:pPr>
            <w:pStyle w:val="Contents2"/>
            <w:tabs>
              <w:tab w:val="clear" w:pos="8743"/>
              <w:tab w:val="right" w:pos="9026" w:leader="dot"/>
            </w:tabs>
            <w:rPr/>
          </w:pPr>
          <w:hyperlink w:anchor="__RefHeading___Toc3967820_2870459653">
            <w:r>
              <w:rPr>
                <w:webHidden/>
                <w:rStyle w:val="IndexLink"/>
                <w:rtl w:val="true"/>
              </w:rPr>
              <w:t>شکر و امتنان</w:t>
            </w:r>
            <w:r>
              <w:rPr>
                <w:rStyle w:val="IndexLink"/>
                <w:rtl w:val="true"/>
              </w:rPr>
              <w:tab/>
            </w:r>
            <w:r>
              <w:rPr>
                <w:rStyle w:val="IndexLink"/>
              </w:rPr>
              <w:t>24</w:t>
            </w:r>
          </w:hyperlink>
        </w:p>
        <w:p>
          <w:pPr>
            <w:pStyle w:val="Contents2"/>
            <w:tabs>
              <w:tab w:val="clear" w:pos="8743"/>
              <w:tab w:val="right" w:pos="9026" w:leader="dot"/>
            </w:tabs>
            <w:rPr/>
          </w:pPr>
          <w:hyperlink w:anchor="__RefHeading___Toc3967822_2870459653">
            <w:r>
              <w:rPr>
                <w:webHidden/>
                <w:rStyle w:val="IndexLink"/>
                <w:rtl w:val="true"/>
              </w:rPr>
              <w:t>في أحكام العصير العنبي</w:t>
            </w:r>
            <w:r>
              <w:rPr>
                <w:rStyle w:val="IndexLink"/>
                <w:rtl w:val="true"/>
              </w:rPr>
              <w:tab/>
            </w:r>
            <w:r>
              <w:rPr>
                <w:rStyle w:val="IndexLink"/>
              </w:rPr>
              <w:t>35</w:t>
            </w:r>
          </w:hyperlink>
        </w:p>
        <w:p>
          <w:pPr>
            <w:pStyle w:val="Contents2"/>
            <w:tabs>
              <w:tab w:val="clear" w:pos="8743"/>
              <w:tab w:val="right" w:pos="9026" w:leader="dot"/>
            </w:tabs>
            <w:rPr/>
          </w:pPr>
          <w:hyperlink w:anchor="__RefHeading___Toc3967824_2870459653">
            <w:r>
              <w:rPr>
                <w:webHidden/>
                <w:rStyle w:val="IndexLink"/>
                <w:rtl w:val="true"/>
              </w:rPr>
              <w:t>[</w:t>
            </w:r>
            <w:r>
              <w:rPr>
                <w:rStyle w:val="IndexLink"/>
                <w:rtl w:val="true"/>
              </w:rPr>
              <w:t xml:space="preserve">حكم العصير الزبيبي </w:t>
            </w:r>
            <w:r>
              <w:rPr>
                <w:rStyle w:val="IndexLink"/>
                <w:rtl w:val="true"/>
              </w:rPr>
              <w:t>]</w:t>
              <w:tab/>
            </w:r>
            <w:r>
              <w:rPr>
                <w:rStyle w:val="IndexLink"/>
              </w:rPr>
              <w:t>38</w:t>
            </w:r>
          </w:hyperlink>
        </w:p>
        <w:p>
          <w:pPr>
            <w:pStyle w:val="Contents2"/>
            <w:tabs>
              <w:tab w:val="clear" w:pos="8743"/>
              <w:tab w:val="right" w:pos="9026" w:leader="dot"/>
            </w:tabs>
            <w:rPr/>
          </w:pPr>
          <w:hyperlink w:anchor="__RefHeading___Toc3967826_2870459653">
            <w:r>
              <w:rPr>
                <w:webHidden/>
                <w:rStyle w:val="IndexLink"/>
                <w:rtl w:val="true"/>
              </w:rPr>
              <w:t>[</w:t>
            </w:r>
            <w:r>
              <w:rPr>
                <w:rStyle w:val="IndexLink"/>
                <w:rtl w:val="true"/>
              </w:rPr>
              <w:t>الروایات الدالة علی الحرمة</w:t>
            </w:r>
            <w:r>
              <w:rPr>
                <w:rStyle w:val="IndexLink"/>
                <w:rtl w:val="true"/>
              </w:rPr>
              <w:t>]</w:t>
              <w:tab/>
            </w:r>
            <w:r>
              <w:rPr>
                <w:rStyle w:val="IndexLink"/>
              </w:rPr>
              <w:t>39</w:t>
            </w:r>
          </w:hyperlink>
        </w:p>
        <w:p>
          <w:pPr>
            <w:pStyle w:val="Contents2"/>
            <w:tabs>
              <w:tab w:val="clear" w:pos="8743"/>
              <w:tab w:val="right" w:pos="9026" w:leader="dot"/>
            </w:tabs>
            <w:rPr/>
          </w:pPr>
          <w:hyperlink w:anchor="__RefHeading___Toc3967828_2870459653">
            <w:r>
              <w:rPr>
                <w:webHidden/>
                <w:rStyle w:val="IndexLink"/>
                <w:rtl w:val="true"/>
              </w:rPr>
              <w:t>[</w:t>
            </w:r>
            <w:r>
              <w:rPr>
                <w:rStyle w:val="IndexLink"/>
                <w:rtl w:val="true"/>
              </w:rPr>
              <w:t>هل يحلّ أكل الزبيب المطبوخ ؟</w:t>
            </w:r>
            <w:r>
              <w:rPr>
                <w:rStyle w:val="IndexLink"/>
                <w:rtl w:val="true"/>
              </w:rPr>
              <w:t>]</w:t>
              <w:tab/>
            </w:r>
            <w:r>
              <w:rPr>
                <w:rStyle w:val="IndexLink"/>
              </w:rPr>
              <w:t>40</w:t>
            </w:r>
          </w:hyperlink>
        </w:p>
        <w:p>
          <w:pPr>
            <w:pStyle w:val="Contents2"/>
            <w:tabs>
              <w:tab w:val="clear" w:pos="8743"/>
              <w:tab w:val="right" w:pos="9026" w:leader="dot"/>
            </w:tabs>
            <w:rPr/>
          </w:pPr>
          <w:hyperlink w:anchor="__RefHeading___Toc3967830_2870459653">
            <w:r>
              <w:rPr>
                <w:webHidden/>
                <w:rStyle w:val="IndexLink"/>
                <w:rtl w:val="true"/>
              </w:rPr>
              <w:t xml:space="preserve">[ </w:t>
            </w:r>
            <w:r>
              <w:rPr>
                <w:rStyle w:val="IndexLink"/>
                <w:rtl w:val="true"/>
              </w:rPr>
              <w:t xml:space="preserve">نجاسة العصير العنبي بمجرد غليانه بنفسه </w:t>
            </w:r>
            <w:r>
              <w:rPr>
                <w:rStyle w:val="IndexLink"/>
                <w:rtl w:val="true"/>
              </w:rPr>
              <w:t>]</w:t>
              <w:tab/>
            </w:r>
            <w:r>
              <w:rPr>
                <w:rStyle w:val="IndexLink"/>
              </w:rPr>
              <w:t>41</w:t>
            </w:r>
          </w:hyperlink>
        </w:p>
        <w:p>
          <w:pPr>
            <w:pStyle w:val="Contents2"/>
            <w:tabs>
              <w:tab w:val="clear" w:pos="8743"/>
              <w:tab w:val="right" w:pos="9026" w:leader="dot"/>
            </w:tabs>
            <w:rPr/>
          </w:pPr>
          <w:hyperlink w:anchor="__RefHeading___Toc3967832_2870459653">
            <w:r>
              <w:rPr>
                <w:webHidden/>
                <w:rStyle w:val="IndexLink"/>
                <w:rtl w:val="true"/>
              </w:rPr>
              <w:t>ومن النجاسات الكافر</w:t>
            </w:r>
            <w:r>
              <w:rPr>
                <w:rStyle w:val="IndexLink"/>
                <w:rtl w:val="true"/>
              </w:rPr>
              <w:tab/>
            </w:r>
            <w:r>
              <w:rPr>
                <w:rStyle w:val="IndexLink"/>
              </w:rPr>
              <w:t>45</w:t>
            </w:r>
          </w:hyperlink>
        </w:p>
        <w:p>
          <w:pPr>
            <w:pStyle w:val="Contents2"/>
            <w:tabs>
              <w:tab w:val="clear" w:pos="8743"/>
              <w:tab w:val="right" w:pos="9026" w:leader="dot"/>
            </w:tabs>
            <w:rPr/>
          </w:pPr>
          <w:hyperlink w:anchor="__RefHeading___Toc3967834_2870459653">
            <w:r>
              <w:rPr>
                <w:webHidden/>
                <w:rStyle w:val="IndexLink"/>
                <w:rtl w:val="true"/>
              </w:rPr>
              <w:t xml:space="preserve">[ </w:t>
            </w:r>
            <w:r>
              <w:rPr>
                <w:rStyle w:val="IndexLink"/>
                <w:rtl w:val="true"/>
              </w:rPr>
              <w:t xml:space="preserve">هل تشمل النجاسة أجزاء الكافر التي لا تحلها الحياة </w:t>
            </w:r>
            <w:r>
              <w:rPr>
                <w:rStyle w:val="IndexLink"/>
                <w:rtl w:val="true"/>
              </w:rPr>
              <w:t>]</w:t>
              <w:tab/>
            </w:r>
            <w:r>
              <w:rPr>
                <w:rStyle w:val="IndexLink"/>
              </w:rPr>
              <w:t>52</w:t>
            </w:r>
          </w:hyperlink>
        </w:p>
        <w:p>
          <w:pPr>
            <w:pStyle w:val="Contents2"/>
            <w:tabs>
              <w:tab w:val="clear" w:pos="8743"/>
              <w:tab w:val="right" w:pos="9026" w:leader="dot"/>
            </w:tabs>
            <w:rPr/>
          </w:pPr>
          <w:hyperlink w:anchor="__RefHeading___Toc3967836_2870459653">
            <w:r>
              <w:rPr>
                <w:webHidden/>
                <w:rStyle w:val="IndexLink"/>
                <w:rtl w:val="true"/>
              </w:rPr>
              <w:t xml:space="preserve">[ </w:t>
            </w:r>
            <w:r>
              <w:rPr>
                <w:rStyle w:val="IndexLink"/>
                <w:rtl w:val="true"/>
              </w:rPr>
              <w:t xml:space="preserve">نجاسة أولاد الكفار </w:t>
            </w:r>
            <w:r>
              <w:rPr>
                <w:rStyle w:val="IndexLink"/>
                <w:rtl w:val="true"/>
              </w:rPr>
              <w:t>]</w:t>
              <w:tab/>
            </w:r>
            <w:r>
              <w:rPr>
                <w:rStyle w:val="IndexLink"/>
              </w:rPr>
              <w:t>52</w:t>
            </w:r>
          </w:hyperlink>
        </w:p>
        <w:p>
          <w:pPr>
            <w:pStyle w:val="Contents2"/>
            <w:tabs>
              <w:tab w:val="clear" w:pos="8743"/>
              <w:tab w:val="right" w:pos="9026" w:leader="dot"/>
            </w:tabs>
            <w:rPr/>
          </w:pPr>
          <w:hyperlink w:anchor="__RefHeading___Toc3967838_2870459653">
            <w:r>
              <w:rPr>
                <w:webHidden/>
                <w:rStyle w:val="IndexLink"/>
                <w:rtl w:val="true"/>
              </w:rPr>
              <w:t xml:space="preserve">[ </w:t>
            </w:r>
            <w:r>
              <w:rPr>
                <w:rStyle w:val="IndexLink"/>
                <w:rtl w:val="true"/>
              </w:rPr>
              <w:t>طهارة المسبى من أولاد الكفار</w:t>
            </w:r>
            <w:r>
              <w:rPr>
                <w:rStyle w:val="IndexLink"/>
                <w:rtl w:val="true"/>
              </w:rPr>
              <w:t>]</w:t>
              <w:tab/>
            </w:r>
            <w:r>
              <w:rPr>
                <w:rStyle w:val="IndexLink"/>
              </w:rPr>
              <w:t>53</w:t>
            </w:r>
          </w:hyperlink>
        </w:p>
        <w:p>
          <w:pPr>
            <w:pStyle w:val="Contents2"/>
            <w:tabs>
              <w:tab w:val="clear" w:pos="8743"/>
              <w:tab w:val="right" w:pos="9026" w:leader="dot"/>
            </w:tabs>
            <w:rPr/>
          </w:pPr>
          <w:hyperlink w:anchor="__RefHeading___Toc3967840_2870459653">
            <w:r>
              <w:rPr>
                <w:webHidden/>
                <w:rStyle w:val="IndexLink"/>
                <w:rtl w:val="true"/>
              </w:rPr>
              <w:t>تشخيص مفهوم الكافر</w:t>
            </w:r>
            <w:r>
              <w:rPr>
                <w:rStyle w:val="IndexLink"/>
                <w:rtl w:val="true"/>
              </w:rPr>
              <w:tab/>
            </w:r>
            <w:r>
              <w:rPr>
                <w:rStyle w:val="IndexLink"/>
              </w:rPr>
              <w:t>54</w:t>
            </w:r>
          </w:hyperlink>
        </w:p>
        <w:p>
          <w:pPr>
            <w:pStyle w:val="Contents2"/>
            <w:tabs>
              <w:tab w:val="clear" w:pos="8743"/>
              <w:tab w:val="right" w:pos="9026" w:leader="dot"/>
            </w:tabs>
            <w:rPr/>
          </w:pPr>
          <w:hyperlink w:anchor="__RefHeading___Toc3967842_2870459653">
            <w:r>
              <w:rPr>
                <w:webHidden/>
                <w:rStyle w:val="IndexLink"/>
                <w:rtl w:val="true"/>
              </w:rPr>
              <w:t xml:space="preserve">[ </w:t>
            </w:r>
            <w:r>
              <w:rPr>
                <w:rStyle w:val="IndexLink"/>
                <w:rtl w:val="true"/>
              </w:rPr>
              <w:t>اختلاف كلمات الأصحاب في مفهوم الإسلام</w:t>
            </w:r>
            <w:r>
              <w:rPr>
                <w:rStyle w:val="IndexLink"/>
                <w:rtl w:val="true"/>
              </w:rPr>
              <w:t>]</w:t>
              <w:tab/>
            </w:r>
            <w:r>
              <w:rPr>
                <w:rStyle w:val="IndexLink"/>
              </w:rPr>
              <w:t>55</w:t>
            </w:r>
          </w:hyperlink>
        </w:p>
        <w:p>
          <w:pPr>
            <w:pStyle w:val="Contents2"/>
            <w:tabs>
              <w:tab w:val="clear" w:pos="8743"/>
              <w:tab w:val="right" w:pos="9026" w:leader="dot"/>
            </w:tabs>
            <w:rPr/>
          </w:pPr>
          <w:hyperlink w:anchor="__RefHeading___Toc3967844_2870459653">
            <w:r>
              <w:rPr>
                <w:webHidden/>
                <w:rStyle w:val="IndexLink"/>
                <w:rtl w:val="true"/>
              </w:rPr>
              <w:t>[</w:t>
            </w:r>
            <w:r>
              <w:rPr>
                <w:rStyle w:val="IndexLink"/>
                <w:rtl w:val="true"/>
              </w:rPr>
              <w:t xml:space="preserve">حكم الشاك </w:t>
            </w:r>
            <w:r>
              <w:rPr>
                <w:rStyle w:val="IndexLink"/>
                <w:rtl w:val="true"/>
              </w:rPr>
              <w:t>]</w:t>
              <w:tab/>
            </w:r>
            <w:r>
              <w:rPr>
                <w:rStyle w:val="IndexLink"/>
              </w:rPr>
              <w:t>57</w:t>
            </w:r>
          </w:hyperlink>
        </w:p>
        <w:p>
          <w:pPr>
            <w:pStyle w:val="Contents2"/>
            <w:tabs>
              <w:tab w:val="clear" w:pos="8743"/>
              <w:tab w:val="right" w:pos="9026" w:leader="dot"/>
            </w:tabs>
            <w:rPr/>
          </w:pPr>
          <w:hyperlink w:anchor="__RefHeading___Toc3967846_2870459653">
            <w:r>
              <w:rPr>
                <w:webHidden/>
                <w:rStyle w:val="IndexLink"/>
                <w:rtl w:val="true"/>
              </w:rPr>
              <w:t xml:space="preserve">[ </w:t>
            </w:r>
            <w:r>
              <w:rPr>
                <w:rStyle w:val="IndexLink"/>
                <w:rtl w:val="true"/>
              </w:rPr>
              <w:t>طهارة المخالفين</w:t>
            </w:r>
            <w:r>
              <w:rPr>
                <w:rStyle w:val="IndexLink"/>
                <w:rtl w:val="true"/>
              </w:rPr>
              <w:t>]</w:t>
              <w:tab/>
            </w:r>
            <w:r>
              <w:rPr>
                <w:rStyle w:val="IndexLink"/>
              </w:rPr>
              <w:t>64</w:t>
            </w:r>
          </w:hyperlink>
        </w:p>
        <w:p>
          <w:pPr>
            <w:pStyle w:val="Contents2"/>
            <w:tabs>
              <w:tab w:val="clear" w:pos="8743"/>
              <w:tab w:val="right" w:pos="9026" w:leader="dot"/>
            </w:tabs>
            <w:rPr/>
          </w:pPr>
          <w:hyperlink w:anchor="__RefHeading___Toc3967848_2870459653">
            <w:r>
              <w:rPr>
                <w:webHidden/>
                <w:rStyle w:val="IndexLink"/>
                <w:rtl w:val="true"/>
              </w:rPr>
              <w:t>نجاسة النواصب والخوارج</w:t>
            </w:r>
            <w:r>
              <w:rPr>
                <w:rStyle w:val="IndexLink"/>
                <w:rtl w:val="true"/>
              </w:rPr>
              <w:tab/>
            </w:r>
            <w:r>
              <w:rPr>
                <w:rStyle w:val="IndexLink"/>
              </w:rPr>
              <w:t>65</w:t>
            </w:r>
          </w:hyperlink>
        </w:p>
        <w:p>
          <w:pPr>
            <w:pStyle w:val="Contents2"/>
            <w:tabs>
              <w:tab w:val="clear" w:pos="8743"/>
              <w:tab w:val="right" w:pos="9026" w:leader="dot"/>
            </w:tabs>
            <w:rPr/>
          </w:pPr>
          <w:hyperlink w:anchor="__RefHeading___Toc3967850_2870459653">
            <w:r>
              <w:rPr>
                <w:webHidden/>
                <w:rStyle w:val="IndexLink"/>
                <w:rtl w:val="true"/>
              </w:rPr>
              <w:t>[</w:t>
            </w:r>
            <w:r>
              <w:rPr>
                <w:rStyle w:val="IndexLink"/>
                <w:rtl w:val="true"/>
              </w:rPr>
              <w:t>حكم الغلاة</w:t>
            </w:r>
            <w:r>
              <w:rPr>
                <w:rStyle w:val="IndexLink"/>
                <w:rtl w:val="true"/>
              </w:rPr>
              <w:t>]</w:t>
              <w:tab/>
            </w:r>
            <w:r>
              <w:rPr>
                <w:rStyle w:val="IndexLink"/>
              </w:rPr>
              <w:t>66</w:t>
            </w:r>
          </w:hyperlink>
        </w:p>
        <w:p>
          <w:pPr>
            <w:pStyle w:val="Contents2"/>
            <w:tabs>
              <w:tab w:val="clear" w:pos="8743"/>
              <w:tab w:val="right" w:pos="9026" w:leader="dot"/>
            </w:tabs>
            <w:rPr/>
          </w:pPr>
          <w:hyperlink w:anchor="__RefHeading___Toc3967852_2870459653">
            <w:r>
              <w:rPr>
                <w:webHidden/>
                <w:rStyle w:val="IndexLink"/>
                <w:rtl w:val="true"/>
              </w:rPr>
              <w:t>[</w:t>
            </w:r>
            <w:r>
              <w:rPr>
                <w:rStyle w:val="IndexLink"/>
                <w:rtl w:val="true"/>
              </w:rPr>
              <w:t>حكم المجسمة</w:t>
            </w:r>
            <w:r>
              <w:rPr>
                <w:rStyle w:val="IndexLink"/>
                <w:rtl w:val="true"/>
              </w:rPr>
              <w:t>]</w:t>
              <w:tab/>
            </w:r>
            <w:r>
              <w:rPr>
                <w:rStyle w:val="IndexLink"/>
              </w:rPr>
              <w:t>66</w:t>
            </w:r>
          </w:hyperlink>
        </w:p>
        <w:p>
          <w:pPr>
            <w:pStyle w:val="Contents2"/>
            <w:tabs>
              <w:tab w:val="clear" w:pos="8743"/>
              <w:tab w:val="right" w:pos="9026" w:leader="dot"/>
            </w:tabs>
            <w:rPr/>
          </w:pPr>
          <w:hyperlink w:anchor="__RefHeading___Toc3967854_2870459653">
            <w:r>
              <w:rPr>
                <w:webHidden/>
                <w:rStyle w:val="IndexLink"/>
                <w:rtl w:val="true"/>
              </w:rPr>
              <w:t xml:space="preserve">[ </w:t>
            </w:r>
            <w:r>
              <w:rPr>
                <w:rStyle w:val="IndexLink"/>
                <w:rtl w:val="true"/>
              </w:rPr>
              <w:t xml:space="preserve">طهارة المجبرة </w:t>
            </w:r>
            <w:r>
              <w:rPr>
                <w:rStyle w:val="IndexLink"/>
                <w:rtl w:val="true"/>
              </w:rPr>
              <w:t>]</w:t>
              <w:tab/>
            </w:r>
            <w:r>
              <w:rPr>
                <w:rStyle w:val="IndexLink"/>
              </w:rPr>
              <w:t>67</w:t>
            </w:r>
          </w:hyperlink>
        </w:p>
        <w:p>
          <w:pPr>
            <w:pStyle w:val="Contents2"/>
            <w:tabs>
              <w:tab w:val="clear" w:pos="8743"/>
              <w:tab w:val="right" w:pos="9026" w:leader="dot"/>
            </w:tabs>
            <w:rPr/>
          </w:pPr>
          <w:hyperlink w:anchor="__RefHeading___Toc3967856_2870459653">
            <w:r>
              <w:rPr>
                <w:webHidden/>
                <w:rStyle w:val="IndexLink"/>
                <w:rtl w:val="true"/>
              </w:rPr>
              <w:t>[</w:t>
            </w:r>
            <w:r>
              <w:rPr>
                <w:rStyle w:val="IndexLink"/>
                <w:rtl w:val="true"/>
              </w:rPr>
              <w:t>طهارة ولد الزنا</w:t>
            </w:r>
            <w:r>
              <w:rPr>
                <w:rStyle w:val="IndexLink"/>
                <w:rtl w:val="true"/>
              </w:rPr>
              <w:t>]</w:t>
              <w:tab/>
            </w:r>
            <w:r>
              <w:rPr>
                <w:rStyle w:val="IndexLink"/>
              </w:rPr>
              <w:t>67</w:t>
            </w:r>
          </w:hyperlink>
        </w:p>
        <w:p>
          <w:pPr>
            <w:pStyle w:val="Contents2"/>
            <w:tabs>
              <w:tab w:val="clear" w:pos="8743"/>
              <w:tab w:val="right" w:pos="9026" w:leader="dot"/>
            </w:tabs>
            <w:rPr/>
          </w:pPr>
          <w:hyperlink w:anchor="__RefHeading___Toc3967858_2870459653">
            <w:r>
              <w:rPr>
                <w:webHidden/>
                <w:rStyle w:val="IndexLink"/>
                <w:rtl w:val="true"/>
              </w:rPr>
              <w:t>[</w:t>
            </w:r>
            <w:r>
              <w:rPr>
                <w:rStyle w:val="IndexLink"/>
                <w:rtl w:val="true"/>
              </w:rPr>
              <w:t>حكم عرق الجنب من الحرام</w:t>
            </w:r>
            <w:r>
              <w:rPr>
                <w:rStyle w:val="IndexLink"/>
                <w:rtl w:val="true"/>
              </w:rPr>
              <w:t>]</w:t>
              <w:tab/>
            </w:r>
            <w:r>
              <w:rPr>
                <w:rStyle w:val="IndexLink"/>
              </w:rPr>
              <w:t>67</w:t>
            </w:r>
          </w:hyperlink>
        </w:p>
        <w:p>
          <w:pPr>
            <w:pStyle w:val="Contents2"/>
            <w:tabs>
              <w:tab w:val="clear" w:pos="8743"/>
              <w:tab w:val="right" w:pos="9026" w:leader="dot"/>
            </w:tabs>
            <w:rPr/>
          </w:pPr>
          <w:hyperlink w:anchor="__RefHeading___Toc3967860_2870459653">
            <w:r>
              <w:rPr>
                <w:webHidden/>
                <w:rStyle w:val="IndexLink"/>
                <w:rtl w:val="true"/>
              </w:rPr>
              <w:t xml:space="preserve">[ </w:t>
            </w:r>
            <w:r>
              <w:rPr>
                <w:rStyle w:val="IndexLink"/>
                <w:rtl w:val="true"/>
              </w:rPr>
              <w:t>طهارة عرق الإبل الجلالة</w:t>
            </w:r>
            <w:r>
              <w:rPr>
                <w:rStyle w:val="IndexLink"/>
                <w:rtl w:val="true"/>
              </w:rPr>
              <w:t>]</w:t>
              <w:tab/>
            </w:r>
            <w:r>
              <w:rPr>
                <w:rStyle w:val="IndexLink"/>
              </w:rPr>
              <w:t>72</w:t>
            </w:r>
          </w:hyperlink>
        </w:p>
        <w:p>
          <w:pPr>
            <w:pStyle w:val="Contents2"/>
            <w:tabs>
              <w:tab w:val="clear" w:pos="8743"/>
              <w:tab w:val="right" w:pos="9026" w:leader="dot"/>
            </w:tabs>
            <w:rPr/>
          </w:pPr>
          <w:hyperlink w:anchor="__RefHeading___Toc3967862_2870459653">
            <w:r>
              <w:rPr>
                <w:webHidden/>
                <w:rStyle w:val="IndexLink"/>
                <w:rtl w:val="true"/>
              </w:rPr>
              <w:t>والثاني من الأمور</w:t>
            </w:r>
            <w:r>
              <w:rPr>
                <w:rStyle w:val="IndexLink"/>
                <w:rtl w:val="true"/>
              </w:rPr>
              <w:t xml:space="preserve">: </w:t>
            </w:r>
            <w:r>
              <w:rPr>
                <w:rStyle w:val="IndexLink"/>
                <w:rtl w:val="true"/>
              </w:rPr>
              <w:t>عرق الإبل الجلّالة</w:t>
            </w:r>
            <w:r>
              <w:rPr>
                <w:rStyle w:val="IndexLink"/>
                <w:rtl w:val="true"/>
              </w:rPr>
              <w:t>.</w:t>
              <w:tab/>
            </w:r>
            <w:r>
              <w:rPr>
                <w:rStyle w:val="IndexLink"/>
              </w:rPr>
              <w:t>72</w:t>
            </w:r>
          </w:hyperlink>
        </w:p>
        <w:p>
          <w:pPr>
            <w:pStyle w:val="Contents2"/>
            <w:tabs>
              <w:tab w:val="clear" w:pos="8743"/>
              <w:tab w:val="right" w:pos="9026" w:leader="dot"/>
            </w:tabs>
            <w:rPr/>
          </w:pPr>
          <w:hyperlink w:anchor="__RefHeading___Toc3967864_2870459653">
            <w:r>
              <w:rPr>
                <w:webHidden/>
                <w:rStyle w:val="IndexLink"/>
                <w:rtl w:val="true"/>
              </w:rPr>
              <w:t xml:space="preserve">[ </w:t>
            </w:r>
            <w:r>
              <w:rPr>
                <w:rStyle w:val="IndexLink"/>
                <w:rtl w:val="true"/>
              </w:rPr>
              <w:t>طهارة المسوخات</w:t>
            </w:r>
            <w:r>
              <w:rPr>
                <w:rStyle w:val="IndexLink"/>
                <w:rtl w:val="true"/>
              </w:rPr>
              <w:t>]</w:t>
              <w:tab/>
            </w:r>
            <w:r>
              <w:rPr>
                <w:rStyle w:val="IndexLink"/>
              </w:rPr>
              <w:t>73</w:t>
            </w:r>
          </w:hyperlink>
        </w:p>
        <w:p>
          <w:pPr>
            <w:pStyle w:val="Contents2"/>
            <w:tabs>
              <w:tab w:val="clear" w:pos="8743"/>
              <w:tab w:val="right" w:pos="9026" w:leader="dot"/>
            </w:tabs>
            <w:rPr/>
          </w:pPr>
          <w:hyperlink w:anchor="__RefHeading___Toc3967866_2870459653">
            <w:r>
              <w:rPr>
                <w:webHidden/>
                <w:rStyle w:val="IndexLink"/>
                <w:rtl w:val="true"/>
              </w:rPr>
              <w:t xml:space="preserve">[ </w:t>
            </w:r>
            <w:r>
              <w:rPr>
                <w:rStyle w:val="IndexLink"/>
                <w:rtl w:val="true"/>
              </w:rPr>
              <w:t>الكلام</w:t>
            </w:r>
            <w:r>
              <w:rPr>
                <w:rStyle w:val="IndexLink"/>
                <w:rtl w:val="true"/>
              </w:rPr>
              <w:t xml:space="preserve">] </w:t>
            </w:r>
            <w:r>
              <w:rPr>
                <w:rStyle w:val="IndexLink"/>
                <w:rtl w:val="true"/>
              </w:rPr>
              <w:t>في أحكام النجاسات</w:t>
            </w:r>
            <w:r>
              <w:rPr>
                <w:rStyle w:val="IndexLink"/>
                <w:rtl w:val="true"/>
              </w:rPr>
              <w:tab/>
            </w:r>
            <w:r>
              <w:rPr>
                <w:rStyle w:val="IndexLink"/>
              </w:rPr>
              <w:t>74</w:t>
            </w:r>
          </w:hyperlink>
        </w:p>
        <w:p>
          <w:pPr>
            <w:pStyle w:val="Contents2"/>
            <w:tabs>
              <w:tab w:val="clear" w:pos="8743"/>
              <w:tab w:val="right" w:pos="9026" w:leader="dot"/>
            </w:tabs>
            <w:rPr/>
          </w:pPr>
          <w:hyperlink w:anchor="__RefHeading___Toc3967868_2870459653">
            <w:r>
              <w:rPr>
                <w:webHidden/>
                <w:rStyle w:val="IndexLink"/>
                <w:rtl w:val="true"/>
              </w:rPr>
              <w:t>[</w:t>
            </w:r>
            <w:r>
              <w:rPr>
                <w:rStyle w:val="IndexLink"/>
                <w:rtl w:val="true"/>
              </w:rPr>
              <w:t xml:space="preserve">جواز الصلاة في المحمول الذي لا يصدق الصلاة فيه </w:t>
            </w:r>
            <w:r>
              <w:rPr>
                <w:rStyle w:val="IndexLink"/>
                <w:rtl w:val="true"/>
              </w:rPr>
              <w:t>]</w:t>
              <w:tab/>
            </w:r>
            <w:r>
              <w:rPr>
                <w:rStyle w:val="IndexLink"/>
              </w:rPr>
              <w:t>75</w:t>
            </w:r>
          </w:hyperlink>
        </w:p>
        <w:p>
          <w:pPr>
            <w:pStyle w:val="Contents2"/>
            <w:tabs>
              <w:tab w:val="clear" w:pos="8743"/>
              <w:tab w:val="right" w:pos="9026" w:leader="dot"/>
            </w:tabs>
            <w:rPr/>
          </w:pPr>
          <w:hyperlink w:anchor="__RefHeading___Toc3967870_2870459653">
            <w:r>
              <w:rPr>
                <w:webHidden/>
                <w:rStyle w:val="IndexLink"/>
                <w:rtl w:val="true"/>
              </w:rPr>
              <w:t>[</w:t>
            </w:r>
            <w:r>
              <w:rPr>
                <w:rStyle w:val="IndexLink"/>
                <w:rtl w:val="true"/>
              </w:rPr>
              <w:t xml:space="preserve">عدم شرطية الطهارة في الأذان والإقامة </w:t>
            </w:r>
            <w:r>
              <w:rPr>
                <w:rStyle w:val="IndexLink"/>
                <w:rtl w:val="true"/>
              </w:rPr>
              <w:t>]</w:t>
              <w:tab/>
            </w:r>
            <w:r>
              <w:rPr>
                <w:rStyle w:val="IndexLink"/>
              </w:rPr>
              <w:t>78</w:t>
            </w:r>
          </w:hyperlink>
        </w:p>
        <w:p>
          <w:pPr>
            <w:pStyle w:val="Contents2"/>
            <w:tabs>
              <w:tab w:val="clear" w:pos="8743"/>
              <w:tab w:val="right" w:pos="9026" w:leader="dot"/>
            </w:tabs>
            <w:rPr/>
          </w:pPr>
          <w:hyperlink w:anchor="__RefHeading___Toc3967872_2870459653">
            <w:r>
              <w:rPr>
                <w:webHidden/>
                <w:rStyle w:val="IndexLink"/>
                <w:rtl w:val="true"/>
              </w:rPr>
              <w:t>[</w:t>
            </w:r>
            <w:r>
              <w:rPr>
                <w:rStyle w:val="IndexLink"/>
                <w:rtl w:val="true"/>
              </w:rPr>
              <w:t>شرطية الطهارة في التشهد والسجدة المنسيين</w:t>
            </w:r>
            <w:r>
              <w:rPr>
                <w:rStyle w:val="IndexLink"/>
                <w:rtl w:val="true"/>
              </w:rPr>
              <w:t>]</w:t>
              <w:tab/>
            </w:r>
            <w:r>
              <w:rPr>
                <w:rStyle w:val="IndexLink"/>
              </w:rPr>
              <w:t>79</w:t>
            </w:r>
          </w:hyperlink>
        </w:p>
        <w:p>
          <w:pPr>
            <w:pStyle w:val="Contents2"/>
            <w:tabs>
              <w:tab w:val="clear" w:pos="8743"/>
              <w:tab w:val="right" w:pos="9026" w:leader="dot"/>
            </w:tabs>
            <w:rPr/>
          </w:pPr>
          <w:hyperlink w:anchor="__RefHeading___Toc3967874_2870459653">
            <w:r>
              <w:rPr>
                <w:webHidden/>
                <w:rStyle w:val="IndexLink"/>
                <w:rtl w:val="true"/>
              </w:rPr>
              <w:t xml:space="preserve">[ </w:t>
            </w:r>
            <w:r>
              <w:rPr>
                <w:rStyle w:val="IndexLink"/>
                <w:rtl w:val="true"/>
              </w:rPr>
              <w:t>شرطية الطهارة في ركعة الإحتياط</w:t>
            </w:r>
            <w:r>
              <w:rPr>
                <w:rStyle w:val="IndexLink"/>
                <w:rtl w:val="true"/>
              </w:rPr>
              <w:t>]</w:t>
              <w:tab/>
            </w:r>
            <w:r>
              <w:rPr>
                <w:rStyle w:val="IndexLink"/>
              </w:rPr>
              <w:t>80</w:t>
            </w:r>
          </w:hyperlink>
        </w:p>
        <w:p>
          <w:pPr>
            <w:pStyle w:val="Contents2"/>
            <w:tabs>
              <w:tab w:val="clear" w:pos="8743"/>
              <w:tab w:val="right" w:pos="9026" w:leader="dot"/>
            </w:tabs>
            <w:rPr/>
          </w:pPr>
          <w:hyperlink w:anchor="__RefHeading___Toc3967876_2870459653">
            <w:r>
              <w:rPr>
                <w:webHidden/>
                <w:rStyle w:val="IndexLink"/>
                <w:rtl w:val="true"/>
              </w:rPr>
              <w:t>[</w:t>
            </w:r>
            <w:r>
              <w:rPr>
                <w:rStyle w:val="IndexLink"/>
                <w:rtl w:val="true"/>
              </w:rPr>
              <w:t>اشتراط الطهارة في سجدتي السهو دون التعقيبات</w:t>
            </w:r>
            <w:r>
              <w:rPr>
                <w:rStyle w:val="IndexLink"/>
                <w:rtl w:val="true"/>
              </w:rPr>
              <w:t>]</w:t>
              <w:tab/>
            </w:r>
            <w:r>
              <w:rPr>
                <w:rStyle w:val="IndexLink"/>
              </w:rPr>
              <w:t>80</w:t>
            </w:r>
          </w:hyperlink>
        </w:p>
        <w:p>
          <w:pPr>
            <w:pStyle w:val="Contents2"/>
            <w:tabs>
              <w:tab w:val="clear" w:pos="8743"/>
              <w:tab w:val="right" w:pos="9026" w:leader="dot"/>
            </w:tabs>
            <w:rPr/>
          </w:pPr>
          <w:hyperlink w:anchor="__RefHeading___Toc3967878_2870459653">
            <w:r>
              <w:rPr>
                <w:webHidden/>
                <w:rStyle w:val="IndexLink"/>
                <w:rtl w:val="true"/>
              </w:rPr>
              <w:t xml:space="preserve">[ </w:t>
            </w:r>
            <w:r>
              <w:rPr>
                <w:rStyle w:val="IndexLink"/>
                <w:rtl w:val="true"/>
              </w:rPr>
              <w:t>في أنَّ الأكوان داخلة في الصلاة</w:t>
            </w:r>
            <w:r>
              <w:rPr>
                <w:rStyle w:val="IndexLink"/>
                <w:rtl w:val="true"/>
              </w:rPr>
              <w:t>]</w:t>
              <w:tab/>
            </w:r>
            <w:r>
              <w:rPr>
                <w:rStyle w:val="IndexLink"/>
              </w:rPr>
              <w:t>80</w:t>
            </w:r>
          </w:hyperlink>
        </w:p>
        <w:p>
          <w:pPr>
            <w:pStyle w:val="Contents2"/>
            <w:tabs>
              <w:tab w:val="clear" w:pos="8743"/>
              <w:tab w:val="right" w:pos="9026" w:leader="dot"/>
            </w:tabs>
            <w:rPr/>
          </w:pPr>
          <w:hyperlink w:anchor="__RefHeading___Toc3967880_2870459653">
            <w:r>
              <w:rPr>
                <w:webHidden/>
                <w:rStyle w:val="IndexLink"/>
                <w:rtl w:val="true"/>
              </w:rPr>
              <w:t xml:space="preserve">[ </w:t>
            </w:r>
            <w:r>
              <w:rPr>
                <w:rStyle w:val="IndexLink"/>
                <w:rtl w:val="true"/>
              </w:rPr>
              <w:t>وجوب إزالة النجاسة عن الثوب والبدن للطواف</w:t>
            </w:r>
            <w:r>
              <w:rPr>
                <w:rStyle w:val="IndexLink"/>
                <w:rtl w:val="true"/>
              </w:rPr>
              <w:t>]</w:t>
              <w:tab/>
            </w:r>
            <w:r>
              <w:rPr>
                <w:rStyle w:val="IndexLink"/>
              </w:rPr>
              <w:t>82</w:t>
            </w:r>
          </w:hyperlink>
        </w:p>
        <w:p>
          <w:pPr>
            <w:pStyle w:val="Contents2"/>
            <w:tabs>
              <w:tab w:val="clear" w:pos="8743"/>
              <w:tab w:val="right" w:pos="9026" w:leader="dot"/>
            </w:tabs>
            <w:rPr/>
          </w:pPr>
          <w:hyperlink w:anchor="__RefHeading___Toc3967882_2870459653">
            <w:r>
              <w:rPr>
                <w:webHidden/>
                <w:rStyle w:val="IndexLink"/>
                <w:rtl w:val="true"/>
              </w:rPr>
              <w:t xml:space="preserve">[ </w:t>
            </w:r>
            <w:r>
              <w:rPr>
                <w:rStyle w:val="IndexLink"/>
                <w:rtl w:val="true"/>
              </w:rPr>
              <w:t>وجوب إزالة النجاسة لدخول المساجد والمشاهد</w:t>
            </w:r>
            <w:r>
              <w:rPr>
                <w:rStyle w:val="IndexLink"/>
                <w:rtl w:val="true"/>
              </w:rPr>
              <w:t>]</w:t>
              <w:tab/>
            </w:r>
            <w:r>
              <w:rPr>
                <w:rStyle w:val="IndexLink"/>
              </w:rPr>
              <w:t>82</w:t>
            </w:r>
          </w:hyperlink>
        </w:p>
        <w:p>
          <w:pPr>
            <w:pStyle w:val="Contents2"/>
            <w:tabs>
              <w:tab w:val="clear" w:pos="8743"/>
              <w:tab w:val="right" w:pos="9026" w:leader="dot"/>
            </w:tabs>
            <w:rPr/>
          </w:pPr>
          <w:hyperlink w:anchor="__RefHeading___Toc3967884_2870459653">
            <w:r>
              <w:rPr>
                <w:webHidden/>
                <w:rStyle w:val="IndexLink"/>
                <w:rtl w:val="true"/>
              </w:rPr>
              <w:t xml:space="preserve">[ </w:t>
            </w:r>
            <w:r>
              <w:rPr>
                <w:rStyle w:val="IndexLink"/>
                <w:rtl w:val="true"/>
              </w:rPr>
              <w:t>هل يختص الحكم بالنجاسة المتعدية أو لا؟</w:t>
            </w:r>
            <w:r>
              <w:rPr>
                <w:rStyle w:val="IndexLink"/>
                <w:rtl w:val="true"/>
              </w:rPr>
              <w:t>]</w:t>
              <w:tab/>
            </w:r>
            <w:r>
              <w:rPr>
                <w:rStyle w:val="IndexLink"/>
              </w:rPr>
              <w:t>85</w:t>
            </w:r>
          </w:hyperlink>
        </w:p>
        <w:p>
          <w:pPr>
            <w:pStyle w:val="Contents2"/>
            <w:tabs>
              <w:tab w:val="clear" w:pos="8743"/>
              <w:tab w:val="right" w:pos="9026" w:leader="dot"/>
            </w:tabs>
            <w:rPr/>
          </w:pPr>
          <w:hyperlink w:anchor="__RefHeading___Toc3967886_2870459653">
            <w:r>
              <w:rPr>
                <w:webHidden/>
                <w:rStyle w:val="IndexLink"/>
                <w:rtl w:val="true"/>
              </w:rPr>
              <w:t>[</w:t>
            </w:r>
            <w:r>
              <w:rPr>
                <w:rStyle w:val="IndexLink"/>
                <w:rtl w:val="true"/>
              </w:rPr>
              <w:t>حكم الدم الخارج عن المعتاد</w:t>
            </w:r>
            <w:r>
              <w:rPr>
                <w:rStyle w:val="IndexLink"/>
                <w:rtl w:val="true"/>
              </w:rPr>
              <w:t>]</w:t>
              <w:tab/>
            </w:r>
            <w:r>
              <w:rPr>
                <w:rStyle w:val="IndexLink"/>
              </w:rPr>
              <w:t>93</w:t>
            </w:r>
          </w:hyperlink>
        </w:p>
        <w:p>
          <w:pPr>
            <w:pStyle w:val="Contents2"/>
            <w:tabs>
              <w:tab w:val="clear" w:pos="8743"/>
              <w:tab w:val="right" w:pos="9026" w:leader="dot"/>
            </w:tabs>
            <w:rPr/>
          </w:pPr>
          <w:hyperlink w:anchor="__RefHeading___Toc3967888_2870459653">
            <w:r>
              <w:rPr>
                <w:webHidden/>
                <w:rStyle w:val="IndexLink"/>
                <w:rtl w:val="true"/>
              </w:rPr>
              <w:t>[</w:t>
            </w:r>
            <w:r>
              <w:rPr>
                <w:rStyle w:val="IndexLink"/>
                <w:rtl w:val="true"/>
              </w:rPr>
              <w:t xml:space="preserve">حكم ملاقي الدم المعفو عنه </w:t>
            </w:r>
            <w:r>
              <w:rPr>
                <w:rStyle w:val="IndexLink"/>
                <w:rtl w:val="true"/>
              </w:rPr>
              <w:t>]</w:t>
              <w:tab/>
            </w:r>
            <w:r>
              <w:rPr>
                <w:rStyle w:val="IndexLink"/>
              </w:rPr>
              <w:t>93</w:t>
            </w:r>
          </w:hyperlink>
        </w:p>
        <w:p>
          <w:pPr>
            <w:pStyle w:val="Contents2"/>
            <w:tabs>
              <w:tab w:val="clear" w:pos="8743"/>
              <w:tab w:val="right" w:pos="9026" w:leader="dot"/>
            </w:tabs>
            <w:rPr/>
          </w:pPr>
          <w:hyperlink w:anchor="__RefHeading___Toc3967890_2870459653">
            <w:r>
              <w:rPr>
                <w:webHidden/>
                <w:rStyle w:val="IndexLink"/>
                <w:rtl w:val="true"/>
              </w:rPr>
              <w:t>[</w:t>
            </w:r>
            <w:r>
              <w:rPr>
                <w:rStyle w:val="IndexLink"/>
                <w:rtl w:val="true"/>
              </w:rPr>
              <w:t>في أنَّ الحكم بالعفو مختص بالدم المجتمع أو يعم المتفرق ؟</w:t>
            </w:r>
            <w:r>
              <w:rPr>
                <w:rStyle w:val="IndexLink"/>
                <w:rtl w:val="true"/>
              </w:rPr>
              <w:t>]</w:t>
              <w:tab/>
            </w:r>
            <w:r>
              <w:rPr>
                <w:rStyle w:val="IndexLink"/>
              </w:rPr>
              <w:t>94</w:t>
            </w:r>
          </w:hyperlink>
        </w:p>
        <w:p>
          <w:pPr>
            <w:pStyle w:val="Contents2"/>
            <w:tabs>
              <w:tab w:val="clear" w:pos="8743"/>
              <w:tab w:val="right" w:pos="9026" w:leader="dot"/>
            </w:tabs>
            <w:rPr/>
          </w:pPr>
          <w:hyperlink w:anchor="__RefHeading___Toc3967892_2870459653">
            <w:r>
              <w:rPr>
                <w:webHidden/>
                <w:rStyle w:val="IndexLink"/>
                <w:rtl w:val="true"/>
              </w:rPr>
              <w:t xml:space="preserve">[ </w:t>
            </w:r>
            <w:r>
              <w:rPr>
                <w:rStyle w:val="IndexLink"/>
                <w:rtl w:val="true"/>
              </w:rPr>
              <w:t>الدم المعفو عنه هو ما دون قدر الدرهم</w:t>
            </w:r>
            <w:r>
              <w:rPr>
                <w:rStyle w:val="IndexLink"/>
                <w:rtl w:val="true"/>
              </w:rPr>
              <w:t>]</w:t>
              <w:tab/>
            </w:r>
            <w:r>
              <w:rPr>
                <w:rStyle w:val="IndexLink"/>
              </w:rPr>
              <w:t>98</w:t>
            </w:r>
          </w:hyperlink>
        </w:p>
        <w:p>
          <w:pPr>
            <w:pStyle w:val="Contents2"/>
            <w:tabs>
              <w:tab w:val="clear" w:pos="8743"/>
              <w:tab w:val="right" w:pos="9026" w:leader="dot"/>
            </w:tabs>
            <w:rPr/>
          </w:pPr>
          <w:hyperlink w:anchor="__RefHeading___Toc3967894_2870459653">
            <w:r>
              <w:rPr>
                <w:webHidden/>
                <w:rStyle w:val="IndexLink"/>
                <w:rtl w:val="true"/>
              </w:rPr>
              <w:t>[</w:t>
            </w:r>
            <w:r>
              <w:rPr>
                <w:rStyle w:val="IndexLink"/>
                <w:rtl w:val="true"/>
              </w:rPr>
              <w:t>تعيين مقدار الدرهم</w:t>
            </w:r>
            <w:r>
              <w:rPr>
                <w:rStyle w:val="IndexLink"/>
                <w:rtl w:val="true"/>
              </w:rPr>
              <w:t>]</w:t>
              <w:tab/>
            </w:r>
            <w:r>
              <w:rPr>
                <w:rStyle w:val="IndexLink"/>
              </w:rPr>
              <w:t>99</w:t>
            </w:r>
          </w:hyperlink>
        </w:p>
        <w:p>
          <w:pPr>
            <w:pStyle w:val="Contents2"/>
            <w:tabs>
              <w:tab w:val="clear" w:pos="8743"/>
              <w:tab w:val="right" w:pos="9026" w:leader="dot"/>
            </w:tabs>
            <w:rPr/>
          </w:pPr>
          <w:hyperlink w:anchor="__RefHeading___Toc3967896_2870459653">
            <w:r>
              <w:rPr>
                <w:webHidden/>
                <w:rStyle w:val="IndexLink"/>
                <w:rtl w:val="true"/>
              </w:rPr>
              <w:t xml:space="preserve">[ </w:t>
            </w:r>
            <w:r>
              <w:rPr>
                <w:rStyle w:val="IndexLink"/>
                <w:rtl w:val="true"/>
              </w:rPr>
              <w:t>استثناء دم الحيض والنفاس والإستحاضة</w:t>
            </w:r>
            <w:r>
              <w:rPr>
                <w:rStyle w:val="IndexLink"/>
                <w:rtl w:val="true"/>
              </w:rPr>
              <w:t>]</w:t>
              <w:tab/>
            </w:r>
            <w:r>
              <w:rPr>
                <w:rStyle w:val="IndexLink"/>
              </w:rPr>
              <w:t>100</w:t>
            </w:r>
          </w:hyperlink>
        </w:p>
        <w:p>
          <w:pPr>
            <w:pStyle w:val="Contents2"/>
            <w:tabs>
              <w:tab w:val="clear" w:pos="8743"/>
              <w:tab w:val="right" w:pos="9026" w:leader="dot"/>
            </w:tabs>
            <w:rPr/>
          </w:pPr>
          <w:hyperlink w:anchor="__RefHeading___Toc3967898_2870459653">
            <w:r>
              <w:rPr>
                <w:webHidden/>
                <w:rStyle w:val="IndexLink"/>
                <w:rtl w:val="true"/>
              </w:rPr>
              <w:t xml:space="preserve">[ </w:t>
            </w:r>
            <w:r>
              <w:rPr>
                <w:rStyle w:val="IndexLink"/>
                <w:rtl w:val="true"/>
              </w:rPr>
              <w:t>العفو عن نجاسة ما لا تتم فيه الصلاة</w:t>
            </w:r>
            <w:r>
              <w:rPr>
                <w:rStyle w:val="IndexLink"/>
                <w:rtl w:val="true"/>
              </w:rPr>
              <w:t>]</w:t>
              <w:tab/>
            </w:r>
            <w:r>
              <w:rPr>
                <w:rStyle w:val="IndexLink"/>
              </w:rPr>
              <w:t>100</w:t>
            </w:r>
          </w:hyperlink>
        </w:p>
        <w:p>
          <w:pPr>
            <w:pStyle w:val="Contents2"/>
            <w:tabs>
              <w:tab w:val="clear" w:pos="8743"/>
              <w:tab w:val="right" w:pos="9026" w:leader="dot"/>
            </w:tabs>
            <w:rPr/>
          </w:pPr>
          <w:hyperlink w:anchor="__RefHeading___Toc3967900_2870459653">
            <w:r>
              <w:rPr>
                <w:webHidden/>
                <w:rStyle w:val="IndexLink"/>
                <w:rtl w:val="true"/>
              </w:rPr>
              <w:t xml:space="preserve">[ </w:t>
            </w:r>
            <w:r>
              <w:rPr>
                <w:rStyle w:val="IndexLink"/>
                <w:rtl w:val="true"/>
              </w:rPr>
              <w:t>اختصاص الحكم بالمتنجس</w:t>
            </w:r>
            <w:r>
              <w:rPr>
                <w:rStyle w:val="IndexLink"/>
                <w:rtl w:val="true"/>
              </w:rPr>
              <w:t>]</w:t>
              <w:tab/>
            </w:r>
            <w:r>
              <w:rPr>
                <w:rStyle w:val="IndexLink"/>
              </w:rPr>
              <w:t>104</w:t>
            </w:r>
          </w:hyperlink>
        </w:p>
        <w:p>
          <w:pPr>
            <w:pStyle w:val="Contents2"/>
            <w:tabs>
              <w:tab w:val="clear" w:pos="8743"/>
              <w:tab w:val="right" w:pos="9026" w:leader="dot"/>
            </w:tabs>
            <w:rPr/>
          </w:pPr>
          <w:hyperlink w:anchor="__RefHeading___Toc3967902_2870459653">
            <w:r>
              <w:rPr>
                <w:webHidden/>
                <w:rStyle w:val="IndexLink"/>
                <w:rtl w:val="true"/>
              </w:rPr>
              <w:t xml:space="preserve">[ </w:t>
            </w:r>
            <w:r>
              <w:rPr>
                <w:rStyle w:val="IndexLink"/>
                <w:rtl w:val="true"/>
              </w:rPr>
              <w:t>الشبهة المصداقية في المسائل الثلاث</w:t>
            </w:r>
            <w:r>
              <w:rPr>
                <w:rStyle w:val="IndexLink"/>
                <w:rtl w:val="true"/>
              </w:rPr>
              <w:t>]</w:t>
              <w:tab/>
            </w:r>
            <w:r>
              <w:rPr>
                <w:rStyle w:val="IndexLink"/>
              </w:rPr>
              <w:t>104</w:t>
            </w:r>
          </w:hyperlink>
        </w:p>
        <w:p>
          <w:pPr>
            <w:pStyle w:val="Contents2"/>
            <w:tabs>
              <w:tab w:val="clear" w:pos="8743"/>
              <w:tab w:val="right" w:pos="9026" w:leader="dot"/>
            </w:tabs>
            <w:rPr/>
          </w:pPr>
          <w:hyperlink w:anchor="__RefHeading___Toc3967904_2870459653">
            <w:r>
              <w:rPr>
                <w:webHidden/>
                <w:rStyle w:val="IndexLink"/>
                <w:rtl w:val="true"/>
              </w:rPr>
              <w:t>[</w:t>
            </w:r>
            <w:r>
              <w:rPr>
                <w:rStyle w:val="IndexLink"/>
                <w:rtl w:val="true"/>
              </w:rPr>
              <w:t>في اشتراط نجاسة ملاقي النجس بوجود الرطوبة</w:t>
            </w:r>
            <w:r>
              <w:rPr>
                <w:rStyle w:val="IndexLink"/>
                <w:rtl w:val="true"/>
              </w:rPr>
              <w:t>]</w:t>
              <w:tab/>
            </w:r>
            <w:r>
              <w:rPr>
                <w:rStyle w:val="IndexLink"/>
              </w:rPr>
              <w:t>106</w:t>
            </w:r>
          </w:hyperlink>
        </w:p>
        <w:p>
          <w:pPr>
            <w:pStyle w:val="Contents2"/>
            <w:tabs>
              <w:tab w:val="clear" w:pos="8743"/>
              <w:tab w:val="right" w:pos="9026" w:leader="dot"/>
            </w:tabs>
            <w:rPr/>
          </w:pPr>
          <w:hyperlink w:anchor="__RefHeading___Toc3967906_2870459653">
            <w:r>
              <w:rPr>
                <w:webHidden/>
                <w:rStyle w:val="IndexLink"/>
                <w:rtl w:val="true"/>
              </w:rPr>
              <w:t xml:space="preserve">[ </w:t>
            </w:r>
            <w:r>
              <w:rPr>
                <w:rStyle w:val="IndexLink"/>
                <w:rtl w:val="true"/>
              </w:rPr>
              <w:t>نجاسة ملاقي المتنجس</w:t>
            </w:r>
            <w:r>
              <w:rPr>
                <w:rStyle w:val="IndexLink"/>
                <w:rtl w:val="true"/>
              </w:rPr>
              <w:t>]</w:t>
              <w:tab/>
            </w:r>
            <w:r>
              <w:rPr>
                <w:rStyle w:val="IndexLink"/>
              </w:rPr>
              <w:t>107</w:t>
            </w:r>
          </w:hyperlink>
        </w:p>
        <w:p>
          <w:pPr>
            <w:pStyle w:val="Contents2"/>
            <w:tabs>
              <w:tab w:val="clear" w:pos="8743"/>
              <w:tab w:val="right" w:pos="9026" w:leader="dot"/>
            </w:tabs>
            <w:rPr/>
          </w:pPr>
          <w:hyperlink w:anchor="__RefHeading___Toc3967908_2870459653">
            <w:r>
              <w:rPr>
                <w:webHidden/>
                <w:rStyle w:val="IndexLink"/>
                <w:rtl w:val="true"/>
              </w:rPr>
              <w:t>[</w:t>
            </w:r>
            <w:r>
              <w:rPr>
                <w:rStyle w:val="IndexLink"/>
                <w:rtl w:val="true"/>
              </w:rPr>
              <w:t>في مدخلية العلم بثبوت النجاسة</w:t>
            </w:r>
            <w:r>
              <w:rPr>
                <w:rStyle w:val="IndexLink"/>
                <w:rtl w:val="true"/>
              </w:rPr>
              <w:t>]</w:t>
              <w:tab/>
            </w:r>
            <w:r>
              <w:rPr>
                <w:rStyle w:val="IndexLink"/>
              </w:rPr>
              <w:t>109</w:t>
            </w:r>
          </w:hyperlink>
        </w:p>
        <w:p>
          <w:pPr>
            <w:pStyle w:val="Contents2"/>
            <w:tabs>
              <w:tab w:val="clear" w:pos="8743"/>
              <w:tab w:val="right" w:pos="9026" w:leader="dot"/>
            </w:tabs>
            <w:rPr/>
          </w:pPr>
          <w:hyperlink w:anchor="__RefHeading___Toc3967910_2870459653">
            <w:r>
              <w:rPr>
                <w:webHidden/>
                <w:rStyle w:val="IndexLink"/>
                <w:rtl w:val="true"/>
              </w:rPr>
              <w:t xml:space="preserve">[ </w:t>
            </w:r>
            <w:r>
              <w:rPr>
                <w:rStyle w:val="IndexLink"/>
                <w:rtl w:val="true"/>
              </w:rPr>
              <w:t>طرق ثبوت النجاسة</w:t>
            </w:r>
            <w:r>
              <w:rPr>
                <w:rStyle w:val="IndexLink"/>
                <w:rtl w:val="true"/>
              </w:rPr>
              <w:t>]</w:t>
              <w:tab/>
            </w:r>
            <w:r>
              <w:rPr>
                <w:rStyle w:val="IndexLink"/>
              </w:rPr>
              <w:t>111</w:t>
            </w:r>
          </w:hyperlink>
        </w:p>
        <w:p>
          <w:pPr>
            <w:pStyle w:val="Contents2"/>
            <w:tabs>
              <w:tab w:val="clear" w:pos="8743"/>
              <w:tab w:val="right" w:pos="9026" w:leader="dot"/>
            </w:tabs>
            <w:rPr/>
          </w:pPr>
          <w:hyperlink w:anchor="__RefHeading___Toc3967912_2870459653">
            <w:r>
              <w:rPr>
                <w:webHidden/>
                <w:rStyle w:val="IndexLink"/>
                <w:rtl w:val="true"/>
              </w:rPr>
              <w:t>خبر الواحد</w:t>
            </w:r>
            <w:r>
              <w:rPr>
                <w:rStyle w:val="IndexLink"/>
                <w:rtl w:val="true"/>
              </w:rPr>
              <w:tab/>
            </w:r>
            <w:r>
              <w:rPr>
                <w:rStyle w:val="IndexLink"/>
              </w:rPr>
              <w:t>112</w:t>
            </w:r>
          </w:hyperlink>
        </w:p>
        <w:p>
          <w:pPr>
            <w:pStyle w:val="Contents2"/>
            <w:tabs>
              <w:tab w:val="clear" w:pos="8743"/>
              <w:tab w:val="right" w:pos="9026" w:leader="dot"/>
            </w:tabs>
            <w:rPr/>
          </w:pPr>
          <w:hyperlink w:anchor="__RefHeading___Toc3967914_2870459653">
            <w:r>
              <w:rPr>
                <w:webHidden/>
                <w:rStyle w:val="IndexLink"/>
                <w:rtl w:val="true"/>
              </w:rPr>
              <w:t>العدل الواحد</w:t>
            </w:r>
            <w:r>
              <w:rPr>
                <w:rStyle w:val="IndexLink"/>
                <w:rtl w:val="true"/>
              </w:rPr>
              <w:tab/>
            </w:r>
            <w:r>
              <w:rPr>
                <w:rStyle w:val="IndexLink"/>
              </w:rPr>
              <w:t>113</w:t>
            </w:r>
          </w:hyperlink>
        </w:p>
        <w:p>
          <w:pPr>
            <w:pStyle w:val="Contents2"/>
            <w:tabs>
              <w:tab w:val="clear" w:pos="8743"/>
              <w:tab w:val="right" w:pos="9026" w:leader="dot"/>
            </w:tabs>
            <w:rPr/>
          </w:pPr>
          <w:hyperlink w:anchor="__RefHeading___Toc3967916_2870459653">
            <w:r>
              <w:rPr>
                <w:webHidden/>
                <w:rStyle w:val="IndexLink"/>
                <w:rtl w:val="true"/>
              </w:rPr>
              <w:t xml:space="preserve">[ </w:t>
            </w:r>
            <w:r>
              <w:rPr>
                <w:rStyle w:val="IndexLink"/>
                <w:rtl w:val="true"/>
              </w:rPr>
              <w:t>في أن حُجيّة شهادة العدلين مطلقة أو لا؟</w:t>
            </w:r>
            <w:r>
              <w:rPr>
                <w:rStyle w:val="IndexLink"/>
                <w:rtl w:val="true"/>
              </w:rPr>
              <w:t>]</w:t>
              <w:tab/>
            </w:r>
            <w:r>
              <w:rPr>
                <w:rStyle w:val="IndexLink"/>
              </w:rPr>
              <w:t>114</w:t>
            </w:r>
          </w:hyperlink>
        </w:p>
        <w:p>
          <w:pPr>
            <w:pStyle w:val="Contents2"/>
            <w:tabs>
              <w:tab w:val="clear" w:pos="8743"/>
              <w:tab w:val="right" w:pos="9026" w:leader="dot"/>
            </w:tabs>
            <w:rPr/>
          </w:pPr>
          <w:hyperlink w:anchor="__RefHeading___Toc3967918_2870459653">
            <w:r>
              <w:rPr>
                <w:webHidden/>
                <w:rStyle w:val="IndexLink"/>
                <w:rtl w:val="true"/>
              </w:rPr>
              <w:t>قول ذي اليد فالكلام فيه يقع في أمور</w:t>
            </w:r>
            <w:r>
              <w:rPr>
                <w:rStyle w:val="IndexLink"/>
                <w:rtl w:val="true"/>
              </w:rPr>
              <w:t>:</w:t>
              <w:tab/>
            </w:r>
            <w:r>
              <w:rPr>
                <w:rStyle w:val="IndexLink"/>
              </w:rPr>
              <w:t>116</w:t>
            </w:r>
          </w:hyperlink>
        </w:p>
        <w:p>
          <w:pPr>
            <w:pStyle w:val="Contents2"/>
            <w:tabs>
              <w:tab w:val="clear" w:pos="8743"/>
              <w:tab w:val="right" w:pos="9026" w:leader="dot"/>
            </w:tabs>
            <w:rPr/>
          </w:pPr>
          <w:hyperlink w:anchor="__RefHeading___Toc3967920_2870459653">
            <w:r>
              <w:rPr>
                <w:webHidden/>
                <w:rStyle w:val="IndexLink"/>
                <w:rtl w:val="true"/>
              </w:rPr>
              <w:t>أقوال العلماء</w:t>
            </w:r>
            <w:r>
              <w:rPr>
                <w:rStyle w:val="IndexLink"/>
                <w:rtl w:val="true"/>
              </w:rPr>
              <w:tab/>
            </w:r>
            <w:r>
              <w:rPr>
                <w:rStyle w:val="IndexLink"/>
              </w:rPr>
              <w:t>120</w:t>
            </w:r>
          </w:hyperlink>
        </w:p>
        <w:p>
          <w:pPr>
            <w:pStyle w:val="Contents2"/>
            <w:tabs>
              <w:tab w:val="clear" w:pos="8743"/>
              <w:tab w:val="right" w:pos="9026" w:leader="dot"/>
            </w:tabs>
            <w:rPr/>
          </w:pPr>
          <w:hyperlink w:anchor="__RefHeading___Toc3967922_2870459653">
            <w:r>
              <w:rPr>
                <w:webHidden/>
                <w:rStyle w:val="IndexLink"/>
                <w:rtl w:val="true"/>
              </w:rPr>
              <w:t>[</w:t>
            </w:r>
            <w:r>
              <w:rPr>
                <w:rStyle w:val="IndexLink"/>
                <w:rtl w:val="true"/>
              </w:rPr>
              <w:t>عموم مفهوم ذي اليد</w:t>
            </w:r>
            <w:r>
              <w:rPr>
                <w:rStyle w:val="IndexLink"/>
                <w:rtl w:val="true"/>
              </w:rPr>
              <w:t>]</w:t>
              <w:tab/>
            </w:r>
            <w:r>
              <w:rPr>
                <w:rStyle w:val="IndexLink"/>
              </w:rPr>
              <w:t>122</w:t>
            </w:r>
          </w:hyperlink>
        </w:p>
        <w:p>
          <w:pPr>
            <w:pStyle w:val="Contents2"/>
            <w:tabs>
              <w:tab w:val="clear" w:pos="8743"/>
              <w:tab w:val="right" w:pos="9026" w:leader="dot"/>
            </w:tabs>
            <w:rPr/>
          </w:pPr>
          <w:hyperlink w:anchor="__RefHeading___Toc3967924_2870459653">
            <w:r>
              <w:rPr>
                <w:webHidden/>
                <w:rStyle w:val="IndexLink"/>
                <w:rtl w:val="true"/>
              </w:rPr>
              <w:t xml:space="preserve">[ </w:t>
            </w:r>
            <w:r>
              <w:rPr>
                <w:rStyle w:val="IndexLink"/>
                <w:rtl w:val="true"/>
              </w:rPr>
              <w:t>حجيّة قول ذي اليد في الجملة</w:t>
            </w:r>
            <w:r>
              <w:rPr>
                <w:rStyle w:val="IndexLink"/>
                <w:rtl w:val="true"/>
              </w:rPr>
              <w:t>]</w:t>
              <w:tab/>
            </w:r>
            <w:r>
              <w:rPr>
                <w:rStyle w:val="IndexLink"/>
              </w:rPr>
              <w:t>123</w:t>
            </w:r>
          </w:hyperlink>
        </w:p>
        <w:p>
          <w:pPr>
            <w:pStyle w:val="Contents2"/>
            <w:tabs>
              <w:tab w:val="clear" w:pos="8743"/>
              <w:tab w:val="right" w:pos="9026" w:leader="dot"/>
            </w:tabs>
            <w:rPr/>
          </w:pPr>
          <w:hyperlink w:anchor="__RefHeading___Toc3967926_2870459653">
            <w:r>
              <w:rPr>
                <w:webHidden/>
                <w:rStyle w:val="IndexLink"/>
                <w:rtl w:val="true"/>
              </w:rPr>
              <w:t>مسألة في المطهرات</w:t>
            </w:r>
            <w:r>
              <w:rPr>
                <w:rStyle w:val="IndexLink"/>
                <w:rtl w:val="true"/>
              </w:rPr>
              <w:tab/>
            </w:r>
            <w:r>
              <w:rPr>
                <w:rStyle w:val="IndexLink"/>
              </w:rPr>
              <w:t>123</w:t>
            </w:r>
          </w:hyperlink>
        </w:p>
        <w:p>
          <w:pPr>
            <w:pStyle w:val="Contents2"/>
            <w:tabs>
              <w:tab w:val="clear" w:pos="8743"/>
              <w:tab w:val="right" w:pos="9026" w:leader="dot"/>
            </w:tabs>
            <w:rPr/>
          </w:pPr>
          <w:hyperlink w:anchor="__RefHeading___Toc3967928_2870459653">
            <w:r>
              <w:rPr>
                <w:webHidden/>
                <w:rStyle w:val="IndexLink"/>
                <w:rtl w:val="true"/>
              </w:rPr>
              <w:t>أما في الثوب</w:t>
            </w:r>
            <w:r>
              <w:rPr>
                <w:rStyle w:val="IndexLink"/>
                <w:rtl w:val="true"/>
              </w:rPr>
              <w:t>:</w:t>
              <w:tab/>
            </w:r>
            <w:r>
              <w:rPr>
                <w:rStyle w:val="IndexLink"/>
              </w:rPr>
              <w:t>123</w:t>
            </w:r>
          </w:hyperlink>
        </w:p>
        <w:p>
          <w:pPr>
            <w:pStyle w:val="Contents2"/>
            <w:tabs>
              <w:tab w:val="clear" w:pos="8743"/>
              <w:tab w:val="right" w:pos="9026" w:leader="dot"/>
            </w:tabs>
            <w:rPr/>
          </w:pPr>
          <w:hyperlink w:anchor="__RefHeading___Toc3967930_2870459653">
            <w:r>
              <w:rPr>
                <w:webHidden/>
                <w:rStyle w:val="IndexLink"/>
                <w:rtl w:val="true"/>
              </w:rPr>
              <w:t xml:space="preserve">[ </w:t>
            </w:r>
            <w:r>
              <w:rPr>
                <w:rStyle w:val="IndexLink"/>
                <w:rtl w:val="true"/>
              </w:rPr>
              <w:t>اعتبار العصر في الغسل بالماء القليل</w:t>
            </w:r>
            <w:r>
              <w:rPr>
                <w:rStyle w:val="IndexLink"/>
                <w:rtl w:val="true"/>
              </w:rPr>
              <w:t>]</w:t>
              <w:tab/>
            </w:r>
            <w:r>
              <w:rPr>
                <w:rStyle w:val="IndexLink"/>
              </w:rPr>
              <w:t>124</w:t>
            </w:r>
          </w:hyperlink>
        </w:p>
        <w:p>
          <w:pPr>
            <w:pStyle w:val="Contents2"/>
            <w:tabs>
              <w:tab w:val="clear" w:pos="8743"/>
              <w:tab w:val="right" w:pos="9026" w:leader="dot"/>
            </w:tabs>
            <w:rPr/>
          </w:pPr>
          <w:hyperlink w:anchor="__RefHeading___Toc3967932_2870459653">
            <w:r>
              <w:rPr>
                <w:webHidden/>
                <w:rStyle w:val="IndexLink"/>
                <w:rtl w:val="true"/>
              </w:rPr>
              <w:t xml:space="preserve">[ </w:t>
            </w:r>
            <w:r>
              <w:rPr>
                <w:rStyle w:val="IndexLink"/>
                <w:rtl w:val="true"/>
              </w:rPr>
              <w:t>اعتبار تعدد العصر في الغسل بالماء القليل</w:t>
            </w:r>
            <w:r>
              <w:rPr>
                <w:rStyle w:val="IndexLink"/>
                <w:rtl w:val="true"/>
              </w:rPr>
              <w:t>]</w:t>
              <w:tab/>
            </w:r>
            <w:r>
              <w:rPr>
                <w:rStyle w:val="IndexLink"/>
              </w:rPr>
              <w:t>125</w:t>
            </w:r>
          </w:hyperlink>
        </w:p>
        <w:p>
          <w:pPr>
            <w:pStyle w:val="Contents2"/>
            <w:tabs>
              <w:tab w:val="clear" w:pos="8743"/>
              <w:tab w:val="right" w:pos="9026" w:leader="dot"/>
            </w:tabs>
            <w:rPr/>
          </w:pPr>
          <w:hyperlink w:anchor="__RefHeading___Toc3967934_2870459653">
            <w:r>
              <w:rPr>
                <w:webHidden/>
                <w:rStyle w:val="IndexLink"/>
                <w:rtl w:val="true"/>
              </w:rPr>
              <w:t>[</w:t>
            </w:r>
            <w:r>
              <w:rPr>
                <w:rStyle w:val="IndexLink"/>
                <w:rtl w:val="true"/>
              </w:rPr>
              <w:t>عدم اعتبار العصر في الغسل بالماء الكثير والجاري</w:t>
            </w:r>
            <w:r>
              <w:rPr>
                <w:rStyle w:val="IndexLink"/>
                <w:rtl w:val="true"/>
              </w:rPr>
              <w:t>]</w:t>
              <w:tab/>
            </w:r>
            <w:r>
              <w:rPr>
                <w:rStyle w:val="IndexLink"/>
              </w:rPr>
              <w:t>125</w:t>
            </w:r>
          </w:hyperlink>
        </w:p>
        <w:p>
          <w:pPr>
            <w:pStyle w:val="Contents2"/>
            <w:tabs>
              <w:tab w:val="clear" w:pos="8743"/>
              <w:tab w:val="right" w:pos="9026" w:leader="dot"/>
            </w:tabs>
            <w:rPr/>
          </w:pPr>
          <w:hyperlink w:anchor="__RefHeading___Toc3967936_2870459653">
            <w:r>
              <w:rPr>
                <w:webHidden/>
                <w:rStyle w:val="IndexLink"/>
                <w:rtl w:val="true"/>
              </w:rPr>
              <w:t xml:space="preserve">[ </w:t>
            </w:r>
            <w:r>
              <w:rPr>
                <w:rStyle w:val="IndexLink"/>
                <w:rtl w:val="true"/>
              </w:rPr>
              <w:t xml:space="preserve">في اعتبار عصر ما لا يمكن ما لا يمكن عصره </w:t>
            </w:r>
            <w:r>
              <w:rPr>
                <w:rStyle w:val="IndexLink"/>
                <w:rtl w:val="true"/>
              </w:rPr>
              <w:t>]</w:t>
              <w:tab/>
            </w:r>
            <w:r>
              <w:rPr>
                <w:rStyle w:val="IndexLink"/>
              </w:rPr>
              <w:t>125</w:t>
            </w:r>
          </w:hyperlink>
        </w:p>
        <w:p>
          <w:pPr>
            <w:pStyle w:val="Contents2"/>
            <w:tabs>
              <w:tab w:val="clear" w:pos="8743"/>
              <w:tab w:val="right" w:pos="9026" w:leader="dot"/>
            </w:tabs>
            <w:rPr/>
          </w:pPr>
          <w:hyperlink w:anchor="__RefHeading___Toc3967938_2870459653">
            <w:r>
              <w:rPr>
                <w:webHidden/>
                <w:rStyle w:val="IndexLink"/>
                <w:rtl w:val="true"/>
              </w:rPr>
              <w:t>رواية الذَنوب ففيه</w:t>
            </w:r>
            <w:r>
              <w:rPr>
                <w:rStyle w:val="IndexLink"/>
                <w:rtl w:val="true"/>
              </w:rPr>
              <w:t>:</w:t>
              <w:tab/>
            </w:r>
            <w:r>
              <w:rPr>
                <w:rStyle w:val="IndexLink"/>
              </w:rPr>
              <w:t>129</w:t>
            </w:r>
          </w:hyperlink>
        </w:p>
        <w:p>
          <w:pPr>
            <w:pStyle w:val="Contents2"/>
            <w:tabs>
              <w:tab w:val="clear" w:pos="8743"/>
              <w:tab w:val="right" w:pos="9026" w:leader="dot"/>
            </w:tabs>
            <w:rPr/>
          </w:pPr>
          <w:hyperlink w:anchor="__RefHeading___Toc3967940_2870459653">
            <w:r>
              <w:rPr>
                <w:webHidden/>
                <w:rStyle w:val="IndexLink"/>
                <w:rtl w:val="true"/>
              </w:rPr>
              <w:t>رواية أكسية المرعزي والخفاف</w:t>
            </w:r>
            <w:r>
              <w:rPr>
                <w:rStyle w:val="IndexLink"/>
                <w:rtl w:val="true"/>
              </w:rPr>
              <w:t>:</w:t>
              <w:tab/>
            </w:r>
            <w:r>
              <w:rPr>
                <w:rStyle w:val="IndexLink"/>
              </w:rPr>
              <w:t>130</w:t>
            </w:r>
          </w:hyperlink>
        </w:p>
        <w:p>
          <w:pPr>
            <w:pStyle w:val="Contents2"/>
            <w:tabs>
              <w:tab w:val="clear" w:pos="8743"/>
              <w:tab w:val="right" w:pos="9026" w:leader="dot"/>
            </w:tabs>
            <w:rPr/>
          </w:pPr>
          <w:hyperlink w:anchor="__RefHeading___Toc3967942_2870459653">
            <w:r>
              <w:rPr>
                <w:webHidden/>
                <w:rStyle w:val="IndexLink"/>
                <w:rtl w:val="true"/>
              </w:rPr>
              <w:t>[</w:t>
            </w:r>
            <w:r>
              <w:rPr>
                <w:rStyle w:val="IndexLink"/>
                <w:rtl w:val="true"/>
              </w:rPr>
              <w:t>في اشتراط ورود الماء القليل على النجس</w:t>
            </w:r>
            <w:r>
              <w:rPr>
                <w:rStyle w:val="IndexLink"/>
                <w:rtl w:val="true"/>
              </w:rPr>
              <w:t>]</w:t>
              <w:tab/>
            </w:r>
            <w:r>
              <w:rPr>
                <w:rStyle w:val="IndexLink"/>
              </w:rPr>
              <w:t>131</w:t>
            </w:r>
          </w:hyperlink>
        </w:p>
        <w:p>
          <w:pPr>
            <w:pStyle w:val="Contents2"/>
            <w:tabs>
              <w:tab w:val="clear" w:pos="8743"/>
              <w:tab w:val="right" w:pos="9026" w:leader="dot"/>
            </w:tabs>
            <w:rPr/>
          </w:pPr>
          <w:hyperlink w:anchor="__RefHeading___Toc3967944_2870459653">
            <w:r>
              <w:rPr>
                <w:webHidden/>
                <w:rStyle w:val="IndexLink"/>
                <w:rtl w:val="true"/>
              </w:rPr>
              <w:t>[</w:t>
            </w:r>
            <w:r>
              <w:rPr>
                <w:rStyle w:val="IndexLink"/>
                <w:rtl w:val="true"/>
              </w:rPr>
              <w:t xml:space="preserve">اعتبار إزالة عين النجاسة لا أوصافها </w:t>
            </w:r>
            <w:r>
              <w:rPr>
                <w:rStyle w:val="IndexLink"/>
                <w:rtl w:val="true"/>
              </w:rPr>
              <w:t>]</w:t>
              <w:tab/>
            </w:r>
            <w:r>
              <w:rPr>
                <w:rStyle w:val="IndexLink"/>
              </w:rPr>
              <w:t>134</w:t>
            </w:r>
          </w:hyperlink>
        </w:p>
        <w:p>
          <w:pPr>
            <w:pStyle w:val="Contents2"/>
            <w:tabs>
              <w:tab w:val="clear" w:pos="8743"/>
              <w:tab w:val="right" w:pos="9026" w:leader="dot"/>
            </w:tabs>
            <w:rPr/>
          </w:pPr>
          <w:hyperlink w:anchor="__RefHeading___Toc3967946_2870459653">
            <w:r>
              <w:rPr>
                <w:webHidden/>
                <w:rStyle w:val="IndexLink"/>
                <w:rtl w:val="true"/>
              </w:rPr>
              <w:t>ومن جملة المطهرات ماء الغيث</w:t>
            </w:r>
            <w:r>
              <w:rPr>
                <w:rStyle w:val="IndexLink"/>
                <w:rtl w:val="true"/>
              </w:rPr>
              <w:tab/>
            </w:r>
            <w:r>
              <w:rPr>
                <w:rStyle w:val="IndexLink"/>
              </w:rPr>
              <w:t>134</w:t>
            </w:r>
          </w:hyperlink>
        </w:p>
        <w:p>
          <w:pPr>
            <w:pStyle w:val="Contents2"/>
            <w:tabs>
              <w:tab w:val="clear" w:pos="8743"/>
              <w:tab w:val="right" w:pos="9026" w:leader="dot"/>
            </w:tabs>
            <w:rPr/>
          </w:pPr>
          <w:hyperlink w:anchor="__RefHeading___Toc3967948_2870459653">
            <w:r>
              <w:rPr>
                <w:webHidden/>
                <w:rStyle w:val="IndexLink"/>
                <w:rtl w:val="true"/>
              </w:rPr>
              <w:t xml:space="preserve">[ </w:t>
            </w:r>
            <w:r>
              <w:rPr>
                <w:rStyle w:val="IndexLink"/>
                <w:rtl w:val="true"/>
              </w:rPr>
              <w:t>الكلام في أنَّ محل الخلاف هو ماء المطر حال تقاطره</w:t>
            </w:r>
            <w:r>
              <w:rPr>
                <w:rStyle w:val="IndexLink"/>
                <w:rtl w:val="true"/>
              </w:rPr>
              <w:t>]</w:t>
              <w:tab/>
            </w:r>
            <w:r>
              <w:rPr>
                <w:rStyle w:val="IndexLink"/>
              </w:rPr>
              <w:t>136</w:t>
            </w:r>
          </w:hyperlink>
        </w:p>
        <w:p>
          <w:pPr>
            <w:pStyle w:val="Contents2"/>
            <w:tabs>
              <w:tab w:val="clear" w:pos="8743"/>
              <w:tab w:val="right" w:pos="9026" w:leader="dot"/>
            </w:tabs>
            <w:rPr/>
          </w:pPr>
          <w:hyperlink w:anchor="__RefHeading___Toc3967950_2870459653">
            <w:r>
              <w:rPr>
                <w:webHidden/>
                <w:rStyle w:val="IndexLink"/>
                <w:rtl w:val="true"/>
              </w:rPr>
              <w:t>[</w:t>
            </w:r>
            <w:r>
              <w:rPr>
                <w:rStyle w:val="IndexLink"/>
                <w:rtl w:val="true"/>
              </w:rPr>
              <w:t>اعتبار الجريان على الموضع النجس</w:t>
            </w:r>
            <w:r>
              <w:rPr>
                <w:rStyle w:val="IndexLink"/>
                <w:rtl w:val="true"/>
              </w:rPr>
              <w:t>]</w:t>
              <w:tab/>
            </w:r>
            <w:r>
              <w:rPr>
                <w:rStyle w:val="IndexLink"/>
              </w:rPr>
              <w:t>143</w:t>
            </w:r>
          </w:hyperlink>
        </w:p>
        <w:p>
          <w:pPr>
            <w:pStyle w:val="Contents2"/>
            <w:tabs>
              <w:tab w:val="clear" w:pos="8743"/>
              <w:tab w:val="right" w:pos="9026" w:leader="dot"/>
            </w:tabs>
            <w:rPr/>
          </w:pPr>
          <w:hyperlink w:anchor="__RefHeading___Toc3967952_2870459653">
            <w:r>
              <w:rPr>
                <w:webHidden/>
                <w:rStyle w:val="IndexLink"/>
                <w:rtl w:val="true"/>
              </w:rPr>
              <w:t xml:space="preserve">[ </w:t>
            </w:r>
            <w:r>
              <w:rPr>
                <w:rStyle w:val="IndexLink"/>
                <w:rtl w:val="true"/>
              </w:rPr>
              <w:t>كيفية تطهير المطر للماء المتنجس</w:t>
            </w:r>
            <w:r>
              <w:rPr>
                <w:rStyle w:val="IndexLink"/>
                <w:rtl w:val="true"/>
              </w:rPr>
              <w:t>]</w:t>
              <w:tab/>
            </w:r>
            <w:r>
              <w:rPr>
                <w:rStyle w:val="IndexLink"/>
              </w:rPr>
              <w:t>145</w:t>
            </w:r>
          </w:hyperlink>
        </w:p>
        <w:p>
          <w:pPr>
            <w:pStyle w:val="Contents2"/>
            <w:tabs>
              <w:tab w:val="clear" w:pos="8743"/>
              <w:tab w:val="right" w:pos="9026" w:leader="dot"/>
            </w:tabs>
            <w:rPr/>
          </w:pPr>
          <w:hyperlink w:anchor="__RefHeading___Toc3967954_2870459653">
            <w:r>
              <w:rPr>
                <w:webHidden/>
                <w:rStyle w:val="IndexLink"/>
                <w:rtl w:val="true"/>
              </w:rPr>
              <w:t>الكلام في ماء الغسالة</w:t>
            </w:r>
            <w:r>
              <w:rPr>
                <w:rStyle w:val="IndexLink"/>
                <w:rtl w:val="true"/>
              </w:rPr>
              <w:tab/>
            </w:r>
            <w:r>
              <w:rPr>
                <w:rStyle w:val="IndexLink"/>
              </w:rPr>
              <w:t>146</w:t>
            </w:r>
          </w:hyperlink>
        </w:p>
        <w:p>
          <w:pPr>
            <w:pStyle w:val="Contents2"/>
            <w:tabs>
              <w:tab w:val="clear" w:pos="8743"/>
              <w:tab w:val="right" w:pos="9026" w:leader="dot"/>
            </w:tabs>
            <w:rPr/>
          </w:pPr>
          <w:hyperlink w:anchor="__RefHeading___Toc3967956_2870459653">
            <w:r>
              <w:rPr>
                <w:webHidden/>
                <w:rStyle w:val="IndexLink"/>
                <w:rtl w:val="true"/>
              </w:rPr>
              <w:t>[</w:t>
            </w:r>
            <w:r>
              <w:rPr>
                <w:rStyle w:val="IndexLink"/>
                <w:rtl w:val="true"/>
              </w:rPr>
              <w:t>الأدلة الدالّة على نجاسة الغسالة</w:t>
            </w:r>
            <w:r>
              <w:rPr>
                <w:rStyle w:val="IndexLink"/>
                <w:rtl w:val="true"/>
              </w:rPr>
              <w:t>]</w:t>
              <w:tab/>
            </w:r>
            <w:r>
              <w:rPr>
                <w:rStyle w:val="IndexLink"/>
              </w:rPr>
              <w:t>151</w:t>
            </w:r>
          </w:hyperlink>
        </w:p>
        <w:p>
          <w:pPr>
            <w:pStyle w:val="Contents2"/>
            <w:tabs>
              <w:tab w:val="clear" w:pos="8743"/>
              <w:tab w:val="right" w:pos="9026" w:leader="dot"/>
            </w:tabs>
            <w:rPr/>
          </w:pPr>
          <w:hyperlink w:anchor="__RefHeading___Toc3967958_2870459653">
            <w:r>
              <w:rPr>
                <w:webHidden/>
                <w:rStyle w:val="IndexLink"/>
                <w:rtl w:val="true"/>
              </w:rPr>
              <w:t>وأمّا أدلة القائلين بالطهارة</w:t>
            </w:r>
            <w:r>
              <w:rPr>
                <w:rStyle w:val="IndexLink"/>
                <w:rtl w:val="true"/>
              </w:rPr>
              <w:tab/>
            </w:r>
            <w:r>
              <w:rPr>
                <w:rStyle w:val="IndexLink"/>
              </w:rPr>
              <w:t>156</w:t>
            </w:r>
          </w:hyperlink>
        </w:p>
        <w:p>
          <w:pPr>
            <w:pStyle w:val="Contents2"/>
            <w:tabs>
              <w:tab w:val="clear" w:pos="8743"/>
              <w:tab w:val="right" w:pos="9026" w:leader="dot"/>
            </w:tabs>
            <w:rPr/>
          </w:pPr>
          <w:hyperlink w:anchor="__RefHeading___Toc3967960_2870459653">
            <w:r>
              <w:rPr>
                <w:webHidden/>
                <w:rStyle w:val="IndexLink"/>
                <w:rtl w:val="true"/>
              </w:rPr>
              <w:t>القاعدة الثانية</w:t>
            </w:r>
            <w:r>
              <w:rPr>
                <w:rStyle w:val="IndexLink"/>
                <w:rtl w:val="true"/>
              </w:rPr>
              <w:t>:</w:t>
              <w:tab/>
            </w:r>
            <w:r>
              <w:rPr>
                <w:rStyle w:val="IndexLink"/>
              </w:rPr>
              <w:t>159</w:t>
            </w:r>
          </w:hyperlink>
        </w:p>
        <w:p>
          <w:pPr>
            <w:pStyle w:val="Contents2"/>
            <w:tabs>
              <w:tab w:val="clear" w:pos="8743"/>
              <w:tab w:val="right" w:pos="9026" w:leader="dot"/>
            </w:tabs>
            <w:rPr/>
          </w:pPr>
          <w:hyperlink w:anchor="__RefHeading___Toc3967962_2870459653">
            <w:r>
              <w:rPr>
                <w:webHidden/>
                <w:rStyle w:val="IndexLink"/>
                <w:rtl w:val="true"/>
              </w:rPr>
              <w:t>القاعدة الثالثة</w:t>
            </w:r>
            <w:r>
              <w:rPr>
                <w:rStyle w:val="IndexLink"/>
                <w:rtl w:val="true"/>
              </w:rPr>
              <w:t>:</w:t>
              <w:tab/>
            </w:r>
            <w:r>
              <w:rPr>
                <w:rStyle w:val="IndexLink"/>
              </w:rPr>
              <w:t>160</w:t>
            </w:r>
          </w:hyperlink>
        </w:p>
        <w:p>
          <w:pPr>
            <w:pStyle w:val="Contents2"/>
            <w:tabs>
              <w:tab w:val="clear" w:pos="8743"/>
              <w:tab w:val="right" w:pos="9026" w:leader="dot"/>
            </w:tabs>
            <w:rPr/>
          </w:pPr>
          <w:hyperlink w:anchor="__RefHeading___Toc3967964_2870459653">
            <w:r>
              <w:rPr>
                <w:webHidden/>
                <w:rStyle w:val="IndexLink"/>
                <w:rtl w:val="true"/>
              </w:rPr>
              <w:t>[</w:t>
            </w:r>
            <w:r>
              <w:rPr>
                <w:rStyle w:val="IndexLink"/>
                <w:rtl w:val="true"/>
              </w:rPr>
              <w:t>من أدلة القول بالنجاسة</w:t>
            </w:r>
            <w:r>
              <w:rPr>
                <w:rStyle w:val="IndexLink"/>
                <w:rtl w:val="true"/>
              </w:rPr>
              <w:t>]</w:t>
              <w:tab/>
            </w:r>
            <w:r>
              <w:rPr>
                <w:rStyle w:val="IndexLink"/>
              </w:rPr>
              <w:t>161</w:t>
            </w:r>
          </w:hyperlink>
        </w:p>
        <w:p>
          <w:pPr>
            <w:pStyle w:val="Contents2"/>
            <w:tabs>
              <w:tab w:val="clear" w:pos="8743"/>
              <w:tab w:val="right" w:pos="9026" w:leader="dot"/>
            </w:tabs>
            <w:rPr/>
          </w:pPr>
          <w:hyperlink w:anchor="__RefHeading___Toc3967966_2870459653">
            <w:r>
              <w:rPr>
                <w:webHidden/>
                <w:rStyle w:val="IndexLink"/>
                <w:rtl w:val="true"/>
              </w:rPr>
              <w:t>[</w:t>
            </w:r>
            <w:r>
              <w:rPr>
                <w:rStyle w:val="IndexLink"/>
                <w:rtl w:val="true"/>
              </w:rPr>
              <w:t>عدم تمامية أدلة طهارة ماء الغسالة</w:t>
            </w:r>
            <w:r>
              <w:rPr>
                <w:rStyle w:val="IndexLink"/>
                <w:rtl w:val="true"/>
              </w:rPr>
              <w:t>]</w:t>
              <w:tab/>
            </w:r>
            <w:r>
              <w:rPr>
                <w:rStyle w:val="IndexLink"/>
              </w:rPr>
              <w:t>167</w:t>
            </w:r>
          </w:hyperlink>
        </w:p>
        <w:p>
          <w:pPr>
            <w:pStyle w:val="Contents2"/>
            <w:tabs>
              <w:tab w:val="clear" w:pos="8743"/>
              <w:tab w:val="right" w:pos="9026" w:leader="dot"/>
            </w:tabs>
            <w:rPr/>
          </w:pPr>
          <w:hyperlink w:anchor="__RefHeading___Toc3967968_2870459653">
            <w:r>
              <w:rPr>
                <w:webHidden/>
                <w:rStyle w:val="IndexLink"/>
                <w:rtl w:val="true"/>
              </w:rPr>
              <w:t>[</w:t>
            </w:r>
            <w:r>
              <w:rPr>
                <w:rStyle w:val="IndexLink"/>
                <w:rtl w:val="true"/>
              </w:rPr>
              <w:t>ماء الغسالة نجس مطلقاً</w:t>
            </w:r>
            <w:r>
              <w:rPr>
                <w:rStyle w:val="IndexLink"/>
                <w:rtl w:val="true"/>
              </w:rPr>
              <w:t>]</w:t>
              <w:tab/>
            </w:r>
            <w:r>
              <w:rPr>
                <w:rStyle w:val="IndexLink"/>
              </w:rPr>
              <w:t>168</w:t>
            </w:r>
          </w:hyperlink>
        </w:p>
        <w:p>
          <w:pPr>
            <w:pStyle w:val="Contents2"/>
            <w:tabs>
              <w:tab w:val="clear" w:pos="8743"/>
              <w:tab w:val="right" w:pos="9026" w:leader="dot"/>
            </w:tabs>
            <w:rPr/>
          </w:pPr>
          <w:hyperlink w:anchor="__RefHeading___Toc3967970_2870459653">
            <w:r>
              <w:rPr>
                <w:webHidden/>
                <w:rStyle w:val="IndexLink"/>
                <w:rtl w:val="true"/>
              </w:rPr>
              <w:t>فصل في التيمّم</w:t>
            </w:r>
            <w:r>
              <w:rPr>
                <w:rStyle w:val="IndexLink"/>
                <w:rtl w:val="true"/>
              </w:rPr>
              <w:tab/>
            </w:r>
            <w:r>
              <w:rPr>
                <w:rStyle w:val="IndexLink"/>
              </w:rPr>
              <w:t>170</w:t>
            </w:r>
          </w:hyperlink>
        </w:p>
        <w:p>
          <w:pPr>
            <w:pStyle w:val="Contents2"/>
            <w:tabs>
              <w:tab w:val="clear" w:pos="8743"/>
              <w:tab w:val="right" w:pos="9026" w:leader="dot"/>
            </w:tabs>
            <w:rPr/>
          </w:pPr>
          <w:hyperlink w:anchor="__RefHeading___Toc3967972_2870459653">
            <w:r>
              <w:rPr>
                <w:webHidden/>
                <w:rStyle w:val="IndexLink"/>
                <w:rtl w:val="true"/>
              </w:rPr>
              <w:t>[</w:t>
            </w:r>
            <w:r>
              <w:rPr>
                <w:rStyle w:val="IndexLink"/>
                <w:rtl w:val="true"/>
              </w:rPr>
              <w:t xml:space="preserve">الأسباب المسوغة للتيمم </w:t>
            </w:r>
            <w:r>
              <w:rPr>
                <w:rStyle w:val="IndexLink"/>
                <w:rtl w:val="true"/>
              </w:rPr>
              <w:t>]</w:t>
              <w:tab/>
            </w:r>
            <w:r>
              <w:rPr>
                <w:rStyle w:val="IndexLink"/>
              </w:rPr>
              <w:t>171</w:t>
            </w:r>
          </w:hyperlink>
        </w:p>
        <w:p>
          <w:pPr>
            <w:pStyle w:val="Contents2"/>
            <w:tabs>
              <w:tab w:val="clear" w:pos="8743"/>
              <w:tab w:val="right" w:pos="9026" w:leader="dot"/>
            </w:tabs>
            <w:rPr/>
          </w:pPr>
          <w:hyperlink w:anchor="__RefHeading___Toc3967974_2870459653">
            <w:r>
              <w:rPr>
                <w:webHidden/>
                <w:rStyle w:val="IndexLink"/>
                <w:rtl w:val="true"/>
              </w:rPr>
              <w:t xml:space="preserve">[ </w:t>
            </w:r>
            <w:r>
              <w:rPr>
                <w:rStyle w:val="IndexLink"/>
                <w:rtl w:val="true"/>
              </w:rPr>
              <w:t>الكلام في الوجه الثاني</w:t>
            </w:r>
            <w:r>
              <w:rPr>
                <w:rStyle w:val="IndexLink"/>
                <w:rtl w:val="true"/>
              </w:rPr>
              <w:t>]</w:t>
              <w:tab/>
            </w:r>
            <w:r>
              <w:rPr>
                <w:rStyle w:val="IndexLink"/>
              </w:rPr>
              <w:t>174</w:t>
            </w:r>
          </w:hyperlink>
        </w:p>
        <w:p>
          <w:pPr>
            <w:pStyle w:val="Contents2"/>
            <w:tabs>
              <w:tab w:val="clear" w:pos="8743"/>
              <w:tab w:val="right" w:pos="9026" w:leader="dot"/>
            </w:tabs>
            <w:rPr/>
          </w:pPr>
          <w:hyperlink w:anchor="__RefHeading___Toc3967976_2870459653">
            <w:r>
              <w:rPr>
                <w:webHidden/>
                <w:rStyle w:val="IndexLink"/>
                <w:rtl w:val="true"/>
              </w:rPr>
              <w:t>[</w:t>
            </w:r>
            <w:r>
              <w:rPr>
                <w:rStyle w:val="IndexLink"/>
                <w:rtl w:val="true"/>
              </w:rPr>
              <w:t>وجوب الطلب تعبدي لا شرطي</w:t>
            </w:r>
            <w:r>
              <w:rPr>
                <w:rStyle w:val="IndexLink"/>
                <w:rtl w:val="true"/>
              </w:rPr>
              <w:t>]</w:t>
              <w:tab/>
            </w:r>
            <w:r>
              <w:rPr>
                <w:rStyle w:val="IndexLink"/>
              </w:rPr>
              <w:t>176</w:t>
            </w:r>
          </w:hyperlink>
        </w:p>
        <w:p>
          <w:pPr>
            <w:pStyle w:val="Contents2"/>
            <w:tabs>
              <w:tab w:val="clear" w:pos="8743"/>
              <w:tab w:val="right" w:pos="9026" w:leader="dot"/>
            </w:tabs>
            <w:rPr/>
          </w:pPr>
          <w:hyperlink w:anchor="__RefHeading___Toc3967978_2870459653">
            <w:r>
              <w:rPr>
                <w:webHidden/>
                <w:rStyle w:val="IndexLink"/>
                <w:rtl w:val="true"/>
              </w:rPr>
              <w:t xml:space="preserve">[ </w:t>
            </w:r>
            <w:r>
              <w:rPr>
                <w:rStyle w:val="IndexLink"/>
                <w:rtl w:val="true"/>
              </w:rPr>
              <w:t xml:space="preserve">وجوب الطلب بمقدار غلوة سهمين في الأرض السهلة وغلوة سهم في الأرض الحزنة </w:t>
            </w:r>
            <w:r>
              <w:rPr>
                <w:rStyle w:val="IndexLink"/>
                <w:rtl w:val="true"/>
              </w:rPr>
              <w:t>]</w:t>
              <w:tab/>
            </w:r>
            <w:r>
              <w:rPr>
                <w:rStyle w:val="IndexLink"/>
              </w:rPr>
              <w:t>176</w:t>
            </w:r>
          </w:hyperlink>
        </w:p>
        <w:p>
          <w:pPr>
            <w:pStyle w:val="Contents2"/>
            <w:tabs>
              <w:tab w:val="clear" w:pos="8743"/>
              <w:tab w:val="right" w:pos="9026" w:leader="dot"/>
            </w:tabs>
            <w:rPr/>
          </w:pPr>
          <w:hyperlink w:anchor="__RefHeading___Toc3967980_2870459653">
            <w:r>
              <w:rPr>
                <w:webHidden/>
                <w:rStyle w:val="IndexLink"/>
                <w:rtl w:val="true"/>
              </w:rPr>
              <w:t>و</w:t>
            </w:r>
            <w:r>
              <w:rPr>
                <w:rStyle w:val="IndexLink"/>
                <w:rtl w:val="true"/>
              </w:rPr>
              <w:t>[</w:t>
            </w:r>
            <w:r>
              <w:rPr>
                <w:rStyle w:val="IndexLink"/>
                <w:rtl w:val="true"/>
              </w:rPr>
              <w:t>أما</w:t>
            </w:r>
            <w:r>
              <w:rPr>
                <w:rStyle w:val="IndexLink"/>
                <w:rtl w:val="true"/>
              </w:rPr>
              <w:t xml:space="preserve">] </w:t>
            </w:r>
            <w:r>
              <w:rPr>
                <w:rStyle w:val="IndexLink"/>
                <w:rtl w:val="true"/>
              </w:rPr>
              <w:t xml:space="preserve">الرواية </w:t>
            </w:r>
            <w:r>
              <w:rPr>
                <w:rStyle w:val="IndexLink"/>
                <w:rtl w:val="true"/>
              </w:rPr>
              <w:t>[</w:t>
            </w:r>
            <w:r>
              <w:rPr>
                <w:rStyle w:val="IndexLink"/>
                <w:rtl w:val="true"/>
              </w:rPr>
              <w:t>ففيها</w:t>
            </w:r>
            <w:r>
              <w:rPr>
                <w:rStyle w:val="IndexLink"/>
                <w:rtl w:val="true"/>
              </w:rPr>
              <w:t>]:</w:t>
              <w:tab/>
            </w:r>
            <w:r>
              <w:rPr>
                <w:rStyle w:val="IndexLink"/>
              </w:rPr>
              <w:t>178</w:t>
            </w:r>
          </w:hyperlink>
        </w:p>
        <w:p>
          <w:pPr>
            <w:pStyle w:val="Contents2"/>
            <w:tabs>
              <w:tab w:val="clear" w:pos="8743"/>
              <w:tab w:val="right" w:pos="9026" w:leader="dot"/>
            </w:tabs>
            <w:rPr/>
          </w:pPr>
          <w:hyperlink w:anchor="__RefHeading___Toc3967982_2870459653">
            <w:r>
              <w:rPr>
                <w:webHidden/>
                <w:rStyle w:val="IndexLink"/>
                <w:rtl w:val="true"/>
              </w:rPr>
              <w:t xml:space="preserve">[ </w:t>
            </w:r>
            <w:r>
              <w:rPr>
                <w:rStyle w:val="IndexLink"/>
                <w:rtl w:val="true"/>
              </w:rPr>
              <w:t>يجب الطلب في جميع الجهات المحتملة</w:t>
            </w:r>
            <w:r>
              <w:rPr>
                <w:rStyle w:val="IndexLink"/>
                <w:rtl w:val="true"/>
              </w:rPr>
              <w:t>]</w:t>
              <w:tab/>
            </w:r>
            <w:r>
              <w:rPr>
                <w:rStyle w:val="IndexLink"/>
              </w:rPr>
              <w:t>178</w:t>
            </w:r>
          </w:hyperlink>
        </w:p>
        <w:p>
          <w:pPr>
            <w:pStyle w:val="Contents2"/>
            <w:tabs>
              <w:tab w:val="clear" w:pos="8743"/>
              <w:tab w:val="right" w:pos="9026" w:leader="dot"/>
            </w:tabs>
            <w:rPr/>
          </w:pPr>
          <w:hyperlink w:anchor="__RefHeading___Toc3967984_2870459653">
            <w:r>
              <w:rPr>
                <w:webHidden/>
                <w:rStyle w:val="IndexLink"/>
                <w:rtl w:val="true"/>
              </w:rPr>
              <w:t xml:space="preserve">[ </w:t>
            </w:r>
            <w:r>
              <w:rPr>
                <w:rStyle w:val="IndexLink"/>
                <w:rtl w:val="true"/>
              </w:rPr>
              <w:t>ما هو المناط في وجوب التيمم ؟</w:t>
            </w:r>
            <w:r>
              <w:rPr>
                <w:rStyle w:val="IndexLink"/>
                <w:rtl w:val="true"/>
              </w:rPr>
              <w:t>]</w:t>
              <w:tab/>
            </w:r>
            <w:r>
              <w:rPr>
                <w:rStyle w:val="IndexLink"/>
              </w:rPr>
              <w:t>180</w:t>
            </w:r>
          </w:hyperlink>
        </w:p>
        <w:p>
          <w:pPr>
            <w:pStyle w:val="Contents2"/>
            <w:tabs>
              <w:tab w:val="clear" w:pos="8743"/>
              <w:tab w:val="right" w:pos="9026" w:leader="dot"/>
            </w:tabs>
            <w:rPr/>
          </w:pPr>
          <w:hyperlink w:anchor="__RefHeading___Toc3967986_2870459653">
            <w:r>
              <w:rPr>
                <w:webHidden/>
                <w:rStyle w:val="IndexLink"/>
                <w:rtl w:val="true"/>
              </w:rPr>
              <w:t>[</w:t>
            </w:r>
            <w:r>
              <w:rPr>
                <w:rStyle w:val="IndexLink"/>
                <w:rtl w:val="true"/>
              </w:rPr>
              <w:t xml:space="preserve">فى جريان الاستصحاب </w:t>
            </w:r>
            <w:r>
              <w:rPr>
                <w:rStyle w:val="IndexLink"/>
                <w:rtl w:val="true"/>
              </w:rPr>
              <w:t>]</w:t>
              <w:tab/>
            </w:r>
            <w:r>
              <w:rPr>
                <w:rStyle w:val="IndexLink"/>
              </w:rPr>
              <w:t>181</w:t>
            </w:r>
          </w:hyperlink>
        </w:p>
        <w:p>
          <w:pPr>
            <w:pStyle w:val="Contents2"/>
            <w:tabs>
              <w:tab w:val="clear" w:pos="8743"/>
              <w:tab w:val="right" w:pos="9026" w:leader="dot"/>
            </w:tabs>
            <w:rPr/>
          </w:pPr>
          <w:hyperlink w:anchor="__RefHeading___Toc3967988_2870459653">
            <w:r>
              <w:rPr>
                <w:webHidden/>
                <w:rStyle w:val="IndexLink"/>
                <w:rtl w:val="true"/>
              </w:rPr>
              <w:t>[</w:t>
            </w:r>
            <w:r>
              <w:rPr>
                <w:rStyle w:val="IndexLink"/>
                <w:rtl w:val="true"/>
              </w:rPr>
              <w:t xml:space="preserve">جواز الاستنابة بالطلب بشرط حصول العلم بقول النائب </w:t>
            </w:r>
            <w:r>
              <w:rPr>
                <w:rStyle w:val="IndexLink"/>
                <w:rtl w:val="true"/>
              </w:rPr>
              <w:t>]</w:t>
              <w:tab/>
            </w:r>
            <w:r>
              <w:rPr>
                <w:rStyle w:val="IndexLink"/>
              </w:rPr>
              <w:t>189</w:t>
            </w:r>
          </w:hyperlink>
        </w:p>
        <w:p>
          <w:pPr>
            <w:pStyle w:val="Contents2"/>
            <w:tabs>
              <w:tab w:val="clear" w:pos="8743"/>
              <w:tab w:val="right" w:pos="9026" w:leader="dot"/>
            </w:tabs>
            <w:rPr/>
          </w:pPr>
          <w:hyperlink w:anchor="__RefHeading___Toc3967990_2870459653">
            <w:r>
              <w:rPr>
                <w:webHidden/>
                <w:rStyle w:val="IndexLink"/>
                <w:rtl w:val="true"/>
              </w:rPr>
              <w:t xml:space="preserve">[ </w:t>
            </w:r>
            <w:r>
              <w:rPr>
                <w:rStyle w:val="IndexLink"/>
                <w:rtl w:val="true"/>
              </w:rPr>
              <w:t xml:space="preserve">ا لو نسي الماء وتيمّم وصلّى مع السعة </w:t>
            </w:r>
            <w:r>
              <w:rPr>
                <w:rStyle w:val="IndexLink"/>
                <w:rtl w:val="true"/>
              </w:rPr>
              <w:t>]</w:t>
              <w:tab/>
            </w:r>
            <w:r>
              <w:rPr>
                <w:rStyle w:val="IndexLink"/>
              </w:rPr>
              <w:t>201</w:t>
            </w:r>
          </w:hyperlink>
        </w:p>
        <w:p>
          <w:pPr>
            <w:pStyle w:val="Contents2"/>
            <w:tabs>
              <w:tab w:val="clear" w:pos="8743"/>
              <w:tab w:val="right" w:pos="9026" w:leader="dot"/>
            </w:tabs>
            <w:rPr/>
          </w:pPr>
          <w:hyperlink w:anchor="__RefHeading___Toc3967992_2870459653">
            <w:r>
              <w:rPr>
                <w:webHidden/>
                <w:rStyle w:val="IndexLink"/>
                <w:rtl w:val="true"/>
              </w:rPr>
              <w:t>[</w:t>
            </w:r>
            <w:r>
              <w:rPr>
                <w:rStyle w:val="IndexLink"/>
                <w:rtl w:val="true"/>
              </w:rPr>
              <w:t xml:space="preserve">عدم جوز إراقة الماء في الوقت </w:t>
            </w:r>
            <w:r>
              <w:rPr>
                <w:rStyle w:val="IndexLink"/>
                <w:rtl w:val="true"/>
              </w:rPr>
              <w:t>]</w:t>
              <w:tab/>
            </w:r>
            <w:r>
              <w:rPr>
                <w:rStyle w:val="IndexLink"/>
              </w:rPr>
              <w:t>203</w:t>
            </w:r>
          </w:hyperlink>
        </w:p>
        <w:p>
          <w:pPr>
            <w:pStyle w:val="Contents2"/>
            <w:tabs>
              <w:tab w:val="clear" w:pos="8743"/>
              <w:tab w:val="right" w:pos="9026" w:leader="dot"/>
            </w:tabs>
            <w:rPr/>
          </w:pPr>
          <w:hyperlink w:anchor="__RefHeading___Toc3967994_2870459653">
            <w:r>
              <w:rPr>
                <w:webHidden/>
                <w:rStyle w:val="IndexLink"/>
                <w:rtl w:val="true"/>
              </w:rPr>
              <w:t>[</w:t>
            </w:r>
            <w:r>
              <w:rPr>
                <w:rStyle w:val="IndexLink"/>
                <w:rtl w:val="true"/>
              </w:rPr>
              <w:t xml:space="preserve">كراهة إراقة الماء قبل الوقت </w:t>
            </w:r>
            <w:r>
              <w:rPr>
                <w:rStyle w:val="IndexLink"/>
                <w:rtl w:val="true"/>
              </w:rPr>
              <w:t>]</w:t>
              <w:tab/>
            </w:r>
            <w:r>
              <w:rPr>
                <w:rStyle w:val="IndexLink"/>
              </w:rPr>
              <w:t>205</w:t>
            </w:r>
          </w:hyperlink>
        </w:p>
        <w:p>
          <w:pPr>
            <w:pStyle w:val="Contents2"/>
            <w:tabs>
              <w:tab w:val="clear" w:pos="8743"/>
              <w:tab w:val="right" w:pos="9026" w:leader="dot"/>
            </w:tabs>
            <w:rPr/>
          </w:pPr>
          <w:hyperlink w:anchor="__RefHeading___Toc3967996_2870459653">
            <w:r>
              <w:rPr>
                <w:webHidden/>
                <w:rStyle w:val="IndexLink"/>
                <w:rtl w:val="true"/>
              </w:rPr>
              <w:t xml:space="preserve">[ </w:t>
            </w:r>
            <w:r>
              <w:rPr>
                <w:rStyle w:val="IndexLink"/>
                <w:rtl w:val="true"/>
              </w:rPr>
              <w:t xml:space="preserve">حكم ما لو أخلَّ المكلف باستعمال الماء حتى تضيق الوقت </w:t>
            </w:r>
            <w:r>
              <w:rPr>
                <w:rStyle w:val="IndexLink"/>
                <w:rtl w:val="true"/>
              </w:rPr>
              <w:t>]</w:t>
              <w:tab/>
            </w:r>
            <w:r>
              <w:rPr>
                <w:rStyle w:val="IndexLink"/>
              </w:rPr>
              <w:t>207</w:t>
            </w:r>
          </w:hyperlink>
        </w:p>
        <w:p>
          <w:pPr>
            <w:pStyle w:val="Contents2"/>
            <w:tabs>
              <w:tab w:val="clear" w:pos="8743"/>
              <w:tab w:val="right" w:pos="9026" w:leader="dot"/>
            </w:tabs>
            <w:rPr/>
          </w:pPr>
          <w:hyperlink w:anchor="__RefHeading___Toc3967998_2870459653">
            <w:r>
              <w:rPr>
                <w:webHidden/>
                <w:rStyle w:val="IndexLink"/>
                <w:rtl w:val="true"/>
              </w:rPr>
              <w:t>[</w:t>
            </w:r>
            <w:r>
              <w:rPr>
                <w:rStyle w:val="IndexLink"/>
                <w:rtl w:val="true"/>
              </w:rPr>
              <w:t xml:space="preserve">في المقصود من الضيق المسوغ للتيمم </w:t>
            </w:r>
            <w:r>
              <w:rPr>
                <w:rStyle w:val="IndexLink"/>
                <w:rtl w:val="true"/>
              </w:rPr>
              <w:t>]</w:t>
              <w:tab/>
            </w:r>
            <w:r>
              <w:rPr>
                <w:rStyle w:val="IndexLink"/>
              </w:rPr>
              <w:t>208</w:t>
            </w:r>
          </w:hyperlink>
        </w:p>
        <w:p>
          <w:pPr>
            <w:pStyle w:val="Contents2"/>
            <w:tabs>
              <w:tab w:val="clear" w:pos="8743"/>
              <w:tab w:val="right" w:pos="9026" w:leader="dot"/>
            </w:tabs>
            <w:rPr/>
          </w:pPr>
          <w:hyperlink w:anchor="__RefHeading___Toc3968000_2870459653">
            <w:r>
              <w:rPr>
                <w:webHidden/>
                <w:rStyle w:val="IndexLink"/>
                <w:rtl w:val="true"/>
              </w:rPr>
              <w:t>[</w:t>
            </w:r>
            <w:r>
              <w:rPr>
                <w:rStyle w:val="IndexLink"/>
                <w:rtl w:val="true"/>
              </w:rPr>
              <w:t>حكم المتمكن من الشرائط في أول الوقت، العاجز عنها في آخره</w:t>
            </w:r>
            <w:r>
              <w:rPr>
                <w:rStyle w:val="IndexLink"/>
                <w:rtl w:val="true"/>
              </w:rPr>
              <w:t>]</w:t>
              <w:tab/>
            </w:r>
            <w:r>
              <w:rPr>
                <w:rStyle w:val="IndexLink"/>
              </w:rPr>
              <w:t>220</w:t>
            </w:r>
          </w:hyperlink>
        </w:p>
        <w:p>
          <w:pPr>
            <w:pStyle w:val="Contents2"/>
            <w:tabs>
              <w:tab w:val="clear" w:pos="8743"/>
              <w:tab w:val="right" w:pos="9026" w:leader="dot"/>
            </w:tabs>
            <w:rPr/>
          </w:pPr>
          <w:hyperlink w:anchor="__RefHeading___Toc3968002_2870459653">
            <w:r>
              <w:rPr>
                <w:webHidden/>
                <w:rStyle w:val="IndexLink"/>
                <w:rtl w:val="true"/>
              </w:rPr>
              <w:t>[</w:t>
            </w:r>
            <w:r>
              <w:rPr>
                <w:rStyle w:val="IndexLink"/>
                <w:rtl w:val="true"/>
              </w:rPr>
              <w:t>مقتضى القاعدة والاحتياط هو تأخير الصلاة</w:t>
            </w:r>
            <w:r>
              <w:rPr>
                <w:rStyle w:val="IndexLink"/>
                <w:rtl w:val="true"/>
              </w:rPr>
              <w:t>]</w:t>
              <w:tab/>
            </w:r>
            <w:r>
              <w:rPr>
                <w:rStyle w:val="IndexLink"/>
              </w:rPr>
              <w:t>222</w:t>
            </w:r>
          </w:hyperlink>
        </w:p>
        <w:p>
          <w:pPr>
            <w:pStyle w:val="Contents2"/>
            <w:tabs>
              <w:tab w:val="clear" w:pos="8743"/>
              <w:tab w:val="right" w:pos="9026" w:leader="dot"/>
            </w:tabs>
            <w:rPr/>
          </w:pPr>
          <w:hyperlink w:anchor="__RefHeading___Toc3968004_2870459653">
            <w:r>
              <w:rPr>
                <w:webHidden/>
                <w:rStyle w:val="IndexLink"/>
                <w:rtl w:val="true"/>
              </w:rPr>
              <w:t>السبب الثاني من أسباب التيمم</w:t>
            </w:r>
            <w:r>
              <w:rPr>
                <w:rStyle w:val="IndexLink"/>
                <w:rtl w:val="true"/>
              </w:rPr>
              <w:t xml:space="preserve">: </w:t>
            </w:r>
            <w:r>
              <w:rPr>
                <w:rStyle w:val="IndexLink"/>
                <w:rtl w:val="true"/>
              </w:rPr>
              <w:t>هو عدم الوصلة إلى الماء</w:t>
            </w:r>
            <w:r>
              <w:rPr>
                <w:rStyle w:val="IndexLink"/>
                <w:rtl w:val="true"/>
              </w:rPr>
              <w:tab/>
            </w:r>
            <w:r>
              <w:rPr>
                <w:rStyle w:val="IndexLink"/>
              </w:rPr>
              <w:t>223</w:t>
            </w:r>
          </w:hyperlink>
        </w:p>
        <w:p>
          <w:pPr>
            <w:pStyle w:val="Contents2"/>
            <w:tabs>
              <w:tab w:val="clear" w:pos="8743"/>
              <w:tab w:val="right" w:pos="9026" w:leader="dot"/>
            </w:tabs>
            <w:rPr/>
          </w:pPr>
          <w:hyperlink w:anchor="__RefHeading___Toc3968006_2870459653">
            <w:r>
              <w:rPr>
                <w:webHidden/>
                <w:rStyle w:val="IndexLink"/>
                <w:rtl w:val="true"/>
              </w:rPr>
              <w:t>ومن جملة أفراد عدم الوصلة هو</w:t>
            </w:r>
            <w:r>
              <w:rPr>
                <w:rStyle w:val="IndexLink"/>
                <w:rtl w:val="true"/>
              </w:rPr>
              <w:t xml:space="preserve">: </w:t>
            </w:r>
            <w:r>
              <w:rPr>
                <w:rStyle w:val="IndexLink"/>
                <w:rtl w:val="true"/>
              </w:rPr>
              <w:t>عدم الثمن</w:t>
            </w:r>
            <w:r>
              <w:rPr>
                <w:rStyle w:val="IndexLink"/>
                <w:rtl w:val="true"/>
              </w:rPr>
              <w:tab/>
            </w:r>
            <w:r>
              <w:rPr>
                <w:rStyle w:val="IndexLink"/>
              </w:rPr>
              <w:t>224</w:t>
            </w:r>
          </w:hyperlink>
        </w:p>
        <w:p>
          <w:pPr>
            <w:pStyle w:val="Contents2"/>
            <w:tabs>
              <w:tab w:val="clear" w:pos="8743"/>
              <w:tab w:val="right" w:pos="9026" w:leader="dot"/>
            </w:tabs>
            <w:rPr/>
          </w:pPr>
          <w:hyperlink w:anchor="__RefHeading___Toc3968008_2870459653">
            <w:r>
              <w:rPr>
                <w:webHidden/>
                <w:rStyle w:val="IndexLink"/>
                <w:rtl w:val="true"/>
              </w:rPr>
              <w:t xml:space="preserve">[ </w:t>
            </w:r>
            <w:r>
              <w:rPr>
                <w:rStyle w:val="IndexLink"/>
                <w:rtl w:val="true"/>
              </w:rPr>
              <w:t xml:space="preserve">لو وجد الماء وتعذر الثمن لشرائه صح التيمم </w:t>
            </w:r>
            <w:r>
              <w:rPr>
                <w:rStyle w:val="IndexLink"/>
                <w:rtl w:val="true"/>
              </w:rPr>
              <w:t>]</w:t>
              <w:tab/>
            </w:r>
            <w:r>
              <w:rPr>
                <w:rStyle w:val="IndexLink"/>
              </w:rPr>
              <w:t>225</w:t>
            </w:r>
          </w:hyperlink>
        </w:p>
        <w:p>
          <w:pPr>
            <w:pStyle w:val="Contents2"/>
            <w:tabs>
              <w:tab w:val="clear" w:pos="8743"/>
              <w:tab w:val="right" w:pos="9026" w:leader="dot"/>
            </w:tabs>
            <w:rPr/>
          </w:pPr>
          <w:hyperlink w:anchor="__RefHeading___Toc3968010_2870459653">
            <w:r>
              <w:rPr>
                <w:webHidden/>
                <w:rStyle w:val="IndexLink"/>
                <w:rtl w:val="true"/>
              </w:rPr>
              <w:t>أما الخوف على المال من اللص</w:t>
            </w:r>
            <w:r>
              <w:rPr>
                <w:rStyle w:val="IndexLink"/>
                <w:rtl w:val="true"/>
              </w:rPr>
              <w:tab/>
            </w:r>
            <w:r>
              <w:rPr>
                <w:rStyle w:val="IndexLink"/>
              </w:rPr>
              <w:t>237</w:t>
            </w:r>
          </w:hyperlink>
        </w:p>
        <w:p>
          <w:pPr>
            <w:pStyle w:val="Contents2"/>
            <w:tabs>
              <w:tab w:val="clear" w:pos="8743"/>
              <w:tab w:val="right" w:pos="9026" w:leader="dot"/>
            </w:tabs>
            <w:rPr/>
          </w:pPr>
          <w:hyperlink w:anchor="__RefHeading___Toc3968012_2870459653">
            <w:r>
              <w:rPr>
                <w:webHidden/>
                <w:rStyle w:val="IndexLink"/>
                <w:rtl w:val="true"/>
              </w:rPr>
              <w:t>الأول</w:t>
            </w:r>
            <w:r>
              <w:rPr>
                <w:rStyle w:val="IndexLink"/>
                <w:rtl w:val="true"/>
              </w:rPr>
              <w:t xml:space="preserve">: </w:t>
            </w:r>
            <w:r>
              <w:rPr>
                <w:rStyle w:val="IndexLink"/>
                <w:rtl w:val="true"/>
              </w:rPr>
              <w:t>فهم الأصحاب وقولهم بعدم الوجوب</w:t>
            </w:r>
            <w:r>
              <w:rPr>
                <w:rStyle w:val="IndexLink"/>
                <w:rtl w:val="true"/>
              </w:rPr>
              <w:t>.</w:t>
              <w:tab/>
            </w:r>
            <w:r>
              <w:rPr>
                <w:rStyle w:val="IndexLink"/>
              </w:rPr>
              <w:t>237</w:t>
            </w:r>
          </w:hyperlink>
        </w:p>
        <w:p>
          <w:pPr>
            <w:pStyle w:val="Contents2"/>
            <w:tabs>
              <w:tab w:val="clear" w:pos="8743"/>
              <w:tab w:val="right" w:pos="9026" w:leader="dot"/>
            </w:tabs>
            <w:rPr/>
          </w:pPr>
          <w:hyperlink w:anchor="__RefHeading___Toc3968014_2870459653">
            <w:r>
              <w:rPr>
                <w:webHidden/>
                <w:rStyle w:val="IndexLink"/>
                <w:rtl w:val="true"/>
              </w:rPr>
              <w:t>وأما الخوف على نفس محترمة</w:t>
            </w:r>
            <w:r>
              <w:rPr>
                <w:rStyle w:val="IndexLink"/>
                <w:rtl w:val="true"/>
              </w:rPr>
              <w:tab/>
            </w:r>
            <w:r>
              <w:rPr>
                <w:rStyle w:val="IndexLink"/>
              </w:rPr>
              <w:t>238</w:t>
            </w:r>
          </w:hyperlink>
        </w:p>
        <w:p>
          <w:pPr>
            <w:pStyle w:val="Contents2"/>
            <w:tabs>
              <w:tab w:val="clear" w:pos="8743"/>
              <w:tab w:val="right" w:pos="9026" w:leader="dot"/>
            </w:tabs>
            <w:rPr/>
          </w:pPr>
          <w:hyperlink w:anchor="__RefHeading___Toc3968016_2870459653">
            <w:r>
              <w:rPr>
                <w:webHidden/>
                <w:rStyle w:val="IndexLink"/>
                <w:rtl w:val="true"/>
              </w:rPr>
              <w:t>وأمّا الحيوان</w:t>
            </w:r>
            <w:r>
              <w:rPr>
                <w:rStyle w:val="IndexLink"/>
                <w:rtl w:val="true"/>
              </w:rPr>
              <w:tab/>
            </w:r>
            <w:r>
              <w:rPr>
                <w:rStyle w:val="IndexLink"/>
              </w:rPr>
              <w:t>239</w:t>
            </w:r>
          </w:hyperlink>
        </w:p>
        <w:p>
          <w:pPr>
            <w:pStyle w:val="Contents2"/>
            <w:tabs>
              <w:tab w:val="clear" w:pos="8743"/>
              <w:tab w:val="right" w:pos="9026" w:leader="dot"/>
            </w:tabs>
            <w:rPr/>
          </w:pPr>
          <w:hyperlink w:anchor="__RefHeading___Toc3968018_2870459653">
            <w:r>
              <w:rPr>
                <w:webHidden/>
                <w:rStyle w:val="IndexLink"/>
                <w:rtl w:val="true"/>
              </w:rPr>
              <w:t xml:space="preserve">[ </w:t>
            </w:r>
            <w:r>
              <w:rPr>
                <w:rStyle w:val="IndexLink"/>
                <w:rtl w:val="true"/>
              </w:rPr>
              <w:t xml:space="preserve">وجوب حفظ مال الغير </w:t>
            </w:r>
            <w:r>
              <w:rPr>
                <w:rStyle w:val="IndexLink"/>
                <w:rtl w:val="true"/>
              </w:rPr>
              <w:t>]</w:t>
              <w:tab/>
            </w:r>
            <w:r>
              <w:rPr>
                <w:rStyle w:val="IndexLink"/>
              </w:rPr>
              <w:t>240</w:t>
            </w:r>
          </w:hyperlink>
        </w:p>
        <w:p>
          <w:pPr>
            <w:pStyle w:val="Contents2"/>
            <w:tabs>
              <w:tab w:val="clear" w:pos="8743"/>
              <w:tab w:val="right" w:pos="9026" w:leader="dot"/>
            </w:tabs>
            <w:rPr/>
          </w:pPr>
          <w:hyperlink w:anchor="__RefHeading___Toc3968020_2870459653">
            <w:r>
              <w:rPr>
                <w:webHidden/>
                <w:rStyle w:val="IndexLink"/>
                <w:rtl w:val="true"/>
              </w:rPr>
              <w:t>ومن جملة الموانع لاستعمال الماء المرض</w:t>
            </w:r>
            <w:r>
              <w:rPr>
                <w:rStyle w:val="IndexLink"/>
                <w:rtl w:val="true"/>
              </w:rPr>
              <w:tab/>
            </w:r>
            <w:r>
              <w:rPr>
                <w:rStyle w:val="IndexLink"/>
              </w:rPr>
              <w:t>240</w:t>
            </w:r>
          </w:hyperlink>
        </w:p>
        <w:p>
          <w:pPr>
            <w:pStyle w:val="Contents2"/>
            <w:tabs>
              <w:tab w:val="clear" w:pos="8743"/>
              <w:tab w:val="right" w:pos="9026" w:leader="dot"/>
            </w:tabs>
            <w:rPr/>
          </w:pPr>
          <w:hyperlink w:anchor="__RefHeading___Toc3968022_2870459653">
            <w:r>
              <w:rPr>
                <w:webHidden/>
                <w:rStyle w:val="IndexLink"/>
                <w:rtl w:val="true"/>
              </w:rPr>
              <w:t>وأما المرض المضر يسيراً بحيث لم يكن معتداً به</w:t>
            </w:r>
            <w:r>
              <w:rPr>
                <w:rStyle w:val="IndexLink"/>
                <w:rtl w:val="true"/>
              </w:rPr>
              <w:tab/>
            </w:r>
            <w:r>
              <w:rPr>
                <w:rStyle w:val="IndexLink"/>
              </w:rPr>
              <w:t>241</w:t>
            </w:r>
          </w:hyperlink>
        </w:p>
        <w:p>
          <w:pPr>
            <w:pStyle w:val="Contents2"/>
            <w:tabs>
              <w:tab w:val="clear" w:pos="8743"/>
              <w:tab w:val="right" w:pos="9026" w:leader="dot"/>
            </w:tabs>
            <w:rPr/>
          </w:pPr>
          <w:hyperlink w:anchor="__RefHeading___Toc3968024_2870459653">
            <w:r>
              <w:rPr>
                <w:webHidden/>
                <w:rStyle w:val="IndexLink"/>
                <w:rtl w:val="true"/>
              </w:rPr>
              <w:t>وأما المرض المتوقع باستعمال الماء</w:t>
            </w:r>
            <w:r>
              <w:rPr>
                <w:rStyle w:val="IndexLink"/>
                <w:rtl w:val="true"/>
              </w:rPr>
              <w:tab/>
            </w:r>
            <w:r>
              <w:rPr>
                <w:rStyle w:val="IndexLink"/>
              </w:rPr>
              <w:t>241</w:t>
            </w:r>
          </w:hyperlink>
        </w:p>
        <w:p>
          <w:pPr>
            <w:pStyle w:val="Contents2"/>
            <w:tabs>
              <w:tab w:val="clear" w:pos="8743"/>
              <w:tab w:val="right" w:pos="9026" w:leader="dot"/>
            </w:tabs>
            <w:rPr/>
          </w:pPr>
          <w:hyperlink w:anchor="__RefHeading___Toc3968026_2870459653">
            <w:r>
              <w:rPr>
                <w:webHidden/>
                <w:rStyle w:val="IndexLink"/>
                <w:rtl w:val="true"/>
              </w:rPr>
              <w:t>[</w:t>
            </w:r>
            <w:r>
              <w:rPr>
                <w:rStyle w:val="IndexLink"/>
                <w:rtl w:val="true"/>
              </w:rPr>
              <w:t>لا فرق في المرض المسوغ بين كونه في جميع البدن أو في بعضه</w:t>
            </w:r>
            <w:r>
              <w:rPr>
                <w:rStyle w:val="IndexLink"/>
                <w:rtl w:val="true"/>
              </w:rPr>
              <w:t>]</w:t>
              <w:tab/>
            </w:r>
            <w:r>
              <w:rPr>
                <w:rStyle w:val="IndexLink"/>
              </w:rPr>
              <w:t>242</w:t>
            </w:r>
          </w:hyperlink>
        </w:p>
        <w:p>
          <w:pPr>
            <w:pStyle w:val="Contents2"/>
            <w:tabs>
              <w:tab w:val="clear" w:pos="8743"/>
              <w:tab w:val="right" w:pos="9026" w:leader="dot"/>
            </w:tabs>
            <w:rPr/>
          </w:pPr>
          <w:hyperlink w:anchor="__RefHeading___Toc3968028_2870459653">
            <w:r>
              <w:rPr>
                <w:webHidden/>
                <w:rStyle w:val="IndexLink"/>
                <w:rtl w:val="true"/>
              </w:rPr>
              <w:t>[</w:t>
            </w:r>
            <w:r>
              <w:rPr>
                <w:rStyle w:val="IndexLink"/>
                <w:rtl w:val="true"/>
              </w:rPr>
              <w:t>حكم الجبيرة النجسة</w:t>
            </w:r>
            <w:r>
              <w:rPr>
                <w:rStyle w:val="IndexLink"/>
                <w:rtl w:val="true"/>
              </w:rPr>
              <w:t>]</w:t>
              <w:tab/>
            </w:r>
            <w:r>
              <w:rPr>
                <w:rStyle w:val="IndexLink"/>
              </w:rPr>
              <w:t>259</w:t>
            </w:r>
          </w:hyperlink>
        </w:p>
        <w:p>
          <w:pPr>
            <w:pStyle w:val="Contents2"/>
            <w:tabs>
              <w:tab w:val="clear" w:pos="8743"/>
              <w:tab w:val="right" w:pos="9026" w:leader="dot"/>
            </w:tabs>
            <w:rPr/>
          </w:pPr>
          <w:hyperlink w:anchor="__RefHeading___Toc3968030_2870459653">
            <w:r>
              <w:rPr>
                <w:webHidden/>
                <w:rStyle w:val="IndexLink"/>
                <w:rtl w:val="true"/>
              </w:rPr>
              <w:t>[</w:t>
            </w:r>
            <w:r>
              <w:rPr>
                <w:rStyle w:val="IndexLink"/>
                <w:rtl w:val="true"/>
              </w:rPr>
              <w:t>حكم الجرح والقرح المكشوفين</w:t>
            </w:r>
            <w:r>
              <w:rPr>
                <w:rStyle w:val="IndexLink"/>
                <w:rtl w:val="true"/>
              </w:rPr>
              <w:t>]</w:t>
              <w:tab/>
            </w:r>
            <w:r>
              <w:rPr>
                <w:rStyle w:val="IndexLink"/>
              </w:rPr>
              <w:t>260</w:t>
            </w:r>
          </w:hyperlink>
        </w:p>
        <w:p>
          <w:pPr>
            <w:pStyle w:val="Contents2"/>
            <w:tabs>
              <w:tab w:val="clear" w:pos="8743"/>
              <w:tab w:val="right" w:pos="9026" w:leader="dot"/>
            </w:tabs>
            <w:rPr/>
          </w:pPr>
          <w:hyperlink w:anchor="__RefHeading___Toc3968032_2870459653">
            <w:r>
              <w:rPr>
                <w:webHidden/>
                <w:rStyle w:val="IndexLink"/>
                <w:rtl w:val="true"/>
              </w:rPr>
              <w:t xml:space="preserve">[ </w:t>
            </w:r>
            <w:r>
              <w:rPr>
                <w:rStyle w:val="IndexLink"/>
                <w:rtl w:val="true"/>
              </w:rPr>
              <w:t xml:space="preserve">خوف فوت الحاجة التي لا يتضرر بها </w:t>
            </w:r>
            <w:r>
              <w:rPr>
                <w:rStyle w:val="IndexLink"/>
                <w:rtl w:val="true"/>
              </w:rPr>
              <w:t>]</w:t>
              <w:tab/>
            </w:r>
            <w:r>
              <w:rPr>
                <w:rStyle w:val="IndexLink"/>
              </w:rPr>
              <w:t>265</w:t>
            </w:r>
          </w:hyperlink>
        </w:p>
        <w:p>
          <w:pPr>
            <w:pStyle w:val="Contents2"/>
            <w:tabs>
              <w:tab w:val="clear" w:pos="8743"/>
              <w:tab w:val="right" w:pos="9026" w:leader="dot"/>
            </w:tabs>
            <w:rPr/>
          </w:pPr>
          <w:hyperlink w:anchor="__RefHeading___Toc3968034_2870459653">
            <w:r>
              <w:rPr>
                <w:webHidden/>
                <w:rStyle w:val="IndexLink"/>
                <w:rtl w:val="true"/>
              </w:rPr>
              <w:t>[</w:t>
            </w:r>
            <w:r>
              <w:rPr>
                <w:rStyle w:val="IndexLink"/>
                <w:rtl w:val="true"/>
              </w:rPr>
              <w:t>ما هو المدار في كون الوضوء ضرياً ؟</w:t>
            </w:r>
            <w:r>
              <w:rPr>
                <w:rStyle w:val="IndexLink"/>
                <w:rtl w:val="true"/>
              </w:rPr>
              <w:t>]</w:t>
              <w:tab/>
            </w:r>
            <w:r>
              <w:rPr>
                <w:rStyle w:val="IndexLink"/>
              </w:rPr>
              <w:t>265</w:t>
            </w:r>
          </w:hyperlink>
        </w:p>
        <w:p>
          <w:pPr>
            <w:pStyle w:val="Contents2"/>
            <w:tabs>
              <w:tab w:val="clear" w:pos="8743"/>
              <w:tab w:val="right" w:pos="9026" w:leader="dot"/>
            </w:tabs>
            <w:rPr/>
          </w:pPr>
          <w:hyperlink w:anchor="__RefHeading___Toc3968036_2870459653">
            <w:r>
              <w:rPr>
                <w:webHidden/>
                <w:rStyle w:val="IndexLink"/>
                <w:rtl w:val="true"/>
              </w:rPr>
              <w:t xml:space="preserve">[ </w:t>
            </w:r>
            <w:r>
              <w:rPr>
                <w:rStyle w:val="IndexLink"/>
                <w:rtl w:val="true"/>
              </w:rPr>
              <w:t xml:space="preserve">لو خالف وتطهر مع سقوط الطهارة بحقه </w:t>
            </w:r>
            <w:r>
              <w:rPr>
                <w:rStyle w:val="IndexLink"/>
                <w:rtl w:val="true"/>
              </w:rPr>
              <w:t>]</w:t>
              <w:tab/>
            </w:r>
            <w:r>
              <w:rPr>
                <w:rStyle w:val="IndexLink"/>
              </w:rPr>
              <w:t>268</w:t>
            </w:r>
          </w:hyperlink>
        </w:p>
        <w:p>
          <w:pPr>
            <w:pStyle w:val="Contents2"/>
            <w:tabs>
              <w:tab w:val="clear" w:pos="8743"/>
              <w:tab w:val="right" w:pos="9026" w:leader="dot"/>
            </w:tabs>
            <w:rPr/>
          </w:pPr>
          <w:hyperlink w:anchor="__RefHeading___Toc3968038_2870459653">
            <w:r>
              <w:rPr>
                <w:webHidden/>
                <w:rStyle w:val="IndexLink"/>
                <w:rtl w:val="true"/>
              </w:rPr>
              <w:t xml:space="preserve">[ </w:t>
            </w:r>
            <w:r>
              <w:rPr>
                <w:rStyle w:val="IndexLink"/>
                <w:rtl w:val="true"/>
              </w:rPr>
              <w:t xml:space="preserve">ضيق الوقت عن إدراك ركعة </w:t>
            </w:r>
            <w:r>
              <w:rPr>
                <w:rStyle w:val="IndexLink"/>
                <w:rtl w:val="true"/>
              </w:rPr>
              <w:t>]</w:t>
              <w:tab/>
            </w:r>
            <w:r>
              <w:rPr>
                <w:rStyle w:val="IndexLink"/>
              </w:rPr>
              <w:t>272</w:t>
            </w:r>
          </w:hyperlink>
        </w:p>
        <w:p>
          <w:pPr>
            <w:pStyle w:val="Contents2"/>
            <w:tabs>
              <w:tab w:val="clear" w:pos="8743"/>
              <w:tab w:val="right" w:pos="9026" w:leader="dot"/>
            </w:tabs>
            <w:rPr/>
          </w:pPr>
          <w:hyperlink w:anchor="__RefHeading___Toc3968040_2870459653">
            <w:r>
              <w:rPr>
                <w:webHidden/>
                <w:rStyle w:val="IndexLink"/>
                <w:rtl w:val="true"/>
              </w:rPr>
              <w:t>الكلام فيما يتيمّم به</w:t>
            </w:r>
            <w:r>
              <w:rPr>
                <w:rStyle w:val="IndexLink"/>
                <w:rtl w:val="true"/>
              </w:rPr>
              <w:tab/>
            </w:r>
            <w:r>
              <w:rPr>
                <w:rStyle w:val="IndexLink"/>
              </w:rPr>
              <w:t>280</w:t>
            </w:r>
          </w:hyperlink>
        </w:p>
        <w:p>
          <w:pPr>
            <w:pStyle w:val="Contents2"/>
            <w:tabs>
              <w:tab w:val="clear" w:pos="8743"/>
              <w:tab w:val="right" w:pos="9026" w:leader="dot"/>
            </w:tabs>
            <w:rPr/>
          </w:pPr>
          <w:hyperlink w:anchor="__RefHeading___Toc3968042_2870459653">
            <w:r>
              <w:rPr>
                <w:webHidden/>
                <w:rStyle w:val="IndexLink"/>
                <w:rtl w:val="true"/>
              </w:rPr>
              <w:t>[</w:t>
            </w:r>
            <w:r>
              <w:rPr>
                <w:rStyle w:val="IndexLink"/>
                <w:rtl w:val="true"/>
              </w:rPr>
              <w:t>إذا كان معنى الصعيد مجملا</w:t>
            </w:r>
            <w:r>
              <w:rPr>
                <w:rStyle w:val="IndexLink"/>
                <w:rtl w:val="true"/>
              </w:rPr>
              <w:t>]</w:t>
              <w:tab/>
            </w:r>
            <w:r>
              <w:rPr>
                <w:rStyle w:val="IndexLink"/>
              </w:rPr>
              <w:t>284</w:t>
            </w:r>
          </w:hyperlink>
        </w:p>
        <w:p>
          <w:pPr>
            <w:pStyle w:val="Contents2"/>
            <w:tabs>
              <w:tab w:val="clear" w:pos="8743"/>
              <w:tab w:val="right" w:pos="9026" w:leader="dot"/>
            </w:tabs>
            <w:rPr/>
          </w:pPr>
          <w:hyperlink w:anchor="__RefHeading___Toc3968044_2870459653">
            <w:r>
              <w:rPr>
                <w:webHidden/>
                <w:rStyle w:val="IndexLink"/>
                <w:rtl w:val="true"/>
              </w:rPr>
              <w:t>بقي الكلام في الأشياء المختلف فيها</w:t>
            </w:r>
            <w:r>
              <w:rPr>
                <w:rStyle w:val="IndexLink"/>
                <w:rtl w:val="true"/>
              </w:rPr>
              <w:tab/>
            </w:r>
            <w:r>
              <w:rPr>
                <w:rStyle w:val="IndexLink"/>
              </w:rPr>
              <w:t>289</w:t>
            </w:r>
          </w:hyperlink>
        </w:p>
        <w:p>
          <w:pPr>
            <w:pStyle w:val="Contents2"/>
            <w:tabs>
              <w:tab w:val="clear" w:pos="8743"/>
              <w:tab w:val="right" w:pos="9026" w:leader="dot"/>
            </w:tabs>
            <w:rPr/>
          </w:pPr>
          <w:hyperlink w:anchor="__RefHeading___Toc3968046_2870459653">
            <w:r>
              <w:rPr>
                <w:webHidden/>
                <w:rStyle w:val="IndexLink"/>
                <w:rtl w:val="true"/>
              </w:rPr>
              <w:t>[</w:t>
            </w:r>
            <w:r>
              <w:rPr>
                <w:rStyle w:val="IndexLink"/>
                <w:rtl w:val="true"/>
              </w:rPr>
              <w:t>جواز التيمم بأرض النورة والجص</w:t>
            </w:r>
            <w:r>
              <w:rPr>
                <w:rStyle w:val="IndexLink"/>
                <w:rtl w:val="true"/>
              </w:rPr>
              <w:t>]</w:t>
              <w:tab/>
            </w:r>
            <w:r>
              <w:rPr>
                <w:rStyle w:val="IndexLink"/>
              </w:rPr>
              <w:t>289</w:t>
            </w:r>
          </w:hyperlink>
        </w:p>
        <w:p>
          <w:pPr>
            <w:pStyle w:val="Contents2"/>
            <w:tabs>
              <w:tab w:val="clear" w:pos="8743"/>
              <w:tab w:val="right" w:pos="9026" w:leader="dot"/>
            </w:tabs>
            <w:rPr/>
          </w:pPr>
          <w:hyperlink w:anchor="__RefHeading___Toc3968048_2870459653">
            <w:r>
              <w:rPr>
                <w:webHidden/>
                <w:rStyle w:val="IndexLink"/>
                <w:rtl w:val="true"/>
              </w:rPr>
              <w:t>[</w:t>
            </w:r>
            <w:r>
              <w:rPr>
                <w:rStyle w:val="IndexLink"/>
                <w:rtl w:val="true"/>
              </w:rPr>
              <w:t>جواز التيمم بالجص والنورة</w:t>
            </w:r>
            <w:r>
              <w:rPr>
                <w:rStyle w:val="IndexLink"/>
                <w:rtl w:val="true"/>
              </w:rPr>
              <w:t>]</w:t>
              <w:tab/>
            </w:r>
            <w:r>
              <w:rPr>
                <w:rStyle w:val="IndexLink"/>
              </w:rPr>
              <w:t>289</w:t>
            </w:r>
          </w:hyperlink>
        </w:p>
        <w:p>
          <w:pPr>
            <w:pStyle w:val="Contents2"/>
            <w:tabs>
              <w:tab w:val="clear" w:pos="8743"/>
              <w:tab w:val="right" w:pos="9026" w:leader="dot"/>
            </w:tabs>
            <w:rPr/>
          </w:pPr>
          <w:hyperlink w:anchor="__RefHeading___Toc3968050_2870459653">
            <w:r>
              <w:rPr>
                <w:webHidden/>
                <w:rStyle w:val="IndexLink"/>
                <w:rtl w:val="true"/>
              </w:rPr>
              <w:t>[</w:t>
            </w:r>
            <w:r>
              <w:rPr>
                <w:rStyle w:val="IndexLink"/>
                <w:rtl w:val="true"/>
              </w:rPr>
              <w:t>حكم التيمّم بالرماد</w:t>
            </w:r>
            <w:r>
              <w:rPr>
                <w:rStyle w:val="IndexLink"/>
                <w:rtl w:val="true"/>
              </w:rPr>
              <w:t>]</w:t>
              <w:tab/>
            </w:r>
            <w:r>
              <w:rPr>
                <w:rStyle w:val="IndexLink"/>
              </w:rPr>
              <w:t>290</w:t>
            </w:r>
          </w:hyperlink>
        </w:p>
        <w:p>
          <w:pPr>
            <w:pStyle w:val="Contents2"/>
            <w:tabs>
              <w:tab w:val="clear" w:pos="8743"/>
              <w:tab w:val="right" w:pos="9026" w:leader="dot"/>
            </w:tabs>
            <w:rPr/>
          </w:pPr>
          <w:hyperlink w:anchor="__RefHeading___Toc3968052_2870459653">
            <w:r>
              <w:rPr>
                <w:webHidden/>
                <w:rStyle w:val="IndexLink"/>
                <w:rtl w:val="true"/>
              </w:rPr>
              <w:t>[</w:t>
            </w:r>
            <w:r>
              <w:rPr>
                <w:rStyle w:val="IndexLink"/>
                <w:rtl w:val="true"/>
              </w:rPr>
              <w:t>عدم جواز التيمم بالمعادن</w:t>
            </w:r>
            <w:r>
              <w:rPr>
                <w:rStyle w:val="IndexLink"/>
                <w:rtl w:val="true"/>
              </w:rPr>
              <w:t>]</w:t>
              <w:tab/>
            </w:r>
            <w:r>
              <w:rPr>
                <w:rStyle w:val="IndexLink"/>
              </w:rPr>
              <w:t>291</w:t>
            </w:r>
          </w:hyperlink>
        </w:p>
        <w:p>
          <w:pPr>
            <w:pStyle w:val="Contents2"/>
            <w:tabs>
              <w:tab w:val="clear" w:pos="8743"/>
              <w:tab w:val="right" w:pos="9026" w:leader="dot"/>
            </w:tabs>
            <w:rPr/>
          </w:pPr>
          <w:hyperlink w:anchor="__RefHeading___Toc3968054_2870459653">
            <w:r>
              <w:rPr>
                <w:webHidden/>
                <w:rStyle w:val="IndexLink"/>
                <w:rtl w:val="true"/>
              </w:rPr>
              <w:t xml:space="preserve">[ </w:t>
            </w:r>
            <w:r>
              <w:rPr>
                <w:rStyle w:val="IndexLink"/>
                <w:rtl w:val="true"/>
              </w:rPr>
              <w:t xml:space="preserve">جواز التيمّم بالخزف </w:t>
            </w:r>
            <w:r>
              <w:rPr>
                <w:rStyle w:val="IndexLink"/>
                <w:rtl w:val="true"/>
              </w:rPr>
              <w:t>]</w:t>
              <w:tab/>
            </w:r>
            <w:r>
              <w:rPr>
                <w:rStyle w:val="IndexLink"/>
              </w:rPr>
              <w:t>291</w:t>
            </w:r>
          </w:hyperlink>
        </w:p>
        <w:p>
          <w:pPr>
            <w:pStyle w:val="Contents2"/>
            <w:tabs>
              <w:tab w:val="clear" w:pos="8743"/>
              <w:tab w:val="right" w:pos="9026" w:leader="dot"/>
            </w:tabs>
            <w:rPr/>
          </w:pPr>
          <w:hyperlink w:anchor="__RefHeading___Toc3968056_2870459653">
            <w:r>
              <w:rPr>
                <w:webHidden/>
                <w:rStyle w:val="IndexLink"/>
                <w:rtl w:val="true"/>
              </w:rPr>
              <w:t xml:space="preserve">[ </w:t>
            </w:r>
            <w:r>
              <w:rPr>
                <w:rStyle w:val="IndexLink"/>
                <w:rtl w:val="true"/>
              </w:rPr>
              <w:t xml:space="preserve">جواز التيمّم بالتراب المستعمل في التيمم </w:t>
            </w:r>
            <w:r>
              <w:rPr>
                <w:rStyle w:val="IndexLink"/>
                <w:rtl w:val="true"/>
              </w:rPr>
              <w:t>]</w:t>
              <w:tab/>
            </w:r>
            <w:r>
              <w:rPr>
                <w:rStyle w:val="IndexLink"/>
              </w:rPr>
              <w:t>292</w:t>
            </w:r>
          </w:hyperlink>
        </w:p>
        <w:p>
          <w:pPr>
            <w:pStyle w:val="Contents2"/>
            <w:tabs>
              <w:tab w:val="clear" w:pos="8743"/>
              <w:tab w:val="right" w:pos="9026" w:leader="dot"/>
            </w:tabs>
            <w:rPr/>
          </w:pPr>
          <w:hyperlink w:anchor="__RefHeading___Toc3968058_2870459653">
            <w:r>
              <w:rPr>
                <w:webHidden/>
                <w:rStyle w:val="IndexLink"/>
                <w:rtl w:val="true"/>
              </w:rPr>
              <w:t xml:space="preserve">[ </w:t>
            </w:r>
            <w:r>
              <w:rPr>
                <w:rStyle w:val="IndexLink"/>
                <w:rtl w:val="true"/>
              </w:rPr>
              <w:t xml:space="preserve">جواز التيمم بالغبار والطين بعد فقد التراب والحجر </w:t>
            </w:r>
            <w:r>
              <w:rPr>
                <w:rStyle w:val="IndexLink"/>
                <w:rtl w:val="true"/>
              </w:rPr>
              <w:t>]</w:t>
              <w:tab/>
            </w:r>
            <w:r>
              <w:rPr>
                <w:rStyle w:val="IndexLink"/>
              </w:rPr>
              <w:t>292</w:t>
            </w:r>
          </w:hyperlink>
        </w:p>
        <w:p>
          <w:pPr>
            <w:pStyle w:val="Contents2"/>
            <w:tabs>
              <w:tab w:val="clear" w:pos="8743"/>
              <w:tab w:val="right" w:pos="9026" w:leader="dot"/>
            </w:tabs>
            <w:rPr/>
          </w:pPr>
          <w:hyperlink w:anchor="__RefHeading___Toc3968060_2870459653">
            <w:r>
              <w:rPr>
                <w:webHidden/>
                <w:rStyle w:val="IndexLink"/>
                <w:rtl w:val="true"/>
              </w:rPr>
              <w:t>[</w:t>
            </w:r>
            <w:r>
              <w:rPr>
                <w:rStyle w:val="IndexLink"/>
                <w:rtl w:val="true"/>
              </w:rPr>
              <w:t>حكم التيمّم بالتراب المغصوب</w:t>
            </w:r>
            <w:r>
              <w:rPr>
                <w:rStyle w:val="IndexLink"/>
                <w:rtl w:val="true"/>
              </w:rPr>
              <w:t>]</w:t>
              <w:tab/>
            </w:r>
            <w:r>
              <w:rPr>
                <w:rStyle w:val="IndexLink"/>
              </w:rPr>
              <w:t>294</w:t>
            </w:r>
          </w:hyperlink>
        </w:p>
        <w:p>
          <w:pPr>
            <w:pStyle w:val="Contents2"/>
            <w:tabs>
              <w:tab w:val="clear" w:pos="8743"/>
              <w:tab w:val="right" w:pos="9026" w:leader="dot"/>
            </w:tabs>
            <w:rPr/>
          </w:pPr>
          <w:hyperlink w:anchor="__RefHeading___Toc3968062_2870459653">
            <w:r>
              <w:rPr>
                <w:webHidden/>
                <w:rStyle w:val="IndexLink"/>
                <w:rtl w:val="true"/>
              </w:rPr>
              <w:t xml:space="preserve">[ </w:t>
            </w:r>
            <w:r>
              <w:rPr>
                <w:rStyle w:val="IndexLink"/>
                <w:rtl w:val="true"/>
              </w:rPr>
              <w:t>صحة تيمّم المحبوس في المكان المغصوب</w:t>
            </w:r>
            <w:r>
              <w:rPr>
                <w:rStyle w:val="IndexLink"/>
                <w:rtl w:val="true"/>
              </w:rPr>
              <w:t>]</w:t>
              <w:tab/>
            </w:r>
            <w:r>
              <w:rPr>
                <w:rStyle w:val="IndexLink"/>
              </w:rPr>
              <w:t>295</w:t>
            </w:r>
          </w:hyperlink>
        </w:p>
        <w:p>
          <w:pPr>
            <w:pStyle w:val="Contents2"/>
            <w:tabs>
              <w:tab w:val="clear" w:pos="8743"/>
              <w:tab w:val="right" w:pos="9026" w:leader="dot"/>
            </w:tabs>
            <w:rPr/>
          </w:pPr>
          <w:hyperlink w:anchor="__RefHeading___Toc3968064_2870459653">
            <w:r>
              <w:rPr>
                <w:webHidden/>
                <w:rStyle w:val="IndexLink"/>
                <w:rtl w:val="true"/>
              </w:rPr>
              <w:t>[</w:t>
            </w:r>
            <w:r>
              <w:rPr>
                <w:rStyle w:val="IndexLink"/>
                <w:rtl w:val="true"/>
              </w:rPr>
              <w:t xml:space="preserve">عدم جواز التيمّم بالثلج </w:t>
            </w:r>
            <w:r>
              <w:rPr>
                <w:rStyle w:val="IndexLink"/>
                <w:rtl w:val="true"/>
              </w:rPr>
              <w:t>]</w:t>
              <w:tab/>
            </w:r>
            <w:r>
              <w:rPr>
                <w:rStyle w:val="IndexLink"/>
              </w:rPr>
              <w:t>295</w:t>
            </w:r>
          </w:hyperlink>
        </w:p>
        <w:p>
          <w:pPr>
            <w:pStyle w:val="Contents2"/>
            <w:tabs>
              <w:tab w:val="clear" w:pos="8743"/>
              <w:tab w:val="right" w:pos="9026" w:leader="dot"/>
            </w:tabs>
            <w:rPr/>
          </w:pPr>
          <w:hyperlink w:anchor="__RefHeading___Toc3968066_2870459653">
            <w:r>
              <w:rPr>
                <w:webHidden/>
                <w:rStyle w:val="IndexLink"/>
                <w:rtl w:val="true"/>
              </w:rPr>
              <w:t>[</w:t>
            </w:r>
            <w:r>
              <w:rPr>
                <w:rStyle w:val="IndexLink"/>
                <w:rtl w:val="true"/>
              </w:rPr>
              <w:t xml:space="preserve">كيفية التيمّم، وحكمه قبل الوقت </w:t>
            </w:r>
            <w:r>
              <w:rPr>
                <w:rStyle w:val="IndexLink"/>
                <w:rtl w:val="true"/>
              </w:rPr>
              <w:t>]</w:t>
              <w:tab/>
            </w:r>
            <w:r>
              <w:rPr>
                <w:rStyle w:val="IndexLink"/>
              </w:rPr>
              <w:t>295</w:t>
            </w:r>
          </w:hyperlink>
        </w:p>
        <w:p>
          <w:pPr>
            <w:pStyle w:val="Contents2"/>
            <w:tabs>
              <w:tab w:val="clear" w:pos="8743"/>
              <w:tab w:val="right" w:pos="9026" w:leader="dot"/>
            </w:tabs>
            <w:rPr/>
          </w:pPr>
          <w:hyperlink w:anchor="__RefHeading___Toc3968068_2870459653">
            <w:r>
              <w:rPr>
                <w:webHidden/>
                <w:rStyle w:val="IndexLink"/>
                <w:rtl w:val="true"/>
              </w:rPr>
              <w:t>[</w:t>
            </w:r>
            <w:r>
              <w:rPr>
                <w:rStyle w:val="IndexLink"/>
                <w:rtl w:val="true"/>
              </w:rPr>
              <w:t xml:space="preserve">هل يكون الوضوء قبل الوقت غيرياً أو نفسياً </w:t>
            </w:r>
            <w:r>
              <w:rPr>
                <w:rStyle w:val="IndexLink"/>
                <w:rtl w:val="true"/>
              </w:rPr>
              <w:t>]</w:t>
              <w:tab/>
            </w:r>
            <w:r>
              <w:rPr>
                <w:rStyle w:val="IndexLink"/>
              </w:rPr>
              <w:t>299</w:t>
            </w:r>
          </w:hyperlink>
        </w:p>
        <w:p>
          <w:pPr>
            <w:pStyle w:val="Contents2"/>
            <w:tabs>
              <w:tab w:val="clear" w:pos="8743"/>
              <w:tab w:val="right" w:pos="9026" w:leader="dot"/>
            </w:tabs>
            <w:rPr/>
          </w:pPr>
          <w:hyperlink w:anchor="__RefHeading___Toc3968070_2870459653">
            <w:r>
              <w:rPr>
                <w:webHidden/>
                <w:rStyle w:val="IndexLink"/>
                <w:rtl w:val="true"/>
              </w:rPr>
              <w:t xml:space="preserve">[ </w:t>
            </w:r>
            <w:r>
              <w:rPr>
                <w:rStyle w:val="IndexLink"/>
                <w:rtl w:val="true"/>
              </w:rPr>
              <w:t>هل يعتبر الضيق في التيمم بعد دخول الوقت؟</w:t>
            </w:r>
            <w:r>
              <w:rPr>
                <w:rStyle w:val="IndexLink"/>
                <w:rtl w:val="true"/>
              </w:rPr>
              <w:t>]</w:t>
              <w:tab/>
            </w:r>
            <w:r>
              <w:rPr>
                <w:rStyle w:val="IndexLink"/>
              </w:rPr>
              <w:t>301</w:t>
            </w:r>
          </w:hyperlink>
        </w:p>
        <w:p>
          <w:pPr>
            <w:pStyle w:val="Contents2"/>
            <w:tabs>
              <w:tab w:val="clear" w:pos="8743"/>
              <w:tab w:val="right" w:pos="9026" w:leader="dot"/>
            </w:tabs>
            <w:rPr/>
          </w:pPr>
          <w:hyperlink w:anchor="__RefHeading___Toc3968072_2870459653">
            <w:r>
              <w:rPr>
                <w:webHidden/>
                <w:rStyle w:val="IndexLink"/>
                <w:rtl w:val="true"/>
              </w:rPr>
              <w:t xml:space="preserve">[ </w:t>
            </w:r>
            <w:r>
              <w:rPr>
                <w:rStyle w:val="IndexLink"/>
                <w:rtl w:val="true"/>
              </w:rPr>
              <w:t xml:space="preserve">مقتضى الأصول العملية </w:t>
            </w:r>
            <w:r>
              <w:rPr>
                <w:rStyle w:val="IndexLink"/>
                <w:rtl w:val="true"/>
              </w:rPr>
              <w:t>]</w:t>
              <w:tab/>
            </w:r>
            <w:r>
              <w:rPr>
                <w:rStyle w:val="IndexLink"/>
              </w:rPr>
              <w:t>302</w:t>
            </w:r>
          </w:hyperlink>
        </w:p>
        <w:p>
          <w:pPr>
            <w:pStyle w:val="Contents2"/>
            <w:tabs>
              <w:tab w:val="clear" w:pos="8743"/>
              <w:tab w:val="right" w:pos="9026" w:leader="dot"/>
            </w:tabs>
            <w:rPr/>
          </w:pPr>
          <w:hyperlink w:anchor="__RefHeading___Toc3968074_2870459653">
            <w:r>
              <w:rPr>
                <w:webHidden/>
                <w:rStyle w:val="IndexLink"/>
                <w:rtl w:val="true"/>
              </w:rPr>
              <w:t>[</w:t>
            </w:r>
            <w:r>
              <w:rPr>
                <w:rStyle w:val="IndexLink"/>
                <w:rtl w:val="true"/>
              </w:rPr>
              <w:t>مقتضى الأصول اللّفظية</w:t>
            </w:r>
            <w:r>
              <w:rPr>
                <w:rStyle w:val="IndexLink"/>
                <w:rtl w:val="true"/>
              </w:rPr>
              <w:t>]</w:t>
              <w:tab/>
            </w:r>
            <w:r>
              <w:rPr>
                <w:rStyle w:val="IndexLink"/>
              </w:rPr>
              <w:t>303</w:t>
            </w:r>
          </w:hyperlink>
        </w:p>
        <w:p>
          <w:pPr>
            <w:pStyle w:val="Contents2"/>
            <w:tabs>
              <w:tab w:val="clear" w:pos="8743"/>
              <w:tab w:val="right" w:pos="9026" w:leader="dot"/>
            </w:tabs>
            <w:rPr/>
          </w:pPr>
          <w:hyperlink w:anchor="__RefHeading___Toc3968076_2870459653">
            <w:r>
              <w:rPr>
                <w:webHidden/>
                <w:rStyle w:val="IndexLink"/>
                <w:rtl w:val="true"/>
              </w:rPr>
              <w:t>[</w:t>
            </w:r>
            <w:r>
              <w:rPr>
                <w:rStyle w:val="IndexLink"/>
                <w:rtl w:val="true"/>
              </w:rPr>
              <w:t xml:space="preserve">كيفية التيمّم </w:t>
            </w:r>
            <w:r>
              <w:rPr>
                <w:rStyle w:val="IndexLink"/>
                <w:rtl w:val="true"/>
              </w:rPr>
              <w:t>]</w:t>
              <w:tab/>
            </w:r>
            <w:r>
              <w:rPr>
                <w:rStyle w:val="IndexLink"/>
              </w:rPr>
              <w:t>306</w:t>
            </w:r>
          </w:hyperlink>
        </w:p>
        <w:p>
          <w:pPr>
            <w:pStyle w:val="Contents2"/>
            <w:tabs>
              <w:tab w:val="clear" w:pos="8743"/>
              <w:tab w:val="right" w:pos="9026" w:leader="dot"/>
            </w:tabs>
            <w:rPr/>
          </w:pPr>
          <w:hyperlink w:anchor="__RefHeading___Toc3968078_2870459653">
            <w:r>
              <w:rPr>
                <w:webHidden/>
                <w:rStyle w:val="IndexLink"/>
                <w:rtl w:val="true"/>
              </w:rPr>
              <w:t>[</w:t>
            </w:r>
            <w:r>
              <w:rPr>
                <w:rStyle w:val="IndexLink"/>
                <w:rtl w:val="true"/>
              </w:rPr>
              <w:t>عدم كفاية القصد الإجمالي</w:t>
            </w:r>
            <w:r>
              <w:rPr>
                <w:rStyle w:val="IndexLink"/>
                <w:rtl w:val="true"/>
              </w:rPr>
              <w:t>]</w:t>
              <w:tab/>
            </w:r>
            <w:r>
              <w:rPr>
                <w:rStyle w:val="IndexLink"/>
              </w:rPr>
              <w:t>307</w:t>
            </w:r>
          </w:hyperlink>
        </w:p>
        <w:p>
          <w:pPr>
            <w:pStyle w:val="Contents2"/>
            <w:tabs>
              <w:tab w:val="clear" w:pos="8743"/>
              <w:tab w:val="right" w:pos="9026" w:leader="dot"/>
            </w:tabs>
            <w:rPr/>
          </w:pPr>
          <w:hyperlink w:anchor="__RefHeading___Toc3968080_2870459653">
            <w:r>
              <w:rPr>
                <w:webHidden/>
                <w:rStyle w:val="IndexLink"/>
                <w:rtl w:val="true"/>
              </w:rPr>
              <w:t xml:space="preserve">[ </w:t>
            </w:r>
            <w:r>
              <w:rPr>
                <w:rStyle w:val="IndexLink"/>
                <w:rtl w:val="true"/>
              </w:rPr>
              <w:t>هل التيمم هو الضرب أو المسح ؟</w:t>
            </w:r>
            <w:r>
              <w:rPr>
                <w:rStyle w:val="IndexLink"/>
                <w:rtl w:val="true"/>
              </w:rPr>
              <w:t>]</w:t>
              <w:tab/>
            </w:r>
            <w:r>
              <w:rPr>
                <w:rStyle w:val="IndexLink"/>
              </w:rPr>
              <w:t>309</w:t>
            </w:r>
          </w:hyperlink>
        </w:p>
        <w:p>
          <w:pPr>
            <w:pStyle w:val="Contents2"/>
            <w:tabs>
              <w:tab w:val="clear" w:pos="8743"/>
              <w:tab w:val="right" w:pos="9026" w:leader="dot"/>
            </w:tabs>
            <w:rPr/>
          </w:pPr>
          <w:hyperlink w:anchor="__RefHeading___Toc3968082_2870459653">
            <w:r>
              <w:rPr>
                <w:webHidden/>
                <w:rStyle w:val="IndexLink"/>
                <w:rtl w:val="true"/>
              </w:rPr>
              <w:t xml:space="preserve">[ </w:t>
            </w:r>
            <w:r>
              <w:rPr>
                <w:rStyle w:val="IndexLink"/>
                <w:rtl w:val="true"/>
              </w:rPr>
              <w:t>لابد في التيمم من الضرب ولا يكفي الوضع</w:t>
            </w:r>
            <w:r>
              <w:rPr>
                <w:rStyle w:val="IndexLink"/>
                <w:rtl w:val="true"/>
              </w:rPr>
              <w:t>]</w:t>
              <w:tab/>
            </w:r>
            <w:r>
              <w:rPr>
                <w:rStyle w:val="IndexLink"/>
              </w:rPr>
              <w:t>310</w:t>
            </w:r>
          </w:hyperlink>
        </w:p>
        <w:p>
          <w:pPr>
            <w:pStyle w:val="Contents2"/>
            <w:tabs>
              <w:tab w:val="clear" w:pos="8743"/>
              <w:tab w:val="right" w:pos="9026" w:leader="dot"/>
            </w:tabs>
            <w:rPr/>
          </w:pPr>
          <w:hyperlink w:anchor="__RefHeading___Toc3968084_2870459653">
            <w:r>
              <w:rPr>
                <w:webHidden/>
                <w:rStyle w:val="IndexLink"/>
                <w:rtl w:val="true"/>
              </w:rPr>
              <w:t xml:space="preserve">[ </w:t>
            </w:r>
            <w:r>
              <w:rPr>
                <w:rStyle w:val="IndexLink"/>
                <w:rtl w:val="true"/>
              </w:rPr>
              <w:t>وجوب الترتيب بين الضرب والمسح</w:t>
            </w:r>
            <w:r>
              <w:rPr>
                <w:rStyle w:val="IndexLink"/>
                <w:rtl w:val="true"/>
              </w:rPr>
              <w:t>]</w:t>
              <w:tab/>
            </w:r>
            <w:r>
              <w:rPr>
                <w:rStyle w:val="IndexLink"/>
              </w:rPr>
              <w:t>311</w:t>
            </w:r>
          </w:hyperlink>
        </w:p>
        <w:p>
          <w:pPr>
            <w:pStyle w:val="Contents2"/>
            <w:tabs>
              <w:tab w:val="clear" w:pos="8743"/>
              <w:tab w:val="right" w:pos="9026" w:leader="dot"/>
            </w:tabs>
            <w:rPr/>
          </w:pPr>
          <w:hyperlink w:anchor="__RefHeading___Toc3968086_2870459653">
            <w:r>
              <w:rPr>
                <w:webHidden/>
                <w:rStyle w:val="IndexLink"/>
                <w:rtl w:val="true"/>
              </w:rPr>
              <w:t xml:space="preserve">[ </w:t>
            </w:r>
            <w:r>
              <w:rPr>
                <w:rStyle w:val="IndexLink"/>
                <w:rtl w:val="true"/>
              </w:rPr>
              <w:t xml:space="preserve">وجوب الموالاة العرفية في التيمّم </w:t>
            </w:r>
            <w:r>
              <w:rPr>
                <w:rStyle w:val="IndexLink"/>
                <w:rtl w:val="true"/>
              </w:rPr>
              <w:t>]</w:t>
              <w:tab/>
            </w:r>
            <w:r>
              <w:rPr>
                <w:rStyle w:val="IndexLink"/>
              </w:rPr>
              <w:t>312</w:t>
            </w:r>
          </w:hyperlink>
        </w:p>
        <w:p>
          <w:pPr>
            <w:pStyle w:val="Contents2"/>
            <w:tabs>
              <w:tab w:val="clear" w:pos="8743"/>
              <w:tab w:val="right" w:pos="9026" w:leader="dot"/>
            </w:tabs>
            <w:rPr/>
          </w:pPr>
          <w:hyperlink w:anchor="__RefHeading___Toc3968088_2870459653">
            <w:r>
              <w:rPr>
                <w:webHidden/>
                <w:rStyle w:val="IndexLink"/>
                <w:rtl w:val="true"/>
              </w:rPr>
              <w:t xml:space="preserve">[ </w:t>
            </w:r>
            <w:r>
              <w:rPr>
                <w:rStyle w:val="IndexLink"/>
                <w:rtl w:val="true"/>
              </w:rPr>
              <w:t xml:space="preserve">وجوب المباشرة على المأمور نفسه </w:t>
            </w:r>
            <w:r>
              <w:rPr>
                <w:rStyle w:val="IndexLink"/>
                <w:rtl w:val="true"/>
              </w:rPr>
              <w:t>]</w:t>
              <w:tab/>
            </w:r>
            <w:r>
              <w:rPr>
                <w:rStyle w:val="IndexLink"/>
              </w:rPr>
              <w:t>315</w:t>
            </w:r>
          </w:hyperlink>
        </w:p>
        <w:p>
          <w:pPr>
            <w:pStyle w:val="Contents2"/>
            <w:tabs>
              <w:tab w:val="clear" w:pos="8743"/>
              <w:tab w:val="right" w:pos="9026" w:leader="dot"/>
            </w:tabs>
            <w:rPr/>
          </w:pPr>
          <w:hyperlink w:anchor="__RefHeading___Toc3968090_2870459653">
            <w:r>
              <w:rPr>
                <w:webHidden/>
                <w:rStyle w:val="IndexLink"/>
                <w:rtl w:val="true"/>
              </w:rPr>
              <w:t>[</w:t>
            </w:r>
            <w:r>
              <w:rPr>
                <w:rStyle w:val="IndexLink"/>
                <w:rtl w:val="true"/>
              </w:rPr>
              <w:t>في مفاد أدلة عدم السقوط</w:t>
            </w:r>
            <w:r>
              <w:rPr>
                <w:rStyle w:val="IndexLink"/>
                <w:rtl w:val="true"/>
              </w:rPr>
              <w:t>]</w:t>
              <w:tab/>
            </w:r>
            <w:r>
              <w:rPr>
                <w:rStyle w:val="IndexLink"/>
              </w:rPr>
              <w:t>317</w:t>
            </w:r>
          </w:hyperlink>
        </w:p>
        <w:p>
          <w:pPr>
            <w:pStyle w:val="Contents2"/>
            <w:tabs>
              <w:tab w:val="clear" w:pos="8743"/>
              <w:tab w:val="right" w:pos="9026" w:leader="dot"/>
            </w:tabs>
            <w:rPr/>
          </w:pPr>
          <w:hyperlink w:anchor="__RefHeading___Toc3968092_2870459653">
            <w:r>
              <w:rPr>
                <w:webHidden/>
                <w:rStyle w:val="IndexLink"/>
                <w:rtl w:val="true"/>
              </w:rPr>
              <w:t>[</w:t>
            </w:r>
            <w:r>
              <w:rPr>
                <w:rStyle w:val="IndexLink"/>
                <w:rtl w:val="true"/>
              </w:rPr>
              <w:t>لزوم كون الضرب في التيمّم بيد العليل</w:t>
            </w:r>
            <w:r>
              <w:rPr>
                <w:rStyle w:val="IndexLink"/>
                <w:rtl w:val="true"/>
              </w:rPr>
              <w:t>]</w:t>
              <w:tab/>
            </w:r>
            <w:r>
              <w:rPr>
                <w:rStyle w:val="IndexLink"/>
              </w:rPr>
              <w:t>319</w:t>
            </w:r>
          </w:hyperlink>
        </w:p>
        <w:p>
          <w:pPr>
            <w:pStyle w:val="Contents2"/>
            <w:tabs>
              <w:tab w:val="clear" w:pos="8743"/>
              <w:tab w:val="right" w:pos="9026" w:leader="dot"/>
            </w:tabs>
            <w:rPr/>
          </w:pPr>
          <w:hyperlink w:anchor="__RefHeading___Toc3968094_2870459653">
            <w:r>
              <w:rPr>
                <w:webHidden/>
                <w:rStyle w:val="IndexLink"/>
                <w:rtl w:val="true"/>
              </w:rPr>
              <w:t xml:space="preserve">[ </w:t>
            </w:r>
            <w:r>
              <w:rPr>
                <w:rStyle w:val="IndexLink"/>
                <w:rtl w:val="true"/>
              </w:rPr>
              <w:t>هل يعتبر الضرب في التيمم أو يكفي الوضع ؟</w:t>
            </w:r>
            <w:r>
              <w:rPr>
                <w:rStyle w:val="IndexLink"/>
                <w:rtl w:val="true"/>
              </w:rPr>
              <w:t>]</w:t>
              <w:tab/>
            </w:r>
            <w:r>
              <w:rPr>
                <w:rStyle w:val="IndexLink"/>
              </w:rPr>
              <w:t>320</w:t>
            </w:r>
          </w:hyperlink>
        </w:p>
        <w:p>
          <w:pPr>
            <w:pStyle w:val="Contents2"/>
            <w:tabs>
              <w:tab w:val="clear" w:pos="8743"/>
              <w:tab w:val="right" w:pos="9026" w:leader="dot"/>
            </w:tabs>
            <w:rPr/>
          </w:pPr>
          <w:hyperlink w:anchor="__RefHeading___Toc3968096_2870459653">
            <w:r>
              <w:rPr>
                <w:webHidden/>
                <w:rStyle w:val="IndexLink"/>
                <w:rtl w:val="true"/>
              </w:rPr>
              <w:t>[</w:t>
            </w:r>
            <w:r>
              <w:rPr>
                <w:rStyle w:val="IndexLink"/>
                <w:rtl w:val="true"/>
              </w:rPr>
              <w:t>كفاية الوضع عند تعذر الضرب</w:t>
            </w:r>
            <w:r>
              <w:rPr>
                <w:rStyle w:val="IndexLink"/>
                <w:rtl w:val="true"/>
              </w:rPr>
              <w:t>]</w:t>
              <w:tab/>
            </w:r>
            <w:r>
              <w:rPr>
                <w:rStyle w:val="IndexLink"/>
              </w:rPr>
              <w:t>322</w:t>
            </w:r>
          </w:hyperlink>
        </w:p>
        <w:p>
          <w:pPr>
            <w:pStyle w:val="Contents2"/>
            <w:tabs>
              <w:tab w:val="clear" w:pos="8743"/>
              <w:tab w:val="right" w:pos="9026" w:leader="dot"/>
            </w:tabs>
            <w:rPr/>
          </w:pPr>
          <w:hyperlink w:anchor="__RefHeading___Toc3968098_2870459653">
            <w:r>
              <w:rPr>
                <w:webHidden/>
                <w:rStyle w:val="IndexLink"/>
                <w:rtl w:val="true"/>
              </w:rPr>
              <w:t xml:space="preserve">[ </w:t>
            </w:r>
            <w:r>
              <w:rPr>
                <w:rStyle w:val="IndexLink"/>
                <w:rtl w:val="true"/>
              </w:rPr>
              <w:t xml:space="preserve">وجوب كون الضرب بباطن الكف وعدم كفاية الظاهر </w:t>
            </w:r>
            <w:r>
              <w:rPr>
                <w:rStyle w:val="IndexLink"/>
                <w:rtl w:val="true"/>
              </w:rPr>
              <w:t>]</w:t>
              <w:tab/>
            </w:r>
            <w:r>
              <w:rPr>
                <w:rStyle w:val="IndexLink"/>
              </w:rPr>
              <w:t>324</w:t>
            </w:r>
          </w:hyperlink>
        </w:p>
        <w:p>
          <w:pPr>
            <w:pStyle w:val="Contents2"/>
            <w:tabs>
              <w:tab w:val="clear" w:pos="8743"/>
              <w:tab w:val="right" w:pos="9026" w:leader="dot"/>
            </w:tabs>
            <w:rPr/>
          </w:pPr>
          <w:hyperlink w:anchor="__RefHeading___Toc3968100_2870459653">
            <w:r>
              <w:rPr>
                <w:webHidden/>
                <w:rStyle w:val="IndexLink"/>
                <w:rtl w:val="true"/>
              </w:rPr>
              <w:t>[</w:t>
            </w:r>
            <w:r>
              <w:rPr>
                <w:rStyle w:val="IndexLink"/>
                <w:rtl w:val="true"/>
              </w:rPr>
              <w:t>فيما هو التكليف لو تعذر الضرب بباطن الكف</w:t>
            </w:r>
            <w:r>
              <w:rPr>
                <w:rStyle w:val="IndexLink"/>
                <w:rtl w:val="true"/>
              </w:rPr>
              <w:t>]</w:t>
              <w:tab/>
            </w:r>
            <w:r>
              <w:rPr>
                <w:rStyle w:val="IndexLink"/>
              </w:rPr>
              <w:t>324</w:t>
            </w:r>
          </w:hyperlink>
        </w:p>
        <w:p>
          <w:pPr>
            <w:pStyle w:val="Contents2"/>
            <w:tabs>
              <w:tab w:val="clear" w:pos="8743"/>
              <w:tab w:val="right" w:pos="9026" w:leader="dot"/>
            </w:tabs>
            <w:rPr/>
          </w:pPr>
          <w:hyperlink w:anchor="__RefHeading___Toc3968102_2870459653">
            <w:r>
              <w:rPr>
                <w:webHidden/>
                <w:rStyle w:val="IndexLink"/>
                <w:rtl w:val="true"/>
              </w:rPr>
              <w:t>[</w:t>
            </w:r>
            <w:r>
              <w:rPr>
                <w:rStyle w:val="IndexLink"/>
                <w:rtl w:val="true"/>
              </w:rPr>
              <w:t>اعتبار طهارة الماسح والممسوح اختياراً</w:t>
            </w:r>
            <w:r>
              <w:rPr>
                <w:rStyle w:val="IndexLink"/>
                <w:rtl w:val="true"/>
              </w:rPr>
              <w:t>]</w:t>
              <w:tab/>
            </w:r>
            <w:r>
              <w:rPr>
                <w:rStyle w:val="IndexLink"/>
              </w:rPr>
              <w:t>327</w:t>
            </w:r>
          </w:hyperlink>
        </w:p>
        <w:p>
          <w:pPr>
            <w:pStyle w:val="Contents2"/>
            <w:tabs>
              <w:tab w:val="clear" w:pos="8743"/>
              <w:tab w:val="right" w:pos="9026" w:leader="dot"/>
            </w:tabs>
            <w:rPr/>
          </w:pPr>
          <w:hyperlink w:anchor="__RefHeading___Toc3968104_2870459653">
            <w:r>
              <w:rPr>
                <w:webHidden/>
                <w:rStyle w:val="IndexLink"/>
                <w:rtl w:val="true"/>
              </w:rPr>
              <w:t>[</w:t>
            </w:r>
            <w:r>
              <w:rPr>
                <w:rStyle w:val="IndexLink"/>
                <w:rtl w:val="true"/>
              </w:rPr>
              <w:t>هل العلوق معتبر أم لا؟</w:t>
            </w:r>
            <w:r>
              <w:rPr>
                <w:rStyle w:val="IndexLink"/>
                <w:rtl w:val="true"/>
              </w:rPr>
              <w:t>]</w:t>
              <w:tab/>
            </w:r>
            <w:r>
              <w:rPr>
                <w:rStyle w:val="IndexLink"/>
              </w:rPr>
              <w:t>328</w:t>
            </w:r>
          </w:hyperlink>
        </w:p>
        <w:p>
          <w:pPr>
            <w:pStyle w:val="Contents2"/>
            <w:tabs>
              <w:tab w:val="clear" w:pos="8743"/>
              <w:tab w:val="right" w:pos="9026" w:leader="dot"/>
            </w:tabs>
            <w:rPr/>
          </w:pPr>
          <w:hyperlink w:anchor="__RefHeading___Toc3968106_2870459653">
            <w:r>
              <w:rPr>
                <w:webHidden/>
                <w:rStyle w:val="IndexLink"/>
                <w:rtl w:val="true"/>
              </w:rPr>
              <w:t xml:space="preserve">[ </w:t>
            </w:r>
            <w:r>
              <w:rPr>
                <w:rStyle w:val="IndexLink"/>
                <w:rtl w:val="true"/>
              </w:rPr>
              <w:t>أدلة القول بعدم اعتبار العلوق</w:t>
            </w:r>
            <w:r>
              <w:rPr>
                <w:rStyle w:val="IndexLink"/>
                <w:rtl w:val="true"/>
              </w:rPr>
              <w:t>]</w:t>
              <w:tab/>
            </w:r>
            <w:r>
              <w:rPr>
                <w:rStyle w:val="IndexLink"/>
              </w:rPr>
              <w:t>335</w:t>
            </w:r>
          </w:hyperlink>
        </w:p>
        <w:p>
          <w:pPr>
            <w:pStyle w:val="Contents2"/>
            <w:tabs>
              <w:tab w:val="clear" w:pos="8743"/>
              <w:tab w:val="right" w:pos="9026" w:leader="dot"/>
            </w:tabs>
            <w:rPr/>
          </w:pPr>
          <w:hyperlink w:anchor="__RefHeading___Toc3968108_2870459653">
            <w:r>
              <w:rPr>
                <w:webHidden/>
                <w:rStyle w:val="IndexLink"/>
                <w:rtl w:val="true"/>
              </w:rPr>
              <w:t>[</w:t>
            </w:r>
            <w:r>
              <w:rPr>
                <w:rStyle w:val="IndexLink"/>
                <w:rtl w:val="true"/>
              </w:rPr>
              <w:t xml:space="preserve">اعتبار كون الضرب بكلتا اليدين ولا يكفي الضرب باليد الواحدة </w:t>
            </w:r>
            <w:r>
              <w:rPr>
                <w:rStyle w:val="IndexLink"/>
                <w:rtl w:val="true"/>
              </w:rPr>
              <w:t>]</w:t>
              <w:tab/>
            </w:r>
            <w:r>
              <w:rPr>
                <w:rStyle w:val="IndexLink"/>
              </w:rPr>
              <w:t>337</w:t>
            </w:r>
          </w:hyperlink>
        </w:p>
        <w:p>
          <w:pPr>
            <w:pStyle w:val="Contents2"/>
            <w:tabs>
              <w:tab w:val="clear" w:pos="8743"/>
              <w:tab w:val="right" w:pos="9026" w:leader="dot"/>
            </w:tabs>
            <w:rPr/>
          </w:pPr>
          <w:hyperlink w:anchor="__RefHeading___Toc3968110_2870459653">
            <w:r>
              <w:rPr>
                <w:webHidden/>
                <w:rStyle w:val="IndexLink"/>
                <w:rtl w:val="true"/>
              </w:rPr>
              <w:t>[</w:t>
            </w:r>
            <w:r>
              <w:rPr>
                <w:rStyle w:val="IndexLink"/>
                <w:rtl w:val="true"/>
              </w:rPr>
              <w:t>اعتبار كون الضرب باليدين دفعة ولا يكفي التعاقب</w:t>
            </w:r>
            <w:r>
              <w:rPr>
                <w:rStyle w:val="IndexLink"/>
                <w:rtl w:val="true"/>
              </w:rPr>
              <w:t>]</w:t>
              <w:tab/>
            </w:r>
            <w:r>
              <w:rPr>
                <w:rStyle w:val="IndexLink"/>
              </w:rPr>
              <w:t>338</w:t>
            </w:r>
          </w:hyperlink>
        </w:p>
        <w:p>
          <w:pPr>
            <w:pStyle w:val="Contents2"/>
            <w:tabs>
              <w:tab w:val="clear" w:pos="8743"/>
              <w:tab w:val="right" w:pos="9026" w:leader="dot"/>
            </w:tabs>
            <w:rPr/>
          </w:pPr>
          <w:hyperlink w:anchor="__RefHeading___Toc3968112_2870459653">
            <w:r>
              <w:rPr>
                <w:webHidden/>
                <w:rStyle w:val="IndexLink"/>
                <w:rtl w:val="true"/>
              </w:rPr>
              <w:t xml:space="preserve">[ </w:t>
            </w:r>
            <w:r>
              <w:rPr>
                <w:rStyle w:val="IndexLink"/>
                <w:rtl w:val="true"/>
              </w:rPr>
              <w:t xml:space="preserve">كفاية مسح الجبهة مع الجبينين بمجموع اليدين </w:t>
            </w:r>
            <w:r>
              <w:rPr>
                <w:rStyle w:val="IndexLink"/>
                <w:rtl w:val="true"/>
              </w:rPr>
              <w:t>]</w:t>
              <w:tab/>
            </w:r>
            <w:r>
              <w:rPr>
                <w:rStyle w:val="IndexLink"/>
              </w:rPr>
              <w:t>340</w:t>
            </w:r>
          </w:hyperlink>
        </w:p>
        <w:p>
          <w:pPr>
            <w:pStyle w:val="Contents2"/>
            <w:tabs>
              <w:tab w:val="clear" w:pos="8743"/>
              <w:tab w:val="right" w:pos="9026" w:leader="dot"/>
            </w:tabs>
            <w:rPr/>
          </w:pPr>
          <w:hyperlink w:anchor="__RefHeading___Toc3968114_2870459653">
            <w:r>
              <w:rPr>
                <w:webHidden/>
                <w:rStyle w:val="IndexLink"/>
                <w:rtl w:val="true"/>
              </w:rPr>
              <w:t xml:space="preserve">[ </w:t>
            </w:r>
            <w:r>
              <w:rPr>
                <w:rStyle w:val="IndexLink"/>
                <w:rtl w:val="true"/>
              </w:rPr>
              <w:t>هل يلزم استيعاب الوجه بالمسح أو يكفي البعض؟</w:t>
            </w:r>
            <w:r>
              <w:rPr>
                <w:rStyle w:val="IndexLink"/>
                <w:rtl w:val="true"/>
              </w:rPr>
              <w:t>]</w:t>
              <w:tab/>
            </w:r>
            <w:r>
              <w:rPr>
                <w:rStyle w:val="IndexLink"/>
              </w:rPr>
              <w:t>340</w:t>
            </w:r>
          </w:hyperlink>
        </w:p>
        <w:p>
          <w:pPr>
            <w:pStyle w:val="Contents2"/>
            <w:tabs>
              <w:tab w:val="clear" w:pos="8743"/>
              <w:tab w:val="right" w:pos="9026" w:leader="dot"/>
            </w:tabs>
            <w:rPr/>
          </w:pPr>
          <w:hyperlink w:anchor="__RefHeading___Toc3968116_2870459653">
            <w:r>
              <w:rPr>
                <w:webHidden/>
                <w:rStyle w:val="IndexLink"/>
                <w:rtl w:val="true"/>
              </w:rPr>
              <w:t xml:space="preserve">[ </w:t>
            </w:r>
            <w:r>
              <w:rPr>
                <w:rStyle w:val="IndexLink"/>
                <w:rtl w:val="true"/>
              </w:rPr>
              <w:t>يجب الابتداء بالمسح بالأعلى</w:t>
            </w:r>
            <w:r>
              <w:rPr>
                <w:rStyle w:val="IndexLink"/>
                <w:rtl w:val="true"/>
              </w:rPr>
              <w:t>]</w:t>
              <w:tab/>
            </w:r>
            <w:r>
              <w:rPr>
                <w:rStyle w:val="IndexLink"/>
              </w:rPr>
              <w:t>350</w:t>
            </w:r>
          </w:hyperlink>
        </w:p>
        <w:p>
          <w:pPr>
            <w:pStyle w:val="Contents2"/>
            <w:tabs>
              <w:tab w:val="clear" w:pos="8743"/>
              <w:tab w:val="right" w:pos="9026" w:leader="dot"/>
            </w:tabs>
            <w:rPr/>
          </w:pPr>
          <w:hyperlink w:anchor="__RefHeading___Toc3968118_2870459653">
            <w:r>
              <w:rPr>
                <w:webHidden/>
                <w:rStyle w:val="IndexLink"/>
                <w:rtl w:val="true"/>
              </w:rPr>
              <w:t xml:space="preserve">[ </w:t>
            </w:r>
            <w:r>
              <w:rPr>
                <w:rStyle w:val="IndexLink"/>
                <w:rtl w:val="true"/>
              </w:rPr>
              <w:t xml:space="preserve">وجوب الترتيب بين اليدين </w:t>
            </w:r>
            <w:r>
              <w:rPr>
                <w:rStyle w:val="IndexLink"/>
                <w:rtl w:val="true"/>
              </w:rPr>
              <w:t>]</w:t>
              <w:tab/>
            </w:r>
            <w:r>
              <w:rPr>
                <w:rStyle w:val="IndexLink"/>
              </w:rPr>
              <w:t>354</w:t>
            </w:r>
          </w:hyperlink>
        </w:p>
        <w:p>
          <w:pPr>
            <w:pStyle w:val="Contents2"/>
            <w:tabs>
              <w:tab w:val="clear" w:pos="8743"/>
              <w:tab w:val="right" w:pos="9026" w:leader="dot"/>
            </w:tabs>
            <w:rPr/>
          </w:pPr>
          <w:hyperlink w:anchor="__RefHeading___Toc3968120_2870459653">
            <w:r>
              <w:rPr>
                <w:webHidden/>
                <w:rStyle w:val="IndexLink"/>
                <w:rtl w:val="true"/>
              </w:rPr>
              <w:t>[</w:t>
            </w:r>
            <w:r>
              <w:rPr>
                <w:rStyle w:val="IndexLink"/>
                <w:rtl w:val="true"/>
              </w:rPr>
              <w:t>مسائل في أحكام المسح والماسح والممسوح</w:t>
            </w:r>
            <w:r>
              <w:rPr>
                <w:rStyle w:val="IndexLink"/>
                <w:rtl w:val="true"/>
              </w:rPr>
              <w:t>]</w:t>
              <w:tab/>
            </w:r>
            <w:r>
              <w:rPr>
                <w:rStyle w:val="IndexLink"/>
              </w:rPr>
              <w:t>355</w:t>
            </w:r>
          </w:hyperlink>
        </w:p>
        <w:p>
          <w:pPr>
            <w:pStyle w:val="Contents2"/>
            <w:tabs>
              <w:tab w:val="clear" w:pos="8743"/>
              <w:tab w:val="right" w:pos="9026" w:leader="dot"/>
            </w:tabs>
            <w:rPr/>
          </w:pPr>
          <w:hyperlink w:anchor="__RefHeading___Toc3968122_2870459653">
            <w:r>
              <w:rPr>
                <w:webHidden/>
                <w:rStyle w:val="IndexLink"/>
                <w:rtl w:val="true"/>
              </w:rPr>
              <w:t>[</w:t>
            </w:r>
            <w:r>
              <w:rPr>
                <w:rStyle w:val="IndexLink"/>
                <w:rtl w:val="true"/>
              </w:rPr>
              <w:t xml:space="preserve">حكم فاقد الطهورين </w:t>
            </w:r>
            <w:r>
              <w:rPr>
                <w:rStyle w:val="IndexLink"/>
                <w:rtl w:val="true"/>
              </w:rPr>
              <w:t>]</w:t>
              <w:tab/>
            </w:r>
            <w:r>
              <w:rPr>
                <w:rStyle w:val="IndexLink"/>
              </w:rPr>
              <w:t>362</w:t>
            </w:r>
          </w:hyperlink>
        </w:p>
        <w:p>
          <w:pPr>
            <w:pStyle w:val="Contents2"/>
            <w:tabs>
              <w:tab w:val="clear" w:pos="8743"/>
              <w:tab w:val="right" w:pos="9026" w:leader="dot"/>
            </w:tabs>
            <w:rPr/>
          </w:pPr>
          <w:hyperlink w:anchor="__RefHeading___Toc3968124_2870459653">
            <w:r>
              <w:rPr>
                <w:webHidden/>
                <w:rStyle w:val="IndexLink"/>
                <w:rtl w:val="true"/>
              </w:rPr>
              <w:t>[</w:t>
            </w:r>
            <w:r>
              <w:rPr>
                <w:rStyle w:val="IndexLink"/>
                <w:rtl w:val="true"/>
              </w:rPr>
              <w:t xml:space="preserve">حكم ما لو أصاب المتيمم الماءَ </w:t>
            </w:r>
            <w:r>
              <w:rPr>
                <w:rStyle w:val="IndexLink"/>
                <w:rtl w:val="true"/>
              </w:rPr>
              <w:t>]</w:t>
              <w:tab/>
            </w:r>
            <w:r>
              <w:rPr>
                <w:rStyle w:val="IndexLink"/>
              </w:rPr>
              <w:t>364</w:t>
            </w:r>
          </w:hyperlink>
        </w:p>
        <w:p>
          <w:pPr>
            <w:pStyle w:val="Contents2"/>
            <w:tabs>
              <w:tab w:val="clear" w:pos="8743"/>
              <w:tab w:val="right" w:pos="9026" w:leader="dot"/>
            </w:tabs>
            <w:rPr/>
          </w:pPr>
          <w:hyperlink w:anchor="__RefHeading___Toc3968126_2870459653">
            <w:r>
              <w:rPr>
                <w:webHidden/>
                <w:rStyle w:val="IndexLink"/>
                <w:rtl w:val="true"/>
              </w:rPr>
              <w:t xml:space="preserve">[ </w:t>
            </w:r>
            <w:r>
              <w:rPr>
                <w:rStyle w:val="IndexLink"/>
                <w:rtl w:val="true"/>
              </w:rPr>
              <w:t>كفاية التيمم لغاية خاصة لإتيان جميع الغايات</w:t>
            </w:r>
            <w:r>
              <w:rPr>
                <w:rStyle w:val="IndexLink"/>
                <w:rtl w:val="true"/>
              </w:rPr>
              <w:t>]</w:t>
              <w:tab/>
            </w:r>
            <w:r>
              <w:rPr>
                <w:rStyle w:val="IndexLink"/>
              </w:rPr>
              <w:t>375</w:t>
            </w:r>
          </w:hyperlink>
        </w:p>
        <w:p>
          <w:pPr>
            <w:pStyle w:val="Contents2"/>
            <w:tabs>
              <w:tab w:val="clear" w:pos="8743"/>
              <w:tab w:val="right" w:pos="9026" w:leader="dot"/>
            </w:tabs>
            <w:rPr/>
          </w:pPr>
          <w:hyperlink w:anchor="__RefHeading___Toc3968128_2870459653">
            <w:r>
              <w:rPr>
                <w:webHidden/>
                <w:rStyle w:val="IndexLink"/>
                <w:rtl w:val="true"/>
              </w:rPr>
              <w:t>[</w:t>
            </w:r>
            <w:r>
              <w:rPr>
                <w:rStyle w:val="IndexLink"/>
                <w:rtl w:val="true"/>
              </w:rPr>
              <w:t>قيام التيمم مقام الطهارة المائية مطلقاً</w:t>
            </w:r>
            <w:r>
              <w:rPr>
                <w:rStyle w:val="IndexLink"/>
                <w:rtl w:val="true"/>
              </w:rPr>
              <w:t>]</w:t>
              <w:tab/>
            </w:r>
            <w:r>
              <w:rPr>
                <w:rStyle w:val="IndexLink"/>
              </w:rPr>
              <w:t>376</w:t>
            </w:r>
          </w:hyperlink>
        </w:p>
        <w:p>
          <w:pPr>
            <w:pStyle w:val="Contents2"/>
            <w:tabs>
              <w:tab w:val="clear" w:pos="8743"/>
              <w:tab w:val="right" w:pos="9026" w:leader="dot"/>
            </w:tabs>
            <w:rPr/>
          </w:pPr>
          <w:hyperlink w:anchor="__RefHeading___Toc3968130_2870459653">
            <w:r>
              <w:rPr>
                <w:webHidden/>
                <w:rStyle w:val="IndexLink"/>
                <w:rtl w:val="true"/>
              </w:rPr>
              <w:t>[</w:t>
            </w:r>
            <w:r>
              <w:rPr>
                <w:rStyle w:val="IndexLink"/>
                <w:rtl w:val="true"/>
              </w:rPr>
              <w:t>في قيام التيمم مقام الوضوء التجديدي وسائر الأغسال</w:t>
            </w:r>
            <w:r>
              <w:rPr>
                <w:rStyle w:val="IndexLink"/>
                <w:rtl w:val="true"/>
              </w:rPr>
              <w:t>]</w:t>
              <w:tab/>
            </w:r>
            <w:r>
              <w:rPr>
                <w:rStyle w:val="IndexLink"/>
              </w:rPr>
              <w:t>382</w:t>
            </w:r>
          </w:hyperlink>
        </w:p>
        <w:p>
          <w:pPr>
            <w:pStyle w:val="Contents2"/>
            <w:tabs>
              <w:tab w:val="clear" w:pos="8743"/>
              <w:tab w:val="right" w:pos="9026" w:leader="dot"/>
            </w:tabs>
            <w:rPr/>
          </w:pPr>
          <w:hyperlink w:anchor="__RefHeading___Toc3968132_2870459653">
            <w:r>
              <w:rPr>
                <w:webHidden/>
                <w:rStyle w:val="IndexLink"/>
                <w:rtl w:val="true"/>
              </w:rPr>
              <w:t>فهرس المصادر</w:t>
            </w:r>
            <w:r>
              <w:rPr>
                <w:rStyle w:val="IndexLink"/>
                <w:rtl w:val="true"/>
              </w:rPr>
              <w:tab/>
            </w:r>
            <w:r>
              <w:rPr>
                <w:rStyle w:val="IndexLink"/>
              </w:rPr>
              <w:t>389</w:t>
            </w:r>
          </w:hyperlink>
        </w:p>
        <w:p>
          <w:pPr>
            <w:pStyle w:val="Contents2"/>
            <w:tabs>
              <w:tab w:val="clear" w:pos="8743"/>
              <w:tab w:val="right" w:pos="9026" w:leader="dot"/>
            </w:tabs>
            <w:rPr/>
          </w:pPr>
          <w:hyperlink w:anchor="__RefHeading___Toc3968134_2870459653">
            <w:r>
              <w:rPr>
                <w:webHidden/>
                <w:rStyle w:val="IndexLink"/>
                <w:rtl w:val="true"/>
              </w:rPr>
              <w:t>الفهرس</w:t>
            </w:r>
            <w:r>
              <w:rPr>
                <w:rStyle w:val="IndexLink"/>
                <w:rtl w:val="true"/>
              </w:rPr>
              <w:tab/>
            </w:r>
            <w:r>
              <w:rPr>
                <w:rStyle w:val="IndexLink"/>
              </w:rPr>
              <w:t>405</w:t>
            </w:r>
          </w:hyperlink>
        </w:p>
        <w:p>
          <w:pPr>
            <w:pStyle w:val="Contents2"/>
            <w:tabs>
              <w:tab w:val="clear" w:pos="8743"/>
              <w:tab w:val="right" w:pos="9026" w:leader="dot"/>
            </w:tabs>
            <w:rPr/>
          </w:pPr>
          <w:hyperlink w:anchor="__RefHeading___Toc3968136_2870459653">
            <w:r>
              <w:rPr>
                <w:webHidden/>
                <w:rStyle w:val="IndexLink"/>
                <w:rtl w:val="true"/>
              </w:rPr>
              <w:t>إصدارات مركز تراث سامراء</w:t>
            </w:r>
            <w:r>
              <w:rPr>
                <w:rStyle w:val="IndexLink"/>
                <w:rtl w:val="true"/>
              </w:rPr>
              <w:tab/>
            </w:r>
            <w:r>
              <w:rPr>
                <w:rStyle w:val="IndexLink"/>
              </w:rPr>
              <w:t>413</w:t>
            </w:r>
          </w:hyperlink>
        </w:p>
        <w:p>
          <w:pPr>
            <w:pStyle w:val="Contents2"/>
            <w:tabs>
              <w:tab w:val="clear" w:pos="8743"/>
              <w:tab w:val="right" w:pos="9026" w:leader="dot"/>
            </w:tabs>
            <w:rPr/>
          </w:pPr>
          <w:hyperlink w:anchor="__RefHeading___Toc3968138_2870459653">
            <w:r>
              <w:rPr>
                <w:webHidden/>
                <w:rStyle w:val="IndexLink"/>
                <w:rtl w:val="true"/>
              </w:rPr>
              <w:t>الكتب التي ستصدر قريباً</w:t>
            </w:r>
            <w:r>
              <w:rPr>
                <w:rStyle w:val="IndexLink"/>
                <w:rtl w:val="true"/>
              </w:rPr>
              <w:tab/>
            </w:r>
            <w:r>
              <w:rPr>
                <w:rStyle w:val="IndexLink"/>
              </w:rPr>
              <w:t>415</w:t>
            </w:r>
          </w:hyperlink>
        </w:p>
        <w:p>
          <w:pPr>
            <w:pStyle w:val="Contents2"/>
            <w:tabs>
              <w:tab w:val="clear" w:pos="8743"/>
              <w:tab w:val="right" w:pos="9026" w:leader="dot"/>
            </w:tabs>
            <w:rPr/>
          </w:pPr>
          <w:hyperlink w:anchor="__RefHeading___Toc3968140_2870459653">
            <w:r>
              <w:rPr>
                <w:webHidden/>
                <w:rStyle w:val="IndexLink"/>
                <w:rtl w:val="true"/>
              </w:rPr>
              <w:t>كتب قيد التحقيق والتأليف</w:t>
            </w:r>
            <w:r>
              <w:rPr>
                <w:rStyle w:val="IndexLink"/>
                <w:rtl w:val="true"/>
              </w:rPr>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03_87011"/>
      <w:bookmarkStart w:id="1" w:name="pg9203_87011"/>
      <w:bookmarkEnd w:id="1"/>
    </w:p>
    <w:p>
      <w:pPr>
        <w:pStyle w:val="Heading2"/>
        <w:numPr>
          <w:ilvl w:val="1"/>
          <w:numId w:val="1"/>
        </w:numPr>
        <w:rPr/>
      </w:pPr>
      <w:bookmarkStart w:id="2" w:name="pg9203_87011"/>
      <w:bookmarkStart w:id="3" w:name="__RefHeading___Toc3967804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الكتاب مباحث من كتاب الطهارة تقريراً لبحث السيد المجدّد الشيرازي رحمه الله</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الدامغاني رحمه الله</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p>
    <w:p>
      <w:pPr>
        <w:pStyle w:val="BookText"/>
        <w:rPr/>
      </w:pPr>
      <w:r>
        <w:rPr>
          <w:rFonts w:ascii="Amiri" w:hAnsi="Amiri" w:eastAsia="Amiri" w:cs="Amiri"/>
          <w:color w:val="111111"/>
          <w:sz w:val="28"/>
          <w:sz w:val="28"/>
          <w:szCs w:val="28"/>
          <w:rtl w:val="true"/>
          <w:lang w:bidi="ar-SA"/>
        </w:rPr>
        <w:t>المطبعة دار الكفيل</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مرادی</w:t>
      </w:r>
    </w:p>
    <w:p>
      <w:p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67806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الكتاب مباحث من كتاب الطهارة تقريراً لبحث السيد المجدّد الشيرازي رحمه الله</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الدامغاني رحمه الله</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p>
    <w:p>
      <w:pPr>
        <w:pStyle w:val="BookText"/>
        <w:rPr/>
      </w:pPr>
      <w:r>
        <w:rPr>
          <w:rFonts w:ascii="Amiri" w:hAnsi="Amiri" w:eastAsia="Amiri" w:cs="Amiri"/>
          <w:color w:val="111111"/>
          <w:sz w:val="28"/>
          <w:sz w:val="28"/>
          <w:szCs w:val="28"/>
          <w:rtl w:val="true"/>
          <w:lang w:bidi="ar-SA"/>
        </w:rPr>
        <w:t>المطبعة دار الكفيل</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مرادی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مَبَاحِثٌ</w:t>
      </w:r>
    </w:p>
    <w:p>
      <w:pPr>
        <w:pStyle w:val="BookText"/>
        <w:rPr/>
      </w:pPr>
      <w:r>
        <w:rPr>
          <w:rFonts w:ascii="Amiri" w:hAnsi="Amiri" w:eastAsia="Amiri" w:cs="Amiri"/>
          <w:color w:val="111111"/>
          <w:sz w:val="28"/>
          <w:sz w:val="28"/>
          <w:szCs w:val="28"/>
          <w:rtl w:val="true"/>
          <w:lang w:bidi="ar-SA"/>
        </w:rPr>
        <w:t>مِن کِتَابِ الطَّهَارَة</w:t>
      </w:r>
    </w:p>
    <w:p>
      <w:pPr>
        <w:pStyle w:val="BookText"/>
        <w:rPr/>
      </w:pPr>
      <w:r>
        <w:rPr>
          <w:rFonts w:ascii="Amiri" w:hAnsi="Amiri" w:eastAsia="Amiri" w:cs="Amiri"/>
          <w:color w:val="111111"/>
          <w:sz w:val="28"/>
          <w:sz w:val="28"/>
          <w:szCs w:val="28"/>
          <w:rtl w:val="true"/>
          <w:lang w:bidi="ar-SA"/>
        </w:rPr>
        <w:t>تقرير البَحْثِ السَّيّد المُجَدِّد الشِيرَازيّ رحمه الله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بِقَلِمَ العَلَامَةُ السَّيّد إبراهيم الدَامغَانِيّ رحمه الله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تَحقِیق</w:t>
      </w:r>
    </w:p>
    <w:p>
      <w:pPr>
        <w:pStyle w:val="BookText"/>
        <w:rPr/>
      </w:pPr>
      <w:r>
        <w:rPr>
          <w:rFonts w:ascii="Amiri" w:hAnsi="Amiri" w:eastAsia="Amiri" w:cs="Amiri"/>
          <w:color w:val="111111"/>
          <w:sz w:val="28"/>
          <w:sz w:val="28"/>
          <w:szCs w:val="28"/>
          <w:rtl w:val="true"/>
          <w:lang w:bidi="ar-SA"/>
        </w:rPr>
        <w:t>كَرِيم مَسير</w:t>
      </w:r>
    </w:p>
    <w:p>
      <w:pPr>
        <w:pStyle w:val="BookText"/>
        <w:rPr/>
      </w:pPr>
      <w:r>
        <w:rPr>
          <w:rFonts w:ascii="Amiri" w:hAnsi="Amiri" w:eastAsia="Amiri" w:cs="Amiri"/>
          <w:color w:val="111111"/>
          <w:sz w:val="28"/>
          <w:sz w:val="28"/>
          <w:szCs w:val="28"/>
          <w:rtl w:val="true"/>
          <w:lang w:bidi="ar-SA"/>
        </w:rPr>
        <w:t>مُراجَعَة وتدقيق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تراث سامراء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المَركَز وَالتَحقِیق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03_87017"/>
      <w:bookmarkStart w:id="8" w:name="pg9203_87017"/>
      <w:bookmarkEnd w:id="8"/>
    </w:p>
    <w:p>
      <w:pPr>
        <w:pStyle w:val="Heading2"/>
        <w:numPr>
          <w:ilvl w:val="1"/>
          <w:numId w:val="1"/>
        </w:numPr>
        <w:rPr/>
      </w:pPr>
      <w:bookmarkStart w:id="9" w:name="pg9203_87017"/>
      <w:bookmarkStart w:id="10" w:name="__RefHeading___Toc3967808_2870459653"/>
      <w:bookmarkStart w:id="11" w:name="_Toc3"/>
      <w:bookmarkEnd w:id="9"/>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 سنوات مضت من عمر المركز ولا يزال الهدف المنشود والغاية الأهم التي نسعى إليها هي إلفات نظر الباحثين والمحققين والعلماء إلى تراث هذه المدينة المقدّسة وإلى الأفذاذ من أعلامها والكنوز الدفينة في طياتها التي اكتنفها النسيان وغطاها غبار الزمان، ومما لا شك فيه أنّ السبيل الأفضل لإلفات النظر هو إظهار تلك الكنوز للعيان ونشر ما ضمّته من درر البيان حتى يغنيك العيان عن البيان والوجدان عن البرهان آملين بذلك أن تنبعث الهمم في نفوس ذوي الغيرة فيظهروا ما لديهم من عزم ويخدموا بذلك تراث الإمامين العسكريين علیهم السلام وحوزتهم العلمية الذائعة الصيت التي أنجبت الأساطين والفحول من علماء ومحققين لا زال واحدهم يملأ الدنيا فخراً ومجداً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أننا نعتقد بأنّ الرؤية لن تتضح والشمل لن يكتمل إلا بنشر تراث السيّد المجدد الشيرازي الذي أبدعه في النجف الأشرف ليضاف إلى ما أبدعه هو والأفذاذ من تلامذته في حوزة سامراء، لكي تحصل صورة واضحة</w:t>
      </w:r>
      <w:r>
        <w:rPr>
          <w:rStyle w:val="FootnoteAnchor"/>
          <w:rtl w:val="true"/>
        </w:rPr>
        <w:footnoteReference w:id="2"/>
      </w:r>
      <w:r>
        <w:rPr>
          <w:rFonts w:ascii="Amiri" w:hAnsi="Amiri" w:eastAsia="Amiri" w:cs="Amiri"/>
          <w:color w:val="111111"/>
          <w:sz w:val="28"/>
          <w:sz w:val="28"/>
          <w:szCs w:val="28"/>
          <w:rtl w:val="true"/>
          <w:lang w:bidi="ar-SA"/>
        </w:rPr>
        <w:t xml:space="preserve">عن تلك الحقبة المهمة في تاريخ الحوزات العلمية إضافةً إلى ذلك أن نشر تراث السيّد المجدّد في النجف الأشرف </w:t>
      </w:r>
    </w:p>
    <w:p>
      <w:pPr>
        <w:pStyle w:val="BookText"/>
        <w:rPr/>
      </w:pPr>
      <w:r>
        <w:rPr>
          <w:rFonts w:ascii="Amiri" w:hAnsi="Amiri" w:eastAsia="Amiri" w:cs="Amiri"/>
          <w:color w:val="111111"/>
          <w:sz w:val="28"/>
          <w:sz w:val="28"/>
          <w:szCs w:val="28"/>
          <w:rtl w:val="true"/>
          <w:lang w:bidi="ar-SA"/>
        </w:rPr>
        <w:t xml:space="preserve">أو غيرها هو أقل مراتب الوفاء لشخصه المعظم؛ لأن كل من أحب سامراء وأصابته اللوعة لأجلها لا بدَّ أن يقف إجلالاً وإعظاماً لشخص السيّد المجدّد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قدمه من خدمات جليلة لتلك المدينة المقدسة، وهذه المباحث كتبت في النجف الأشرف قبل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الشيخ المحقق الهمداني صاحب مصباح الفقيه قد أشار إليها في رسالة مباحث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من إفادات السيّد المجدد الشيرازي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نجاسة الثوب والبدن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يتعرّض سيد مشايخنا دام ظله لبيان هذه المسألة تعويلاً على ما أفاده من مبحث النجاسات من كتاب الطهارة</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 التاريخ المثبت على مباحث الخلل هو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مباحث الطهارة قبلها قطعاً، ولعلّها بحدود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الحديث عن محتوى هذا الكتاب وقيمته العلميّة فإنّي لا أجد وصفاً أليق مما ذكره السيد حسن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التلميذ البار للسيّد المجدّد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تدريس كتاب من أبواب الفقه بحث عن مشكلات مسائله وترك التعرّض لسواها، ولا ينتفع من بحثه إلا من كان قد أحاط بأقوال المسألة وأدلتها وأخذ بجوامع أطرافها ولم يبقَ عليه إلّا تحقيق مشكلاتها، فيتكلّم حينئذٍ معه في تلقي ذلك عنه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واصفاً أنظار السيّد 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له الأنظار العالية والدانية</w:t>
      </w:r>
      <w:r>
        <w:rPr>
          <w:rStyle w:val="FootnoteAnchor"/>
          <w:rtl w:val="true"/>
        </w:rPr>
        <w:footnoteReference w:id="5"/>
      </w:r>
      <w:r>
        <w:rPr>
          <w:rFonts w:ascii="Amiri" w:hAnsi="Amiri" w:eastAsia="Amiri" w:cs="Amiri"/>
          <w:color w:val="111111"/>
          <w:sz w:val="28"/>
          <w:sz w:val="28"/>
          <w:szCs w:val="28"/>
          <w:rtl w:val="true"/>
          <w:lang w:bidi="ar-SA"/>
        </w:rPr>
        <w:t xml:space="preserve">لم ترَ عينُ الزمان مثل دقائق أفكاره وخفايا آثاره و أنظاره، قد خلت عنها كتب المحققين من أهل الأنظار وسائر الشيوخ الكبار، لم يسبقه أحدٌ إليها، ولا حام طائر فكر فقيه قبله عليها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وفقنا الله في المركز لتحقيق هذا الأثر النفيس الذي ينشر أوّل مرّة أسوة بجميع إصدارات المركز التي تنشر لأوّل مرّة بل أنّ بعضها لم يكن معروفاً حتى لذوي الخبرة والممارسة فضلا عن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فَضْلُ اللهِ يُؤْتِيهِ مَن يَشَاءُ وَاللهُ ذُو الْفَضْلِ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ونسأله تعالى بحق الإمامين العسكريين علیهما السلام أن يتقبل منا ومن جميع من ساهم بنشر هذا الأثر ولا سيما سيد الطائفة سماحة المرجع الديني الأعلى آية الله العظمى السيد علي الحسيني السيستاني دام ظله الذي شرفنا بتحقيقه ونشره ، وكم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دعاء وكلمات ثناء بحق المركز هیلنا قرة عين وعلى مكاره الدهر خير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الأقل</w:t>
      </w:r>
    </w:p>
    <w:p>
      <w:pPr>
        <w:pStyle w:val="BookText"/>
        <w:rPr/>
      </w:pPr>
      <w:r>
        <w:rPr>
          <w:rFonts w:ascii="Amiri" w:hAnsi="Amiri" w:eastAsia="Amiri" w:cs="Amiri"/>
          <w:color w:val="111111"/>
          <w:sz w:val="28"/>
          <w:sz w:val="28"/>
          <w:szCs w:val="28"/>
          <w:rtl w:val="true"/>
          <w:lang w:bidi="ar-SA"/>
        </w:rPr>
        <w:t>كريم مسير</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203_87021"/>
      <w:bookmarkStart w:id="13" w:name="pg9203_87021"/>
      <w:bookmarkEnd w:id="13"/>
    </w:p>
    <w:p>
      <w:pPr>
        <w:pStyle w:val="Heading2"/>
        <w:numPr>
          <w:ilvl w:val="1"/>
          <w:numId w:val="1"/>
        </w:numPr>
        <w:rPr/>
      </w:pPr>
      <w:bookmarkStart w:id="14" w:name="pg9203_87021"/>
      <w:bookmarkStart w:id="15" w:name="__RefHeading___Toc3967810_2870459653"/>
      <w:bookmarkStart w:id="16" w:name="_Toc4"/>
      <w:bookmarkEnd w:id="14"/>
      <w:bookmarkEnd w:id="15"/>
      <w:r>
        <w:rPr>
          <w:rtl w:val="true"/>
        </w:rPr>
        <w:t>لمحات من حياة</w:t>
      </w:r>
      <w:bookmarkEnd w:id="16"/>
    </w:p>
    <w:p>
      <w:pPr>
        <w:pStyle w:val="BookText"/>
        <w:rPr/>
      </w:pPr>
      <w:r>
        <w:rPr>
          <w:rFonts w:ascii="Amiri" w:hAnsi="Amiri" w:eastAsia="Amiri" w:cs="Amiri"/>
          <w:color w:val="111111"/>
          <w:sz w:val="28"/>
          <w:sz w:val="28"/>
          <w:szCs w:val="28"/>
          <w:rtl w:val="true"/>
          <w:lang w:bidi="ar-SA"/>
        </w:rPr>
        <w:t>السيد إبراهيم الدامغاني الخراساني النجفي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تتعرض المصادر لحياة المقرر بشيء من التفصيل حتى أنهم لم يذكروا اسمه الكامل أو شيئاً من خصوصياته، ولولا ما قرره من أبحاث أستاذه لَاندَرَسَ ذكره وانطمس اسمه وهذه الكلمات هي ما حفظه لنا بعض معاصريه أو من قارب عصره فقالوا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الفاضل السيد إبراهيم الخراساني الدامغاني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المترجم رَحِمَهُ الله من عمد تلامذة حضرة العلّامة الإمام ميرزا محمد حسن الشيرازي العسكري، ومن أركان حوزته الكريمة وفضلاء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 المترجم أوّلاً مبادئ العلوم في مشهد الرضا علیه السلام، ثم هاجر منها إلى النجف الأشرف ولازم فيها مدرسة أستاذه العلّامة ميرزا محمد حسن الشرازي، وكان فاضلاً فقيهاً أُصولياً متتبعاً، وكان له فيها وجهة علمية، ولكن لم يساعده عمره ومات فيها في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المترجم رَحِمَهُ الله شطراً عظيماً في الفقه والأصول من بحوث أستاذه العلّامة وكانت أفكاره وأنظاره ومؤلّفاته مورد النظر والاعتماد والثقة عند فضلاء ء عصره وأعلام وقته، وأخذ تحريراته بعده شيخنا العلّامة السيد حسن الصدر الكاظمي العاملي، وهي موجودة في مكتبته الشريفة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دقيق الخاطر ، حسن الفهم جيد ،الفكر وسيع التتبع </w:t>
      </w:r>
    </w:p>
    <w:p>
      <w:pPr>
        <w:pStyle w:val="BookText"/>
        <w:rPr/>
      </w:pPr>
      <w:r>
        <w:rPr>
          <w:rFonts w:ascii="Amiri" w:hAnsi="Amiri" w:eastAsia="Amiri" w:cs="Amiri"/>
          <w:color w:val="111111"/>
          <w:sz w:val="28"/>
          <w:sz w:val="28"/>
          <w:szCs w:val="28"/>
          <w:rtl w:val="true"/>
          <w:lang w:bidi="ar-SA"/>
        </w:rPr>
        <w:t>جليل القدر، وكان يرتجى منه الارتقاءات الكاملة والمراتب السامية في العلم والعمل والزعامة العامة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شيخنا الطهراني في الطبقات واصفاً إياه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العلماء الأجلاء والأتقياء الأخيار أدرك عصر الشيخ الأنصاري</w:t>
      </w:r>
      <w:r>
        <w:rPr>
          <w:rStyle w:val="FootnoteAnchor"/>
          <w:rtl w:val="true"/>
        </w:rPr>
        <w:footnoteReference w:id="8"/>
      </w:r>
      <w:r>
        <w:rPr>
          <w:rFonts w:ascii="Amiri" w:hAnsi="Amiri" w:eastAsia="Amiri" w:cs="Amiri"/>
          <w:color w:val="111111"/>
          <w:sz w:val="28"/>
          <w:sz w:val="28"/>
          <w:szCs w:val="28"/>
          <w:rtl w:val="true"/>
          <w:lang w:bidi="ar-SA"/>
        </w:rPr>
        <w:t xml:space="preserve">وتتلمذ على السيد حسين الكوهكمري النجفي إلا أن عمدة اشتغاله على المجدد الشيرازي فقد كان من قدماء تلاميذه دائم الاشتغال كتابةً أو مطالعةً أو تدريساً كتب من تقريراته مجلدات وتوفي بالنجف عام مهاجرة السيد إلى سامراء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 وصيه العالم الشيخ إسماعيل السرخهي كتبه فمجلد من تقريراته الأصولية اشتراه السيد محسن بن السيد حسين آل بحر العلوم ومجلد في الفقه بحر العلوم ومجلد في الفقه من العبادات والمعاملات اشتراه العلامة السيد حسن الصدر وهو موجود في خزانة كتبه بالكاظمية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عصر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قلة مدة حضوره في درس الشيخ الأعظم أسوة بصاحب الكفاية وغيره ممن كان حضورهم لدى الشيخ الأعظم قليلاً؛ لأنه من الواضح أن السيد الدامغاني قد أدرك عصر الشيخ بلا حاجة إلى بيان ذلك فالشيخ توفي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كان يعطي دروسه في حياة أستاذه الشيخ الأعظم حتى أنه توجد بعض نسخ تقريرات الروزدري في مسألة الإجزاء قد نسخت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الشيخ محمد علي شرارة العاملي، كما أن هذه المباحث التي قررها السيد الدامغاني قد كتبها بحدود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قبلها بكثير كما بينا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معنى محصل من العبارة سوى الإشارة إلى قلة حضوره، والله العالم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عنه السيد حسن الصدر في تكملة أمل الآمل قائلاً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فضلاء تلامذة سيّدنا الأستاذ حجة الإسلام الميرزا الشيرازي، في النجف الأشرف، و توفي سنة مهاجرة سيدنا الأستاذ إلى سامراء و هي سنة إحدى و تسعين و مائتين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فاضلاً عالماً، محققاً مدققاً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يستغرق أوقاته في الاشتغال، يكتب ما يدرسه سيدنا الأستاذ في الفقه والأصول، حسن التحرير ، نقي التصنيف، ذو غور و نابغية، عندي من كتاباته في الفقه جملة مباحث باحثها سيدنا الأستاذ، وكتبها السيد إبراهيم المذكور في العبادات و المعاملات اشتريتها من وصيّه الشيخ الفاضل الشيخ إسماعيل السمناني، و اشترى كتابته في الأصول السيد الفاضل السيد محسن آل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في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و تسعين ومائتين بعد الألف من الهجرة في النجف الأشرف</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تعرض له الشيخ الطهراني في الذريعة في ثلاثة موارد عند الحديث عن تقريراته فذكره في الجزء الثاني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للسيد إبراهيم الدامغاني النجفي المتوفى بها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سنة مهاجرة أستاذه الآية المجدد الشيرازي إلى سامراء</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تقريره الآخر وهو في البيع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الاستدلالي المبسوط مع بعض العبادات في مجلد كبير للسيد إبراهيم الدامغاني المتوفى في النجف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قدماء تلاميذ السيد المجدد ميرزا محمد حسن الشيرازي في النجف سنين وألف هذا الكتاب من تقرير بحث أستاذه المذكور والنسخة بخطه انتقلت بعد وفاته بالبيع الشرعي من وصيه الشيخ إبراهيم السرخهي إلى سيدنا أبي محمد الحسن صدر الدين </w:t>
      </w:r>
    </w:p>
    <w:p>
      <w:pPr>
        <w:pStyle w:val="BookText"/>
        <w:rPr/>
      </w:pPr>
      <w:r>
        <w:rPr>
          <w:rFonts w:ascii="Amiri" w:hAnsi="Amiri" w:eastAsia="Amiri" w:cs="Amiri"/>
          <w:color w:val="111111"/>
          <w:sz w:val="28"/>
          <w:sz w:val="28"/>
          <w:szCs w:val="28"/>
          <w:rtl w:val="true"/>
          <w:lang w:bidi="ar-SA"/>
        </w:rPr>
        <w:t>وقد رأيتها في خزانة كتبه وبيع أصوله للسيد محسن آل بحر العلوم كما مرّ</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الملاحظة على كلام كلا العلمين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حسن الصدر يصرح بأنّه اشترى النسخة من وصيه الشيخ الفاضل إسماعيل السمناني، بينما الشيخ الطهراني يقول إنه اشتراه من وصيه الشيخ إبراهيم السرخهي بعد اتفاقهما على بيع كتاب الأصول للسيد محسن آل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استدرك الشيخ الطهراني ذلك في الجزء الرابع تحت عنوان تقريرات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 أحدهما في الفقه والمهم من مباحث العبادات والمعاملات ، والآخر في كثير من مباحث الأصول كلاهما من تقرير بحث أستاذه آية الله السيد ميرزا محمد حسن الشيرازي ، وكان من قدماء تلاميذه في النجف وفي سنة وفاته هاجر آية الله الشيرازي إلى سامراء ، رأيت مجلده الفقهي في خزانة كتب سيدنا أبي محمد الحسن صدر الدين وقال إنه اشتراه من وصي المؤلف الشيخ إسماعيل السمناني</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البيع الذي تحت حوزة السيد حسن الصدر هو استنساخ عن الأصل وليس نسخة الأصل ويمتلك المركز نسخة مصورة عنها وهي قيد التحقيق وقد كتب السيد حسن الصدر الكاظمي على ظهرها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المجلد من تقرير درس سيدنا الأستاذ العلّامة لا حجة الإسلام الميرزا، جمعها وألّفها السيد إبراهيم الدامغاني وقد أمرت بنسخها عن خطه لكني لم أقابلها بعد الأحقر حسن صدر الدين الموسوي العاملي الكاظمي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يمكن الجواب عن هذا الإيراد بأنه لا مانع من الجمع بين نسخة الأصل واستنساخها لبعض الدواعي ولا سيما أنها نسخت بعد وفاة السيد المجدد كما يظهر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bookmarkStart w:id="17" w:name="pg9203_87025"/>
    </w:p>
    <w:p>
      <w:pPr>
        <w:pStyle w:val="Heading2"/>
        <w:numPr>
          <w:ilvl w:val="1"/>
          <w:numId w:val="1"/>
        </w:numPr>
        <w:rPr/>
      </w:pPr>
      <w:bookmarkStart w:id="18" w:name="__RefHeading___Toc3967812_2870459653"/>
      <w:bookmarkStart w:id="19" w:name="_Toc5"/>
      <w:bookmarkEnd w:id="17"/>
      <w:bookmarkEnd w:id="18"/>
      <w:r>
        <w:rPr>
          <w:rtl w:val="true"/>
        </w:rPr>
        <w:t>وفاته</w:t>
      </w:r>
      <w:bookmarkEnd w:id="19"/>
    </w:p>
    <w:p>
      <w:pPr>
        <w:pStyle w:val="BookText"/>
        <w:rPr/>
      </w:pPr>
      <w:r>
        <w:rPr>
          <w:rFonts w:ascii="Amiri" w:hAnsi="Amiri" w:eastAsia="Amiri" w:cs="Amiri"/>
          <w:color w:val="111111"/>
          <w:sz w:val="28"/>
          <w:sz w:val="28"/>
          <w:szCs w:val="28"/>
          <w:rtl w:val="true"/>
          <w:lang w:bidi="ar-SA"/>
        </w:rPr>
        <w:t xml:space="preserve">اتفقت المصادر كافة على أنه توفي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مهاجرة السيد المجدّد الشيرازي إلى سامراء، أما ولادته فإنَّ جميع المصادر التي تعرضت لحياته لم تذكر ولادته ولا عمره الشريف لا تحقيقاً ولا تقديراً إلا أنه يلوح من عبارة مرآة الشرق إلى أنه مات مبكراً،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لم يساعده عمره ومات فيها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ولعله يقصد كونه مات في حدود الخمسين أو أكثر أو أقل والله العالم</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3967814_2870459653"/>
      <w:bookmarkStart w:id="21" w:name="_Toc6"/>
      <w:bookmarkEnd w:id="20"/>
      <w:r>
        <w:rPr>
          <w:rtl w:val="true"/>
        </w:rPr>
        <w:t>مصادر الترجمة</w:t>
      </w:r>
      <w:r>
        <w:rPr>
          <w:rtl w:val="true"/>
        </w:rPr>
        <w:t>:</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تکملة أمل الآمل للسید حسن الصدر العاملی، الذریعة و الطبقات للشیخ الطهرانی، مرآة الشرق محمدأمین الخوئی، أعیان الشیعة للسید الأمینی، وفیات الأعلام للسید محمد صادق بحر العلوم، موسوعة الأوردبادی</w:t>
      </w:r>
      <w:r>
        <w:rPr>
          <w:rFonts w:eastAsia="IRNazanin" w:cs="IRNazanin"/>
          <w:color w:val="111111"/>
          <w:sz w:val="28"/>
          <w:szCs w:val="28"/>
          <w:rtl w:val="true"/>
          <w:lang w:bidi="fa-IR"/>
        </w:rPr>
        <w:t xml:space="preserve">. </w:t>
      </w:r>
      <w:bookmarkStart w:id="22" w:name="pg9203_87026"/>
    </w:p>
    <w:p>
      <w:pPr>
        <w:pStyle w:val="Heading2"/>
        <w:numPr>
          <w:ilvl w:val="1"/>
          <w:numId w:val="1"/>
        </w:numPr>
        <w:rPr/>
      </w:pPr>
      <w:bookmarkStart w:id="23" w:name="__RefHeading___Toc3967816_2870459653"/>
      <w:bookmarkStart w:id="24" w:name="_Toc7"/>
      <w:bookmarkEnd w:id="22"/>
      <w:bookmarkEnd w:id="23"/>
      <w:r>
        <w:rPr>
          <w:rtl w:val="true"/>
        </w:rPr>
        <w:t>النسخ المعتمدة</w:t>
      </w:r>
      <w:bookmarkEnd w:id="24"/>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تبلغ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وقد تم استنساخها عن نسخة الأصل، كما يظهر ذلك مما كتبه على ظهرها آية الله السيد الميرزا علي آقا نجل السيد المجدد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نصه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آقا سيد إبراهيم دامغاني نسخة أصل ان كتاب از جناب مستطاب آقا سید حسن کاظميني عاملي است لدى الاحقر علي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اصل را بتوسط جناب مستطاب آقا سید حسین اسدي سلمه الله تعالى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رواند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تقريرات السيد إبراهيم الدامغاني ونسخة الأصل من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العاملي كانت لدى الأحقر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ارسلتها</w:t>
      </w:r>
      <w:r>
        <w:rPr>
          <w:rStyle w:val="FootnoteAnchor"/>
          <w:rtl w:val="true"/>
        </w:rPr>
        <w:footnoteReference w:id="14"/>
      </w:r>
      <w:r>
        <w:rPr>
          <w:rFonts w:ascii="Amiri" w:hAnsi="Amiri" w:eastAsia="Amiri" w:cs="Amiri"/>
          <w:color w:val="111111"/>
          <w:sz w:val="28"/>
          <w:sz w:val="28"/>
          <w:szCs w:val="28"/>
          <w:rtl w:val="true"/>
          <w:lang w:bidi="ar-SA"/>
        </w:rPr>
        <w:t xml:space="preserve">بواسطة السيد حسين الأسدي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المظفر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النسخة وإن كانت فريدة ولا بديل لها في معظم مباحث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يتيسر لنا الوصول إلى نسخة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تخلو من بعض الأغلاط والاشتباهات ويمكن ملاحظة ذلك بما علقناه على بعض المواضع بقولنا كذا في الأصل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أنها ناقصة الآخر كما يظهر بملاحظة الصفحة الأخيرة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وتبدأ هذه النسخة من بحث العصير العنبي وتنتهي عند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هذاالمطبوع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من ممتلكات آية الله السيد الميرزا على آقا نجل السيد المجدّد الشيرازي ومنه انتقل إلى ولده المرحوم السيد ميرزا حسن و اشتراها من تركته سید الطائفة المرجع الديني الأعلى آية الله العظمى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ووضعها في متناول أيدينا وشرّفنا بتحقيقها ونشرها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صفحات من الكتاب وتقع ضمن مجموعة حصلنا عليها من مكتبة مروي بطهران ومحفوظة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على بعض نسخ المجموعة اسم ناسخها هو عبد الغني بن محمد الحسيني وهي مكتوبة بخط نستعليق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فقط، وتبدأ هذه النسخة من أواخر مبحث التيمم أي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المطبوع وتزيد على النسخة الأولى بحوالي ثلاثين 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تعتبر بمثابة المسودة بالنسبة إلى النسخة الأولى، ويظهر ذلك بملاحظة الفروق التي أشرنا إليها بين النسختين فإنه عادةً ما يكون من قبيل التوضيح أو البسط في البيان أو الترتيب في العبائر وقلما تجد فرقاً جوهرياً بين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مصدرها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ورقة واحدة من صفحتين من بداية أحكام العصير العنبي إلى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هذا المطبوع وهي 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وناسخها الشيخ أسد الله الزنجاني من تلامذة السيد المجدّد وقد نسخها في سامراء، وقد حصلنا عليها من مكتبة جامعة النجف الدينية، وقد كتب الشيخ الزنجاني على حاشية النسخة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تعالى هذا وما سيأتي بعد ذلك المتعلق بمباحث البيع إلخ تقريرات بحث سيدنا الأستاذ الأكبر قد كتبه الفاضل المرحوم السيد إبراهيم من أطراف الخراسان توفي في النجف الأشرف في زمان سيدنا الأستاذ الأكبر وهو غير السيد الجليل السيد إبراهيم</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من تلامذته توفي في الكاظمية وله ابن صالح فاضل ساكن في الكاظمية يصلي الجماعة في الإيوان المطهر أعلى الله مقامهم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مصدرها </w:t>
      </w:r>
      <w:r>
        <w:rPr>
          <w:rFonts w:eastAsia="Amiri" w:cs="Amiri" w:ascii="Amiri" w:hAnsi="Amiri"/>
          <w:color w:val="111111"/>
          <w:sz w:val="28"/>
          <w:szCs w:val="28"/>
          <w:rtl w:val="true"/>
          <w:lang w:bidi="ar-SA"/>
        </w:rPr>
        <w:t xml:space="preserve">. </w:t>
      </w:r>
      <w:bookmarkStart w:id="25" w:name="pg9203_87028"/>
    </w:p>
    <w:p>
      <w:pPr>
        <w:pStyle w:val="Heading2"/>
        <w:numPr>
          <w:ilvl w:val="1"/>
          <w:numId w:val="1"/>
        </w:numPr>
        <w:rPr/>
      </w:pPr>
      <w:bookmarkStart w:id="26" w:name="__RefHeading___Toc3967818_2870459653"/>
      <w:bookmarkStart w:id="27" w:name="_Toc8"/>
      <w:bookmarkEnd w:id="25"/>
      <w:bookmarkEnd w:id="26"/>
      <w:r>
        <w:rPr>
          <w:rtl w:val="true"/>
        </w:rPr>
        <w:t>منهج التحقیق</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إجراء المقابلة بين النسخ الثلاث وإثبات مقدار التفاوت والاختلاف مع غض الطرف عن الاختلافات اليسيرة منها مثل التذكير والتأنيث والمعرفة والنكرة وغيرها مما لا حاجة إلى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عادة ما ينقل المقرر الروايات باختصار أو بالمعنى في بعض الحالات فعمدنا إلى نقلها من المصدر ولم نشر إلى ذلك لكثرته وعدم جدواه أيضاً، كما أنه النسخة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الناسخ فيها إلى الكتب الفقهية برموز مختصرة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أضيف من عناوين مقترحة أو ما يقتضيه السياق جعل بين معقوفين، ولم ننبه عليه إلا في موارد قليلة لمسوغات ذكرت في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تخريج الآيات الكريمة وجعلها بين أقواس مزهرة، وكذا تم تخريج الروايات الشريفة وأقوال العلماء وكلمات اللغويين من مصادرها</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3967820_2870459653"/>
      <w:bookmarkStart w:id="29" w:name="_Toc9"/>
      <w:bookmarkEnd w:id="28"/>
      <w:r>
        <w:rPr>
          <w:rtl w:val="true"/>
        </w:rPr>
        <w:t>شکر و امتنان</w:t>
      </w:r>
      <w:bookmarkEnd w:id="29"/>
    </w:p>
    <w:p>
      <w:pPr>
        <w:pStyle w:val="BookText"/>
        <w:rPr/>
      </w:pPr>
      <w:r>
        <w:rPr>
          <w:rFonts w:ascii="Amiri" w:hAnsi="Amiri" w:eastAsia="Amiri" w:cs="Amiri"/>
          <w:color w:val="111111"/>
          <w:sz w:val="28"/>
          <w:sz w:val="28"/>
          <w:szCs w:val="28"/>
          <w:rtl w:val="true"/>
          <w:lang w:bidi="ar-SA"/>
        </w:rPr>
        <w:t>وفي الختام لابد من تقديم وافر الشكر والامتنان لجميع من قدم يد المساعدة وأخص منهم بالذكر الأخ العزيز سماحة الشيخ عبد الرضا الهندي صاحب الخلق الكريم الذي طالع الكتاب بدقة وأبدى ملاحظات قيمة ونافعه، كما أقدم شكري لجميع الأعزاء في المركز ولا سيما الأخوة في شعبة التحقيق لمساعدتهم في المقابلة الأولى وتقديم جملة من الملاحظات المهمة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وأشكر جناب الأخ العزيز سماحة السيد غسان الخرسان الذي ساعدني أيضاً في إجراء المقابلة الثانية لمزيد من التأكد فلهم مني جميعاً وافر الاحترام والتقدير</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كتبه الميرزا علي آقا نجل السيّد المجدّد الشيرازي على ظهر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المخطوطة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المخطوطة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مباحث</w:t>
      </w:r>
    </w:p>
    <w:p>
      <w:pPr>
        <w:pStyle w:val="BookText"/>
        <w:rPr/>
      </w:pPr>
      <w:r>
        <w:rPr>
          <w:rFonts w:ascii="Amiri" w:hAnsi="Amiri" w:eastAsia="Amiri" w:cs="Amiri"/>
          <w:color w:val="111111"/>
          <w:sz w:val="28"/>
          <w:sz w:val="28"/>
          <w:szCs w:val="28"/>
          <w:rtl w:val="true"/>
          <w:lang w:bidi="ar-SA"/>
        </w:rPr>
        <w:t>مِن كِتَابِ الطَّهَارَة</w:t>
      </w:r>
    </w:p>
    <w:p>
      <w:pPr>
        <w:pStyle w:val="BookText"/>
        <w:rPr/>
      </w:pPr>
      <w:r>
        <w:rPr>
          <w:rFonts w:ascii="Amiri" w:hAnsi="Amiri" w:eastAsia="Amiri" w:cs="Amiri"/>
          <w:color w:val="111111"/>
          <w:sz w:val="28"/>
          <w:sz w:val="28"/>
          <w:szCs w:val="28"/>
          <w:rtl w:val="true"/>
          <w:lang w:bidi="ar-SA"/>
        </w:rPr>
        <w:t>تقرير البَحْثِ السَيّدِ المجدد الشيرازي رحمه الله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بِقَلَمَ العَلَامَةُ السَّيّد ابراهيم الدامغاني رحمه الله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كَرِيم مَسيّر</w:t>
      </w:r>
    </w:p>
    <w:p>
      <w:pPr>
        <w:pStyle w:val="BookText"/>
        <w:rPr/>
      </w:pPr>
      <w:r>
        <w:rPr>
          <w:rFonts w:ascii="Amiri" w:hAnsi="Amiri" w:eastAsia="Amiri" w:cs="Amiri"/>
          <w:color w:val="111111"/>
          <w:sz w:val="28"/>
          <w:sz w:val="28"/>
          <w:szCs w:val="28"/>
          <w:rtl w:val="true"/>
          <w:lang w:bidi="ar-SA"/>
        </w:rPr>
        <w:t>مُراجعة وتدقيق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تراث سامراء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9203_87039"/>
      <w:bookmarkStart w:id="31" w:name="pg9203_87039"/>
      <w:bookmarkEnd w:id="31"/>
    </w:p>
    <w:p>
      <w:pPr>
        <w:pStyle w:val="BookText"/>
        <w:rPr/>
      </w:pPr>
      <w:bookmarkStart w:id="32" w:name="pg9203_87039"/>
      <w:bookmarkEnd w:id="32"/>
      <w:r>
        <w:rPr>
          <w:rFonts w:ascii="Amiri" w:hAnsi="Amiri" w:eastAsia="Amiri" w:cs="Amiri"/>
          <w:color w:val="111111"/>
          <w:sz w:val="28"/>
          <w:sz w:val="28"/>
          <w:szCs w:val="28"/>
          <w:rtl w:val="true"/>
          <w:lang w:bidi="ar-SA"/>
        </w:rPr>
        <w:t>بسم الله الرحمن الرحيم و به نستعين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3967822_2870459653"/>
      <w:bookmarkStart w:id="34" w:name="_Toc10"/>
      <w:bookmarkEnd w:id="33"/>
      <w:r>
        <w:rPr>
          <w:rtl w:val="true"/>
        </w:rPr>
        <w:t>في أحكام العصير العنبي</w:t>
      </w:r>
      <w:bookmarkEnd w:id="34"/>
    </w:p>
    <w:p>
      <w:pPr>
        <w:pStyle w:val="BookText"/>
        <w:rPr/>
      </w:pPr>
      <w:r>
        <w:rPr>
          <w:rFonts w:ascii="Amiri" w:hAnsi="Amiri" w:eastAsia="Amiri" w:cs="Amiri"/>
          <w:color w:val="111111"/>
          <w:sz w:val="28"/>
          <w:sz w:val="28"/>
          <w:szCs w:val="28"/>
          <w:rtl w:val="true"/>
          <w:lang w:bidi="ar-SA"/>
        </w:rPr>
        <w:t>فاعلم أنّ عبائر الأصحاب مختلفة، وأكثر الأصحاب اعتبروا في نجاسته الغليان والاشتداد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النجاسات العصير العنبي، إذا غلى واشتد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غلى واشتد تحتمل من حيث اللفظ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الضمير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راجعاً إلى الغليان المفهوم من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الأول؛ توافق مرجع الضميرين، ويبعده بعد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يقرّبه قرب المخرج </w:t>
      </w:r>
      <w:r>
        <w:rPr>
          <w:rStyle w:val="FootnoteAnchor"/>
          <w:rtl w:val="true"/>
        </w:rPr>
        <w:footnoteReference w:id="18"/>
      </w:r>
      <w:r>
        <w:rPr>
          <w:rFonts w:ascii="Amiri" w:hAnsi="Amiri" w:eastAsia="Amiri" w:cs="Amiri"/>
          <w:color w:val="111111"/>
          <w:sz w:val="28"/>
          <w:sz w:val="28"/>
          <w:szCs w:val="28"/>
          <w:rtl w:val="true"/>
          <w:lang w:bidi="ar-SA"/>
        </w:rPr>
        <w:t>، ويبعده عدم التوافق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أن يكون راجعاً إلى العصير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أن يكون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تفسيرياً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الغليان المعتبر هو اشتداده؛ بأن يصير أعلاه أسفله لا مجرد الغليان ولو أول درجته، ويؤيده التفسير الوارد للغليان في الخبر </w:t>
      </w:r>
      <w:r>
        <w:rPr>
          <w:rStyle w:val="FootnoteAnchor"/>
          <w:rtl w:val="true"/>
        </w:rPr>
        <w:footnoteReference w:id="19"/>
      </w:r>
      <w:r>
        <w:rPr>
          <w:rFonts w:ascii="Amiri" w:hAnsi="Amiri" w:eastAsia="Amiri" w:cs="Amiri"/>
          <w:color w:val="111111"/>
          <w:sz w:val="28"/>
          <w:sz w:val="28"/>
          <w:szCs w:val="28"/>
          <w:rtl w:val="true"/>
          <w:lang w:bidi="ar-SA"/>
        </w:rPr>
        <w:t xml:space="preserve">، لكن يبعده؛ أن المفسّر لا بُدَّ أن يكون أوضح من </w:t>
      </w:r>
    </w:p>
    <w:p>
      <w:pPr>
        <w:pStyle w:val="BookText"/>
        <w:rPr/>
      </w:pPr>
      <w:r>
        <w:rPr>
          <w:rFonts w:ascii="Amiri" w:hAnsi="Amiri" w:eastAsia="Amiri" w:cs="Amiri"/>
          <w:color w:val="111111"/>
          <w:sz w:val="28"/>
          <w:sz w:val="28"/>
          <w:szCs w:val="28"/>
          <w:rtl w:val="true"/>
          <w:lang w:bidi="ar-SA"/>
        </w:rPr>
        <w:t>المفسّر ، وههنا يكون أخفى؛ لأنّ الاشتداد يحتمل السخونة ويحتمل اشتداد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يكون لبيان مطلب آخر وهو أنَّ مجرد الغليان لا يكفي بل لا بُدَّ أنْ تكون الثخانة أيضاً حاصلة ولا تكفي الثخونة التي تحصل من أول درجة الغليان، بل لا بُدَّ من الثخانة المحسوسة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التقدير</w:t>
      </w:r>
      <w:r>
        <w:rPr>
          <w:rStyle w:val="FootnoteAnchor"/>
          <w:rtl w:val="true"/>
        </w:rPr>
        <w:footnoteReference w:id="20"/>
      </w:r>
      <w:r>
        <w:rPr>
          <w:rFonts w:ascii="Amiri" w:hAnsi="Amiri" w:eastAsia="Amiri" w:cs="Amiri"/>
          <w:color w:val="111111"/>
          <w:sz w:val="28"/>
          <w:sz w:val="28"/>
          <w:szCs w:val="28"/>
          <w:rtl w:val="true"/>
          <w:lang w:bidi="ar-SA"/>
        </w:rPr>
        <w:t>يبقى الكلام في بيان مدرك هذا القيد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أعلم لهم مدركاً لهذا القيد غير خصوصية السؤال الذي ورد في رواية 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من أهل المعرفة بالحق يأتيني بالبختج</w:t>
      </w:r>
      <w:r>
        <w:rPr>
          <w:rStyle w:val="FootnoteAnchor"/>
          <w:rtl w:val="true"/>
        </w:rPr>
        <w:footnoteReference w:id="21"/>
      </w:r>
      <w:r>
        <w:rPr>
          <w:rFonts w:ascii="IRNazanin" w:hAnsi="IRNazanin" w:eastAsia="IRNazanin"/>
          <w:color w:val="111111"/>
          <w:sz w:val="28"/>
          <w:sz w:val="28"/>
          <w:szCs w:val="28"/>
          <w:rtl w:val="true"/>
          <w:lang w:bidi="fa-IR"/>
        </w:rPr>
        <w:t>ويقول قد طبخ على الثلث وانا اعرفه انه يشربه على النصف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 »</w:t>
      </w:r>
      <w:r>
        <w:rPr>
          <w:rStyle w:val="FootnoteAnchor"/>
          <w:rtl w:val="true"/>
        </w:rPr>
        <w:footnoteReference w:id="2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أنَّ العبرة ليس بخصوص المورد وغير</w:t>
      </w:r>
      <w:r>
        <w:rPr>
          <w:rStyle w:val="FootnoteAnchor"/>
          <w:rtl w:val="true"/>
        </w:rPr>
        <w:footnoteReference w:id="23"/>
      </w:r>
      <w:r>
        <w:rPr>
          <w:rFonts w:ascii="Amiri" w:hAnsi="Amiri" w:eastAsia="Amiri" w:cs="Amiri"/>
          <w:color w:val="111111"/>
          <w:sz w:val="28"/>
          <w:sz w:val="28"/>
          <w:szCs w:val="28"/>
          <w:rtl w:val="true"/>
          <w:lang w:bidi="ar-SA"/>
        </w:rPr>
        <w:t>استصحاب الطهارة؛ لأنّه كان سابقاً قبل الغليان طاهراً، فشُكّ في نجاسته بعد الغليان وقبل الاشتداد؛ فنستصحب الطهارة ونقتصر على مورد اليقين في الحكم المخالف للأصل؛ إلّا أن إطلاق لفظ الخبر يدفع هذا الأصل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مدرك الحكم بالنجاسة هو هذا الخبر، وجواب الإمام علیه السلام منزل على مورد السؤال، فكأنه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24"/>
      </w:r>
      <w:r>
        <w:rPr>
          <w:rFonts w:ascii="Amiri" w:hAnsi="Amiri" w:eastAsia="Amiri" w:cs="Amiri"/>
          <w:color w:val="111111"/>
          <w:sz w:val="28"/>
          <w:sz w:val="28"/>
          <w:szCs w:val="28"/>
          <w:rtl w:val="true"/>
          <w:lang w:bidi="ar-SA"/>
        </w:rPr>
        <w:t>العصير المتصف بكذا وكذا خمر لا العصير المطلق؛ مضافاً إلى أنَّ</w:t>
      </w:r>
      <w:r>
        <w:rPr>
          <w:rStyle w:val="FootnoteAnchor"/>
          <w:rtl w:val="true"/>
        </w:rPr>
        <w:footnoteReference w:id="25"/>
      </w:r>
      <w:r>
        <w:rPr>
          <w:rFonts w:ascii="Amiri" w:hAnsi="Amiri" w:eastAsia="Amiri" w:cs="Amiri"/>
          <w:color w:val="111111"/>
          <w:sz w:val="28"/>
          <w:sz w:val="28"/>
          <w:szCs w:val="28"/>
          <w:rtl w:val="true"/>
          <w:lang w:bidi="ar-SA"/>
        </w:rPr>
        <w:t>الأصل المذكور سابقاً، فيعلم أنَّ الثخانة أيضاً 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نجاسته بالقيدين؛ فمشهور</w:t>
      </w:r>
      <w:r>
        <w:rPr>
          <w:rStyle w:val="FootnoteAnchor"/>
          <w:rtl w:val="true"/>
        </w:rPr>
        <w:footnoteReference w:id="26"/>
      </w:r>
      <w:r>
        <w:rPr>
          <w:rFonts w:ascii="IRNazanin" w:hAnsi="IRNazanin" w:eastAsia="IRNazanin"/>
          <w:color w:val="111111"/>
          <w:sz w:val="28"/>
          <w:sz w:val="28"/>
          <w:szCs w:val="28"/>
          <w:rtl w:val="true"/>
          <w:lang w:bidi="fa-IR"/>
        </w:rPr>
        <w:t xml:space="preserve">، حتى ادعى بعضهم </w:t>
      </w:r>
      <w:r>
        <w:rPr>
          <w:rStyle w:val="FootnoteAnchor"/>
          <w:rtl w:val="true"/>
        </w:rPr>
        <w:footnoteReference w:id="27"/>
      </w:r>
      <w:r>
        <w:rPr>
          <w:rFonts w:ascii="IRNazanin" w:hAnsi="IRNazanin" w:eastAsia="IRNazanin"/>
          <w:color w:val="111111"/>
          <w:sz w:val="28"/>
          <w:sz w:val="28"/>
          <w:szCs w:val="28"/>
          <w:rtl w:val="true"/>
          <w:lang w:bidi="fa-IR"/>
        </w:rPr>
        <w:t xml:space="preserve">الإجماع </w:t>
      </w:r>
      <w:r>
        <w:rPr>
          <w:rStyle w:val="FootnoteAnchor"/>
          <w:rtl w:val="true"/>
        </w:rPr>
        <w:footnoteReference w:id="28"/>
      </w:r>
      <w:r>
        <w:rPr>
          <w:rFonts w:ascii="Amiri" w:hAnsi="Amiri" w:eastAsia="Amiri" w:cs="Amiri"/>
          <w:color w:val="111111"/>
          <w:sz w:val="28"/>
          <w:sz w:val="28"/>
          <w:szCs w:val="28"/>
          <w:rtl w:val="true"/>
          <w:lang w:bidi="ar-SA"/>
        </w:rPr>
        <w:t xml:space="preserve">، فمستنده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الشهرة المحكية المستفيضة، والإجماع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لفظ الخمر عليه إمّا أن يكون حقيقة، كما هو المنقول عن بعض وادعى بعضُهم الإجماع</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للمشابهة؛ والتشبيه يقتضي العموم إن لم يكن للمشبه به أحكام ظاهرة كنجاسته وحرمته ، لكن يُضَعِفَهُ أنّ هذا الخبر مذك قدس سر قدس سرور في الكافي</w:t>
      </w:r>
      <w:r>
        <w:rPr>
          <w:rStyle w:val="FootnoteAnchor"/>
          <w:rtl w:val="true"/>
        </w:rPr>
        <w:footnoteReference w:id="30"/>
      </w:r>
      <w:r>
        <w:rPr>
          <w:rFonts w:ascii="IRNazanin" w:hAnsi="IRNazanin" w:eastAsia="IRNazanin"/>
          <w:color w:val="111111"/>
          <w:sz w:val="28"/>
          <w:sz w:val="28"/>
          <w:szCs w:val="28"/>
          <w:rtl w:val="true"/>
          <w:lang w:bidi="fa-IR"/>
        </w:rPr>
        <w:t xml:space="preserve">بدون لفظ الخمر؛ مع أنّ الصدوق أضبط </w:t>
      </w:r>
      <w:r>
        <w:rPr>
          <w:rStyle w:val="FootnoteAnchor"/>
          <w:rtl w:val="true"/>
        </w:rPr>
        <w:footnoteReference w:id="31"/>
      </w:r>
      <w:r>
        <w:rPr>
          <w:rFonts w:ascii="Amiri" w:hAnsi="Amiri" w:eastAsia="Amiri" w:cs="Amiri"/>
          <w:color w:val="111111"/>
          <w:sz w:val="28"/>
          <w:sz w:val="28"/>
          <w:szCs w:val="28"/>
          <w:rtl w:val="true"/>
          <w:lang w:bidi="ar-SA"/>
        </w:rPr>
        <w:t>لكن يدفعه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حرمته فالأخبار سوى هذه الرواية مستفيضة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الغليان المعتبر هل هو الغليان بالنار أو الأعم؟ </w:t>
      </w:r>
      <w:bookmarkStart w:id="35" w:name="pg9203_87042"/>
    </w:p>
    <w:p>
      <w:pPr>
        <w:pStyle w:val="BookText"/>
        <w:rPr/>
      </w:pPr>
      <w:bookmarkEnd w:id="35"/>
      <w:r>
        <w:rPr>
          <w:rFonts w:ascii="Amiri" w:hAnsi="Amiri" w:eastAsia="Amiri" w:cs="Amiri"/>
          <w:color w:val="111111"/>
          <w:sz w:val="28"/>
          <w:sz w:val="28"/>
          <w:szCs w:val="28"/>
          <w:rtl w:val="true"/>
          <w:lang w:bidi="ar-SA"/>
        </w:rPr>
        <w:t>الظاهر من الروايات الأعم</w:t>
      </w:r>
      <w:r>
        <w:rPr>
          <w:rStyle w:val="FootnoteAnchor"/>
          <w:rtl w:val="true"/>
        </w:rPr>
        <w:footnoteReference w:id="33"/>
      </w:r>
      <w:r>
        <w:rPr>
          <w:rFonts w:ascii="Amiri" w:hAnsi="Amiri" w:eastAsia="Amiri" w:cs="Amiri"/>
          <w:color w:val="111111"/>
          <w:sz w:val="28"/>
          <w:sz w:val="28"/>
          <w:szCs w:val="28"/>
          <w:rtl w:val="true"/>
          <w:lang w:bidi="ar-SA"/>
        </w:rPr>
        <w:t>، وهو الظاهر من كلام الأصحاب</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3967824_2870459653"/>
      <w:bookmarkStart w:id="37" w:name="_Toc11"/>
      <w:bookmarkEnd w:id="36"/>
      <w:r>
        <w:rPr>
          <w:rtl w:val="true"/>
        </w:rPr>
        <w:t>[</w:t>
      </w:r>
      <w:r>
        <w:rPr>
          <w:rtl w:val="true"/>
        </w:rPr>
        <w:t xml:space="preserve">حكم العصير الزبيبي </w:t>
      </w:r>
      <w:r>
        <w:rPr>
          <w:rtl w:val="true"/>
        </w:rPr>
        <w:t>]</w:t>
      </w:r>
      <w:bookmarkEnd w:id="37"/>
    </w:p>
    <w:p>
      <w:pPr>
        <w:pStyle w:val="BookText"/>
        <w:rPr/>
      </w:pPr>
      <w:r>
        <w:rPr>
          <w:rFonts w:ascii="Amiri" w:hAnsi="Amiri" w:eastAsia="Amiri" w:cs="Amiri"/>
          <w:color w:val="111111"/>
          <w:sz w:val="28"/>
          <w:sz w:val="28"/>
          <w:szCs w:val="28"/>
          <w:rtl w:val="true"/>
          <w:lang w:bidi="ar-SA"/>
        </w:rPr>
        <w:t xml:space="preserve">وأما العصير الزبيبي فقد ألحقه بعض </w:t>
      </w:r>
      <w:r>
        <w:rPr>
          <w:rStyle w:val="FootnoteAnchor"/>
          <w:rtl w:val="true"/>
        </w:rPr>
        <w:footnoteReference w:id="35"/>
      </w:r>
      <w:r>
        <w:rPr>
          <w:rFonts w:ascii="Amiri" w:hAnsi="Amiri" w:eastAsia="Amiri" w:cs="Amiri"/>
          <w:color w:val="111111"/>
          <w:sz w:val="28"/>
          <w:sz w:val="28"/>
          <w:szCs w:val="28"/>
          <w:rtl w:val="true"/>
          <w:lang w:bidi="ar-SA"/>
        </w:rPr>
        <w:t>الأصحاب بالنجاسة</w:t>
      </w:r>
      <w:r>
        <w:rPr>
          <w:rStyle w:val="FootnoteAnchor"/>
          <w:rtl w:val="true"/>
        </w:rPr>
        <w:footnoteReference w:id="36"/>
      </w:r>
      <w:r>
        <w:rPr>
          <w:rFonts w:ascii="Amiri" w:hAnsi="Amiri" w:eastAsia="Amiri" w:cs="Amiri"/>
          <w:color w:val="111111"/>
          <w:sz w:val="28"/>
          <w:sz w:val="28"/>
          <w:szCs w:val="28"/>
          <w:rtl w:val="true"/>
          <w:lang w:bidi="ar-SA"/>
        </w:rPr>
        <w:t>ولكن أكثر الأصحاب ذهبوا إلى الطهارة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أعلم قائلاً بالنجاسة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فمستند الطهارة هو الأصل، ولا يمكن الاستناد في النجاسة إلى الاستصحاب؛ لتغير الموضوع إمّا بناءً على عدم صدق العصير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أنّ المُعْتَصَر من العنب مغاير للمُعْتَصَر </w:t>
      </w:r>
      <w:r>
        <w:rPr>
          <w:rStyle w:val="FootnoteAnchor"/>
          <w:rtl w:val="true"/>
        </w:rPr>
        <w:footnoteReference w:id="38"/>
      </w:r>
      <w:r>
        <w:rPr>
          <w:rFonts w:ascii="Amiri" w:hAnsi="Amiri" w:eastAsia="Amiri" w:cs="Amiri"/>
          <w:color w:val="111111"/>
          <w:sz w:val="28"/>
          <w:sz w:val="28"/>
          <w:szCs w:val="28"/>
          <w:rtl w:val="true"/>
          <w:lang w:bidi="ar-SA"/>
        </w:rPr>
        <w:t>من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العرف لا يفرقون بين الماء المخرج من العنب ويوضع حتى يبس ثمّ يصبّ فيه الماء، وبين الماء المخرج من الزبيب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من باب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الماء المخرج من العنب في الصورة الأولى إذا غلى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كلام في نجاسته،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العنبي نجس وإن صبّ فيه شيء من الماء، فإذا كان العصير في الصورة الأولى نجساً كان الحكم كذلك في الصورة الثانية؛ لكونهما واحداً في نظر أهل العرف من باب التسامح، ويبتني ذلك على جريان الاستصحاب في الموضوعات العرفية</w:t>
      </w:r>
      <w:r>
        <w:rPr>
          <w:rFonts w:eastAsia="Amiri" w:cs="Amiri" w:ascii="Amiri" w:hAnsi="Amiri"/>
          <w:color w:val="111111"/>
          <w:sz w:val="28"/>
          <w:szCs w:val="28"/>
          <w:rtl w:val="true"/>
          <w:lang w:bidi="ar-SA"/>
        </w:rPr>
        <w:t xml:space="preserve">. </w:t>
      </w:r>
      <w:bookmarkStart w:id="38" w:name="pg9203_87043"/>
    </w:p>
    <w:p>
      <w:pPr>
        <w:pStyle w:val="Heading2"/>
        <w:numPr>
          <w:ilvl w:val="1"/>
          <w:numId w:val="1"/>
        </w:numPr>
        <w:rPr/>
      </w:pPr>
      <w:bookmarkStart w:id="39" w:name="__RefHeading___Toc3967826_2870459653"/>
      <w:bookmarkStart w:id="40" w:name="_Toc12"/>
      <w:bookmarkEnd w:id="38"/>
      <w:bookmarkEnd w:id="39"/>
      <w:r>
        <w:rPr>
          <w:rtl w:val="true"/>
        </w:rPr>
        <w:t>[</w:t>
      </w:r>
      <w:r>
        <w:rPr>
          <w:rtl w:val="true"/>
        </w:rPr>
        <w:t>الروایات الدالة علی الحرمة</w:t>
      </w:r>
      <w:r>
        <w:rPr>
          <w:rtl w:val="true"/>
        </w:rPr>
        <w:t>]</w:t>
      </w:r>
      <w:bookmarkEnd w:id="40"/>
    </w:p>
    <w:p>
      <w:pPr>
        <w:pStyle w:val="BookText"/>
        <w:rPr/>
      </w:pPr>
      <w:r>
        <w:rPr>
          <w:rFonts w:ascii="IRNazanin" w:hAnsi="IRNazanin" w:eastAsia="IRNazanin"/>
          <w:color w:val="111111"/>
          <w:sz w:val="28"/>
          <w:sz w:val="28"/>
          <w:szCs w:val="28"/>
          <w:rtl w:val="true"/>
          <w:lang w:bidi="fa-IR"/>
        </w:rPr>
        <w:t>وأما حرمته، فقد ورد فيها روايات، مثل رواية علي بن جعفر عن أخيه موسى علیه السلام</w:t>
      </w:r>
      <w:r>
        <w:rPr>
          <w:rStyle w:val="FootnoteAnchor"/>
          <w:rtl w:val="true"/>
        </w:rPr>
        <w:footnoteReference w:id="39"/>
      </w:r>
      <w:r>
        <w:rPr>
          <w:rFonts w:ascii="Amiri" w:hAnsi="Amiri" w:eastAsia="Amiri" w:cs="Amiri"/>
          <w:color w:val="111111"/>
          <w:sz w:val="28"/>
          <w:sz w:val="28"/>
          <w:szCs w:val="28"/>
          <w:rtl w:val="true"/>
          <w:lang w:bidi="ar-SA"/>
        </w:rPr>
        <w:t>وموثقة عمار الساباطي</w:t>
      </w:r>
      <w:r>
        <w:rPr>
          <w:rStyle w:val="FootnoteAnchor"/>
          <w:rtl w:val="true"/>
        </w:rPr>
        <w:footnoteReference w:id="40"/>
      </w:r>
      <w:r>
        <w:rPr>
          <w:rFonts w:ascii="IRNazanin" w:hAnsi="IRNazanin" w:eastAsia="IRNazanin"/>
          <w:color w:val="111111"/>
          <w:sz w:val="28"/>
          <w:sz w:val="28"/>
          <w:szCs w:val="28"/>
          <w:rtl w:val="true"/>
          <w:lang w:bidi="fa-IR"/>
        </w:rPr>
        <w:t>، ورواية زيد النرسي عن الصادق علیه السلام في الزبيب يدق ويلقى في القدر ويصب عليه الماء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حرام حتى يذهب ثلثاه </w:t>
      </w:r>
      <w:r>
        <w:rPr>
          <w:rFonts w:eastAsia="IRNazanin" w:cs="IRNazanin"/>
          <w:color w:val="111111"/>
          <w:sz w:val="28"/>
          <w:szCs w:val="28"/>
          <w:rtl w:val="true"/>
          <w:lang w:bidi="fa-IR"/>
        </w:rPr>
        <w:t>... »</w:t>
      </w:r>
      <w:r>
        <w:rPr>
          <w:rStyle w:val="FootnoteAnchor"/>
          <w:rtl w:val="true"/>
        </w:rPr>
        <w:footnoteReference w:id="41"/>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تدل على حرمته ما لم يذهب ثلثاه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w:t>
      </w:r>
      <w:r>
        <w:rPr>
          <w:rStyle w:val="FootnoteAnchor"/>
          <w:rtl w:val="true"/>
        </w:rPr>
        <w:footnoteReference w:id="43"/>
      </w:r>
      <w:r>
        <w:rPr>
          <w:rFonts w:ascii="Amiri" w:hAnsi="Amiri" w:eastAsia="Amiri" w:cs="Amiri"/>
          <w:color w:val="111111"/>
          <w:sz w:val="28"/>
          <w:sz w:val="28"/>
          <w:szCs w:val="28"/>
          <w:rtl w:val="true"/>
          <w:lang w:bidi="ar-SA"/>
        </w:rPr>
        <w:t xml:space="preserve">دلالة على المطلوب رواية زيد النرسي، وهو وإن كان ضعفه الصدوق ، وشيخه ابن الوليد </w:t>
      </w:r>
      <w:r>
        <w:rPr>
          <w:rStyle w:val="FootnoteAnchor"/>
          <w:rtl w:val="true"/>
        </w:rPr>
        <w:footnoteReference w:id="44"/>
      </w:r>
      <w:r>
        <w:rPr>
          <w:rFonts w:ascii="Amiri" w:hAnsi="Amiri" w:eastAsia="Amiri" w:cs="Amiri"/>
          <w:color w:val="111111"/>
          <w:sz w:val="28"/>
          <w:sz w:val="28"/>
          <w:szCs w:val="28"/>
          <w:rtl w:val="true"/>
          <w:lang w:bidi="ar-SA"/>
        </w:rPr>
        <w:t>، لكن يرويه عنه ابن أبي عمير، وهو ممن اجتمعت العصابةً على تصحيح ما يصح عنه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فلو قلنا</w:t>
      </w:r>
      <w:r>
        <w:rPr>
          <w:rStyle w:val="FootnoteAnchor"/>
          <w:rtl w:val="true"/>
        </w:rPr>
        <w:footnoteReference w:id="46"/>
      </w:r>
      <w:r>
        <w:rPr>
          <w:rFonts w:ascii="Amiri" w:hAnsi="Amiri" w:eastAsia="Amiri" w:cs="Amiri"/>
          <w:color w:val="111111"/>
          <w:sz w:val="28"/>
          <w:sz w:val="28"/>
          <w:szCs w:val="28"/>
          <w:rtl w:val="true"/>
          <w:lang w:bidi="ar-SA"/>
        </w:rPr>
        <w:t xml:space="preserve">بنجاسة العصير الزبيبي وتعميم لفظ العصير الوارد في الرواية إلى كل عصير ولو من غير العنب، فهل يعتبر الإخراج من مسماه </w:t>
      </w:r>
      <w:r>
        <w:rPr>
          <w:rStyle w:val="FootnoteAnchor"/>
          <w:rtl w:val="true"/>
        </w:rPr>
        <w:footnoteReference w:id="47"/>
      </w:r>
      <w:r>
        <w:rPr>
          <w:rFonts w:ascii="IRNazanin" w:hAnsi="IRNazanin" w:eastAsia="IRNazanin"/>
          <w:color w:val="111111"/>
          <w:sz w:val="28"/>
          <w:sz w:val="28"/>
          <w:szCs w:val="28"/>
          <w:rtl w:val="true"/>
          <w:lang w:bidi="fa-IR"/>
        </w:rPr>
        <w:t>أم 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بعض</w:t>
      </w:r>
      <w:r>
        <w:rPr>
          <w:rStyle w:val="FootnoteAnchor"/>
          <w:rtl w:val="true"/>
        </w:rPr>
        <w:footnoteReference w:id="48"/>
      </w:r>
      <w:r>
        <w:rPr>
          <w:rFonts w:ascii="Amiri" w:hAnsi="Amiri" w:eastAsia="Amiri" w:cs="Amiri"/>
          <w:color w:val="111111"/>
          <w:sz w:val="28"/>
          <w:sz w:val="28"/>
          <w:szCs w:val="28"/>
          <w:rtl w:val="true"/>
          <w:lang w:bidi="ar-SA"/>
        </w:rPr>
        <w:t>عدم الاعتبار فلو وقعت حبّاتُ العنب في ماء فغلى، ما</w:t>
      </w:r>
      <w:r>
        <w:rPr>
          <w:rStyle w:val="FootnoteAnchor"/>
          <w:rtl w:val="true"/>
        </w:rPr>
        <w:footnoteReference w:id="49"/>
      </w:r>
      <w:r>
        <w:rPr>
          <w:rFonts w:ascii="Amiri" w:hAnsi="Amiri" w:eastAsia="Amiri" w:cs="Amiri"/>
          <w:color w:val="111111"/>
          <w:sz w:val="28"/>
          <w:sz w:val="28"/>
          <w:szCs w:val="28"/>
          <w:rtl w:val="true"/>
          <w:lang w:bidi="ar-SA"/>
        </w:rPr>
        <w:t>في بطنها؛ يكون نجساً ما لم يذهب ثلثاه</w:t>
      </w:r>
      <w:r>
        <w:rPr>
          <w:rFonts w:eastAsia="Amiri" w:cs="Amiri" w:ascii="Amiri" w:hAnsi="Amiri"/>
          <w:color w:val="111111"/>
          <w:sz w:val="28"/>
          <w:szCs w:val="28"/>
          <w:rtl w:val="true"/>
          <w:lang w:bidi="ar-SA"/>
        </w:rPr>
        <w:t xml:space="preserve">. </w:t>
      </w:r>
      <w:bookmarkStart w:id="41" w:name="pg9203_87044"/>
    </w:p>
    <w:p>
      <w:pPr>
        <w:pStyle w:val="BookText"/>
        <w:rPr/>
      </w:pPr>
      <w:bookmarkEnd w:id="41"/>
      <w:r>
        <w:rPr>
          <w:rFonts w:ascii="Amiri" w:hAnsi="Amiri" w:eastAsia="Amiri" w:cs="Amiri"/>
          <w:color w:val="111111"/>
          <w:sz w:val="28"/>
          <w:sz w:val="28"/>
          <w:szCs w:val="28"/>
          <w:rtl w:val="true"/>
          <w:lang w:bidi="ar-SA"/>
        </w:rPr>
        <w:t>ويظهر من بعض</w:t>
      </w:r>
      <w:r>
        <w:rPr>
          <w:rStyle w:val="FootnoteAnchor"/>
          <w:rtl w:val="true"/>
        </w:rPr>
        <w:footnoteReference w:id="50"/>
      </w:r>
      <w:r>
        <w:rPr>
          <w:rFonts w:ascii="Amiri" w:hAnsi="Amiri" w:eastAsia="Amiri" w:cs="Amiri"/>
          <w:color w:val="111111"/>
          <w:sz w:val="28"/>
          <w:sz w:val="28"/>
          <w:szCs w:val="28"/>
          <w:rtl w:val="true"/>
          <w:lang w:bidi="ar-SA"/>
        </w:rPr>
        <w:t>اعتبار الإخراج فيحكم بطهارة الحبّات إذا غلى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الإشكال في الزبيب الذي جُفّف بالسَّمْن </w:t>
      </w:r>
      <w:r>
        <w:rPr>
          <w:rStyle w:val="FootnoteAnchor"/>
          <w:rtl w:val="true"/>
        </w:rPr>
        <w:footnoteReference w:id="51"/>
      </w:r>
      <w:r>
        <w:rPr>
          <w:rFonts w:ascii="Amiri" w:hAnsi="Amiri" w:eastAsia="Amiri" w:cs="Amiri"/>
          <w:color w:val="111111"/>
          <w:sz w:val="28"/>
          <w:sz w:val="28"/>
          <w:szCs w:val="28"/>
          <w:rtl w:val="true"/>
          <w:lang w:bidi="ar-SA"/>
        </w:rPr>
        <w:t>أو الشمس فهل يحكم بنجاسته ما لم يُعلم بذهاب ثلثيه أو لا يحكم بنجاسته؟</w:t>
      </w:r>
    </w:p>
    <w:p>
      <w:pPr>
        <w:pStyle w:val="BookText"/>
        <w:rPr/>
      </w:pPr>
      <w:r>
        <w:rPr>
          <w:rFonts w:ascii="Amiri" w:hAnsi="Amiri" w:eastAsia="Amiri" w:cs="Amiri"/>
          <w:color w:val="111111"/>
          <w:sz w:val="28"/>
          <w:sz w:val="28"/>
          <w:szCs w:val="28"/>
          <w:rtl w:val="true"/>
          <w:lang w:bidi="ar-SA"/>
        </w:rPr>
        <w:t>يمكن القول بعدم اعتبار الإخراج؛ لأنّ لفظ العصير بحسب أصل اللغة وإن كان معتبراً فيه ذلك لكنه بحسب العرف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اعتبار الإخراج؛ لأنه لم يدلّ دليل على عدم اعتبار المعنى اللغوي، فإذا كان معتبراً فالقول بالطهارة في الموضعين لا يخلو عن إشكال</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3967828_2870459653"/>
      <w:bookmarkStart w:id="43" w:name="_Toc13"/>
      <w:bookmarkEnd w:id="42"/>
      <w:r>
        <w:rPr>
          <w:rtl w:val="true"/>
        </w:rPr>
        <w:t>[</w:t>
      </w:r>
      <w:r>
        <w:rPr>
          <w:rtl w:val="true"/>
        </w:rPr>
        <w:t>هل يحلّ أكل الزبيب المطبوخ ؟</w:t>
      </w:r>
      <w:r>
        <w:rPr>
          <w:rtl w:val="true"/>
        </w:rPr>
        <w:t>]</w:t>
      </w:r>
      <w:bookmarkEnd w:id="43"/>
    </w:p>
    <w:p>
      <w:pPr>
        <w:pStyle w:val="BookText"/>
        <w:rPr/>
      </w:pPr>
      <w:r>
        <w:rPr>
          <w:rFonts w:ascii="Amiri" w:hAnsi="Amiri" w:eastAsia="Amiri" w:cs="Amiri"/>
          <w:color w:val="111111"/>
          <w:sz w:val="28"/>
          <w:sz w:val="28"/>
          <w:szCs w:val="28"/>
          <w:rtl w:val="true"/>
          <w:lang w:bidi="ar-SA"/>
        </w:rPr>
        <w:t>ثم لو قلنا بعدم اعتبار الإخراج، لو طبخ الزبيب بالدهن أو بغيره من أقسام الطبخ فهل يحل أكله أم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مائية في الزبيب المجفف، بل هو جرم محض، وموضوع النجاسة يكون الماء، وهذا الاحتمال لا يخلو عن بُعدِ ؛ لأنّه لا يبعد أن يكون المناط في النجاسة والطهارة هو ميعانه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بسبب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الغليان حصل فيه ميعان وذوبان ، ومناط النجاسة هو ذلك، وكذا القول في حبة عنب</w:t>
      </w:r>
      <w:r>
        <w:rPr>
          <w:rStyle w:val="FootnoteAnchor"/>
          <w:rtl w:val="true"/>
        </w:rPr>
        <w:footnoteReference w:id="52"/>
      </w:r>
      <w:r>
        <w:rPr>
          <w:rFonts w:ascii="Amiri" w:hAnsi="Amiri" w:eastAsia="Amiri" w:cs="Amiri"/>
          <w:color w:val="111111"/>
          <w:sz w:val="28"/>
          <w:sz w:val="28"/>
          <w:szCs w:val="28"/>
          <w:rtl w:val="true"/>
          <w:lang w:bidi="ar-SA"/>
        </w:rPr>
        <w:t>انسلخ جلدها عنها وجففت فإذا تأثرت بالنار يظهر مائيته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هو ذهاب الثلثين وهو حاصل بالشمس، وهذا الاحتمال أيضاً لا يخلو عن بعد؛ لأنه بناءً على هذا لا بُدَّ أن يُقصر في الحكم بالطهارة على صورة غليانه وذهاب ثلثيه، وأما إذا لم يغل ولم يُعلم ذهاب ثلثيه فلا يُحكم بالطهارة</w:t>
      </w:r>
      <w:r>
        <w:rPr>
          <w:rFonts w:eastAsia="Amiri" w:cs="Amiri" w:ascii="Amiri" w:hAnsi="Amiri"/>
          <w:color w:val="111111"/>
          <w:sz w:val="28"/>
          <w:szCs w:val="28"/>
          <w:rtl w:val="true"/>
          <w:lang w:bidi="ar-SA"/>
        </w:rPr>
        <w:t xml:space="preserve">. </w:t>
      </w:r>
      <w:bookmarkStart w:id="44" w:name="pg9203_87045"/>
    </w:p>
    <w:p>
      <w:pPr>
        <w:pStyle w:val="BookText"/>
        <w:rPr/>
      </w:pPr>
      <w:bookmarkEnd w:id="44"/>
      <w:r>
        <w:rPr>
          <w:rFonts w:ascii="Amiri" w:hAnsi="Amiri" w:eastAsia="Amiri" w:cs="Amiri"/>
          <w:color w:val="111111"/>
          <w:sz w:val="28"/>
          <w:sz w:val="28"/>
          <w:szCs w:val="28"/>
          <w:rtl w:val="true"/>
          <w:lang w:bidi="ar-SA"/>
        </w:rPr>
        <w:t xml:space="preserve">والثالث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يغل</w:t>
      </w:r>
      <w:r>
        <w:rPr>
          <w:rStyle w:val="FootnoteAnchor"/>
          <w:rtl w:val="true"/>
        </w:rPr>
        <w:footnoteReference w:id="53"/>
      </w:r>
      <w:r>
        <w:rPr>
          <w:rFonts w:ascii="Amiri" w:hAnsi="Amiri" w:eastAsia="Amiri" w:cs="Amiri"/>
          <w:color w:val="111111"/>
          <w:sz w:val="28"/>
          <w:sz w:val="28"/>
          <w:szCs w:val="28"/>
          <w:rtl w:val="true"/>
          <w:lang w:bidi="ar-SA"/>
        </w:rPr>
        <w:t>بسبب غليان السَّمْن ،والماء، بل يغلي السَّمْن والماء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w:t>
      </w:r>
      <w:r>
        <w:rPr>
          <w:rStyle w:val="FootnoteAnchor"/>
          <w:rtl w:val="true"/>
        </w:rPr>
        <w:footnoteReference w:id="54"/>
      </w:r>
      <w:r>
        <w:rPr>
          <w:rFonts w:ascii="Amiri" w:hAnsi="Amiri" w:eastAsia="Amiri" w:cs="Amiri"/>
          <w:color w:val="111111"/>
          <w:sz w:val="28"/>
          <w:sz w:val="28"/>
          <w:szCs w:val="28"/>
          <w:rtl w:val="true"/>
          <w:lang w:bidi="ar-SA"/>
        </w:rPr>
        <w:t>وروده في السمن والماء، ذهبَ جميع أجرامه</w:t>
      </w:r>
      <w:r>
        <w:rPr>
          <w:rStyle w:val="FootnoteAnchor"/>
          <w:rtl w:val="true"/>
        </w:rPr>
        <w:footnoteReference w:id="55"/>
      </w:r>
      <w:r>
        <w:rPr>
          <w:rFonts w:ascii="Amiri" w:hAnsi="Amiri" w:eastAsia="Amiri" w:cs="Amiri"/>
          <w:color w:val="111111"/>
          <w:sz w:val="28"/>
          <w:sz w:val="28"/>
          <w:szCs w:val="28"/>
          <w:rtl w:val="true"/>
          <w:lang w:bidi="ar-SA"/>
        </w:rPr>
        <w:t>فلا يبقى شيء حتى يُحكم بحليته وحرمته ونجاسته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الاحتمال مختص بما إذا طبخ بالسَّمْن، وأما إذا طبخ بغيره من سائر أقسام طبخه فلا يجري فيه هذا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معلق على العصير المطلق دون العصير المخلوط بالسمن مثلاً؛ لأنه لا يسمى عصيراً مطلقاً والحكم معلّق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لازم ليصدق العصير وههنا لم يخرج</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ولا يبعد هذان الاحتمالان، وإن كان أولهما أحسن</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3967830_2870459653"/>
      <w:bookmarkStart w:id="46" w:name="_Toc14"/>
      <w:bookmarkEnd w:id="45"/>
      <w:r>
        <w:rPr>
          <w:rtl w:val="true"/>
        </w:rPr>
        <w:t xml:space="preserve">[ </w:t>
      </w:r>
      <w:r>
        <w:rPr>
          <w:rtl w:val="true"/>
        </w:rPr>
        <w:t xml:space="preserve">نجاسة العصير العنبي بمجرد غليانه بنفسه </w:t>
      </w:r>
      <w:r>
        <w:rPr>
          <w:rtl w:val="true"/>
        </w:rPr>
        <w:t>]</w:t>
      </w:r>
      <w:bookmarkEnd w:id="46"/>
    </w:p>
    <w:p>
      <w:pPr>
        <w:pStyle w:val="BookText"/>
        <w:rPr/>
      </w:pPr>
      <w:r>
        <w:rPr>
          <w:rFonts w:ascii="Amiri" w:hAnsi="Amiri" w:eastAsia="Amiri" w:cs="Amiri"/>
          <w:color w:val="111111"/>
          <w:sz w:val="28"/>
          <w:sz w:val="28"/>
          <w:szCs w:val="28"/>
          <w:rtl w:val="true"/>
          <w:lang w:bidi="ar-SA"/>
        </w:rPr>
        <w:t>ثم اعلم هل المعتبر في النجاسة غليان العصير بالنار أو أعم من أن يكون بالنار أو بالشمس أو بنفسه؛ لإطلاق الغليان وعدم تقييده بالنار ؟</w:t>
      </w:r>
    </w:p>
    <w:p>
      <w:pPr>
        <w:pStyle w:val="BookText"/>
        <w:rPr/>
      </w:pPr>
      <w:r>
        <w:rPr>
          <w:rFonts w:ascii="Amiri" w:hAnsi="Amiri" w:eastAsia="Amiri" w:cs="Amiri"/>
          <w:color w:val="111111"/>
          <w:sz w:val="28"/>
          <w:sz w:val="28"/>
          <w:szCs w:val="28"/>
          <w:rtl w:val="true"/>
          <w:lang w:bidi="ar-SA"/>
        </w:rPr>
        <w:t xml:space="preserve">ولا يبعد أن يكون المراد بالنشيش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غليانه بنفسه</w:t>
      </w:r>
    </w:p>
    <w:p>
      <w:pPr>
        <w:pStyle w:val="BookText"/>
        <w:rPr/>
      </w:pPr>
      <w:r>
        <w:rPr>
          <w:rFonts w:ascii="IRNazanin" w:hAnsi="IRNazanin" w:eastAsia="IRNazanin"/>
          <w:color w:val="111111"/>
          <w:sz w:val="28"/>
          <w:sz w:val="28"/>
          <w:szCs w:val="28"/>
          <w:rtl w:val="true"/>
          <w:lang w:bidi="fa-IR"/>
        </w:rPr>
        <w:t xml:space="preserve">كما يظهر ذلك من قوله علیه السلام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وخشيت أن ينش؛ جعلته في تنور مسجور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انه ظهر لك مما ذكرنا سابقاً؛ انّ الدليل المعتبر على نجاسة العصير إذا غلى ليس إلّا خبر ورد فيه لفظ البختج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ولكن بعد ذلك كله يرد على الخبر إشكال؛ وهو انّ قول ذي اليد معتبر، والسائل في هذا الخبر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من أهل المعرفة يأتيني بالبختج وهو يقول على الثلث، وانا أعلم انه يشربه على النصف؛ فكيف يحكم بحرمته ونجاسته؛ فلا بُدَّ أن يحمل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على الكراهة كما حمل عليها بعضُ</w:t>
      </w:r>
      <w:r>
        <w:rPr>
          <w:rStyle w:val="FootnoteAnchor"/>
          <w:rtl w:val="true"/>
        </w:rPr>
        <w:footnoteReference w:id="59"/>
      </w:r>
      <w:r>
        <w:rPr>
          <w:rFonts w:ascii="Amiri" w:hAnsi="Amiri" w:eastAsia="Amiri" w:cs="Amiri"/>
          <w:color w:val="111111"/>
          <w:sz w:val="28"/>
          <w:sz w:val="28"/>
          <w:szCs w:val="28"/>
          <w:rtl w:val="true"/>
          <w:lang w:bidi="ar-SA"/>
        </w:rPr>
        <w:t>، وبعد حمله على الكراهة لا يكون دليلاً على النجاسة والحال انهم استدلوا به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قول ذي اليد مقيّد بصورة عدم علم الشخص بالحال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علم الشخص بالحال؛ فلا يكون قول ذي اليد معتبراً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الرواية اعترف السائل بكون الشرب على النصف من عادته، كما يشهد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الفعل المضارع دال على الاستمرار ومراده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أنه يشرب دائماً على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المضارع لا يدلّ على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استمرار أكله وشربه على النصف لا يدلّ على كون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النصف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ولا ترجيح لقول ذي اليد؛ وهو بعيد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كلام الشيخ محمد حسن قدس سره</w:t>
      </w:r>
      <w:r>
        <w:rPr>
          <w:rStyle w:val="FootnoteAnchor"/>
          <w:rtl w:val="true"/>
        </w:rPr>
        <w:footnoteReference w:id="60"/>
      </w:r>
      <w:r>
        <w:rPr>
          <w:rFonts w:ascii="IRNazanin" w:hAnsi="IRNazanin" w:eastAsia="IRNazanin"/>
          <w:color w:val="111111"/>
          <w:sz w:val="28"/>
          <w:sz w:val="28"/>
          <w:szCs w:val="28"/>
          <w:rtl w:val="true"/>
          <w:lang w:bidi="fa-IR"/>
        </w:rPr>
        <w:t xml:space="preserve">ما يوجب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التهافت؛ سال فإنّه استدل في هذا المقام على نجاسة العصير العنبي بهذا الخبر، واستدل بهذا الخبر في الأطعمة والأشربة للكراهة، والحال أنّ استدلاله للنجاسة يتوقف على حمل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تشربه على الحرمة والاستدلال للكراهة يتوقف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على الكراهة؛ ولا يعقل له حيثيتان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النهي على التنزيهي؛ واستدلاله به للنجاسة كأنه من باب الأولوية، وبحمل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أعلم أنه يشربه على النصف</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على أنّه یشربه علی النصف مطلقاً لا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فرض علمه بأنّ هذه عادته وسجيته لا يحصل له العلم في هذا الفرد الخارجي، ويكون من موارد ترجيح قول ذي اليد، فكأنه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تقدم قول ذي اليد في هذا الفرض لا تشربه لشدة قذارته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أنه مع كون تكليفك عدم الاجتناب أيضاً، أحب تركه؛ فكيف إذا لم يكن تكليفك عدم الاجتناب، بل كان التكليف الاجتناب فهو إذا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ذي اليد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أدى إليه نظري الفاتر في توجيه كلام الشيخ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بالتشديد أو بالتخفيف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المتخذ من الشعير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يختص بالشعير، بل كل متخذ وقع فيه نشيش</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معلق على الفقاع</w:t>
      </w:r>
      <w:r>
        <w:rPr>
          <w:rStyle w:val="FootnoteAnchor"/>
          <w:rtl w:val="true"/>
        </w:rPr>
        <w:footnoteReference w:id="65"/>
      </w:r>
      <w:r>
        <w:rPr>
          <w:rFonts w:ascii="Amiri" w:hAnsi="Amiri" w:eastAsia="Amiri" w:cs="Amiri"/>
          <w:color w:val="111111"/>
          <w:sz w:val="28"/>
          <w:sz w:val="28"/>
          <w:szCs w:val="28"/>
          <w:rtl w:val="true"/>
          <w:lang w:bidi="ar-SA"/>
        </w:rPr>
        <w:t>ولم يُعلم مفهومه، فلا بُدَّ أن يُرجع فيه إلى العرف ؛ فكل ما أطلق العرف عليه الفقاع مع وجود خاصيته وهي النشيش فهو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عُلم مفهوم الفقاع؛ فلا إشكال فيه، وإذا أُطلق في العرف لفظ الفقاع على شيء ولم يعلم أنه من هذا المفهوم أم غيره فيكون من قبيل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اعتبر قول أهل العرف من باب البينة وغيرها فهو، وإلا فيرجع إلى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يُعلم مفهوم الفقاع فلا بُدَّ أن نرجع إلى العرف في تعيين مصاديق الفقاع، فكلُّ ما أطلق لفظ الفقاع عليه فيحكم بحرمته ونجاسته، فيشكل حينئذ أنّ أهل العرف قد يطلقون لفظ الفقاع على الشيء الحلال كما يشهد به رواية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يعمل لأبي الحسن علا الفقاع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يعمل فقاع يغلي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فدار الأمر بين أن يكون هذا الإطلاق على سبيل الحقيقة ويصير للمطلقات مقيدات، وبين أن يكون هذا الإطلاق على سبيل المجاز، والأخبار المطلقة بحالها، فإذا دار الأمر بين التقييد والمجاز فالمجاز في هذه الموارد أولى؛ لأن مجرد الاستعمال لا يدلّ على الحقيقة، نعم، ولا خبر يدلّ على أنّ المفهوم معلوم ولكن الشبهة في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الفقاع كل شراب وقع فيه النشيش والقفزان</w:t>
      </w:r>
      <w:r>
        <w:rPr>
          <w:rStyle w:val="FootnoteAnchor"/>
          <w:rtl w:val="true"/>
        </w:rPr>
        <w:footnoteReference w:id="67"/>
      </w:r>
      <w:r>
        <w:rPr>
          <w:rFonts w:ascii="Amiri" w:hAnsi="Amiri" w:eastAsia="Amiri" w:cs="Amiri"/>
          <w:color w:val="111111"/>
          <w:sz w:val="28"/>
          <w:sz w:val="28"/>
          <w:szCs w:val="28"/>
          <w:rtl w:val="true"/>
          <w:lang w:bidi="ar-SA"/>
        </w:rPr>
        <w:t>ولا يختص بشيء خاص، والذين يختصونه</w:t>
      </w:r>
      <w:r>
        <w:rPr>
          <w:rStyle w:val="FootnoteAnchor"/>
          <w:rtl w:val="true"/>
        </w:rPr>
        <w:footnoteReference w:id="68"/>
      </w:r>
      <w:r>
        <w:rPr>
          <w:rFonts w:ascii="Amiri" w:hAnsi="Amiri" w:eastAsia="Amiri" w:cs="Amiri"/>
          <w:color w:val="111111"/>
          <w:sz w:val="28"/>
          <w:sz w:val="28"/>
          <w:szCs w:val="28"/>
          <w:rtl w:val="true"/>
          <w:lang w:bidi="ar-SA"/>
        </w:rPr>
        <w:t>بشيء خاص لا يقولون هو لا غير؛ فقول المثبت مقدم على النافي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اعتبار النشيش والسكر؛ فيمكن أن يستفاد من الأخبار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يحرم الخمر نفسها بل لعاقبتها</w:t>
      </w:r>
      <w:r>
        <w:rPr>
          <w:rStyle w:val="FootnoteAnchor"/>
          <w:rtl w:val="true"/>
        </w:rPr>
        <w:footnoteReference w:id="69"/>
      </w:r>
      <w:r>
        <w:rPr>
          <w:rFonts w:ascii="Amiri" w:hAnsi="Amiri" w:eastAsia="Amiri" w:cs="Amiri"/>
          <w:color w:val="111111"/>
          <w:sz w:val="28"/>
          <w:sz w:val="28"/>
          <w:szCs w:val="28"/>
          <w:rtl w:val="true"/>
          <w:lang w:bidi="ar-SA"/>
        </w:rPr>
        <w:t xml:space="preserve">، فما كان عاقبته عاقبة الخمر فهو خمر، وأطلق الخمر على </w:t>
      </w:r>
      <w:bookmarkStart w:id="47" w:name="pg9203_87049"/>
    </w:p>
    <w:p>
      <w:pPr>
        <w:pStyle w:val="BookText"/>
        <w:rPr/>
      </w:pPr>
      <w:bookmarkEnd w:id="47"/>
      <w:r>
        <w:rPr>
          <w:rFonts w:ascii="Amiri" w:hAnsi="Amiri" w:eastAsia="Amiri" w:cs="Amiri"/>
          <w:color w:val="111111"/>
          <w:sz w:val="28"/>
          <w:sz w:val="28"/>
          <w:szCs w:val="28"/>
          <w:rtl w:val="true"/>
          <w:lang w:bidi="ar-SA"/>
        </w:rPr>
        <w:t xml:space="preserve">الفقاع والحال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الخمر بهذه المثابة ليعلم أن الفقاع أيضاً معتبر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أنّ الفقاع أيضاً لم يحرم لاسمها بل لعاقبتها وهي حالة لم تدركها عقولنا حتى نقول هو هذا، وكأنه حصلت في الشخص بواسطة شرب الفقاع حالة تكون المناط في التسمية والحرمة في نظر الشارع حتى نقيس على الفقاع كلما حصل فيه بالشيء، ولعلّ منظور نظره غير هذه المرتبة من مراتب السكر ، وإذا لم يعلم المناط بخصوصه بل علم بعنوان الإجمال أنّ المناط هو النشيش أو سكره بدليل إطلاق الخمر عليه وعدم تحريم الخمر إلّا لعاقبته وحرمته أيضاً من الخمر لم يكن لنا قياس شيء آخر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قد ادعى جماعة الإجماع على نجاسته</w:t>
      </w:r>
      <w:r>
        <w:rPr>
          <w:rStyle w:val="FootnoteAnchor"/>
          <w:rtl w:val="true"/>
        </w:rPr>
        <w:footnoteReference w:id="70"/>
      </w:r>
      <w:r>
        <w:rPr>
          <w:rFonts w:ascii="Amiri" w:hAnsi="Amiri" w:eastAsia="Amiri" w:cs="Amiri"/>
          <w:color w:val="111111"/>
          <w:sz w:val="28"/>
          <w:sz w:val="28"/>
          <w:szCs w:val="28"/>
          <w:rtl w:val="true"/>
          <w:lang w:bidi="ar-SA"/>
        </w:rPr>
        <w:t xml:space="preserve">، وبعد الإجماع الأخبار المتظافرة تدل على أنّه خمرٌ مجهول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لفظ الخمر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باب الحقيقة،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يكون من باب التشبيه والتشبيه يقتضي العموم وإن لم تكن للمشبّه أحكام ظاهرة وهنا ثابتة ومنها النجاسة، وقد ورد خبر أيضاً بهذا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أصاب ثوبك فاغسله</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وهو صريح في المطلب، إلّا أنّه ضعيف، وهو غير مضر؛ لأنّ ضعفه منجبر بالشّهرة وعمل الأصحاب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3967832_2870459653"/>
      <w:bookmarkStart w:id="49" w:name="_Toc15"/>
      <w:bookmarkEnd w:id="48"/>
      <w:r>
        <w:rPr>
          <w:rtl w:val="true"/>
        </w:rPr>
        <w:t>ومن النجاسات الكافر</w:t>
      </w:r>
      <w:bookmarkEnd w:id="49"/>
    </w:p>
    <w:p>
      <w:pPr>
        <w:pStyle w:val="BookText"/>
        <w:rPr/>
      </w:pPr>
      <w:r>
        <w:rPr>
          <w:rFonts w:ascii="Amiri" w:hAnsi="Amiri" w:eastAsia="Amiri" w:cs="Amiri"/>
          <w:color w:val="111111"/>
          <w:sz w:val="28"/>
          <w:sz w:val="28"/>
          <w:szCs w:val="28"/>
          <w:rtl w:val="true"/>
          <w:lang w:bidi="ar-SA"/>
        </w:rPr>
        <w:t>وهو نجس بجميع أقسامه، واستدلّ عليه بوجوه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 الإجماع، حتى لم يُنقل فيه مخالف عدا ابن الجُنَّيد</w:t>
      </w:r>
      <w:r>
        <w:rPr>
          <w:rStyle w:val="FootnoteAnchor"/>
          <w:rtl w:val="true"/>
        </w:rPr>
        <w:footnoteReference w:id="74"/>
      </w:r>
      <w:r>
        <w:rPr>
          <w:rFonts w:ascii="Amiri" w:hAnsi="Amiri" w:eastAsia="Amiri" w:cs="Amiri"/>
          <w:color w:val="111111"/>
          <w:sz w:val="28"/>
          <w:sz w:val="28"/>
          <w:szCs w:val="28"/>
          <w:rtl w:val="true"/>
          <w:lang w:bidi="ar-SA"/>
        </w:rPr>
        <w:t xml:space="preserve">، وإنْ أوهم ظاهر عبارة </w:t>
      </w:r>
    </w:p>
    <w:p>
      <w:pPr>
        <w:pStyle w:val="BookText"/>
        <w:rPr/>
      </w:pPr>
      <w:r>
        <w:rPr>
          <w:rFonts w:ascii="Amiri" w:hAnsi="Amiri" w:eastAsia="Amiri" w:cs="Amiri"/>
          <w:color w:val="111111"/>
          <w:sz w:val="28"/>
          <w:sz w:val="28"/>
          <w:szCs w:val="28"/>
          <w:rtl w:val="true"/>
          <w:lang w:bidi="ar-SA"/>
        </w:rPr>
        <w:t>بعض بالخلاف، إلّا أنّه ليس كذلك، مثلاً ابن أبي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سؤره</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وان أوهمت الطهارة إلّا أنّه من باب ذهابه إلى عدم نجاسة الماء القليل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والاستدلال بها يتم بمقدمات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كون الجمع مفيد للعموم، وعدم كونه للعهد وإشارةً إلى الذين نقضوا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كون الكفار كلّهم مشركين، وهو غير مسلّم، لظهور أنّ المشركين غير أهل الكتاب كما يظهر من مقابلتهما في الكتاب </w:t>
      </w:r>
      <w:r>
        <w:rPr>
          <w:rStyle w:val="FootnoteAnchor"/>
          <w:rtl w:val="true"/>
        </w:rPr>
        <w:footnoteReference w:id="77"/>
      </w:r>
      <w:r>
        <w:rPr>
          <w:rFonts w:ascii="Amiri" w:hAnsi="Amiri" w:eastAsia="Amiri" w:cs="Amiri"/>
          <w:color w:val="111111"/>
          <w:sz w:val="28"/>
          <w:sz w:val="28"/>
          <w:szCs w:val="28"/>
          <w:rtl w:val="true"/>
          <w:lang w:bidi="ar-SA"/>
        </w:rPr>
        <w:t>، وإن أطلق الشرك على أهل الكتاب إلّا أنّه ليس الشرك المراد من المشركين؛ لأنّ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عُزير ابن الله، ولم يكن هذا شركاً جلياً بل شركاً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النجاسة المعروفة لا النجاسة اللغوية، وهي القذارة في مقابل النظافة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ثبوت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لأنّ الجمع حقيقة في العموم ولا صارف له عن حقیقته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اليهود والنصارى أيضاً كانوا من المشركين؛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الآلهة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النجس إمّا أن يكون حقيقة شرعية في المعنى المعروف، وأمّا أن يكون باقياً على المعنى اللغوي، ولكنّ اختلاف اللغة والشرع باختلاف النظر لا بالاختلاف في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واللُّغوي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قذر يعني هذا خبيث، وشيء غير جيد</w:t>
      </w:r>
      <w:r>
        <w:rPr>
          <w:rStyle w:val="FootnoteAnchor"/>
          <w:rtl w:val="true"/>
        </w:rPr>
        <w:footnoteReference w:id="78"/>
      </w:r>
      <w:r>
        <w:rPr>
          <w:rFonts w:ascii="Amiri" w:hAnsi="Amiri" w:eastAsia="Amiri" w:cs="Amiri"/>
          <w:color w:val="111111"/>
          <w:sz w:val="28"/>
          <w:sz w:val="28"/>
          <w:szCs w:val="28"/>
          <w:rtl w:val="true"/>
          <w:lang w:bidi="ar-SA"/>
        </w:rPr>
        <w:t xml:space="preserve">والشارع أيضاً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النجس هو القذر،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تكون في المقام قرينة على إرادة المعنى الشرعي وهي قربهم من المسجد الحرام بسبب النجاسة كما يستفاد السببية من لفظ الفاء؛ لأنّ من الواضح عدم سببية القذارة لعدم الدخول والتأمل فيه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الآيات الدالة على النجاسة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اللَّهُ الرِّجْسَ عَلَى الَّذِينَ لاَ يُؤْمِنُونَ</w:t>
      </w:r>
      <w:r>
        <w:rPr>
          <w:rStyle w:val="FootnoteAnchor"/>
          <w:rtl w:val="true"/>
        </w:rPr>
        <w:footnoteReference w:id="79"/>
      </w:r>
      <w:r>
        <w:rPr>
          <w:rFonts w:ascii="Amiri" w:hAnsi="Amiri" w:eastAsia="Amiri" w:cs="Amiri"/>
          <w:color w:val="111111"/>
          <w:sz w:val="28"/>
          <w:sz w:val="28"/>
          <w:szCs w:val="28"/>
          <w:rtl w:val="true"/>
          <w:lang w:bidi="ar-SA"/>
        </w:rPr>
        <w:t>فهذه الآية وإن كانت عامّة لجميع الكفار، إلّا أن الاستدلال بها يتوقف على إثبات الرجس بمعنى النجاسة، فهو في محل المنع؛ لأنّ الرجس هو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في هذه الآية نظير ما قلناه في الآية السابقة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الرجس اسم لما يكره، فهو مختلف بالنسبة إلى الأنظار ومحمول بالتواطئ على أفراده، والمطلق يُحمل على جميع أفراده عند كون المقام للبيان، ولم يبيّن؛ فهو غير مُسلَّم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الرجس مشترك لفظي، كما قال أهل اللغة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فرض كونه مشتركاً معنوياً يتبع القرينة، والقرينة هنا قائمة على إرادة العذاب وهي سياق الآية، كما قال به بعض المفسرين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كلّه فالاعتماد في الاستدلال على نجاسة الكافر الكتابي بالآيات مشكل، سيما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 الَّذِينَ أُوتُوا الْكِتَابَ حِلٌّ لَّكُمْ وَطَعَامُكُمْ حِلٌّ هُمْ</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فلا بُدَّ أن نرجع إما إلى الإجماع فهو أيضاً مشكل</w:t>
      </w:r>
      <w:r>
        <w:rPr>
          <w:rStyle w:val="FootnoteAnchor"/>
          <w:rtl w:val="true"/>
        </w:rPr>
        <w:footnoteReference w:id="84"/>
      </w:r>
      <w:r>
        <w:rPr>
          <w:rFonts w:ascii="Amiri" w:hAnsi="Amiri" w:eastAsia="Amiri" w:cs="Amiri"/>
          <w:color w:val="111111"/>
          <w:sz w:val="28"/>
          <w:sz w:val="28"/>
          <w:szCs w:val="28"/>
          <w:rtl w:val="true"/>
          <w:lang w:bidi="ar-SA"/>
        </w:rPr>
        <w:t>لأنّ ابن الجنيد مخالف</w:t>
      </w:r>
      <w:r>
        <w:rPr>
          <w:rStyle w:val="FootnoteAnchor"/>
          <w:rtl w:val="true"/>
        </w:rPr>
        <w:footnoteReference w:id="85"/>
      </w:r>
      <w:r>
        <w:rPr>
          <w:rFonts w:ascii="Amiri" w:hAnsi="Amiri" w:eastAsia="Amiri" w:cs="Amiri"/>
          <w:color w:val="111111"/>
          <w:sz w:val="28"/>
          <w:sz w:val="28"/>
          <w:szCs w:val="28"/>
          <w:rtl w:val="true"/>
          <w:lang w:bidi="ar-SA"/>
        </w:rPr>
        <w:t>، والمفيد على ما حكي عنه</w:t>
      </w:r>
      <w:r>
        <w:rPr>
          <w:rStyle w:val="FootnoteAnchor"/>
          <w:rtl w:val="true"/>
        </w:rPr>
        <w:footnoteReference w:id="86"/>
      </w:r>
      <w:r>
        <w:rPr>
          <w:rFonts w:ascii="Amiri" w:hAnsi="Amiri" w:eastAsia="Amiri" w:cs="Amiri"/>
          <w:color w:val="111111"/>
          <w:sz w:val="28"/>
          <w:sz w:val="28"/>
          <w:szCs w:val="28"/>
          <w:rtl w:val="true"/>
          <w:lang w:bidi="ar-SA"/>
        </w:rPr>
        <w:t>، والشيخ في أحد قوليه</w:t>
      </w:r>
      <w:r>
        <w:rPr>
          <w:rStyle w:val="FootnoteAnchor"/>
          <w:rtl w:val="true"/>
        </w:rPr>
        <w:footnoteReference w:id="87"/>
      </w:r>
      <w:r>
        <w:rPr>
          <w:rFonts w:ascii="Amiri" w:hAnsi="Amiri" w:eastAsia="Amiri" w:cs="Amiri"/>
          <w:color w:val="111111"/>
          <w:sz w:val="28"/>
          <w:sz w:val="28"/>
          <w:szCs w:val="28"/>
          <w:rtl w:val="true"/>
          <w:lang w:bidi="ar-SA"/>
        </w:rPr>
        <w:t>، وابن أبي عقيل</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أنه لم تظهر مخالفة هؤلاء سوى ابن الجنيد؛ لأنّ المفيد لم ينقل اتباعه هذا المذهب عنه فيحتمل رجوعه عنه</w:t>
      </w:r>
      <w:r>
        <w:rPr>
          <w:rStyle w:val="FootnoteAnchor"/>
          <w:rtl w:val="true"/>
        </w:rPr>
        <w:footnoteReference w:id="89"/>
      </w:r>
      <w:r>
        <w:rPr>
          <w:rFonts w:ascii="Amiri" w:hAnsi="Amiri" w:eastAsia="Amiri" w:cs="Amiri"/>
          <w:color w:val="111111"/>
          <w:sz w:val="28"/>
          <w:sz w:val="28"/>
          <w:szCs w:val="28"/>
          <w:rtl w:val="true"/>
          <w:lang w:bidi="ar-SA"/>
        </w:rPr>
        <w:t xml:space="preserve">، والشيخ أيضاً في غير موضع من كلماته صرح بنجاستهم </w:t>
      </w:r>
      <w:r>
        <w:rPr>
          <w:rStyle w:val="FootnoteAnchor"/>
          <w:rtl w:val="true"/>
        </w:rPr>
        <w:footnoteReference w:id="90"/>
      </w:r>
      <w:r>
        <w:rPr>
          <w:rFonts w:ascii="Amiri" w:hAnsi="Amiri" w:eastAsia="Amiri" w:cs="Amiri"/>
          <w:color w:val="111111"/>
          <w:sz w:val="28"/>
          <w:sz w:val="28"/>
          <w:szCs w:val="28"/>
          <w:rtl w:val="true"/>
          <w:lang w:bidi="ar-SA"/>
        </w:rPr>
        <w:t>فلا بُدَّ أن يُحمل خلافه هنا إما على الاضطرار بكون المقام مقام التقية، وإما على أنّ قوله هنا من باب إيراد مضمون الرواية لا اعتقاداً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العُماني؛ فلكون مذهبه عدم انفعال الماء القليل بالملاقاة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الأخبار فمن الطرفين كثيرة متعارضة ولم يظهر لأحدهما مرجّح، إلّا أنّ الأخبار الدالّة على الطهارة موافقة لمذهب العامة؛ فيُحتمل ورودها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هذه الأخبار تدل على كون الحكم بالطهارة للتقية؛ مثل رواية زكريا بن يحيى، فإنّ مضمونها أن أكل الخنزير موجب للنجاسة دون شرب الخمر، مع أنه لا فارق بينهما إجماعاً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رواية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لا عن قوم مسلمين يأكلون وحضرهم رجل مجوسي أيدعونه إلى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أؤاكل المجوسي، وأكره </w:t>
      </w:r>
    </w:p>
    <w:p>
      <w:pPr>
        <w:pStyle w:val="BookText"/>
        <w:rPr/>
      </w:pPr>
      <w:r>
        <w:rPr>
          <w:rFonts w:ascii="Amiri" w:hAnsi="Amiri" w:eastAsia="Amiri" w:cs="Amiri"/>
          <w:color w:val="111111"/>
          <w:sz w:val="28"/>
          <w:sz w:val="28"/>
          <w:szCs w:val="28"/>
          <w:rtl w:val="true"/>
          <w:lang w:bidi="ar-SA"/>
        </w:rPr>
        <w:t>أن أحرّم عليكم شيئاً تصنعونه في بلادكم</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لأنه إن كان حكم الله الواقعي النجاسة لم يكن وجه للطهارة بمجرد كثرة الدوران، وإن كان الطهارة فكيف يحكم بالنجاسة لولا كثرة الدوران؛ لأنه يظهر من الخبر، أنّه إن لم تكن معروفة في بلادكم حرمت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أظهرُ دِلالة من أخبار النجاسة، فيمكن بملاحظتها حمل الأخبار الدالّة على النجاسة على الكراهة بل بعضها مشعرة بالكراهة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نَهى عنْ مُواكَلتِهم</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إلّا أن يضطرّ الشخص إلى مؤاكلتهم، فإنّ مؤاكلتهم في هذه الصورة لم تكن منهية، ففى كل تلك الأخبار من الطرفين جهة ترجیح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فأخبار النجاسة مرجّحة بمخالفة العامة، وأخبار الطهارة مرجّحة بكون دلالتها أظهر؛ وإنّا وإن قدّمنا في مقام التعارض الترجيح من حيث الدلالة على الترجيح من حيث المخالفة</w:t>
      </w:r>
      <w:r>
        <w:rPr>
          <w:rStyle w:val="FootnoteAnchor"/>
          <w:rtl w:val="true"/>
        </w:rPr>
        <w:footnoteReference w:id="95"/>
      </w:r>
      <w:r>
        <w:rPr>
          <w:rFonts w:ascii="Amiri" w:hAnsi="Amiri" w:eastAsia="Amiri" w:cs="Amiri"/>
          <w:color w:val="111111"/>
          <w:sz w:val="28"/>
          <w:sz w:val="28"/>
          <w:szCs w:val="28"/>
          <w:rtl w:val="true"/>
          <w:lang w:bidi="ar-SA"/>
        </w:rPr>
        <w:t>إلّا أنّه لما كانت الأخبار الدالّة على الطهارة مشعرة بصدور هذه الأخبار في مقام التقية كانت الأخبار الدالة على النجاسة مرجحة ولو بملاحظة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الشهرة والإجماعات المنقولة والإجماع المحصل بملاحظة عدم الاعتداد بقول ابن الجنيد؛ لأنّه كان ممن يعمل بالقياس، ويحذو حذو العامة غالباً، فكيف إذا كانت والإجماعات على طبقها فتكون هذه الأخبار 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الشريفة وهي قوله تعالى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لَكُمُ الطَّيِّبَاتُ وَطَعَامُ الَّذِينَ أُوتُوا الْكِتَابَ حِلٌّ لَّكُمْ وَطَعَامُكُمْ حِلٌّ لَّهُمْ </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فلا يصلح دليلاً لإثبات الطهارة منوجوه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الطعام في أصل اللغة إمّا مختص بالبر، وإما يكون غلب استعماله في البر، وبه صرّح بعضهم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صاحب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خصّ بعضهم بالبر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وضع أولاً لكل ما يؤكل، ثمّ غلب استعماله في البر</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ذكر المحاملي</w:t>
      </w:r>
      <w:r>
        <w:rPr>
          <w:rStyle w:val="FootnoteAnchor"/>
          <w:rtl w:val="true"/>
        </w:rPr>
        <w:footnoteReference w:id="99"/>
      </w:r>
      <w:r>
        <w:rPr>
          <w:rFonts w:ascii="IRNazanin" w:hAnsi="IRNazanin" w:eastAsia="IRNazanin"/>
          <w:color w:val="111111"/>
          <w:sz w:val="28"/>
          <w:sz w:val="28"/>
          <w:szCs w:val="28"/>
          <w:rtl w:val="true"/>
          <w:lang w:bidi="fa-IR"/>
        </w:rPr>
        <w:t>، والأقطع</w:t>
      </w:r>
      <w:r>
        <w:rPr>
          <w:rStyle w:val="FootnoteAnchor"/>
          <w:rtl w:val="true"/>
        </w:rPr>
        <w:footnoteReference w:id="100"/>
      </w:r>
      <w:r>
        <w:rPr>
          <w:rFonts w:ascii="Amiri" w:hAnsi="Amiri" w:eastAsia="Amiri" w:cs="Amiri"/>
          <w:color w:val="111111"/>
          <w:sz w:val="28"/>
          <w:sz w:val="28"/>
          <w:szCs w:val="28"/>
          <w:rtl w:val="true"/>
          <w:lang w:bidi="ar-SA"/>
        </w:rPr>
        <w:t>، في كتابيهما</w:t>
      </w:r>
      <w:r>
        <w:rPr>
          <w:rStyle w:val="FootnoteAnchor"/>
          <w:rtl w:val="true"/>
        </w:rPr>
        <w:footnoteReference w:id="101"/>
      </w:r>
      <w:r>
        <w:rPr>
          <w:rFonts w:ascii="Amiri" w:hAnsi="Amiri" w:eastAsia="Amiri" w:cs="Amiri"/>
          <w:color w:val="111111"/>
          <w:sz w:val="28"/>
          <w:sz w:val="28"/>
          <w:szCs w:val="28"/>
          <w:rtl w:val="true"/>
          <w:lang w:bidi="ar-SA"/>
        </w:rPr>
        <w:t>نقل الخلاف بين الشافعي وأبي حنيفة فيمن يوكل بشراء الطعام فشرى الوكيل دقيقاً دون الحنطة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وإن سلمنا تعميم الطعام في أصل اللغة، لكن ورد تخصيصه في الأخبار،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قدس سره ، عن هشام بن سالم، في الصحيح عن أبي عبد الله علیه السلام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وَطَعَامُ الَّذِينَ أُوتُوا الْكِتَابَ</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العدس والحمص إلى غير ذلك</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وأيضاً وردت رواية أخرى بهذا المضمون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الطعام يكون خاصاً، وعطف الخاص على العام لا بُدَّ وأن يشتمل على نكتة؛ والنكتة فيه هي أنّ الحلّية لما عُلّقت على الطيبات فُهِمَ أنّ طعام أهل الكتاب </w:t>
      </w:r>
    </w:p>
    <w:p>
      <w:pPr>
        <w:pStyle w:val="BookText"/>
        <w:rPr/>
      </w:pPr>
      <w:r>
        <w:rPr>
          <w:rFonts w:ascii="Amiri" w:hAnsi="Amiri" w:eastAsia="Amiri" w:cs="Amiri"/>
          <w:color w:val="111111"/>
          <w:sz w:val="28"/>
          <w:sz w:val="28"/>
          <w:szCs w:val="28"/>
          <w:rtl w:val="true"/>
          <w:lang w:bidi="ar-SA"/>
        </w:rPr>
        <w:t>على سبيل العموم ليس حلالاً لعدم خلوّهم غالباً عن النجاسة؛ فدفع هذا الوهم بأنّ طعامهم مطلقاً حلال لكم ولا يختص بشيء دون شيء، ولولا كون المراد بالطعام هو العموم لم يدفع هذا الوهم، فإنّ التوهم بسبب عموم الطعام للمطبوخات وغيرها، وإلا الحبوب ليس فيها نجاسة فلا يتوهم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النكتة يمكن اعتبارها على تقدير التخصيص؛ لأنّ المباشرة بأيديهم والمزاولة لهم في وقت التصفية حاصلة فيتوهم النجاسة فيدفع 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النكتة هى أنّ المسلمين لما توهموا المباينة بالكلية في أمور الدين وغيرها وانقطاع الوصلة عنهم حتى لا يحل طعامهم للمسلمين ولا طعام المسلمين لهم؛ فدفع هذا التوهم بأنّ طعامهم حلال لكم وكذا العكس ولا يقتضي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لا يمكن جعلها دليلاً لإثبات الطهارة، والأخبار أيضاً منزلة على صورة التقية؛ وقد أشرنا فيما سبق؛ أنا في مقام التعارض نقدم ترجيح الدلالة على الموافقة والمخالفة، إلّا أنّ في هذا المقام في أخبار الطهارة إشعارات بكون الأخبار واردة مورد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بقي هنا شيء وهو أنّ هذه الاشعارات هل هي ظاهرة بحيث تحسب من الدلالة اللفظية أو من الإشعارات الخفية التي لا تحسب من الدلالة اللفظية؟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الإشعارات من الدلالة اللفظية لا من الدلالة العقلية فيدفع بها الأصل، و هو أنّ بناء العقلاء على أنهم ينزلون الكلام على الاختيار دون التقية حتى يُعلم بها، والأصل عدم التقية فإذا رأوا كتماناً يحملونه على الإيثار</w:t>
      </w:r>
      <w:r>
        <w:rPr>
          <w:rStyle w:val="FootnoteAnchor"/>
          <w:rtl w:val="true"/>
        </w:rPr>
        <w:footnoteReference w:id="106"/>
      </w:r>
      <w:r>
        <w:rPr>
          <w:rFonts w:ascii="Amiri" w:hAnsi="Amiri" w:eastAsia="Amiri" w:cs="Amiri"/>
          <w:color w:val="111111"/>
          <w:sz w:val="28"/>
          <w:sz w:val="28"/>
          <w:szCs w:val="28"/>
          <w:rtl w:val="true"/>
          <w:lang w:bidi="ar-SA"/>
        </w:rPr>
        <w:t>فهذه طريقتهم، فإذا أثبتنا كون الإشعارات من قبيل الدلالة اللفظية فيدفع بها هذا الأصل</w:t>
      </w:r>
      <w:r>
        <w:rPr>
          <w:rFonts w:eastAsia="Amiri" w:cs="Amiri" w:ascii="Amiri" w:hAnsi="Amiri"/>
          <w:color w:val="111111"/>
          <w:sz w:val="28"/>
          <w:szCs w:val="28"/>
          <w:rtl w:val="true"/>
          <w:lang w:bidi="ar-SA"/>
        </w:rPr>
        <w:t xml:space="preserve">. </w:t>
      </w:r>
      <w:bookmarkStart w:id="50" w:name="pg9203_87056"/>
    </w:p>
    <w:p>
      <w:pPr>
        <w:pStyle w:val="Heading2"/>
        <w:numPr>
          <w:ilvl w:val="1"/>
          <w:numId w:val="1"/>
        </w:numPr>
        <w:rPr/>
      </w:pPr>
      <w:bookmarkStart w:id="51" w:name="__RefHeading___Toc3967834_2870459653"/>
      <w:bookmarkStart w:id="52" w:name="_Toc16"/>
      <w:bookmarkEnd w:id="50"/>
      <w:bookmarkEnd w:id="51"/>
      <w:r>
        <w:rPr>
          <w:rtl w:val="true"/>
        </w:rPr>
        <w:t xml:space="preserve">[ </w:t>
      </w:r>
      <w:r>
        <w:rPr>
          <w:rtl w:val="true"/>
        </w:rPr>
        <w:t xml:space="preserve">هل تشمل النجاسة أجزاء الكافر التي لا تحلها الحياة </w:t>
      </w:r>
      <w:r>
        <w:rPr>
          <w:rtl w:val="true"/>
        </w:rPr>
        <w:t>]</w:t>
      </w:r>
      <w:bookmarkEnd w:id="52"/>
    </w:p>
    <w:p>
      <w:pPr>
        <w:pStyle w:val="BookText"/>
        <w:rPr/>
      </w:pPr>
      <w:r>
        <w:rPr>
          <w:rFonts w:ascii="Amiri" w:hAnsi="Amiri" w:eastAsia="Amiri" w:cs="Amiri"/>
          <w:color w:val="111111"/>
          <w:sz w:val="28"/>
          <w:sz w:val="28"/>
          <w:szCs w:val="28"/>
          <w:rtl w:val="true"/>
          <w:lang w:bidi="ar-SA"/>
        </w:rPr>
        <w:t>وعلى تقدير نجاسة الكفار، هل النجاسة مختصة بأجزائهم التي تحلها الحياة أو النجاسة عامة لها ولغيرها ؟</w:t>
      </w:r>
    </w:p>
    <w:p>
      <w:pPr>
        <w:pStyle w:val="BookText"/>
        <w:rPr/>
      </w:pPr>
      <w:r>
        <w:rPr>
          <w:rFonts w:ascii="Amiri" w:hAnsi="Amiri" w:eastAsia="Amiri" w:cs="Amiri"/>
          <w:color w:val="111111"/>
          <w:sz w:val="28"/>
          <w:sz w:val="28"/>
          <w:szCs w:val="28"/>
          <w:rtl w:val="true"/>
          <w:lang w:bidi="ar-SA"/>
        </w:rPr>
        <w:t>فإن قلنا بتمامية الآية وصلوحها للاستدلال بها مطلقاً،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فلا يبعد القول بالتعميم؛ لأنّ الحكم ورد على المشرك والمشرك اسم لمجموع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تمسكنا بالإجماع،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الإجماع</w:t>
      </w:r>
      <w:r>
        <w:rPr>
          <w:rStyle w:val="FootnoteAnchor"/>
          <w:rtl w:val="true"/>
        </w:rPr>
        <w:footnoteReference w:id="108"/>
      </w:r>
      <w:r>
        <w:rPr>
          <w:rFonts w:ascii="Amiri" w:hAnsi="Amiri" w:eastAsia="Amiri" w:cs="Amiri"/>
          <w:color w:val="111111"/>
          <w:sz w:val="28"/>
          <w:sz w:val="28"/>
          <w:szCs w:val="28"/>
          <w:rtl w:val="true"/>
          <w:lang w:bidi="ar-SA"/>
        </w:rPr>
        <w:t xml:space="preserve">إنّما يثبت الحكم إجمالاً في الكلب، حيث استدلوا بها بالإجماع، ثمّ اختلفوا في أجزائها التي لا تحلها الحياة </w:t>
      </w:r>
      <w:r>
        <w:rPr>
          <w:rStyle w:val="FootnoteAnchor"/>
          <w:rtl w:val="true"/>
        </w:rPr>
        <w:footnoteReference w:id="109"/>
      </w:r>
      <w:r>
        <w:rPr>
          <w:rFonts w:ascii="Amiri" w:hAnsi="Amiri" w:eastAsia="Amiri" w:cs="Amiri"/>
          <w:color w:val="111111"/>
          <w:sz w:val="28"/>
          <w:sz w:val="28"/>
          <w:szCs w:val="28"/>
          <w:rtl w:val="true"/>
          <w:lang w:bidi="ar-SA"/>
        </w:rPr>
        <w:t>، فيعلم أنّ الإجماع إنّما يُثبتُ الحكم إجمالاً ولا يثبت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الإجماع وقع على نجاسة الكافر، والكافر اسم لتمام أجزائه فيعلم العموم فافهم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التمسك بإطلاقات معاقد الاجماعات المدعاة، ولا يحسن التمسك بالأخبار الواردة في عدم مواكلتهم</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3967836_2870459653"/>
      <w:bookmarkStart w:id="54" w:name="_Toc17"/>
      <w:bookmarkEnd w:id="53"/>
      <w:r>
        <w:rPr>
          <w:rtl w:val="true"/>
        </w:rPr>
        <w:t xml:space="preserve">[ </w:t>
      </w:r>
      <w:r>
        <w:rPr>
          <w:rtl w:val="true"/>
        </w:rPr>
        <w:t xml:space="preserve">نجاسة أولاد الكفار </w:t>
      </w:r>
      <w:r>
        <w:rPr>
          <w:rtl w:val="true"/>
        </w:rPr>
        <w:t>]</w:t>
      </w:r>
      <w:bookmarkEnd w:id="5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أولاد الكفار ونجاستهم</w:t>
      </w:r>
      <w:r>
        <w:rPr>
          <w:rStyle w:val="FootnoteAnchor"/>
          <w:rtl w:val="true"/>
        </w:rPr>
        <w:footnoteReference w:id="110"/>
      </w:r>
      <w:r>
        <w:rPr>
          <w:rFonts w:ascii="Amiri" w:hAnsi="Amiri" w:eastAsia="Amiri" w:cs="Amiri"/>
          <w:color w:val="111111"/>
          <w:sz w:val="28"/>
          <w:sz w:val="28"/>
          <w:szCs w:val="28"/>
          <w:rtl w:val="true"/>
          <w:lang w:bidi="ar-SA"/>
        </w:rPr>
        <w:t>، والأصحاب حكموا بنجاستهم وبعضهم استظهر نفي الخلاف في كلام جماعةٍ كصاحب المعالم</w:t>
      </w:r>
      <w:r>
        <w:rPr>
          <w:rStyle w:val="FootnoteAnchor"/>
          <w:rtl w:val="true"/>
        </w:rPr>
        <w:footnoteReference w:id="111"/>
      </w:r>
      <w:r>
        <w:rPr>
          <w:rFonts w:ascii="Amiri" w:hAnsi="Amiri" w:eastAsia="Amiri" w:cs="Amiri"/>
          <w:color w:val="111111"/>
          <w:sz w:val="28"/>
          <w:sz w:val="28"/>
          <w:szCs w:val="28"/>
          <w:rtl w:val="true"/>
          <w:lang w:bidi="ar-SA"/>
        </w:rPr>
        <w:t xml:space="preserve">، فالحكم فيه </w:t>
      </w:r>
      <w:bookmarkStart w:id="55" w:name="pg9203_87057"/>
    </w:p>
    <w:p>
      <w:pPr>
        <w:pStyle w:val="BookText"/>
        <w:rPr/>
      </w:pPr>
      <w:bookmarkEnd w:id="55"/>
      <w:r>
        <w:rPr>
          <w:rFonts w:ascii="Amiri" w:hAnsi="Amiri" w:eastAsia="Amiri" w:cs="Amiri"/>
          <w:color w:val="111111"/>
          <w:sz w:val="28"/>
          <w:sz w:val="28"/>
          <w:szCs w:val="28"/>
          <w:rtl w:val="true"/>
          <w:lang w:bidi="ar-SA"/>
        </w:rPr>
        <w:t>مشهوري</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إجماعياً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بالشهرة التي توجب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يصلح شيء لأن يكون مستنداً لهذا الحكم سوى هذه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التبعية وتنقيح الخطاب؛ لأنا رأينا أنهم يتعدون من الأبوين إلى الأولاد في الأحكام فهذه طريقة مستمرة عندهم، وليس ذلك إلا لتنقيح المناط عندهم، وهو كون الحكم للأبوين، ولا يصلح الاستصحاب لإثبات هذا الحكم لمنع جزئية الجنين لأمه حتى يحكم بكون جزء النجس نجس فيستصحب، ولا يمكن استصحاب النجاسة حال كونها علقة لكونها دماً وهي قد زالت يقيناً بواسطة صيرورتها مضغةً و جنيناً، ولا يمكن التمسك بالأخبار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رواية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عن أولاد المشركين يموتون قبل أن يبلغوا الحنث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والله أعلم بما كانوا عاملين يدخلون مداخلآبائهم</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لأنها ليست واردة في أحكام الدنيا</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3967838_2870459653"/>
      <w:bookmarkStart w:id="57" w:name="_Toc18"/>
      <w:bookmarkEnd w:id="56"/>
      <w:r>
        <w:rPr>
          <w:rtl w:val="true"/>
        </w:rPr>
        <w:t xml:space="preserve">[ </w:t>
      </w:r>
      <w:r>
        <w:rPr>
          <w:rtl w:val="true"/>
        </w:rPr>
        <w:t>طهارة المسبى من أولاد الكفار</w:t>
      </w:r>
      <w:r>
        <w:rPr>
          <w:rtl w:val="true"/>
        </w:rPr>
        <w:t>]</w:t>
      </w:r>
      <w:bookmarkEnd w:id="57"/>
    </w:p>
    <w:p>
      <w:pPr>
        <w:pStyle w:val="BookText"/>
        <w:rPr/>
      </w:pPr>
      <w:r>
        <w:rPr>
          <w:rFonts w:ascii="Amiri" w:hAnsi="Amiri" w:eastAsia="Amiri" w:cs="Amiri"/>
          <w:color w:val="111111"/>
          <w:sz w:val="28"/>
          <w:sz w:val="28"/>
          <w:szCs w:val="28"/>
          <w:rtl w:val="true"/>
          <w:lang w:bidi="ar-SA"/>
        </w:rPr>
        <w:t xml:space="preserve">وأمّا المسبي من الأولاد بدون الأبوين فيحكم بالطهارة؛ لأنّ النجاسة كانت بسبب التبعية والتبعية قد زالت ولا مجال لاستصحاب النجاسة؛ لأنّ الموضوع لم يتيقن بقاؤه،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للمصاحبة مدخلية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الأصحاب تردد في الطهارة كالشهيدين</w:t>
      </w:r>
      <w:r>
        <w:rPr>
          <w:rStyle w:val="FootnoteAnchor"/>
          <w:rtl w:val="true"/>
        </w:rPr>
        <w:footnoteReference w:id="114"/>
      </w:r>
      <w:r>
        <w:rPr>
          <w:rFonts w:ascii="Amiri" w:hAnsi="Amiri" w:eastAsia="Amiri" w:cs="Amiri"/>
          <w:color w:val="111111"/>
          <w:sz w:val="28"/>
          <w:sz w:val="28"/>
          <w:szCs w:val="28"/>
          <w:rtl w:val="true"/>
          <w:lang w:bidi="ar-SA"/>
        </w:rPr>
        <w:t xml:space="preserve">وغيرهما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كانوا مسبيين مع الأبوين؛ فالظاهر أنَّ النجاسة باقية لبقاء التبعية</w:t>
      </w:r>
      <w:r>
        <w:rPr>
          <w:rFonts w:eastAsia="Amiri" w:cs="Amiri" w:ascii="Amiri" w:hAnsi="Amiri"/>
          <w:color w:val="111111"/>
          <w:sz w:val="28"/>
          <w:szCs w:val="28"/>
          <w:rtl w:val="true"/>
          <w:lang w:bidi="ar-SA"/>
        </w:rPr>
        <w:t xml:space="preserve">. </w:t>
      </w:r>
      <w:bookmarkStart w:id="58" w:name="pg9203_87058"/>
    </w:p>
    <w:p>
      <w:pPr>
        <w:pStyle w:val="Heading2"/>
        <w:numPr>
          <w:ilvl w:val="1"/>
          <w:numId w:val="1"/>
        </w:numPr>
        <w:rPr/>
      </w:pPr>
      <w:bookmarkStart w:id="59" w:name="__RefHeading___Toc3967840_2870459653"/>
      <w:bookmarkStart w:id="60" w:name="_Toc19"/>
      <w:bookmarkEnd w:id="58"/>
      <w:bookmarkEnd w:id="59"/>
      <w:r>
        <w:rPr>
          <w:rtl w:val="true"/>
        </w:rPr>
        <w:t>تشخيص مفهوم الكافر</w:t>
      </w:r>
      <w:bookmarkEnd w:id="60"/>
    </w:p>
    <w:p>
      <w:pPr>
        <w:pStyle w:val="BookText"/>
        <w:rPr/>
      </w:pPr>
      <w:r>
        <w:rPr>
          <w:rFonts w:ascii="Amiri" w:hAnsi="Amiri" w:eastAsia="Amiri" w:cs="Amiri"/>
          <w:color w:val="111111"/>
          <w:sz w:val="28"/>
          <w:sz w:val="28"/>
          <w:szCs w:val="28"/>
          <w:rtl w:val="true"/>
          <w:lang w:bidi="ar-SA"/>
        </w:rPr>
        <w:t>أمّا الكلام في المخالف، فلنتكلم أولاً في تشخيص الكافر وأنَّ في مفهومه أي شيء يعتبر ، وأن الكفر مقابل للإسلام بتقابل التضاد أو بتقابل العدم والملكة؟</w:t>
      </w:r>
    </w:p>
    <w:p>
      <w:pPr>
        <w:pStyle w:val="BookText"/>
        <w:rPr/>
      </w:pPr>
      <w:r>
        <w:rPr>
          <w:rFonts w:ascii="Amiri" w:hAnsi="Amiri" w:eastAsia="Amiri" w:cs="Amiri"/>
          <w:color w:val="111111"/>
          <w:sz w:val="28"/>
          <w:sz w:val="28"/>
          <w:szCs w:val="28"/>
          <w:rtl w:val="true"/>
          <w:lang w:bidi="ar-SA"/>
        </w:rPr>
        <w:t>وما يظهر من كلمات العلماء في مقام تشخيص الكافر وبيان مفهوم الكفر؛ أن الكفر مقابل للإسلام بتقابل العدم والملكة وأن الكفر هو عدم الإيمان، لا أن الكفر ضدّ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الكفر ضدّ للإسلام، فمراده بالضد هو الضد اللغوي أعني عدم الإيمان، وعلماء الكلام أيضاً صرحوا بذلك في كتبهم الكلامية، كصاحب المواقف وشارحه</w:t>
      </w:r>
      <w:r>
        <w:rPr>
          <w:rStyle w:val="FootnoteAnchor"/>
          <w:rtl w:val="true"/>
        </w:rPr>
        <w:footnoteReference w:id="116"/>
      </w:r>
      <w:r>
        <w:rPr>
          <w:rFonts w:ascii="Amiri" w:hAnsi="Amiri" w:eastAsia="Amiri" w:cs="Amiri"/>
          <w:color w:val="111111"/>
          <w:sz w:val="28"/>
          <w:sz w:val="28"/>
          <w:szCs w:val="28"/>
          <w:rtl w:val="true"/>
          <w:lang w:bidi="ar-SA"/>
        </w:rPr>
        <w:t>، وشيخنا ومولانا نصير الملة والدين الطوسي في تجريده والعلّامة أيضاً صرّح به</w:t>
      </w:r>
      <w:r>
        <w:rPr>
          <w:rStyle w:val="FootnoteAnchor"/>
          <w:rtl w:val="true"/>
        </w:rPr>
        <w:footnoteReference w:id="117"/>
      </w:r>
      <w:r>
        <w:rPr>
          <w:rFonts w:ascii="Amiri" w:hAnsi="Amiri" w:eastAsia="Amiri" w:cs="Amiri"/>
          <w:color w:val="111111"/>
          <w:sz w:val="28"/>
          <w:sz w:val="28"/>
          <w:szCs w:val="28"/>
          <w:rtl w:val="true"/>
          <w:lang w:bidi="ar-SA"/>
        </w:rPr>
        <w:t>، وكثير من الفقهاء صرحوا بذلك</w:t>
      </w:r>
      <w:r>
        <w:rPr>
          <w:rStyle w:val="FootnoteAnchor"/>
          <w:rtl w:val="true"/>
        </w:rPr>
        <w:footnoteReference w:id="118"/>
      </w:r>
      <w:r>
        <w:rPr>
          <w:rFonts w:ascii="Amiri" w:hAnsi="Amiri" w:eastAsia="Amiri" w:cs="Amiri"/>
          <w:color w:val="111111"/>
          <w:sz w:val="28"/>
          <w:sz w:val="28"/>
          <w:szCs w:val="28"/>
          <w:rtl w:val="true"/>
          <w:lang w:bidi="ar-SA"/>
        </w:rPr>
        <w:t>، والذين لم يصرحوا بذلك فهم معترفون بذلك، إلّا أنهم عولوا على وضوحه، فعلم أنه لا واسطة بين الكفر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فالشاك كافر وإنْ كان في سعة النظر، ويحكم بكفره ، ويجري عليه أحكام الكفر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يعقل تغاير زمان النظر، إلّا أنّ المستفاد من بعض الأخبار الدالّة على أنّ الإسلام ما به حقنت الدماء وجرت المناكح</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كافراً يقتل فوراً، فالاشتباه في بيان مفهوم الإسلام</w:t>
      </w:r>
      <w:r>
        <w:rPr>
          <w:rFonts w:eastAsia="Amiri" w:cs="Amiri" w:ascii="Amiri" w:hAnsi="Amiri"/>
          <w:color w:val="111111"/>
          <w:sz w:val="28"/>
          <w:szCs w:val="28"/>
          <w:rtl w:val="true"/>
          <w:lang w:bidi="ar-SA"/>
        </w:rPr>
        <w:t xml:space="preserve">. </w:t>
      </w:r>
      <w:bookmarkStart w:id="61" w:name="pg9203_87059"/>
    </w:p>
    <w:p>
      <w:pPr>
        <w:pStyle w:val="Heading2"/>
        <w:numPr>
          <w:ilvl w:val="1"/>
          <w:numId w:val="1"/>
        </w:numPr>
        <w:rPr/>
      </w:pPr>
      <w:bookmarkStart w:id="62" w:name="__RefHeading___Toc3967842_2870459653"/>
      <w:bookmarkStart w:id="63" w:name="_Toc20"/>
      <w:bookmarkEnd w:id="61"/>
      <w:bookmarkEnd w:id="62"/>
      <w:r>
        <w:rPr>
          <w:rtl w:val="true"/>
        </w:rPr>
        <w:t xml:space="preserve">[ </w:t>
      </w:r>
      <w:r>
        <w:rPr>
          <w:rtl w:val="true"/>
        </w:rPr>
        <w:t>اختلاف كلمات الأصحاب في مفهوم الإسلام</w:t>
      </w:r>
      <w:r>
        <w:rPr>
          <w:rtl w:val="true"/>
        </w:rPr>
        <w:t>]</w:t>
      </w:r>
      <w:bookmarkEnd w:id="63"/>
    </w:p>
    <w:p>
      <w:pPr>
        <w:pStyle w:val="BookText"/>
        <w:rPr/>
      </w:pPr>
      <w:r>
        <w:rPr>
          <w:rFonts w:ascii="Amiri" w:hAnsi="Amiri" w:eastAsia="Amiri" w:cs="Amiri"/>
          <w:color w:val="111111"/>
          <w:sz w:val="28"/>
          <w:sz w:val="28"/>
          <w:szCs w:val="28"/>
          <w:rtl w:val="true"/>
          <w:lang w:bidi="ar-SA"/>
        </w:rPr>
        <w:t>واختلفت كلمات الأصحاب في مفهوم الإسلام؛ فبعضهم اعتبروا مجرد اظهار الشهادتين</w:t>
      </w:r>
      <w:r>
        <w:rPr>
          <w:rStyle w:val="FootnoteAnchor"/>
          <w:rtl w:val="true"/>
        </w:rPr>
        <w:footnoteReference w:id="120"/>
      </w:r>
      <w:r>
        <w:rPr>
          <w:rFonts w:ascii="IRNazanin" w:hAnsi="IRNazanin" w:eastAsia="IRNazanin"/>
          <w:color w:val="111111"/>
          <w:sz w:val="28"/>
          <w:sz w:val="28"/>
          <w:szCs w:val="28"/>
          <w:rtl w:val="true"/>
          <w:lang w:bidi="fa-IR"/>
        </w:rPr>
        <w:t>، وبعضهم</w:t>
      </w:r>
      <w:r>
        <w:rPr>
          <w:rStyle w:val="FootnoteAnchor"/>
          <w:rtl w:val="true"/>
        </w:rPr>
        <w:footnoteReference w:id="121"/>
      </w:r>
      <w:r>
        <w:rPr>
          <w:rFonts w:ascii="Amiri" w:hAnsi="Amiri" w:eastAsia="Amiri" w:cs="Amiri"/>
          <w:color w:val="111111"/>
          <w:sz w:val="28"/>
          <w:sz w:val="28"/>
          <w:szCs w:val="28"/>
          <w:rtl w:val="true"/>
          <w:lang w:bidi="ar-SA"/>
        </w:rPr>
        <w:t>اعتبروا مع ذلك عدم إنكاره الضروري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هو مجرد إظهار الشهادتين؛ فمن كان مظهراً للشهادتين فهو مسلم، ولكن يشترط أن لا يظهر منه قول أو فعل ينافي تلك الشهادة ولو في السر والخلوات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كون مجرد الشهادتين مفهوم الإسلام من كلمات بعض الأصحاب </w:t>
      </w:r>
      <w:r>
        <w:rPr>
          <w:rStyle w:val="FootnoteAnchor"/>
          <w:rtl w:val="true"/>
        </w:rPr>
        <w:footnoteReference w:id="122"/>
      </w:r>
      <w:r>
        <w:rPr>
          <w:rFonts w:ascii="Amiri" w:hAnsi="Amiri" w:eastAsia="Amiri" w:cs="Amiri"/>
          <w:color w:val="111111"/>
          <w:sz w:val="28"/>
          <w:sz w:val="28"/>
          <w:szCs w:val="28"/>
          <w:rtl w:val="true"/>
          <w:lang w:bidi="ar-SA"/>
        </w:rPr>
        <w:t>، ومن بعض الأخبار الدالّة على أنّ الإسلام هو الشهادة الظاهر، الذي عليه جماعة الناس</w:t>
      </w:r>
      <w:r>
        <w:rPr>
          <w:rStyle w:val="FootnoteAnchor"/>
          <w:rtl w:val="true"/>
        </w:rPr>
        <w:footnoteReference w:id="123"/>
      </w:r>
      <w:r>
        <w:rPr>
          <w:rFonts w:ascii="IRNazanin" w:hAnsi="IRNazanin" w:eastAsia="IRNazanin"/>
          <w:color w:val="111111"/>
          <w:sz w:val="28"/>
          <w:sz w:val="28"/>
          <w:szCs w:val="28"/>
          <w:rtl w:val="true"/>
          <w:lang w:bidi="fa-IR"/>
        </w:rPr>
        <w:t xml:space="preserve">، أو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ومحمداً رسول الله صلی الله علیه و آله وسلم، والأخبار الدالة على أنّ الإسلام به حقنت الدماء لا غير، ومن المعاملة في زمن النبي صلی الله علیه و آله وسلم</w:t>
      </w:r>
      <w:r>
        <w:rPr>
          <w:rStyle w:val="FootnoteAnchor"/>
          <w:rtl w:val="true"/>
        </w:rPr>
        <w:footnoteReference w:id="124"/>
      </w:r>
      <w:r>
        <w:rPr>
          <w:rFonts w:ascii="IRNazanin" w:hAnsi="IRNazanin" w:eastAsia="IRNazanin"/>
          <w:color w:val="111111"/>
          <w:sz w:val="28"/>
          <w:sz w:val="28"/>
          <w:szCs w:val="28"/>
          <w:rtl w:val="true"/>
          <w:lang w:bidi="fa-IR"/>
        </w:rPr>
        <w:t xml:space="preserve">، مع المشركين، حيث إنّهم صاروا محقوني الدماء بمجرد قولهم بالشهادتين، وقوله صلی الله علیه و آله وسلم للكفار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تفلحوا</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والحالُ أن أكثرهم يظهرون الشهادتين من الخوف لا من الاختيار ؛ فيُعلمُ من ذلك كله أنّ الإسلام هو إظهار الشهادتين، لكن من الأخبار ما هو دال على أن من لم يوال أهل البيت علیهم السلام فهو كافر، ونحن نذكر بعضاً منها تيمناً وتشريفاً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رواية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الباب فتحه </w:t>
      </w:r>
    </w:p>
    <w:p>
      <w:pPr>
        <w:pStyle w:val="BookText"/>
        <w:rPr/>
      </w:pPr>
      <w:r>
        <w:rPr>
          <w:rFonts w:ascii="Amiri" w:hAnsi="Amiri" w:eastAsia="Amiri" w:cs="Amiri"/>
          <w:color w:val="111111"/>
          <w:sz w:val="28"/>
          <w:sz w:val="28"/>
          <w:szCs w:val="28"/>
          <w:rtl w:val="true"/>
          <w:lang w:bidi="ar-SA"/>
        </w:rPr>
        <w:t>الله ؛ فمن دخله كان مؤمناً، ومن خرج عنه كان كافراً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الفضل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نصب علياً علما الله بينه وبين خلقه؛ فمن عرفه كان مؤمناً، ومن أنكره كان كافراً</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 xml:space="preserve">وبهذا المضمون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ذكرنا سابقاً فلا 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الكفر في هذه الأخبار ليس مقابلاً للإسلام بل مقابل للإيمان ومرادف</w:t>
      </w:r>
      <w:r>
        <w:rPr>
          <w:rStyle w:val="FootnoteAnchor"/>
          <w:rtl w:val="true"/>
        </w:rPr>
        <w:footnoteReference w:id="128"/>
      </w:r>
      <w:r>
        <w:rPr>
          <w:rFonts w:ascii="Amiri" w:hAnsi="Amiri" w:eastAsia="Amiri" w:cs="Amiri"/>
          <w:color w:val="111111"/>
          <w:sz w:val="28"/>
          <w:sz w:val="28"/>
          <w:szCs w:val="28"/>
          <w:rtl w:val="true"/>
          <w:lang w:bidi="ar-SA"/>
        </w:rPr>
        <w:t>للإسلام، ومن يتّبع باب الفرق بين الايمان والإسلام في أصول الكافي يعتقد بما ذكرنا؛ فإنّ الأخبار الواردة في بيان الفرق يشهد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رواية سفيان بن السمط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هو الظاهر الذي عليه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وحده لا شريك له، وأنَّ محمدا صلى الله عليه وآله و سلم عبده ورسوله وإقام الصلاة وإيتاء الزكاة وحج البيت وصيام شهر رمضان فهذا الإسلام، والايمان معرفة هذا الأمر مع هذا، فإنْ أقرّ بها ولم يعرف هذا الأمر كان مسلماً وكان ضالاً</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اعتبر في بعض الأخبار مع الشهادتين بعض الأفعال أيضاً مثل إقامة الصلاة وايتاء الزكاة ،ونحوهما، ويمكن أن يكون اعتبارها لا من باب أنّ خصوصياتها معتبرة في الإسلام بل اعتبارها من باب كشفها عن الالتزام بالإسلام وبمقتضى الشهادتين؛ لأنه ذكر في عدادها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أنَّا لا نقول باعتبار الولاية في مفهوم الإسلام كما يشهد به بعض الأخبار </w:t>
      </w:r>
      <w:r>
        <w:rPr>
          <w:rFonts w:eastAsia="Amiri" w:cs="Amiri" w:ascii="Amiri" w:hAnsi="Amiri"/>
          <w:color w:val="111111"/>
          <w:sz w:val="28"/>
          <w:szCs w:val="28"/>
          <w:rtl w:val="true"/>
          <w:lang w:bidi="ar-SA"/>
        </w:rPr>
        <w:t xml:space="preserve">. </w:t>
      </w:r>
      <w:bookmarkStart w:id="64" w:name="pg9203_87061"/>
    </w:p>
    <w:p>
      <w:pPr>
        <w:pStyle w:val="Heading2"/>
        <w:numPr>
          <w:ilvl w:val="1"/>
          <w:numId w:val="1"/>
        </w:numPr>
        <w:rPr/>
      </w:pPr>
      <w:bookmarkStart w:id="65" w:name="__RefHeading___Toc3967844_2870459653"/>
      <w:bookmarkStart w:id="66" w:name="_Toc21"/>
      <w:bookmarkEnd w:id="64"/>
      <w:bookmarkEnd w:id="65"/>
      <w:r>
        <w:rPr>
          <w:rtl w:val="true"/>
        </w:rPr>
        <w:t>[</w:t>
      </w:r>
      <w:r>
        <w:rPr>
          <w:rtl w:val="true"/>
        </w:rPr>
        <w:t xml:space="preserve">حكم الشاك </w:t>
      </w:r>
      <w:r>
        <w:rPr>
          <w:rtl w:val="true"/>
        </w:rPr>
        <w:t>]</w:t>
      </w:r>
      <w:bookmarkEnd w:id="66"/>
    </w:p>
    <w:p>
      <w:pPr>
        <w:pStyle w:val="BookText"/>
        <w:rPr/>
      </w:pPr>
      <w:r>
        <w:rPr>
          <w:rFonts w:ascii="Amiri" w:hAnsi="Amiri" w:eastAsia="Amiri" w:cs="Amiri"/>
          <w:color w:val="111111"/>
          <w:sz w:val="28"/>
          <w:sz w:val="28"/>
          <w:szCs w:val="28"/>
          <w:rtl w:val="true"/>
          <w:lang w:bidi="ar-SA"/>
        </w:rPr>
        <w:t>لكن بقي الكلام في الشاك، هل هو كافر بمجرد شكه أو أنّ الجحد أيضاً معتبر في كفره ولا يكفي مجرد الشك؟ ففي بعض الأخبار أنّ الشاك كافر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 أنّ الشاك كافر إذا جحد</w:t>
      </w:r>
      <w:r>
        <w:rPr>
          <w:rStyle w:val="FootnoteAnchor"/>
          <w:rtl w:val="true"/>
        </w:rPr>
        <w:footnoteReference w:id="131"/>
      </w:r>
      <w:r>
        <w:rPr>
          <w:rFonts w:ascii="Amiri" w:hAnsi="Amiri" w:eastAsia="Amiri" w:cs="Amiri"/>
          <w:color w:val="111111"/>
          <w:sz w:val="28"/>
          <w:sz w:val="28"/>
          <w:szCs w:val="28"/>
          <w:rtl w:val="true"/>
          <w:lang w:bidi="ar-SA"/>
        </w:rPr>
        <w:t>، ويتصور الشك على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الشاك مقرّاً بالشهادتين ويكون جاحداً أيضاً بعض ما علم أنّه من الدين أو ضرورياً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مقرّاً بالشهادتين ولا يكون جاحداً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شاكاً ولا يكون جاحداً ولا يكون مقراً بالشهادتين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جاحداً ولا يقرّ بالشهادتين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بأنّ اعتبار الشهادتين من باب الموضوعية لا من باب الطريقية إلى الواقع، ولا يبعد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الشاك إذا كان مقرّاً بالشهادتين ولا يجحد؛ لأنّ الجحد مضر، وإن قلنا بالموضوعية؛ لأنه لا بُدَّ من عدم قول أو فعل ينافي إقراره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نجري عليه أحكام الإسلام أعمّ من إن كان مظهراً لشكه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بالطريقية لا يدفع إقراره عدم علمنا بشكّه فإن علمنا بشكه حكم بكفره وإن كان مقراً وإن لم يكن جاحداً، لكن ينافيه الأخبار الدالة على أنّ الجحد أيضاً معتبر في كفر الشاك، فلا بُدّ إما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الأخبار الدالّة على اعتبار الجحد ناظرة إلى ما أشرنا إليه، وهو أنّ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 مفهومه وأنّ في مفهومه يعتبر الإقرار، لا ينافيه الشك وشيء آخر إلا الجحد، وأنّ الجحد يضر به؛ لأنّه لا بُدَّ مع الإقرار عدم إظهار قول أو فعل ينافي ذلك الإقرار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نقول بتقدم الأخبار الحاصرة على هذه الأخبار وترجحها عليها؛ لأنها </w:t>
      </w:r>
    </w:p>
    <w:p>
      <w:pPr>
        <w:pStyle w:val="BookText"/>
        <w:rPr/>
      </w:pPr>
      <w:r>
        <w:rPr>
          <w:rFonts w:ascii="Amiri" w:hAnsi="Amiri" w:eastAsia="Amiri" w:cs="Amiri"/>
          <w:color w:val="111111"/>
          <w:sz w:val="28"/>
          <w:sz w:val="28"/>
          <w:szCs w:val="28"/>
          <w:rtl w:val="true"/>
          <w:lang w:bidi="ar-SA"/>
        </w:rPr>
        <w:t>مؤيدة ببعض الأخبار الناطقة بأنّ الإسلام هو الظاهر الذي عليه جماعة الناس</w:t>
      </w:r>
      <w:r>
        <w:rPr>
          <w:rStyle w:val="FootnoteAnchor"/>
          <w:rtl w:val="true"/>
        </w:rPr>
        <w:footnoteReference w:id="132"/>
      </w:r>
      <w:r>
        <w:rPr>
          <w:rFonts w:ascii="Amiri" w:hAnsi="Amiri" w:eastAsia="Amiri" w:cs="Amiri"/>
          <w:color w:val="111111"/>
          <w:sz w:val="28"/>
          <w:sz w:val="28"/>
          <w:szCs w:val="28"/>
          <w:rtl w:val="true"/>
          <w:lang w:bidi="ar-SA"/>
        </w:rPr>
        <w:t>، والذي يثبت في القلب هو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المراد بالجحد أعم من أن يكون من باب عدم الثبوت ومن أن يكون عناداً ومقابلة للنبي 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بعض العلماء اعتبروا مع الإقرار الإقرار بما جاء به النبي صلی الله عليه وآله وسلم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اعتبر عدم إنكاره الضروري</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زاد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إنكاره ما لم يُعلم بكونه من الشرع</w:t>
      </w:r>
      <w:r>
        <w:rPr>
          <w:rStyle w:val="FootnoteAnchor"/>
          <w:rtl w:val="true"/>
        </w:rPr>
        <w:footnoteReference w:id="135"/>
      </w:r>
      <w:r>
        <w:rPr>
          <w:rFonts w:ascii="Amiri" w:hAnsi="Amiri" w:eastAsia="Amiri" w:cs="Amiri"/>
          <w:color w:val="111111"/>
          <w:sz w:val="28"/>
          <w:sz w:val="28"/>
          <w:szCs w:val="28"/>
          <w:rtl w:val="true"/>
          <w:lang w:bidi="ar-SA"/>
        </w:rPr>
        <w:t xml:space="preserve">وإن لم يكن ضرورياً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يمكن في توجيه الأخير هو أحد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دلَّ على أنَّ الشهادتين معتبرتان في الإسلام دلَّ على</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الإنكار مضر وعدم الإنكار معتبر ؛ ووجهه أنّ تصديق النبي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فيما جاء به من الصغيرة والكبيرة من اللوازم البينة للإقرار بالرسالة؛ لأنّ معنى الإقرار بالرسالة ليس إلّا أنّ الرسول من عند الله وصادق في جميع ما يقول به، فهذا المثبت وإن كان يمكن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 ولكنه بعيد خصوصاً على القول بجواز السهو على النبي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والأئمة علیهم السلام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إن الإسلام هو هذا الدين الخاص الذي جاء به النبي صلی الله عليه وآله وسلم والتدين به في جزئييه وكلييه، كما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138"/>
      </w:r>
      <w:r>
        <w:rPr>
          <w:rFonts w:ascii="IRNazanin" w:hAnsi="IRNazanin" w:eastAsia="IRNazanin"/>
          <w:color w:val="111111"/>
          <w:sz w:val="28"/>
          <w:sz w:val="28"/>
          <w:szCs w:val="28"/>
          <w:rtl w:val="true"/>
          <w:lang w:bidi="fa-IR"/>
        </w:rPr>
        <w:t xml:space="preserve">، وكما يشهد بذلك أخبار كثيرة؛ حتى ورد الخبر بأنّ المستجد في شيء من أمور الدين صغيرة أو كبيرة دقّ وجلّ، بعد العلم بأنّ النبي صلی الله عليه وآله وسلم قال به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المعتبر شرعاً كما يشهد به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إقامة الحجّة عليه ممن يثق به في علمنا فلم يثق به</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فإنّ هذا الكلام ظاهر في عدم مشروطيته بالعلم الواقعي والحكم الواقعي، بل لو قام الدليل المعتبر على أنّ قول النبي صلی الله عليه وآله وسلم في هذه الواقعة كذا ولو كان حكماً ظاهرياً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ما ورد في بعض الأخبار من كفر شارب النبيذ على أنه حلال</w:t>
      </w:r>
      <w:r>
        <w:rPr>
          <w:rStyle w:val="FootnoteAnchor"/>
          <w:rtl w:val="true"/>
        </w:rPr>
        <w:footnoteReference w:id="140"/>
      </w:r>
      <w:r>
        <w:rPr>
          <w:rFonts w:ascii="IRNazanin" w:hAnsi="IRNazanin" w:eastAsia="IRNazanin"/>
          <w:color w:val="111111"/>
          <w:sz w:val="28"/>
          <w:sz w:val="28"/>
          <w:szCs w:val="28"/>
          <w:rtl w:val="true"/>
          <w:lang w:bidi="fa-IR"/>
        </w:rPr>
        <w:t>، حتى ورد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أدنى ما يكون العبد به مشركاً،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للنواة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حصاة وللحصاة إنها نواة ثم دان به</w:t>
      </w:r>
      <w:r>
        <w:rPr>
          <w:rStyle w:val="FootnoteAnchor"/>
          <w:rtl w:val="true"/>
        </w:rPr>
        <w:footnoteReference w:id="141"/>
      </w:r>
      <w:r>
        <w:rPr>
          <w:rFonts w:ascii="Amiri" w:hAnsi="Amiri" w:eastAsia="Amiri" w:cs="Amiri"/>
          <w:color w:val="111111"/>
          <w:sz w:val="28"/>
          <w:sz w:val="28"/>
          <w:szCs w:val="28"/>
          <w:rtl w:val="true"/>
          <w:lang w:bidi="ar-SA"/>
        </w:rPr>
        <w:t>فهذا الكلام غير بعيد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الأخبار الحاصرة مفهوم الإسلام في الشهادتين أو مثل إقام الصلاة وإيتاء الزكاة، فإنّ مقتضاها عدم كفر من أقرَّ بالشهادتين وإن جحد بعض ما علم كونه من الدين أو كله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بتقييد الأخبار الدالّة على أنّ الإسلام هو الشهادتان بتلك الأخبار وهو مشكل خصوصاً بعضها، فإنه دال على الحصر مثل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الإسلام شهادة أن لا إله </w:t>
      </w:r>
    </w:p>
    <w:p>
      <w:pPr>
        <w:pStyle w:val="BookText"/>
        <w:rPr/>
      </w:pPr>
      <w:r>
        <w:rPr>
          <w:rFonts w:ascii="IRNazanin" w:hAnsi="IRNazanin" w:eastAsia="IRNazanin"/>
          <w:color w:val="111111"/>
          <w:sz w:val="28"/>
          <w:sz w:val="28"/>
          <w:szCs w:val="28"/>
          <w:rtl w:val="true"/>
          <w:lang w:bidi="fa-IR"/>
        </w:rPr>
        <w:t>إلا الله والتصديق برسول الله صلی الله عليه وآله وسلم، به حقنت الدماء وعليه جرت المناكح والمواريث</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الانكار من لوازم الشهادتين فمعنى الإقرار بالشهادتين؛ هو عدم إنكار ما يعلم كونه من عند الرسول صلی الله عليه وآله وسلم؛ لأن إنكاره مستلزم لتكذيب النبي علي صلی الله عليه وآله وسلم وعدم الإقرار بالرسالة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نقول بأنّ المعتبر في الإسلام هو محض الشهادتين، ولكنه مشروط بعدم ظهور قول أو فعل ينا في ذلك الإقرار، ولا يبعد أن يكون الأمر كما 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العلماء اعتبروا في مفهوم الإسلام عدم إنكار الضروري</w:t>
      </w:r>
      <w:r>
        <w:rPr>
          <w:rStyle w:val="FootnoteAnchor"/>
          <w:rtl w:val="true"/>
        </w:rPr>
        <w:footnoteReference w:id="143"/>
      </w:r>
      <w:r>
        <w:rPr>
          <w:rFonts w:ascii="Amiri" w:hAnsi="Amiri" w:eastAsia="Amiri" w:cs="Amiri"/>
          <w:color w:val="111111"/>
          <w:sz w:val="28"/>
          <w:sz w:val="28"/>
          <w:szCs w:val="28"/>
          <w:rtl w:val="true"/>
          <w:lang w:bidi="ar-SA"/>
        </w:rPr>
        <w:t>، بل اعتبره أكثر العلماء؛ لكن الحكم به محتمل لأن يكون من باب كون عدم إنكاره سبباً مستقلاً في مقابل الشهادتين، كما نسبه صاحب مفتاح الكرامة إلى ظاهر الأصحاب</w:t>
      </w:r>
      <w:r>
        <w:rPr>
          <w:rStyle w:val="FootnoteAnchor"/>
          <w:rtl w:val="true"/>
        </w:rPr>
        <w:footnoteReference w:id="144"/>
      </w:r>
      <w:r>
        <w:rPr>
          <w:rFonts w:ascii="Amiri" w:hAnsi="Amiri" w:eastAsia="Amiri" w:cs="Amiri"/>
          <w:color w:val="111111"/>
          <w:sz w:val="28"/>
          <w:sz w:val="28"/>
          <w:szCs w:val="28"/>
          <w:rtl w:val="true"/>
          <w:lang w:bidi="ar-SA"/>
        </w:rPr>
        <w:t>، ونسب هذا النسبة أيضاً إلى أستاذه، ونسب أيضاً إلى ظاهر الأصحاب شيخُنا في شرحه على الشرائع</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أنه من باب عدم إنكار ما يعلم كونه من الدين، كما يفهم ذلك من شيخنا الأردبيلي قدس سره</w:t>
      </w:r>
      <w:r>
        <w:rPr>
          <w:rStyle w:val="FootnoteAnchor"/>
          <w:rtl w:val="true"/>
        </w:rPr>
        <w:footnoteReference w:id="146"/>
      </w:r>
      <w:r>
        <w:rPr>
          <w:rFonts w:ascii="IRNazanin" w:hAnsi="IRNazanin" w:eastAsia="IRNazanin"/>
          <w:color w:val="111111"/>
          <w:sz w:val="28"/>
          <w:sz w:val="28"/>
          <w:szCs w:val="28"/>
          <w:rtl w:val="true"/>
          <w:lang w:bidi="fa-IR"/>
        </w:rPr>
        <w:t>، ونسبه إلى بعض آخر؛ وعلّلوا لاعتبار عدم إنكار الضروري بأنه مستلزم لإنكار النبي صلی الله عليه وآله وسلم وما يعلم من النبي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معنى لإخراج من أنكر 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جديد الإسلام ونشأ في بلاد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الثاني أنّه يلزم الحكم بعدم كفر من أنكر الضروري؛ لجهله سواءً نشأ الجهل من تقصيره أو قصوره، وأيضاً يلزم الحكم بعدم كفر جماعة قلّدوا آباءهم في </w:t>
      </w:r>
    </w:p>
    <w:p>
      <w:pPr>
        <w:pStyle w:val="BookText"/>
        <w:rPr/>
      </w:pPr>
      <w:r>
        <w:rPr>
          <w:rFonts w:ascii="IRNazanin" w:hAnsi="IRNazanin" w:eastAsia="IRNazanin"/>
          <w:color w:val="111111"/>
          <w:sz w:val="28"/>
          <w:sz w:val="28"/>
          <w:szCs w:val="28"/>
          <w:rtl w:val="true"/>
          <w:lang w:bidi="fa-IR"/>
        </w:rPr>
        <w:t>إنكارهم للضروريات، بل النواصب الذين قلدوا آباءهم ولم يعلموا أنّ حكم النبي صلی الله عليه وآله وسلم بخلاف ذلك ؛ بل الحكم بالكفر مخصوص بالطبقة الأولى الذين علموا أنّ حكم النبي صلی الله عليه وآله وسلم بخلاف ذلك، والحال أنّ الأخبار متطابقة على كفرهم على أنّ الأخبار خالية من اعتبار عدم إنكار الضروري مطلقاً بوصف كونه ضرورياً ويمكن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 اعتبار عدم إنكار الضروري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بنفسه سبب مستقل أو من جهة إنكار صدق النبي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دليل عليه لعدم صدق إنكار صدق النبي صلی الله عليه وآله وسلم في المقلدين لآبائهم وعدم المعرفة بكون النبي صلی الله عليه وآله وسلم جاء به ، بل الحق ما ذكرنا سابقاً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هو التدين بهذا الدين الخاص فعدم التدين بهذا الدين مضر كلاً أو بعضاً سواءً رجع إلى إنكار النبي صلی الله عليه وآله وسلم أو لم يرجع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النواصب الذين قلدوا آباءهم وإن لم ينكروا صدق النبي صلی الله عليه وآله وسلم إلا أنهم لم يتدينوا بهذا الدين الخاص بواسطة عدم التدين ببعضه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عدم التدين قد يكون من باب التمرد والعصيان، كما في إبليس وإن لم ينكر صدق النبي 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يكون بواسطة إنكار صدق النبي الله صلی الله عليه وآله وسلم فلا شك في كفره مع علمه بأنّ النبي صلی الله عليه وآله وسلم جاء به سواءً علمنا به من الخارج أو بواسطة كونه ضرورياً عند المنكرين في بلاد المسلمين بحيث لا يحتمل في حقه عدم العلم، فالتمسك بالضروري ليس لأجل كونه سبباً مستقلاً بل لكونه طريقاً لمعرفتنا بأنه عالم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كلّه لا يصدق هذا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من كون الإسلام عبارة عن التدين بمجموع الدين؛ كيف، ولو كان كذلك يكون أغلب من يتلبسون بالإسلام أيضاً كفار؛ لأنهم أيضاً لم يتدينوا بمجموع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الدين الصغيرة والكبيرة؛ لأنهم جهلوا أكثر </w:t>
      </w:r>
    </w:p>
    <w:p>
      <w:pPr>
        <w:pStyle w:val="BookText"/>
        <w:rPr/>
      </w:pPr>
      <w:r>
        <w:rPr>
          <w:rFonts w:ascii="Amiri" w:hAnsi="Amiri" w:eastAsia="Amiri" w:cs="Amiri"/>
          <w:color w:val="111111"/>
          <w:sz w:val="28"/>
          <w:sz w:val="28"/>
          <w:szCs w:val="28"/>
          <w:rtl w:val="true"/>
          <w:lang w:bidi="ar-SA"/>
        </w:rPr>
        <w:t>الأحكام فكيف يمكن لهم التدين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اعتباره في الإسلام؛ هو الشهادتان بشرط عدم ظهور ما ينافيها ، فاعتبار الباقي في محل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صرّح جماعة منهم بالإجماع</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عدم إنكار الضروري في مفهوم الإسلام، ويظهر من بعض كلماتهم انه معتبر على نحو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آخر ؛ اعتباره من باب الطريقية إلى علمنا بأنه أنكر مع كونه عالماً، وانكاره مع العلم لا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اعتباره من باب الطريقية، قد يدعى اعتباره حتى كونه بمنزلة الأصل في مقام الشك بحاله أجاهل أم لا؟ وقد يدعى أزيد من ذلك حتى كونه بمنزلة الأمارة ويقدم على دعوى منكر الجهل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على اعتبار عدم الإنكار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أنكر الضروري مع اعترافه برسالة النبي صلی الله علیه وآله وسلم يكون مناقضاً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على فرض تسليمه؛ يتم مع علمه بكون المنكر من الدين، ولو لم يكن عالماً وأنكره لم يكن بمنزلة المناقض لنفسه ولو كان مقصراً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الدال على أنّ الضروريات معتبر عدمها،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فرض فرائض موجبات على العباد فمن ترك فريضة من الموجبات فلم يعمل بها وجحدها كان كافراً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دلَّ على كفر من جحد موجبات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المعاصي التي أوجب الله عليها النار بناءً على كون الموجبات صفة مخصصة لا صفة 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كان عالماً بالمعصية أو لم يعلم بكونها معصية، وسواءً كان قاصراً أم مقصّراً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انطباقه على الضروري؛ لأنّ غالب المعاصي التي أوجبت النار هي الضروريات، فالضروريات في الآية</w:t>
      </w:r>
      <w:r>
        <w:rPr>
          <w:rStyle w:val="FootnoteAnchor"/>
          <w:rtl w:val="true"/>
        </w:rPr>
        <w:footnoteReference w:id="151"/>
      </w:r>
      <w:r>
        <w:rPr>
          <w:rFonts w:ascii="Amiri" w:hAnsi="Amiri" w:eastAsia="Amiri" w:cs="Amiri"/>
          <w:color w:val="111111"/>
          <w:sz w:val="28"/>
          <w:sz w:val="28"/>
          <w:szCs w:val="28"/>
          <w:rtl w:val="true"/>
          <w:lang w:bidi="ar-SA"/>
        </w:rPr>
        <w:t>إما بإطلاقها وأما مختصة بالضروريات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لا يدلّ على اعتبار الضروريات لما هو ضروري مع مناقضة صدره لذيله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يخرجه إلى الكفر إلّا الجحود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مقام بيان حكم الاستحلال سواء كان المستحل ضرورياً أو غير ضروري، ويؤيده تعميم الحكم في صدر الآية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ارتکب كبيرة من الكبائر فزعم أنها حلال أخرجه ذلك من الإسلام</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وبيان التمسك به إطلاق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الضروري بخصوصه، بل يدلّ على كفر كل منكر الكبيرة، بل لا يبعد أن ندعي اختصاصه بصورة العلم كما يظهر من الخبر، لا صورة الجهل سواءً كان بادعائه أو علمنا بأنّه 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الدال على وجوب قتل من أفطر بشهر رمضان إذا نفى الإثم عن نفسه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استحلال الضروري وإنكاره سبباً للكفر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الخبر ليس له ظهور حتى يشمل صورة العلم بكونه جاهلاً، أو دعوى بالشك فإنّ ظاهرها عدم العلم </w:t>
      </w:r>
      <w:r>
        <w:rPr>
          <w:rFonts w:eastAsia="Amiri" w:cs="Amiri" w:ascii="Amiri" w:hAnsi="Amiri"/>
          <w:color w:val="111111"/>
          <w:sz w:val="28"/>
          <w:szCs w:val="28"/>
          <w:rtl w:val="true"/>
          <w:lang w:bidi="ar-SA"/>
        </w:rPr>
        <w:t xml:space="preserve">. </w:t>
      </w:r>
      <w:bookmarkStart w:id="67" w:name="pg9203_87068"/>
    </w:p>
    <w:p>
      <w:pPr>
        <w:pStyle w:val="BookText"/>
        <w:rPr/>
      </w:pPr>
      <w:bookmarkEnd w:id="67"/>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دليل تطمئن إليه النفس في الحكم بكون مطلق إنكار الضروري</w:t>
      </w:r>
    </w:p>
    <w:p>
      <w:pPr>
        <w:pStyle w:val="BookText"/>
        <w:rPr/>
      </w:pPr>
      <w:r>
        <w:rPr>
          <w:rFonts w:ascii="IRNazanin" w:hAnsi="IRNazanin" w:eastAsia="IRNazanin"/>
          <w:color w:val="111111"/>
          <w:sz w:val="28"/>
          <w:sz w:val="28"/>
          <w:szCs w:val="28"/>
          <w:rtl w:val="true"/>
          <w:lang w:bidi="fa-IR"/>
        </w:rPr>
        <w:t>على سبيل الموضوعية سبباً للكفر حتى في صورة العلم بعدم إرجاع إنكاره الضروري إلى تكذيب النبي صلی الله عليه و آله وسلم بل في صورة الشك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كانت كلمات العلماء مطلقة في أنّ إنكار الضروري على سبيل الموضوعية سببٌ للكفر، إلّا أنّه لا بُدَّ من القول بكون كلامهم في صورة الإرجاع والكشف فلا يشمل القاصر بل ولا المقصّر، نعم إذا لم يكن عالماً بأنه جاء به النبي صلی الله عليه و آله وسلم</w:t>
      </w:r>
      <w:r>
        <w:rPr>
          <w:rFonts w:eastAsia="IRNazanin" w:cs="IRNazanin"/>
          <w:color w:val="111111"/>
          <w:sz w:val="28"/>
          <w:szCs w:val="28"/>
          <w:rtl w:val="true"/>
          <w:lang w:bidi="fa-IR"/>
        </w:rPr>
        <w:t>.</w:t>
      </w:r>
    </w:p>
    <w:p>
      <w:pPr>
        <w:pStyle w:val="Heading2"/>
        <w:numPr>
          <w:ilvl w:val="1"/>
          <w:numId w:val="1"/>
        </w:numPr>
        <w:rPr/>
      </w:pPr>
      <w:bookmarkStart w:id="68" w:name="__RefHeading___Toc3967846_2870459653"/>
      <w:bookmarkStart w:id="69" w:name="_Toc22"/>
      <w:bookmarkEnd w:id="68"/>
      <w:r>
        <w:rPr>
          <w:rtl w:val="true"/>
        </w:rPr>
        <w:t xml:space="preserve">[ </w:t>
      </w:r>
      <w:r>
        <w:rPr>
          <w:rtl w:val="true"/>
        </w:rPr>
        <w:t>طهارة المخالفين</w:t>
      </w:r>
      <w:r>
        <w:rPr>
          <w:rtl w:val="true"/>
        </w:rPr>
        <w:t>]</w:t>
      </w:r>
      <w:bookmarkEnd w:id="69"/>
    </w:p>
    <w:p>
      <w:pPr>
        <w:pStyle w:val="BookText"/>
        <w:rPr/>
      </w:pPr>
      <w:r>
        <w:rPr>
          <w:rFonts w:ascii="Amiri" w:hAnsi="Amiri" w:eastAsia="Amiri" w:cs="Amiri"/>
          <w:color w:val="111111"/>
          <w:sz w:val="28"/>
          <w:sz w:val="28"/>
          <w:szCs w:val="28"/>
          <w:rtl w:val="true"/>
          <w:lang w:bidi="ar-SA"/>
        </w:rPr>
        <w:t xml:space="preserve">وأمّا المخالف لأهل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سوى النواصب والخوارج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يبعد الحكم بطهارتهم؛ للأصل وأدلّة طهارة المسلمين بناءً على تحديد الإسلام المقابل للإيمان لا المرادف له بما عليه 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كله هو السيرة القطعية بين المسلمين من معاشرتهم ومساورتهم وأكل ذبائحهم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تلك المعاشرة من باب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يفيد المعاملة معهم معاملة الطاهر، بل ترفع أدلّة نفي الحرج وجوب الاجتناب بقدر ما يكون حرجاً، لا مطلق وجوب الاجتناب والمعاملة معهم معاملة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وإن كانت دالة على كفرهم، إلا أن الكفر الوارد في الأخبار هو الكفر المقابل للإيمان لا الكفر المقابل للإسلام كما يظهر ذلك لمن تتبع باب الفَرْق بين الإسلام والإيمان من الكافي</w:t>
      </w:r>
      <w:r>
        <w:rPr>
          <w:rStyle w:val="FootnoteAnchor"/>
          <w:rtl w:val="true"/>
        </w:rPr>
        <w:footnoteReference w:id="156"/>
      </w:r>
      <w:r>
        <w:rPr>
          <w:rFonts w:ascii="Amiri" w:hAnsi="Amiri" w:eastAsia="Amiri" w:cs="Amiri"/>
          <w:color w:val="111111"/>
          <w:sz w:val="28"/>
          <w:sz w:val="28"/>
          <w:szCs w:val="28"/>
          <w:rtl w:val="true"/>
          <w:lang w:bidi="ar-SA"/>
        </w:rPr>
        <w:t>، وأشرنا إلى بعضها سابقاً فراجع وتأمل حتى يظهر لك الأمر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استدلال بعض العلماء على نجاستهم وكفرهم بأنهم منكرون للضروري، </w:t>
      </w:r>
      <w:bookmarkStart w:id="70" w:name="pg9203_87069"/>
    </w:p>
    <w:p>
      <w:pPr>
        <w:pStyle w:val="BookText"/>
        <w:rPr/>
      </w:pPr>
      <w:bookmarkEnd w:id="70"/>
      <w:r>
        <w:rPr>
          <w:rFonts w:ascii="Amiri" w:hAnsi="Amiri" w:eastAsia="Amiri" w:cs="Amiri"/>
          <w:color w:val="111111"/>
          <w:sz w:val="28"/>
          <w:sz w:val="28"/>
          <w:szCs w:val="28"/>
          <w:rtl w:val="true"/>
          <w:lang w:bidi="ar-SA"/>
        </w:rPr>
        <w:t>وكل منكر للضروري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الخدشة فيه 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 على خلافة أمير المؤمنين علیه السلام لم يكن ضرورياً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منكر الضروري مطلقاً ليس بكافر على ما بينا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كشف إنكاره عن تكذيب النبي صلی الله عليه و آله وسلم فيكون كافراً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كونهم منكرين للضروري وإنكار الضروري سبب للكفر مطلقاً، أو أنهم عالمون بخلافة أمير المؤمنين علیه السلام، ولكن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أنّ الإسلام هو الظاهر الذي عليه جماعة الناس</w:t>
      </w:r>
      <w:r>
        <w:rPr>
          <w:rStyle w:val="FootnoteAnchor"/>
          <w:rtl w:val="true"/>
        </w:rPr>
        <w:footnoteReference w:id="157"/>
      </w:r>
      <w:r>
        <w:rPr>
          <w:rFonts w:ascii="Amiri" w:hAnsi="Amiri" w:eastAsia="Amiri" w:cs="Amiri"/>
          <w:color w:val="111111"/>
          <w:sz w:val="28"/>
          <w:sz w:val="28"/>
          <w:szCs w:val="28"/>
          <w:rtl w:val="true"/>
          <w:lang w:bidi="ar-SA"/>
        </w:rPr>
        <w:t>؛ حاكمة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إذا كانوا عالمين بخلافة أمير المؤمنين علیه السلام، فإنكارهم يرجع إلى إنكار النبي صلی الله عليه و آله وسلم ولم يكن مورداً للأخبار الدالة على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فلا دليل على نجاستهم سيما بعد قيام الأدلّة على طهارتهم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أحكام الإسلام من وجوب تجهيزه وتكفينه؛ فلا يبعد القول بعدم وجوبه كما يقول به بعضُ من قال بطهارتهم ، كما عن المفيد</w:t>
      </w:r>
      <w:r>
        <w:rPr>
          <w:rStyle w:val="FootnoteAnchor"/>
          <w:rtl w:val="true"/>
        </w:rPr>
        <w:footnoteReference w:id="158"/>
      </w:r>
      <w:r>
        <w:rPr>
          <w:rFonts w:ascii="Amiri" w:hAnsi="Amiri" w:eastAsia="Amiri" w:cs="Amiri"/>
          <w:color w:val="111111"/>
          <w:sz w:val="28"/>
          <w:sz w:val="28"/>
          <w:szCs w:val="28"/>
          <w:rtl w:val="true"/>
          <w:lang w:bidi="ar-SA"/>
        </w:rPr>
        <w:t>، والقاضي</w:t>
      </w:r>
      <w:r>
        <w:rPr>
          <w:rStyle w:val="FootnoteAnchor"/>
          <w:rtl w:val="true"/>
        </w:rPr>
        <w:footnoteReference w:id="159"/>
      </w:r>
      <w:r>
        <w:rPr>
          <w:rFonts w:ascii="Amiri" w:hAnsi="Amiri" w:eastAsia="Amiri" w:cs="Amiri"/>
          <w:color w:val="111111"/>
          <w:sz w:val="28"/>
          <w:sz w:val="28"/>
          <w:szCs w:val="28"/>
          <w:rtl w:val="true"/>
          <w:lang w:bidi="ar-SA"/>
        </w:rPr>
        <w:t>، مع حكمها بطهارتهم بعد قيام الأدلة الدالة على الطهارة بناءً على كون الأصل عدم الوجوب</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3967848_2870459653"/>
      <w:bookmarkStart w:id="72" w:name="_Toc23"/>
      <w:bookmarkEnd w:id="71"/>
      <w:r>
        <w:rPr>
          <w:rtl w:val="true"/>
        </w:rPr>
        <w:t>نجاسة النواصب والخوارج</w:t>
      </w:r>
      <w:bookmarkEnd w:id="7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النواصب والخوارج فلا يبعد الحكم بنجاستهم</w:t>
      </w:r>
      <w:r>
        <w:rPr>
          <w:rStyle w:val="FootnoteAnchor"/>
          <w:rtl w:val="true"/>
        </w:rPr>
        <w:footnoteReference w:id="160"/>
      </w:r>
      <w:r>
        <w:rPr>
          <w:rFonts w:ascii="Amiri" w:hAnsi="Amiri" w:eastAsia="Amiri" w:cs="Amiri"/>
          <w:color w:val="111111"/>
          <w:sz w:val="28"/>
          <w:sz w:val="28"/>
          <w:szCs w:val="28"/>
          <w:rtl w:val="true"/>
          <w:lang w:bidi="ar-SA"/>
        </w:rPr>
        <w:t>، إما لأنهم منكرون للضروري وقد عرفت ما فيه</w:t>
      </w:r>
      <w:r>
        <w:rPr>
          <w:rFonts w:eastAsia="Amiri" w:cs="Amiri" w:ascii="Amiri" w:hAnsi="Amiri"/>
          <w:color w:val="111111"/>
          <w:sz w:val="28"/>
          <w:szCs w:val="28"/>
          <w:rtl w:val="true"/>
          <w:lang w:bidi="ar-SA"/>
        </w:rPr>
        <w:t xml:space="preserve">. </w:t>
      </w:r>
      <w:bookmarkStart w:id="73" w:name="pg9203_87070"/>
    </w:p>
    <w:p>
      <w:pPr>
        <w:pStyle w:val="BookText"/>
        <w:rPr/>
      </w:pPr>
      <w:bookmarkEnd w:id="73"/>
      <w:r>
        <w:rPr>
          <w:rFonts w:ascii="Amiri" w:hAnsi="Amiri" w:eastAsia="Amiri" w:cs="Amiri"/>
          <w:color w:val="111111"/>
          <w:sz w:val="28"/>
          <w:sz w:val="28"/>
          <w:szCs w:val="28"/>
          <w:rtl w:val="true"/>
          <w:lang w:bidi="ar-SA"/>
        </w:rPr>
        <w:t>وإما للأخبار الخاصة الدالة على نجاستهم سيما الناصب</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3967850_2870459653"/>
      <w:bookmarkStart w:id="75" w:name="_Toc24"/>
      <w:bookmarkEnd w:id="74"/>
      <w:r>
        <w:rPr>
          <w:rtl w:val="true"/>
        </w:rPr>
        <w:t>[</w:t>
      </w:r>
      <w:r>
        <w:rPr>
          <w:rtl w:val="true"/>
        </w:rPr>
        <w:t>حكم الغلاة</w:t>
      </w:r>
      <w:r>
        <w:rPr>
          <w:rtl w:val="true"/>
        </w:rPr>
        <w:t>]</w:t>
      </w:r>
      <w:bookmarkEnd w:id="75"/>
    </w:p>
    <w:p>
      <w:pPr>
        <w:pStyle w:val="BookText"/>
        <w:rPr/>
      </w:pPr>
      <w:r>
        <w:rPr>
          <w:rFonts w:ascii="Amiri" w:hAnsi="Amiri" w:eastAsia="Amiri" w:cs="Amiri"/>
          <w:color w:val="111111"/>
          <w:sz w:val="28"/>
          <w:sz w:val="28"/>
          <w:szCs w:val="28"/>
          <w:rtl w:val="true"/>
          <w:lang w:bidi="ar-SA"/>
        </w:rPr>
        <w:t>وأما الغلاة، فعلى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بإلهية غير الله سبحانه؛ فلا شك في كفرهم؛ لأنهم 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الثاني فهو أن يتجاوز عن الحد الذي هو ثابت لأمير المؤمنين علیه السلام، مثل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فوّض جميع أفعال الخلق إليه ؛ فلا دليل على كفره سوى إنكاره الضروري فيبتني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اتحد معه على نحو الحلول، وكفره أيضاً موقوف على كفر منكري الضروري، والظاهر من مذهبهم هو الثالث </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3967852_2870459653"/>
      <w:bookmarkStart w:id="77" w:name="_Toc25"/>
      <w:bookmarkEnd w:id="76"/>
      <w:r>
        <w:rPr>
          <w:rtl w:val="true"/>
        </w:rPr>
        <w:t>[</w:t>
      </w:r>
      <w:r>
        <w:rPr>
          <w:rtl w:val="true"/>
        </w:rPr>
        <w:t>حكم المجسمة</w:t>
      </w:r>
      <w:r>
        <w:rPr>
          <w:rtl w:val="true"/>
        </w:rPr>
        <w:t>]</w:t>
      </w:r>
      <w:bookmarkEnd w:id="77"/>
    </w:p>
    <w:p>
      <w:pPr>
        <w:pStyle w:val="BookText"/>
        <w:rPr/>
      </w:pPr>
      <w:r>
        <w:rPr>
          <w:rFonts w:ascii="Amiri" w:hAnsi="Amiri" w:eastAsia="Amiri" w:cs="Amiri"/>
          <w:color w:val="111111"/>
          <w:sz w:val="28"/>
          <w:sz w:val="28"/>
          <w:szCs w:val="28"/>
          <w:rtl w:val="true"/>
          <w:lang w:bidi="ar-SA"/>
        </w:rPr>
        <w:t>وأما المجسمة وهم القائلون بأنه تعالى جسم؛ فهم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مجسمة بالحقيقة، وهي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جسم كالأجسام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مجسمة بالتسمية، وهي القول بأنّ الله تعالى جسم لا كالأجسام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عدم كفر الثاني؛ لأنه لم يكن منكراً للضروري ولا شيء آخر، وإنّما غلط في التسمية، ولم يعتقد لوازم الجسمية حتى يكون منكراً للضروري، بل لو قلنا بكفر منكر الضروري مطلقاً أيضاً لم يتجه الحكم بكفرهم؛ لأنهم لم يعتقدوا لوازم هذا القول من الحدوث وغيره، بل إنهم أيضاً معترفون ببطلان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أصل التجسمة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من الضروريات غير معلوم</w:t>
      </w:r>
      <w:r>
        <w:rPr>
          <w:rFonts w:eastAsia="Amiri" w:cs="Amiri" w:ascii="Amiri" w:hAnsi="Amiri"/>
          <w:color w:val="111111"/>
          <w:sz w:val="28"/>
          <w:szCs w:val="28"/>
          <w:rtl w:val="true"/>
          <w:lang w:bidi="ar-SA"/>
        </w:rPr>
        <w:t xml:space="preserve">. </w:t>
      </w:r>
      <w:bookmarkStart w:id="78" w:name="pg9203_87071"/>
    </w:p>
    <w:p>
      <w:pPr>
        <w:pStyle w:val="BookText"/>
        <w:rPr/>
      </w:pPr>
      <w:bookmarkEnd w:id="78"/>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ضرورية بطلانه إنّما هو لكون ما يعتقده العوام من الملازمة وترتب اللوازم عليه</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3967854_2870459653"/>
      <w:bookmarkStart w:id="80" w:name="_Toc26"/>
      <w:bookmarkEnd w:id="79"/>
      <w:r>
        <w:rPr>
          <w:rtl w:val="true"/>
        </w:rPr>
        <w:t xml:space="preserve">[ </w:t>
      </w:r>
      <w:r>
        <w:rPr>
          <w:rtl w:val="true"/>
        </w:rPr>
        <w:t xml:space="preserve">طهارة المجبرة </w:t>
      </w:r>
      <w:r>
        <w:rPr>
          <w:rtl w:val="true"/>
        </w:rPr>
        <w:t>]</w:t>
      </w:r>
      <w:bookmarkEnd w:id="80"/>
    </w:p>
    <w:p>
      <w:pPr>
        <w:pStyle w:val="BookText"/>
        <w:rPr/>
      </w:pPr>
      <w:r>
        <w:rPr>
          <w:rFonts w:ascii="Amiri" w:hAnsi="Amiri" w:eastAsia="Amiri" w:cs="Amiri"/>
          <w:color w:val="111111"/>
          <w:sz w:val="28"/>
          <w:sz w:val="28"/>
          <w:szCs w:val="28"/>
          <w:rtl w:val="true"/>
          <w:lang w:bidi="ar-SA"/>
        </w:rPr>
        <w:t xml:space="preserve">وأمّا المُجَبرة، فهم أيضاً لا إشكال في طهارتهم؛ للأصل والعمومات ولأنّ مرجع ما ذكروه إلى إنكار ما هو من ضروريات العقل من الحكم بالتحسين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العقليين لا ما هو من ضروريات الدين؛ بناءً على عدم الملازمة بين الضرورتين</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3967856_2870459653"/>
      <w:bookmarkStart w:id="82" w:name="_Toc27"/>
      <w:bookmarkEnd w:id="81"/>
      <w:r>
        <w:rPr>
          <w:rtl w:val="true"/>
        </w:rPr>
        <w:t>[</w:t>
      </w:r>
      <w:r>
        <w:rPr>
          <w:rtl w:val="true"/>
        </w:rPr>
        <w:t>طهارة ولد الزنا</w:t>
      </w:r>
      <w:r>
        <w:rPr>
          <w:rtl w:val="true"/>
        </w:rPr>
        <w:t>]</w:t>
      </w:r>
      <w:bookmarkEnd w:id="82"/>
    </w:p>
    <w:p>
      <w:pPr>
        <w:pStyle w:val="BookText"/>
        <w:rPr/>
      </w:pPr>
      <w:r>
        <w:rPr>
          <w:rFonts w:ascii="Amiri" w:hAnsi="Amiri" w:eastAsia="Amiri" w:cs="Amiri"/>
          <w:color w:val="111111"/>
          <w:sz w:val="28"/>
          <w:sz w:val="28"/>
          <w:szCs w:val="28"/>
          <w:rtl w:val="true"/>
          <w:lang w:bidi="ar-SA"/>
        </w:rPr>
        <w:t>وأمّا ولد الزنا، فهو طاهر أيضاً؛ للأصل والعمومات والخبر الدال على أنّ كل مولود يولد على الفطرة</w:t>
      </w:r>
      <w:r>
        <w:rPr>
          <w:rStyle w:val="FootnoteAnchor"/>
          <w:rtl w:val="true"/>
        </w:rPr>
        <w:footnoteReference w:id="162"/>
      </w:r>
      <w:r>
        <w:rPr>
          <w:rFonts w:ascii="Amiri" w:hAnsi="Amiri" w:eastAsia="Amiri" w:cs="Amiri"/>
          <w:color w:val="111111"/>
          <w:sz w:val="28"/>
          <w:sz w:val="28"/>
          <w:szCs w:val="28"/>
          <w:rtl w:val="true"/>
          <w:lang w:bidi="ar-SA"/>
        </w:rPr>
        <w:t>، ولم يظهر دليل على نجاسته إلّا بعض الأخبار</w:t>
      </w:r>
      <w:r>
        <w:rPr>
          <w:rStyle w:val="FootnoteAnchor"/>
          <w:rtl w:val="true"/>
        </w:rPr>
        <w:footnoteReference w:id="163"/>
      </w:r>
      <w:r>
        <w:rPr>
          <w:rFonts w:ascii="Amiri" w:hAnsi="Amiri" w:eastAsia="Amiri" w:cs="Amiri"/>
          <w:color w:val="111111"/>
          <w:sz w:val="28"/>
          <w:sz w:val="28"/>
          <w:szCs w:val="28"/>
          <w:rtl w:val="true"/>
          <w:lang w:bidi="ar-SA"/>
        </w:rPr>
        <w:t>، الذي لم يقاوم هذه الأدلّة، وليس بصريح بكفرهم ونجاستهم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نتكلم في بعض أمور</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3967858_2870459653"/>
      <w:bookmarkStart w:id="84" w:name="_Toc28"/>
      <w:bookmarkEnd w:id="83"/>
      <w:r>
        <w:rPr>
          <w:rtl w:val="true"/>
        </w:rPr>
        <w:t>[</w:t>
      </w:r>
      <w:r>
        <w:rPr>
          <w:rtl w:val="true"/>
        </w:rPr>
        <w:t>حكم عرق الجنب من الحرام</w:t>
      </w:r>
      <w:r>
        <w:rPr>
          <w:rtl w:val="true"/>
        </w:rPr>
        <w:t>]</w:t>
      </w:r>
      <w:bookmarkEnd w:id="8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نجاسة عرق الجنب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فالمتقدمون ذهبوا إلى النجاسة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المحقّق</w:t>
      </w:r>
      <w:r>
        <w:rPr>
          <w:rStyle w:val="FootnoteAnchor"/>
          <w:rtl w:val="true"/>
        </w:rPr>
        <w:footnoteReference w:id="165"/>
      </w:r>
      <w:r>
        <w:rPr>
          <w:rFonts w:ascii="IRNazanin" w:hAnsi="IRNazanin" w:eastAsia="IRNazanin"/>
          <w:color w:val="111111"/>
          <w:sz w:val="28"/>
          <w:sz w:val="28"/>
          <w:szCs w:val="28"/>
          <w:rtl w:val="true"/>
          <w:lang w:bidi="fa-IR"/>
        </w:rPr>
        <w:t>ومن تأخر عنه</w:t>
      </w:r>
      <w:r>
        <w:rPr>
          <w:rStyle w:val="FootnoteAnchor"/>
          <w:rtl w:val="true"/>
        </w:rPr>
        <w:footnoteReference w:id="166"/>
      </w:r>
      <w:r>
        <w:rPr>
          <w:rFonts w:ascii="Amiri" w:hAnsi="Amiri" w:eastAsia="Amiri" w:cs="Amiri"/>
          <w:color w:val="111111"/>
          <w:sz w:val="28"/>
          <w:sz w:val="28"/>
          <w:szCs w:val="28"/>
          <w:rtl w:val="true"/>
          <w:lang w:bidi="ar-SA"/>
        </w:rPr>
        <w:t xml:space="preserve">إلى الطهارة، إلى زمان متأخري المتأخرين </w:t>
      </w:r>
    </w:p>
    <w:p>
      <w:pPr>
        <w:pStyle w:val="BookText"/>
        <w:rPr/>
      </w:pPr>
      <w:r>
        <w:rPr>
          <w:rFonts w:ascii="Amiri" w:hAnsi="Amiri" w:eastAsia="Amiri" w:cs="Amiri"/>
          <w:color w:val="111111"/>
          <w:sz w:val="28"/>
          <w:sz w:val="28"/>
          <w:szCs w:val="28"/>
          <w:rtl w:val="true"/>
          <w:lang w:bidi="ar-SA"/>
        </w:rPr>
        <w:t>فذهبوا أيضاً إلى النجاسة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فلم يظهر دليل تام للنجاسة، وإنّما استدلوا ببعض أخبار لم تدل على النجاسة عدا خبر الغُسالة من الحمام فإنّه لا نهى عن غُسالة الحمام، وعلل أيضاً بأنّه يغتسل فيها الجنب وولد الزنا والناصب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ابن همام بإسناده إلى إدريس بن يزداد الكفرتوثي أنّه كان يقول بالوقف، فدخل سُرَّ من رأى في عهد أبي الحسن علیه السلام وأراد أن يسأله عن الثوب الذي يعرق فيه الجنب أيصلي فيه؟ فبينما هو قائم في طاق باب لانتظاره؛ إذ حركه أبو الحسن علیه السلام بمقرعه وقال مبتدءً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من حلال فصل فيه، وإن كان من حرام فلا تصل فيه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جنابته من حرام فلا تصل فيه، وإن كان من حلال فصل فيه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الأخبار لم تكن بحيث يطمئن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لأنّ خبر الغُسالة مشتمل على ولد الزنا مثلاً، والحال أنا لا نقول بنجاسته فلا بُدَّ أن يحمل على الكراهة نظير الخبر الآخر أنه كره سؤر ولد الزنا ،وغيره والرواية الثانية فحال سندها غير واضح </w:t>
      </w:r>
      <w:r>
        <w:rPr>
          <w:rStyle w:val="FootnoteAnchor"/>
          <w:rtl w:val="true"/>
        </w:rPr>
        <w:footnoteReference w:id="171"/>
      </w:r>
      <w:r>
        <w:rPr>
          <w:rFonts w:ascii="Amiri" w:hAnsi="Amiri" w:eastAsia="Amiri" w:cs="Amiri"/>
          <w:color w:val="111111"/>
          <w:sz w:val="28"/>
          <w:sz w:val="28"/>
          <w:szCs w:val="28"/>
          <w:rtl w:val="true"/>
          <w:lang w:bidi="ar-SA"/>
        </w:rPr>
        <w:t>لأنه لم يذكر في الكتب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 ضعفه بالشهرة أولاً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جانب النجاسة شهرة، بل جانب الطهارة أشهر </w:t>
      </w:r>
      <w:r>
        <w:rPr>
          <w:rStyle w:val="FootnoteAnchor"/>
          <w:rtl w:val="true"/>
        </w:rPr>
        <w:footnoteReference w:id="172"/>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 xml:space="preserve">القائلين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بابويه</w:t>
      </w:r>
      <w:r>
        <w:rPr>
          <w:rStyle w:val="FootnoteAnchor"/>
          <w:rtl w:val="true"/>
        </w:rPr>
        <w:footnoteReference w:id="173"/>
      </w:r>
      <w:r>
        <w:rPr>
          <w:rFonts w:ascii="Amiri" w:hAnsi="Amiri" w:eastAsia="Amiri" w:cs="Amiri"/>
          <w:color w:val="111111"/>
          <w:sz w:val="28"/>
          <w:sz w:val="28"/>
          <w:szCs w:val="28"/>
          <w:rtl w:val="true"/>
          <w:lang w:bidi="ar-SA"/>
        </w:rPr>
        <w:t xml:space="preserve">والمفيد </w:t>
      </w:r>
      <w:r>
        <w:rPr>
          <w:rStyle w:val="FootnoteAnchor"/>
          <w:rtl w:val="true"/>
        </w:rPr>
        <w:footnoteReference w:id="174"/>
      </w:r>
      <w:r>
        <w:rPr>
          <w:rFonts w:ascii="Amiri" w:hAnsi="Amiri" w:eastAsia="Amiri" w:cs="Amiri"/>
          <w:color w:val="111111"/>
          <w:sz w:val="28"/>
          <w:sz w:val="28"/>
          <w:szCs w:val="28"/>
          <w:rtl w:val="true"/>
          <w:lang w:bidi="ar-SA"/>
        </w:rPr>
        <w:t xml:space="preserve">والشيخ </w:t>
      </w:r>
      <w:r>
        <w:rPr>
          <w:rStyle w:val="FootnoteAnchor"/>
          <w:rtl w:val="true"/>
        </w:rPr>
        <w:footnoteReference w:id="175"/>
      </w:r>
      <w:r>
        <w:rPr>
          <w:rFonts w:ascii="Amiri" w:hAnsi="Amiri" w:eastAsia="Amiri" w:cs="Amiri"/>
          <w:color w:val="111111"/>
          <w:sz w:val="28"/>
          <w:sz w:val="28"/>
          <w:szCs w:val="28"/>
          <w:rtl w:val="true"/>
          <w:lang w:bidi="ar-SA"/>
        </w:rPr>
        <w:t>وابن الجنيد</w:t>
      </w:r>
      <w:r>
        <w:rPr>
          <w:rStyle w:val="FootnoteAnchor"/>
          <w:rtl w:val="true"/>
        </w:rPr>
        <w:footnoteReference w:id="176"/>
      </w:r>
      <w:r>
        <w:rPr>
          <w:rFonts w:ascii="IRNazanin" w:hAnsi="IRNazanin" w:eastAsia="IRNazanin"/>
          <w:color w:val="111111"/>
          <w:sz w:val="28"/>
          <w:sz w:val="28"/>
          <w:szCs w:val="28"/>
          <w:rtl w:val="true"/>
          <w:lang w:bidi="fa-IR"/>
        </w:rPr>
        <w:t>وابن البراج</w:t>
      </w:r>
      <w:r>
        <w:rPr>
          <w:rStyle w:val="FootnoteAnchor"/>
          <w:rtl w:val="true"/>
        </w:rPr>
        <w:footnoteReference w:id="177"/>
      </w:r>
      <w:r>
        <w:rPr>
          <w:rFonts w:ascii="Amiri" w:hAnsi="Amiri" w:eastAsia="Amiri" w:cs="Amiri"/>
          <w:color w:val="111111"/>
          <w:sz w:val="28"/>
          <w:sz w:val="28"/>
          <w:szCs w:val="28"/>
          <w:rtl w:val="true"/>
          <w:lang w:bidi="ar-SA"/>
        </w:rPr>
        <w:t>، والشيخ رحمه الله تردد في المبسوط</w:t>
      </w:r>
      <w:r>
        <w:rPr>
          <w:rStyle w:val="FootnoteAnchor"/>
          <w:rtl w:val="true"/>
        </w:rPr>
        <w:footnoteReference w:id="178"/>
      </w:r>
      <w:r>
        <w:rPr>
          <w:rFonts w:ascii="Amiri" w:hAnsi="Amiri" w:eastAsia="Amiri" w:cs="Amiri"/>
          <w:color w:val="111111"/>
          <w:sz w:val="28"/>
          <w:sz w:val="28"/>
          <w:szCs w:val="28"/>
          <w:rtl w:val="true"/>
          <w:lang w:bidi="ar-SA"/>
        </w:rPr>
        <w:t xml:space="preserve">، وحكي أنّ المفيد الله أيضاً رجع في رسالته إلى ولده </w:t>
      </w:r>
      <w:r>
        <w:rPr>
          <w:rStyle w:val="FootnoteAnchor"/>
          <w:rtl w:val="true"/>
        </w:rPr>
        <w:footnoteReference w:id="179"/>
      </w:r>
      <w:r>
        <w:rPr>
          <w:rFonts w:ascii="Amiri" w:hAnsi="Amiri" w:eastAsia="Amiri" w:cs="Amiri"/>
          <w:color w:val="111111"/>
          <w:sz w:val="28"/>
          <w:sz w:val="28"/>
          <w:szCs w:val="28"/>
          <w:rtl w:val="true"/>
          <w:lang w:bidi="ar-SA"/>
        </w:rPr>
        <w:t>حتى ادعى ابن إدريس الإجماع على الطهارة</w:t>
      </w:r>
      <w:r>
        <w:rPr>
          <w:rStyle w:val="FootnoteAnchor"/>
          <w:rtl w:val="true"/>
        </w:rPr>
        <w:footnoteReference w:id="180"/>
      </w:r>
      <w:r>
        <w:rPr>
          <w:rFonts w:ascii="Amiri" w:hAnsi="Amiri" w:eastAsia="Amiri" w:cs="Amiri"/>
          <w:color w:val="111111"/>
          <w:sz w:val="28"/>
          <w:sz w:val="28"/>
          <w:szCs w:val="28"/>
          <w:rtl w:val="true"/>
          <w:lang w:bidi="ar-SA"/>
        </w:rPr>
        <w:t>، بل لا يبعد القول بكون الطهارة هو الحق فلا أقلّ من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حققنا أنّ الشهرة ليست جابرة على الإطلاق</w:t>
      </w:r>
      <w:r>
        <w:rPr>
          <w:rStyle w:val="FootnoteAnchor"/>
          <w:rtl w:val="true"/>
        </w:rPr>
        <w:footnoteReference w:id="181"/>
      </w:r>
      <w:r>
        <w:rPr>
          <w:rFonts w:ascii="Amiri" w:hAnsi="Amiri" w:eastAsia="Amiri" w:cs="Amiri"/>
          <w:color w:val="111111"/>
          <w:sz w:val="28"/>
          <w:sz w:val="28"/>
          <w:szCs w:val="28"/>
          <w:rtl w:val="true"/>
          <w:lang w:bidi="ar-SA"/>
        </w:rPr>
        <w:t>، بل جابرة دلالة الخبر لا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الشهرة في الرواية والتدوين جابرة للسند؛ وسبب ذلك أنه إذا كان القول بالنجاسة مثلاً مشهوراً، والرواية مردد أمرها بين أن تدل على هذا أو غيره فبسبب ذهاب كثرة العلماء 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المعنى في النظر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ذهاب أكثر العلماء؛ فلا ربط فيه في قوة السند؛ لأنّه تعمل على هذا المطلب، ومستندهم غير هذا، ولم يكن هذا إلّا من الإمام أبداً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الشهرة في التدوين؛ فلأنه لو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لا يرويها أكثر العلماء فهذا معنى قول الشهيد الثاني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جابرة على ما زعموا، وفي المسألة إشكال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القول بالنجاسة إذا كانت الجنابة حاصلة من حلال ثمّ وطء الحرام فيشكل الأمر من أنّ الجنابة حاصلة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وطء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الجنابة أثر حاصل من الوطء، فإذا حصل الأول فإنْ كان حاصلاً ثانياً يلزم اجتماع المثلين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والثانية متغايرتان صنفاً فلم يلزم اجتماع المثلين، وهو بعيد؛ لأنّ الوطء أمر واحد وكون الفعل في موضع حراماً وفي موضع آخر حلالاً لا يستلزم تغاير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يقال بذهاب الأول بوجود الثاني، وهو أيضاً بعيد، ومدلول الرواية هو أنّه إنْ كانت الجنابة من حرام فالعرق ،نجس، وفي هذا الفرض لم تحصل الجنابة من حرام بل من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مدلول الرواية أنّ سبب الجنابة إن كان من حرام فعرقه نجس وإلا فلا، وهو خلاف ظاهر اللّفظ فلا يحمل عليه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المراد أنّ الجنابة بما هي جنابة أعمّ من أن تكون قطعياً أو شأنياً فكذا، ففي الفرض جنابته شأنية بمعنى حصول الجنابة بفعل الحرام لو لم تكن حاصلة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لم تشمل الصورة المفروضة لنحكم فيها بعدم القول بالفصل بين الجنابة الابتدائية أو غيرها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أيضاً هنا أنّ الجنابة من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الحرام ذاتياً أو أن يكون عرضياً كالمحلوف عليه أو يكون </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عليه أو مظاهراً عليه أو تكون </w:t>
      </w:r>
    </w:p>
    <w:p>
      <w:pPr>
        <w:pStyle w:val="BookText"/>
        <w:rPr/>
      </w:pPr>
      <w:r>
        <w:rPr>
          <w:rFonts w:ascii="Amiri" w:hAnsi="Amiri" w:eastAsia="Amiri" w:cs="Amiri"/>
          <w:color w:val="111111"/>
          <w:sz w:val="28"/>
          <w:sz w:val="28"/>
          <w:szCs w:val="28"/>
          <w:rtl w:val="true"/>
          <w:lang w:bidi="ar-SA"/>
        </w:rPr>
        <w:t>المرأة حائضة أو الناذر على عدم الوطء، أو تكون مختصة بالذاتي كالأجنبية؟</w:t>
      </w:r>
    </w:p>
    <w:p>
      <w:pPr>
        <w:pStyle w:val="BookText"/>
        <w:rPr/>
      </w:pPr>
      <w:r>
        <w:rPr>
          <w:rFonts w:ascii="Amiri" w:hAnsi="Amiri" w:eastAsia="Amiri" w:cs="Amiri"/>
          <w:color w:val="111111"/>
          <w:sz w:val="28"/>
          <w:sz w:val="28"/>
          <w:szCs w:val="28"/>
          <w:rtl w:val="true"/>
          <w:lang w:bidi="ar-SA"/>
        </w:rPr>
        <w:t xml:space="preserve">الظاهر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الرواية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لفظ الحرام المذكور في الرواية إمّا أن يكون المراد منه الشخص الحرام، أو المراد الفعل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الشخص الحرام فلا بعد في ظهوره في الحرام الذاتي لا الأعم؛ لكون المتبادر منه الحرام من حيث ذاته، ففي الصورة المذكورة الشخص حرام لا في حد ذاته بل لأجل أمر خارجي، فيبقى الحيض؛ لأنّ حرمته ذاتية لا بواسطة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الشخص ليس حراماً ذاتاً بل من حيث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 لفظ الحرام هو الفعل المحرم فهو أيضاً ظاهر في الفعل المحرّم لذاته بعنوان الوطء؛ لأنّ الفعل المحرّم لا بعنوان الوطء بخصوصه مثل أن تكون حرمته من حيث عنوان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السياق هو الفعل المحرّم لا الشخص، لكن يشكل في الحيض؛ لأنّ الوطء في حاله حرام بعنوان الوطء ولذات الوطء لا لسبب خارج عن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ينبغي أن يُعلم أيضاً أنّه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مختص بالعرق الحاصل حال الفعل أو مطلق العرق ما لم يغسل ؟</w:t>
      </w:r>
    </w:p>
    <w:p>
      <w:pPr>
        <w:pStyle w:val="BookText"/>
        <w:rPr/>
      </w:pPr>
      <w:r>
        <w:rPr>
          <w:rFonts w:ascii="Amiri" w:hAnsi="Amiri" w:eastAsia="Amiri" w:cs="Amiri"/>
          <w:color w:val="111111"/>
          <w:sz w:val="28"/>
          <w:sz w:val="28"/>
          <w:szCs w:val="28"/>
          <w:rtl w:val="true"/>
          <w:lang w:bidi="ar-SA"/>
        </w:rPr>
        <w:t>والظاهر من بعض الأخبار هو مطلق العرق، مثل الخبر الدال على أنّه يجوز الصلاة مع الثوب ما لم يعرق فيه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جنابة من حرام فكذا مثلاً يدلّ على أنّ السبب في الحكم بالنجاسة هذا السبب، ولا يكون مطلقاً عن العرق الحاصل حال الفعل أو غيره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مجرد رواية محمد بن همام بإسناده إلى إدريس بن يزداد، فلا يبعد القول باختصاصه حال الفعل؛ لأنه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من حلال فصل فيه وإن كان من </w:t>
      </w:r>
      <w:bookmarkStart w:id="85" w:name="pg9203_87076"/>
    </w:p>
    <w:p>
      <w:pPr>
        <w:pStyle w:val="BookText"/>
        <w:rPr/>
      </w:pPr>
      <w:bookmarkEnd w:id="85"/>
      <w:r>
        <w:rPr>
          <w:rFonts w:ascii="Amiri" w:hAnsi="Amiri" w:eastAsia="Amiri" w:cs="Amiri"/>
          <w:color w:val="111111"/>
          <w:sz w:val="28"/>
          <w:sz w:val="28"/>
          <w:szCs w:val="28"/>
          <w:rtl w:val="true"/>
          <w:lang w:bidi="ar-SA"/>
        </w:rPr>
        <w:t>حرام فلا تصل فيه</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فعلى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بالحرام هو الفعل المحرّم يكون معنى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العرق حاصلاً من الفعل المحرم فلا يعقل </w:t>
      </w:r>
      <w:r>
        <w:rPr>
          <w:rStyle w:val="FootnoteAnchor"/>
          <w:rtl w:val="true"/>
        </w:rPr>
        <w:footnoteReference w:id="18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راجع إلى الجنب باعتبار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راجع إلى العرق الحاصل من الجنب الذي تكون جنابته من حرام؛ فالظاهر أنّه 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بمقتضى الأخبار السابقة وبمقتضى عدم تفصيل العلماء وعدم القول بالفصل، هذا كله على تقدير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الطهارة؛ فلا إشكال كما هو الظاهر بمقتضى الأصل وللشهرة العظيمة حتى كادت أن تكون إجماعاً، وعدم الدليل على النجاسة، وعدم الدليل؛ دليل العدم</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3967860_2870459653"/>
      <w:bookmarkStart w:id="87" w:name="_Toc29"/>
      <w:bookmarkEnd w:id="86"/>
      <w:r>
        <w:rPr>
          <w:rtl w:val="true"/>
        </w:rPr>
        <w:t xml:space="preserve">[ </w:t>
      </w:r>
      <w:r>
        <w:rPr>
          <w:rtl w:val="true"/>
        </w:rPr>
        <w:t>طهارة عرق الإبل الجلالة</w:t>
      </w:r>
      <w:r>
        <w:rPr>
          <w:rtl w:val="true"/>
        </w:rPr>
        <w:t>]</w:t>
      </w:r>
      <w:bookmarkEnd w:id="87"/>
    </w:p>
    <w:p>
      <w:pPr>
        <w:pStyle w:val="Heading2"/>
        <w:numPr>
          <w:ilvl w:val="1"/>
          <w:numId w:val="1"/>
        </w:numPr>
        <w:rPr/>
      </w:pPr>
      <w:bookmarkStart w:id="88" w:name="__RefHeading___Toc3967862_2870459653"/>
      <w:bookmarkStart w:id="89" w:name="_Toc30"/>
      <w:bookmarkEnd w:id="88"/>
      <w:r>
        <w:rPr>
          <w:rtl w:val="true"/>
        </w:rPr>
        <w:t>والثاني من الأمور</w:t>
      </w:r>
      <w:r>
        <w:rPr>
          <w:rtl w:val="true"/>
        </w:rPr>
        <w:t xml:space="preserve">: </w:t>
      </w:r>
      <w:r>
        <w:rPr>
          <w:rtl w:val="true"/>
        </w:rPr>
        <w:t>عرق الإبل الجلّالة</w:t>
      </w:r>
      <w:r>
        <w:rPr>
          <w:rtl w:val="true"/>
        </w:rPr>
        <w:t>.</w:t>
      </w:r>
      <w:bookmarkEnd w:id="8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فالمشهور بين العلماء طهارته</w:t>
      </w:r>
      <w:r>
        <w:rPr>
          <w:rStyle w:val="FootnoteAnchor"/>
          <w:rtl w:val="true"/>
        </w:rPr>
        <w:footnoteReference w:id="188"/>
      </w:r>
      <w:r>
        <w:rPr>
          <w:rFonts w:ascii="Amiri" w:hAnsi="Amiri" w:eastAsia="Amiri" w:cs="Amiri"/>
          <w:color w:val="111111"/>
          <w:sz w:val="28"/>
          <w:sz w:val="28"/>
          <w:szCs w:val="28"/>
          <w:rtl w:val="true"/>
          <w:lang w:bidi="ar-SA"/>
        </w:rPr>
        <w:t>حتى المتقدمين</w:t>
      </w:r>
      <w:r>
        <w:rPr>
          <w:rStyle w:val="FootnoteAnchor"/>
          <w:rtl w:val="true"/>
        </w:rPr>
        <w:footnoteReference w:id="189"/>
      </w:r>
      <w:r>
        <w:rPr>
          <w:rFonts w:ascii="Amiri" w:hAnsi="Amiri" w:eastAsia="Amiri" w:cs="Amiri"/>
          <w:color w:val="111111"/>
          <w:sz w:val="28"/>
          <w:sz w:val="28"/>
          <w:szCs w:val="28"/>
          <w:rtl w:val="true"/>
          <w:lang w:bidi="ar-SA"/>
        </w:rPr>
        <w:t>الذين قالوا بالنجاسة في المسألة السابقة، بعضهم رجعوا في هذه المسألة عن القول بالنجاسة مع وجود الخبرين الصحيحين على النجاسة</w:t>
      </w:r>
      <w:r>
        <w:rPr>
          <w:rStyle w:val="FootnoteAnchor"/>
          <w:rtl w:val="true"/>
        </w:rPr>
        <w:footnoteReference w:id="190"/>
      </w:r>
      <w:r>
        <w:rPr>
          <w:rFonts w:ascii="Amiri" w:hAnsi="Amiri" w:eastAsia="Amiri" w:cs="Amiri"/>
          <w:color w:val="111111"/>
          <w:sz w:val="28"/>
          <w:sz w:val="28"/>
          <w:szCs w:val="28"/>
          <w:rtl w:val="true"/>
          <w:lang w:bidi="ar-SA"/>
        </w:rPr>
        <w:t>، ومع ذلك أعرضوا عنهما وحكموا بالطهارة</w:t>
      </w:r>
      <w:r>
        <w:rPr>
          <w:rStyle w:val="FootnoteAnchor"/>
          <w:rtl w:val="true"/>
        </w:rPr>
        <w:footnoteReference w:id="191"/>
      </w:r>
      <w:r>
        <w:rPr>
          <w:rFonts w:ascii="IRNazanin" w:hAnsi="IRNazanin" w:eastAsia="IRNazanin"/>
          <w:color w:val="111111"/>
          <w:sz w:val="28"/>
          <w:sz w:val="28"/>
          <w:szCs w:val="28"/>
          <w:rtl w:val="true"/>
          <w:lang w:bidi="fa-IR"/>
        </w:rPr>
        <w:t xml:space="preserve">، واستندوا </w:t>
      </w:r>
      <w:bookmarkStart w:id="90" w:name="pg9203_87077"/>
    </w:p>
    <w:p>
      <w:pPr>
        <w:pStyle w:val="BookText"/>
        <w:rPr/>
      </w:pPr>
      <w:bookmarkEnd w:id="90"/>
      <w:r>
        <w:rPr>
          <w:rFonts w:ascii="Amiri" w:hAnsi="Amiri" w:eastAsia="Amiri" w:cs="Amiri"/>
          <w:color w:val="111111"/>
          <w:sz w:val="28"/>
          <w:sz w:val="28"/>
          <w:szCs w:val="28"/>
          <w:rtl w:val="true"/>
          <w:lang w:bidi="ar-SA"/>
        </w:rPr>
        <w:t xml:space="preserve">في الحكم بالطهارة إلى الأصل، وحملوهما على الاستحباب، وبأنَّ الإبل الجلالة ليست ،نجسة، فلا ينجس عرقها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إشكال، أمّا في الاستناد بالأصل؛ فلأنّ الأصل دليل حيث لا دليل، والدليل موجود في المقام، وأمّا الحمل على الندب فلوجود المعارض، والمعارض غير موجود والقياس لسائر الحيوانات أيضاً ضعيف؛ لأنّ الإنسان أيضاً طاهر، ومع ذلك إذا كان جنباً من الحرام يكون عرقه نجساً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الخبرين على الندب لما ثبت عندهم أنّ الخبر إذا كان مخالفاً للقاعدة يطرح ولو كان صحيحاً، وثابت عندهم ومركوز في أذهانهم حتى لا ينكر عدم الفرق بين الرطوبات، فلا يكون بعضها طاهراً وبعضها نجساً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الخبر مشتمل على شيء لا يقولون به وهو عرقه لجسمه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والمعارضة بالجنب من الحرام غير مسموعة؛ لأنه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متى كان محرماً ومع تلك الحرمة أتى به جعل ذلك الحكم في حقه جزاءً لما فعل في الدنيا ومع ذلك الشهرة حجّة خصوصاً هذه الشهرة القريبة من الإجماع 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به وإن لم نعلم مستندهم؛ إذ لعلّ مستندهم شيء صار الآن مفقوداً</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3967864_2870459653"/>
      <w:bookmarkStart w:id="92" w:name="_Toc31"/>
      <w:bookmarkEnd w:id="91"/>
      <w:r>
        <w:rPr>
          <w:rtl w:val="true"/>
        </w:rPr>
        <w:t xml:space="preserve">[ </w:t>
      </w:r>
      <w:r>
        <w:rPr>
          <w:rtl w:val="true"/>
        </w:rPr>
        <w:t>طهارة المسوخات</w:t>
      </w:r>
      <w:r>
        <w:rPr>
          <w:rtl w:val="true"/>
        </w:rPr>
        <w:t>]</w:t>
      </w:r>
      <w:bookmarkEnd w:id="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في طهارة المسوخات؛ للأصل، والعمومات الدالة على طهارة سؤر كل حيوان</w:t>
      </w:r>
      <w:r>
        <w:rPr>
          <w:rStyle w:val="FootnoteAnchor"/>
          <w:rtl w:val="true"/>
        </w:rPr>
        <w:footnoteReference w:id="192"/>
      </w:r>
      <w:r>
        <w:rPr>
          <w:rFonts w:ascii="IRNazanin" w:hAnsi="IRNazanin" w:eastAsia="IRNazanin"/>
          <w:color w:val="111111"/>
          <w:sz w:val="28"/>
          <w:sz w:val="28"/>
          <w:szCs w:val="28"/>
          <w:rtl w:val="true"/>
          <w:lang w:bidi="fa-IR"/>
        </w:rPr>
        <w:t xml:space="preserve">، خرج الكلب والخنزير وبقي الباقي، وذهب بعضهم إلى النجاسة وهو ضعیف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93" w:name="pg9203_87078"/>
    </w:p>
    <w:p>
      <w:pPr>
        <w:pStyle w:val="Heading2"/>
        <w:numPr>
          <w:ilvl w:val="1"/>
          <w:numId w:val="1"/>
        </w:numPr>
        <w:rPr/>
      </w:pPr>
      <w:bookmarkStart w:id="94" w:name="__RefHeading___Toc3967866_2870459653"/>
      <w:bookmarkStart w:id="95" w:name="_Toc32"/>
      <w:bookmarkEnd w:id="93"/>
      <w:bookmarkEnd w:id="94"/>
      <w:r>
        <w:rPr>
          <w:rtl w:val="true"/>
        </w:rPr>
        <w:t xml:space="preserve">[ </w:t>
      </w:r>
      <w:r>
        <w:rPr>
          <w:rtl w:val="true"/>
        </w:rPr>
        <w:t>الكلام</w:t>
      </w:r>
      <w:r>
        <w:rPr>
          <w:rtl w:val="true"/>
        </w:rPr>
        <w:t xml:space="preserve">] </w:t>
      </w:r>
      <w:r>
        <w:rPr>
          <w:rtl w:val="true"/>
        </w:rPr>
        <w:t>في أحكام النجاسات</w:t>
      </w:r>
      <w:bookmarkEnd w:id="9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الإزالة عن الثوب والبدن في حال الصلاة بالوجوب الشرطي</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والوجوب الشرعي النفسي؛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وَثِبَابَكَ فَطَهِّرْ وَالرُّجْزَ فَاهْجُرْ</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 وبالإجماع المحقق والمنقول</w:t>
      </w:r>
      <w:r>
        <w:rPr>
          <w:rStyle w:val="FootnoteAnchor"/>
          <w:rtl w:val="true"/>
        </w:rPr>
        <w:footnoteReference w:id="196"/>
      </w:r>
      <w:r>
        <w:rPr>
          <w:rFonts w:ascii="Amiri" w:hAnsi="Amiri" w:eastAsia="Amiri" w:cs="Amiri"/>
          <w:color w:val="111111"/>
          <w:sz w:val="28"/>
          <w:sz w:val="28"/>
          <w:szCs w:val="28"/>
          <w:rtl w:val="true"/>
          <w:lang w:bidi="ar-SA"/>
        </w:rPr>
        <w:t>والسنة المتواترة والكتاب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الثوب من باب المثال ، وإلا فلا يجوز الصلاة في كل ما يُصلّى فيه إذا كان نجسا، وإذا صدق عليه هذا العنوان يجب الاجتناب عنه حال الصلاة؛ للأخبار الدالة على عدم جواز الصلاة في النجس؛ ففي المكاتبة سُئِل عن الثوب الذي أصابه الخمر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فيه فإنّه رجس</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الخمر باعتبار لفظه، يدلّ عموم التعليل على تمام المدعى، وإن كان الضمير راجعاً إلى الثوب فلم</w:t>
      </w:r>
      <w:r>
        <w:rPr>
          <w:rStyle w:val="FootnoteAnchor"/>
          <w:rtl w:val="true"/>
        </w:rPr>
        <w:footnoteReference w:id="198"/>
      </w:r>
      <w:r>
        <w:rPr>
          <w:rFonts w:ascii="Amiri" w:hAnsi="Amiri" w:eastAsia="Amiri" w:cs="Amiri"/>
          <w:color w:val="111111"/>
          <w:sz w:val="28"/>
          <w:sz w:val="28"/>
          <w:szCs w:val="28"/>
          <w:rtl w:val="true"/>
          <w:lang w:bidi="ar-SA"/>
        </w:rPr>
        <w:t>يدلّ على عدم جواز الصلاة في كل ما يصلّى فيه ولو كان غير الثوب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 في رواية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 الحديد؛ فإنّه نجس ممسوخ</w:t>
      </w:r>
      <w:r>
        <w:rPr>
          <w:rStyle w:val="FootnoteAnchor"/>
          <w:rtl w:val="true"/>
        </w:rPr>
        <w:footnoteReference w:id="199"/>
      </w:r>
      <w:r>
        <w:rPr>
          <w:rFonts w:ascii="IRNazanin" w:hAnsi="IRNazanin" w:eastAsia="IRNazanin"/>
          <w:color w:val="111111"/>
          <w:sz w:val="28"/>
          <w:sz w:val="28"/>
          <w:szCs w:val="28"/>
          <w:rtl w:val="true"/>
          <w:lang w:bidi="fa-IR"/>
        </w:rPr>
        <w:t xml:space="preserve">فإنّ النجس وإن كان محمولاً على الخباثة الباطنية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بمقتضى الأدلة الدالّة على طهارة ،الحديد، وبقرينة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ممسوخ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يدلّ بالأولوية على عدم جواز الصلاة في النجاسة الظاهرية؛ فإنّ الخباثة الباطنية ليست مناطاً في الحكم الشرعي كما يظهر </w:t>
      </w:r>
      <w:bookmarkStart w:id="96" w:name="pg9203_87079"/>
    </w:p>
    <w:p>
      <w:pPr>
        <w:pStyle w:val="BookText"/>
        <w:rPr/>
      </w:pPr>
      <w:bookmarkEnd w:id="96"/>
      <w:r>
        <w:rPr>
          <w:rFonts w:ascii="Amiri" w:hAnsi="Amiri" w:eastAsia="Amiri" w:cs="Amiri"/>
          <w:color w:val="111111"/>
          <w:sz w:val="28"/>
          <w:sz w:val="28"/>
          <w:szCs w:val="28"/>
          <w:rtl w:val="true"/>
          <w:lang w:bidi="ar-SA"/>
        </w:rPr>
        <w:t>من ملاحظة الموارد، ومع ذلك نهى تشريعاً عن الحديد، فكيف إذا كانت الصلاة في النجاسة الظاهرية؟ ولكن لا يخفى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في رواية وهب بن وهب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السيف بمنزلة الرداء؛ تصلّي فيه ما دام لم ترَ فيه دماً </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بناءً على عدم دخول السيف فيما لا يتم الصلاة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 في خرقة الحنّاء يصلّى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طاهرة</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بناءً على كونه غير محمول، وغير ما لا يتم الصلاة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في منديلك الذي تتمندل به، ولا تصل في منديل يتمندلُ به غيرُك</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بناءً على أنّ النهي عنه بمخافة</w:t>
      </w:r>
      <w:r>
        <w:rPr>
          <w:rStyle w:val="FootnoteAnchor"/>
          <w:rtl w:val="true"/>
        </w:rPr>
        <w:footnoteReference w:id="203"/>
      </w:r>
      <w:r>
        <w:rPr>
          <w:rFonts w:ascii="Amiri" w:hAnsi="Amiri" w:eastAsia="Amiri" w:cs="Amiri"/>
          <w:color w:val="111111"/>
          <w:sz w:val="28"/>
          <w:sz w:val="28"/>
          <w:szCs w:val="28"/>
          <w:rtl w:val="true"/>
          <w:lang w:bidi="ar-SA"/>
        </w:rPr>
        <w:t>النجاسة والتجنب عنها، وبناءً على عدم كونه 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جميع ذلك يدلّ على عدم الجواز؛ الأخبار الواردة في بيان جواز الصلاة فيما لا يتم الصلاة فيه</w:t>
      </w:r>
      <w:r>
        <w:rPr>
          <w:rStyle w:val="FootnoteAnchor"/>
          <w:rtl w:val="true"/>
        </w:rPr>
        <w:footnoteReference w:id="204"/>
      </w:r>
      <w:r>
        <w:rPr>
          <w:rFonts w:ascii="Amiri" w:hAnsi="Amiri" w:eastAsia="Amiri" w:cs="Amiri"/>
          <w:color w:val="111111"/>
          <w:sz w:val="28"/>
          <w:sz w:val="28"/>
          <w:szCs w:val="28"/>
          <w:rtl w:val="true"/>
          <w:lang w:bidi="ar-SA"/>
        </w:rPr>
        <w:t>فإنّ ذلك كأنه بمنزلة الاستثناء عن كلية المنع عن جواز الصلاة كما سيأتي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3967868_2870459653"/>
      <w:bookmarkStart w:id="98" w:name="_Toc33"/>
      <w:bookmarkEnd w:id="97"/>
      <w:r>
        <w:rPr>
          <w:rtl w:val="true"/>
        </w:rPr>
        <w:t>[</w:t>
      </w:r>
      <w:r>
        <w:rPr>
          <w:rtl w:val="true"/>
        </w:rPr>
        <w:t xml:space="preserve">جواز الصلاة في المحمول الذي لا يصدق الصلاة فيه </w:t>
      </w:r>
      <w:r>
        <w:rPr>
          <w:rtl w:val="true"/>
        </w:rPr>
        <w:t>]</w:t>
      </w:r>
      <w:bookmarkEnd w:id="9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المحمول الذي لا يصدق الصلاة فيه؛ فالظاهر جواز الصلاة فيه للأصل السالم عن معارضة دليل، بناءً على جريانه</w:t>
      </w:r>
      <w:r>
        <w:rPr>
          <w:rStyle w:val="FootnoteAnchor"/>
          <w:rtl w:val="true"/>
        </w:rPr>
        <w:footnoteReference w:id="205"/>
      </w:r>
      <w:r>
        <w:rPr>
          <w:rFonts w:ascii="Amiri" w:hAnsi="Amiri" w:eastAsia="Amiri" w:cs="Amiri"/>
          <w:color w:val="111111"/>
          <w:sz w:val="28"/>
          <w:sz w:val="28"/>
          <w:szCs w:val="28"/>
          <w:rtl w:val="true"/>
          <w:lang w:bidi="ar-SA"/>
        </w:rPr>
        <w:t xml:space="preserve">في العبادات وشرائطها، ولرواية عبد الله بن سنان المتضمّنة لأنّ كل ما كان على الإنسان أو معه مما لا يجوز الصلاة فيه فلا بأس </w:t>
      </w:r>
    </w:p>
    <w:p>
      <w:pPr>
        <w:pStyle w:val="BookText"/>
        <w:rPr/>
      </w:pPr>
      <w:r>
        <w:rPr>
          <w:rFonts w:ascii="Amiri" w:hAnsi="Amiri" w:eastAsia="Amiri" w:cs="Amiri"/>
          <w:color w:val="111111"/>
          <w:sz w:val="28"/>
          <w:sz w:val="28"/>
          <w:szCs w:val="28"/>
          <w:rtl w:val="true"/>
          <w:lang w:bidi="ar-SA"/>
        </w:rPr>
        <w:t>به إذا كان نجساً</w:t>
      </w:r>
      <w:r>
        <w:rPr>
          <w:rStyle w:val="FootnoteAnchor"/>
          <w:rtl w:val="true"/>
        </w:rPr>
        <w:footnoteReference w:id="206"/>
      </w:r>
      <w:r>
        <w:rPr>
          <w:rFonts w:ascii="Amiri" w:hAnsi="Amiri" w:eastAsia="Amiri" w:cs="Amiri"/>
          <w:color w:val="111111"/>
          <w:sz w:val="28"/>
          <w:sz w:val="28"/>
          <w:szCs w:val="28"/>
          <w:rtl w:val="true"/>
          <w:lang w:bidi="ar-SA"/>
        </w:rPr>
        <w:t>، ولعدم دلالة بعض الأخبار الأخر الدالة على جواز الصلاة فيما لا تتم الصلاة فيه على كونه ملبوساً بل أعم من ذلك؛ بل قد يستفاد من بعض الأخبار العفو عن النجاسة نفسها التي هي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يقال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مانعية الماهية بنفسها لا لنجاستها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بمفهوم مكاتبة عبد الله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للرجل أن يصلي ومعه فأرة مسك؟ فكتب لا بأس به إذا كان ذكياً </w:t>
      </w:r>
      <w:r>
        <w:rPr>
          <w:rStyle w:val="FootnoteAnchor"/>
          <w:rtl w:val="true"/>
        </w:rPr>
        <w:footnoteReference w:id="207"/>
      </w:r>
      <w:r>
        <w:rPr>
          <w:rFonts w:ascii="IRNazanin" w:hAnsi="IRNazanin" w:eastAsia="IRNazanin"/>
          <w:color w:val="111111"/>
          <w:sz w:val="28"/>
          <w:sz w:val="28"/>
          <w:szCs w:val="28"/>
          <w:rtl w:val="true"/>
          <w:lang w:bidi="fa-IR"/>
        </w:rPr>
        <w:t>، وصحيحة علي بن جعفر أخيه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ومعه دبة من جلد حمار أو بغل؟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أن يصلي وهي معه</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ومثل ذلك؛ فالفرق بين المية وغيرها متجهٌ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حمل ما تمّت فيه الصلاة مطلقاً القابل بالعفو في غيره، العفو هنا أکيضاً للأصل السالم عن المعارض والتمسك في مقام المعارضة بمفهوم بعض الأخبار كرواية عبد الله بن سنان موهون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هذا المفهوم المستفاد من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 على المنع و البأس أعمّ من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اللبس في المنطوق، فعلى هذا يكون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الصلاة في الملبوس الذي يتم فيه الصلاة، وهذا لا ربط له بالمدعى، إذ المدعى هو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هذا لا يتم في رواية عبد الله بن سنان؛ إذ هي دالّة على عدم جواز الصلاة فيما يتم فيه الصلاة محمولاً أو ملبوساً؛ فإنّ المتجه الوجهان الأوليان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يتمسك لعدم الجواز ببعض الأخبار، كالخبرين السابقين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عبد الله بن جعفر وصحيحة علي بن ،جعفر، وذكرنا انهما لا تدلان على عدم جواز </w:t>
      </w:r>
    </w:p>
    <w:p>
      <w:pPr>
        <w:pStyle w:val="BookText"/>
        <w:rPr/>
      </w:pPr>
      <w:r>
        <w:rPr>
          <w:rFonts w:ascii="Amiri" w:hAnsi="Amiri" w:eastAsia="Amiri" w:cs="Amiri"/>
          <w:color w:val="111111"/>
          <w:sz w:val="28"/>
          <w:sz w:val="28"/>
          <w:szCs w:val="28"/>
          <w:rtl w:val="true"/>
          <w:lang w:bidi="ar-SA"/>
        </w:rPr>
        <w:t xml:space="preserve">الصلاة في المحمول النجس مطلقاً، بل يدلّ على عدم الجواز إذا كان ميتة، فعدم الجواز في الحقيقة ليس لكونه المحمول النجس بل لكونه ميتة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يُستدل لعدم الجواز أيضاً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في منديلك الذي تتمندل به، ولا تصل في منديل يتمندل به غيرك </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 xml:space="preserve">بناءً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الصلاة في منديل الغير؛ لأجل أثره من النجاسة، ويدلّ على عدم الجواز في النجس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لعلّه لأجل شيءٍ آخر، لا لأجل أثره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المنديل لا يتعيّن كون حمله متعارفاً في ذلك الزمان بل يحتمل كون المتعارف لبسه؛ وحينئذ لا يكون دليلاً، ومثل هذه رواية أخرى دالة على جواز الصلاة في خرقة الحنّاء</w:t>
      </w:r>
      <w:r>
        <w:rPr>
          <w:rStyle w:val="FootnoteAnchor"/>
          <w:rtl w:val="true"/>
        </w:rPr>
        <w:footnoteReference w:id="210"/>
      </w:r>
      <w:r>
        <w:rPr>
          <w:rFonts w:ascii="Amiri" w:hAnsi="Amiri" w:eastAsia="Amiri" w:cs="Amiri"/>
          <w:color w:val="111111"/>
          <w:sz w:val="28"/>
          <w:sz w:val="28"/>
          <w:szCs w:val="28"/>
          <w:rtl w:val="true"/>
          <w:lang w:bidi="ar-SA"/>
        </w:rPr>
        <w:t>إذا كانت طاهرة؛ فيأتي الإشكال الثاني المذكور فيها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قيام الأدلة على الجواز فلا بُدَّ من حملها، فإذا ثبت وجوب إزالة النجاسة عن كل ما يصلّى فيه وعدم وجوب إزالة النجاسة في المحمول؛ فلا بُدَّ من التمييز والتفرقة بين المحمول وما يصلّى فيه بالرجوع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فرق في المقامين بين كون النجاسة قليلةً أو كثيرةً وعينها وما في حكمها والدم وغيره خلافاً للإشكال في الأول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211"/>
      </w:r>
      <w:r>
        <w:rPr>
          <w:rFonts w:ascii="Amiri" w:hAnsi="Amiri" w:eastAsia="Amiri" w:cs="Amiri"/>
          <w:color w:val="111111"/>
          <w:sz w:val="28"/>
          <w:sz w:val="28"/>
          <w:szCs w:val="28"/>
          <w:rtl w:val="true"/>
          <w:lang w:bidi="ar-SA"/>
        </w:rPr>
        <w:t>بطهارة ما دون سعة الدرهم سواءً كانت النجاسة دماً أو غيره إلّا أن تكون النجاسة دمَ حيض أو مني فإنّ قليلهما وكثير هما نجسان، فإذا ثبت وجوب إزالة النجاسة عن الثوب والبدن في حال الصلاة وكون ذلك شرطاً للصلاة، فلا بُدَّ من وجود ذلك الشرط في جميع أحوال الصلاة وأجزائها سواء كانت الأجزاء مستحبة أم واجبة مما يكون بين التكبير والتسليم</w:t>
      </w:r>
      <w:r>
        <w:rPr>
          <w:rFonts w:eastAsia="Amiri" w:cs="Amiri" w:ascii="Amiri" w:hAnsi="Amiri"/>
          <w:color w:val="111111"/>
          <w:sz w:val="28"/>
          <w:szCs w:val="28"/>
          <w:rtl w:val="true"/>
          <w:lang w:bidi="ar-SA"/>
        </w:rPr>
        <w:t xml:space="preserve">. </w:t>
      </w:r>
      <w:bookmarkStart w:id="99" w:name="pg9203_87082"/>
    </w:p>
    <w:p>
      <w:pPr>
        <w:pStyle w:val="Heading2"/>
        <w:numPr>
          <w:ilvl w:val="1"/>
          <w:numId w:val="1"/>
        </w:numPr>
        <w:rPr/>
      </w:pPr>
      <w:bookmarkStart w:id="100" w:name="__RefHeading___Toc3967870_2870459653"/>
      <w:bookmarkStart w:id="101" w:name="_Toc34"/>
      <w:bookmarkEnd w:id="99"/>
      <w:bookmarkEnd w:id="100"/>
      <w:r>
        <w:rPr>
          <w:rtl w:val="true"/>
        </w:rPr>
        <w:t>[</w:t>
      </w:r>
      <w:r>
        <w:rPr>
          <w:rtl w:val="true"/>
        </w:rPr>
        <w:t xml:space="preserve">عدم شرطية الطهارة في الأذان والإقامة </w:t>
      </w:r>
      <w:r>
        <w:rPr>
          <w:rtl w:val="true"/>
        </w:rPr>
        <w:t>]</w:t>
      </w:r>
      <w:bookmarkEnd w:id="101"/>
    </w:p>
    <w:p>
      <w:pPr>
        <w:pStyle w:val="BookText"/>
        <w:rPr/>
      </w:pPr>
      <w:r>
        <w:rPr>
          <w:rFonts w:ascii="IRNazanin" w:hAnsi="IRNazanin" w:eastAsia="IRNazanin"/>
          <w:color w:val="111111"/>
          <w:sz w:val="28"/>
          <w:sz w:val="28"/>
          <w:szCs w:val="28"/>
          <w:rtl w:val="true"/>
          <w:lang w:bidi="fa-IR"/>
        </w:rPr>
        <w:t xml:space="preserve">ولا تكون الطهارة شرطاً في الأذان والإقامة؛ لخروجهما عن الصلاة يقيناً، ويشكل في النية؛ من حيث عدّها بعضهم ركناً فيكون الجزء الأعظم من الصلاة، ومن كون نية الشيء غير الشيء فلا يكون جزءًا، وكذا يؤيد عدم الجزئية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بنية</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بناءً على كونه لنفي الصحة من الصحة والكمال، لا أن يكون لنفي الحقيقة، والظاهر أنّه لشدّة اتصاله بالجزء وكونه مقارناً له يحمل عليه أحكام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في التكبيرات الافتتاحية بناءً على كون الافتتاح مجموع السبع، كما يدلّ عليه بعض الأخبار، كما يدلّ بعض آخر على كون الثلاث إفتتاحاً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يفتح به الشيء غير الشيء؛ فلا إشكال في عدم وجوب الطهارة فيها إلّا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يُفتح به الشيء من الشيء؛ فلا بُدَّ من القول باشتراطه بالطهارة، ولا إشكال في وجوب الطهارة في التكبيرات التي تكون بعد تكبيرة الإحرام بملاحظة الخبر الوارد في أنّ أولها التكبير وآخرها التسليم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يبعد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التكبيرات التي قبلها لا تكون من الصلاة؛ إذ المراد بالتكبير الوارد في الخبر هو تكبيرة الإحرام لا مطلق التكبير ، لكن يشكل الجمع بين الأخبار الدالّة على أنّ الثلاث افتتاح</w:t>
      </w:r>
      <w:r>
        <w:rPr>
          <w:rStyle w:val="FootnoteAnchor"/>
          <w:rtl w:val="true"/>
        </w:rPr>
        <w:footnoteReference w:id="215"/>
      </w:r>
      <w:r>
        <w:rPr>
          <w:rFonts w:ascii="IRNazanin" w:hAnsi="IRNazanin" w:eastAsia="IRNazanin"/>
          <w:color w:val="111111"/>
          <w:sz w:val="28"/>
          <w:sz w:val="28"/>
          <w:szCs w:val="28"/>
          <w:rtl w:val="true"/>
          <w:lang w:bidi="fa-IR"/>
        </w:rPr>
        <w:t>، والبعض الدال على الخمس</w:t>
      </w:r>
      <w:r>
        <w:rPr>
          <w:rStyle w:val="FootnoteAnchor"/>
          <w:rtl w:val="true"/>
        </w:rPr>
        <w:footnoteReference w:id="216"/>
      </w:r>
      <w:r>
        <w:rPr>
          <w:rFonts w:ascii="IRNazanin" w:hAnsi="IRNazanin" w:eastAsia="IRNazanin"/>
          <w:color w:val="111111"/>
          <w:sz w:val="28"/>
          <w:sz w:val="28"/>
          <w:szCs w:val="28"/>
          <w:rtl w:val="true"/>
          <w:lang w:bidi="fa-IR"/>
        </w:rPr>
        <w:t>والبعض الآخر الدال على السبع</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102" w:name="pg9203_87083"/>
    </w:p>
    <w:p>
      <w:pPr>
        <w:pStyle w:val="BookText"/>
        <w:rPr/>
      </w:pPr>
      <w:bookmarkEnd w:id="102"/>
      <w:r>
        <w:rPr>
          <w:rFonts w:ascii="Amiri" w:hAnsi="Amiri" w:eastAsia="Amiri" w:cs="Amiri"/>
          <w:color w:val="111111"/>
          <w:sz w:val="28"/>
          <w:sz w:val="28"/>
          <w:szCs w:val="28"/>
          <w:rtl w:val="true"/>
          <w:lang w:bidi="ar-SA"/>
        </w:rPr>
        <w:t>فلابُدَّ في وجه الجمع</w:t>
      </w:r>
    </w:p>
    <w:p>
      <w:pPr>
        <w:pStyle w:val="BookText"/>
        <w:rPr/>
      </w:pPr>
      <w:r>
        <w:rPr>
          <w:rFonts w:ascii="Amiri" w:hAnsi="Amiri" w:eastAsia="Amiri" w:cs="Amiri"/>
          <w:color w:val="111111"/>
          <w:sz w:val="28"/>
          <w:sz w:val="28"/>
          <w:szCs w:val="28"/>
          <w:rtl w:val="true"/>
          <w:lang w:bidi="ar-SA"/>
        </w:rPr>
        <w:t>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الافتتاح يحصل لمطلق التكبير، فإنّ اختار المكلف الثلاث؛ فهو افتتاح، وإن اختار السبع فهو افتتاح، فمعنى الأخبار الدالّة على الثلاث أنّ المكلف لو كبّر ثلاثاً واكتفى به يكون افتتاحاً، وكذا في الأخبار الأخر فمفاد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الأقل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الافتتاح يحصل بواحد والثاني مكمل للافتتاح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الإشكال آتِ في التسليم خصوصاً على القول بأنَّ التسليم خارج عن حقيقة الصلاة وتتم الصلاة بالسلام </w:t>
      </w:r>
      <w:r>
        <w:rPr>
          <w:rStyle w:val="FootnoteAnchor"/>
          <w:rtl w:val="true"/>
        </w:rPr>
        <w:footnoteReference w:id="218"/>
      </w:r>
      <w:r>
        <w:rPr>
          <w:rFonts w:ascii="IRNazanin" w:hAnsi="IRNazanin" w:eastAsia="IRNazanin"/>
          <w:color w:val="111111"/>
          <w:sz w:val="28"/>
          <w:sz w:val="28"/>
          <w:szCs w:val="28"/>
          <w:rtl w:val="true"/>
          <w:lang w:bidi="fa-IR"/>
        </w:rPr>
        <w:t>بتمام التشهد</w:t>
      </w:r>
      <w:r>
        <w:rPr>
          <w:rStyle w:val="FootnoteAnchor"/>
          <w:rtl w:val="true"/>
        </w:rPr>
        <w:footnoteReference w:id="219"/>
      </w:r>
      <w:r>
        <w:rPr>
          <w:rFonts w:ascii="Amiri" w:hAnsi="Amiri" w:eastAsia="Amiri" w:cs="Amiri"/>
          <w:color w:val="111111"/>
          <w:sz w:val="28"/>
          <w:sz w:val="28"/>
          <w:szCs w:val="28"/>
          <w:rtl w:val="true"/>
          <w:lang w:bidi="ar-SA"/>
        </w:rPr>
        <w:t>، فيلزم على هذا القول؛ عدم اشتراط الطهارة في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نشكل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التسليم جزء من الصلاة،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عن الصلاة بالسلام السابق في السلام اللاحق، ولا يبعد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اشتراطه الخروج عن حقيقة الصلاة وإنّما الطهارة شرط للصلاة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السلام الثاني محصل للإخراج ونقول بالاشتراط فيه</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3967872_2870459653"/>
      <w:bookmarkStart w:id="104" w:name="_Toc35"/>
      <w:bookmarkEnd w:id="103"/>
      <w:r>
        <w:rPr>
          <w:rtl w:val="true"/>
        </w:rPr>
        <w:t>[</w:t>
      </w:r>
      <w:r>
        <w:rPr>
          <w:rtl w:val="true"/>
        </w:rPr>
        <w:t>شرطية الطهارة في التشهد والسجدة المنسيين</w:t>
      </w:r>
      <w:r>
        <w:rPr>
          <w:rtl w:val="true"/>
        </w:rPr>
        <w:t>]</w:t>
      </w:r>
      <w:bookmarkEnd w:id="10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التشهد والسجدة المنسيان فلا يبعُد اشتراط الطهارة فيها؛ لأنهما؛ وإن لم تكونا جزئين حقيقيين، لكنهما جزءان حكماً، بمعنى أنَّ الشارع جعلهما عوضاً وبدلاً عن الجزء الحقيقي، فهما جزءان للصلاة فيحكم فيها ما يحكم في الصلاة</w:t>
      </w:r>
      <w:r>
        <w:rPr>
          <w:rFonts w:eastAsia="Amiri" w:cs="Amiri" w:ascii="Amiri" w:hAnsi="Amiri"/>
          <w:color w:val="111111"/>
          <w:sz w:val="28"/>
          <w:szCs w:val="28"/>
          <w:rtl w:val="true"/>
          <w:lang w:bidi="ar-SA"/>
        </w:rPr>
        <w:t xml:space="preserve">. </w:t>
      </w:r>
      <w:bookmarkStart w:id="105" w:name="pg9203_87084"/>
    </w:p>
    <w:p>
      <w:pPr>
        <w:pStyle w:val="Heading2"/>
        <w:numPr>
          <w:ilvl w:val="1"/>
          <w:numId w:val="1"/>
        </w:numPr>
        <w:rPr/>
      </w:pPr>
      <w:bookmarkStart w:id="106" w:name="__RefHeading___Toc3967874_2870459653"/>
      <w:bookmarkStart w:id="107" w:name="_Toc36"/>
      <w:bookmarkEnd w:id="105"/>
      <w:bookmarkEnd w:id="106"/>
      <w:r>
        <w:rPr>
          <w:rtl w:val="true"/>
        </w:rPr>
        <w:t xml:space="preserve">[ </w:t>
      </w:r>
      <w:r>
        <w:rPr>
          <w:rtl w:val="true"/>
        </w:rPr>
        <w:t>شرطية الطهارة في ركعة الإحتياط</w:t>
      </w:r>
      <w:r>
        <w:rPr>
          <w:rtl w:val="true"/>
        </w:rPr>
        <w:t>]</w:t>
      </w:r>
      <w:bookmarkEnd w:id="107"/>
    </w:p>
    <w:p>
      <w:pPr>
        <w:pStyle w:val="BookText"/>
        <w:rPr/>
      </w:pPr>
      <w:r>
        <w:rPr>
          <w:rFonts w:ascii="Amiri" w:hAnsi="Amiri" w:eastAsia="Amiri" w:cs="Amiri"/>
          <w:color w:val="111111"/>
          <w:sz w:val="28"/>
          <w:sz w:val="28"/>
          <w:szCs w:val="28"/>
          <w:rtl w:val="true"/>
          <w:lang w:bidi="ar-SA"/>
        </w:rPr>
        <w:t>وكذا الركعات الاحتياطية المشروعة لتدارك النقصان، ولذا يعتبر فيهما الاتصال بدون فعل المنافي، لكن يشكل إجراء أحكام الصلاة وأجزائها على السجدة والتشهد المنسيين وكذا ركعات الاحتياطية بأنّ التسليم مخرج للشخص عن الصلاة،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حصل له الامتثال بالصلاة والشروط شرط للصلاة ويثبت الحكم للأجزاء بتبعية الصلاة، فلا منافاة بين خروج الشخص من الصلاة الحقيقية وأجزائها وثبوت بعض الأجزاء الحكمية، فتأمل</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3967876_2870459653"/>
      <w:bookmarkStart w:id="109" w:name="_Toc37"/>
      <w:bookmarkEnd w:id="108"/>
      <w:r>
        <w:rPr>
          <w:rtl w:val="true"/>
        </w:rPr>
        <w:t>[</w:t>
      </w:r>
      <w:r>
        <w:rPr>
          <w:rtl w:val="true"/>
        </w:rPr>
        <w:t>اشتراط الطهارة في سجدتي السهو دون التعقيبات</w:t>
      </w:r>
      <w:r>
        <w:rPr>
          <w:rtl w:val="true"/>
        </w:rPr>
        <w:t>]</w:t>
      </w:r>
      <w:bookmarkEnd w:id="109"/>
    </w:p>
    <w:p>
      <w:pPr>
        <w:pStyle w:val="BookText"/>
        <w:rPr/>
      </w:pPr>
      <w:r>
        <w:rPr>
          <w:rFonts w:ascii="Amiri" w:hAnsi="Amiri" w:eastAsia="Amiri" w:cs="Amiri"/>
          <w:color w:val="111111"/>
          <w:sz w:val="28"/>
          <w:sz w:val="28"/>
          <w:szCs w:val="28"/>
          <w:rtl w:val="true"/>
          <w:lang w:bidi="ar-SA"/>
        </w:rPr>
        <w:t>وأما التعقيبات وسجدتا السهو، فلا يبعد عدم الاشتراط في الأول؛ لأنها خارجة الصلاة، وأمّا سجدتا السهو فالمستفاد من بعض الأخبار أنّ المعتبر إيقاعها عقيب</w:t>
      </w:r>
    </w:p>
    <w:p>
      <w:pPr>
        <w:pStyle w:val="BookText"/>
        <w:rPr/>
      </w:pPr>
      <w:r>
        <w:rPr>
          <w:rFonts w:ascii="IRNazanin" w:hAnsi="IRNazanin" w:eastAsia="IRNazanin"/>
          <w:color w:val="111111"/>
          <w:sz w:val="28"/>
          <w:sz w:val="28"/>
          <w:szCs w:val="28"/>
          <w:rtl w:val="true"/>
          <w:lang w:bidi="fa-IR"/>
        </w:rPr>
        <w:t xml:space="preserve">الصلاة بلا فعل مناف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سلّمت فاسجد </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وإنّما يدلّ على التعقيب بلا 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فاسجد سجدتي السهو بعد تسليمك وأنت جالس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ليس المراد من الجلوس، الجلوس في مقابل القيام، بل المراد هو الإتيان متصلاً قبل فعل المنافي</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3967878_2870459653"/>
      <w:bookmarkStart w:id="111" w:name="_Toc38"/>
      <w:bookmarkEnd w:id="110"/>
      <w:r>
        <w:rPr>
          <w:rtl w:val="true"/>
        </w:rPr>
        <w:t xml:space="preserve">[ </w:t>
      </w:r>
      <w:r>
        <w:rPr>
          <w:rtl w:val="true"/>
        </w:rPr>
        <w:t>في أنَّ الأكوان داخلة في الصلاة</w:t>
      </w:r>
      <w:r>
        <w:rPr>
          <w:rtl w:val="true"/>
        </w:rPr>
        <w:t>]</w:t>
      </w:r>
      <w:bookmarkEnd w:id="111"/>
    </w:p>
    <w:p>
      <w:pPr>
        <w:pStyle w:val="BookText"/>
        <w:rPr/>
      </w:pPr>
      <w:r>
        <w:rPr>
          <w:rFonts w:ascii="Amiri" w:hAnsi="Amiri" w:eastAsia="Amiri" w:cs="Amiri"/>
          <w:color w:val="111111"/>
          <w:sz w:val="28"/>
          <w:sz w:val="28"/>
          <w:szCs w:val="28"/>
          <w:rtl w:val="true"/>
          <w:lang w:bidi="ar-SA"/>
        </w:rPr>
        <w:t>بقي الكلام في أكوان الصلاة، هل هي داخلة في الصلاة،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اسم لمجموع الأكوان والأفعال أو مجرد الأفعال؟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بعض الكلمات</w:t>
      </w:r>
      <w:r>
        <w:rPr>
          <w:rStyle w:val="FootnoteAnchor"/>
          <w:rtl w:val="true"/>
        </w:rPr>
        <w:footnoteReference w:id="222"/>
      </w:r>
      <w:r>
        <w:rPr>
          <w:rFonts w:ascii="Amiri" w:hAnsi="Amiri" w:eastAsia="Amiri" w:cs="Amiri"/>
          <w:color w:val="111111"/>
          <w:sz w:val="28"/>
          <w:sz w:val="28"/>
          <w:szCs w:val="28"/>
          <w:rtl w:val="true"/>
          <w:lang w:bidi="ar-SA"/>
        </w:rPr>
        <w:t>عدم كون الأكوان داخلة في الصلاة، مثلاً في مقام بيان ماهية الصلاة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الركوع والسجود ولم يذكروا الأكوان منها، وكذلك </w:t>
      </w:r>
    </w:p>
    <w:p>
      <w:pPr>
        <w:pStyle w:val="BookText"/>
        <w:rPr/>
      </w:pPr>
      <w:r>
        <w:rPr>
          <w:rFonts w:ascii="Amiri" w:hAnsi="Amiri" w:eastAsia="Amiri" w:cs="Amiri"/>
          <w:color w:val="111111"/>
          <w:sz w:val="28"/>
          <w:sz w:val="28"/>
          <w:szCs w:val="28"/>
          <w:rtl w:val="true"/>
          <w:lang w:bidi="ar-SA"/>
        </w:rPr>
        <w:t xml:space="preserve">يقولون في المسلوس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عليه الطهارة في كل موضع أحدث، فإذا تطهر</w:t>
      </w:r>
      <w:r>
        <w:rPr>
          <w:rStyle w:val="FootnoteAnchor"/>
          <w:rtl w:val="true"/>
        </w:rPr>
        <w:footnoteReference w:id="223"/>
      </w:r>
      <w:r>
        <w:rPr>
          <w:rFonts w:ascii="Amiri" w:hAnsi="Amiri" w:eastAsia="Amiri" w:cs="Amiri"/>
          <w:color w:val="111111"/>
          <w:sz w:val="28"/>
          <w:sz w:val="28"/>
          <w:szCs w:val="28"/>
          <w:rtl w:val="true"/>
          <w:lang w:bidi="ar-SA"/>
        </w:rPr>
        <w:t xml:space="preserve">شيء من المواضع الذي انقطع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عليه الموالاة والصلاة، فإذا فاتت الموالاة تجب الصلاة متطهراً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المصلي لو علم في الأثناء بالنجاسة يجب الإزالة من دون الاشتغال بشيء من الصلاة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ذلك كله أنّ الأجزاء للصلاة هي مجرد الأفعال لا الأكوان؛ فإذا كان الأمر كذلك فإنّ تنجس يده في اثناء الصلاة من دون اشتغاله بشيء من الصلاة وتأمل قليلاً فلا يكون مضراً، إلّا أنّ المستفاد من بعض الأخبار الواردة في فضيلة الصلاة ككونها معراج المؤمن </w:t>
      </w:r>
      <w:r>
        <w:rPr>
          <w:rStyle w:val="FootnoteAnchor"/>
          <w:rtl w:val="true"/>
        </w:rPr>
        <w:footnoteReference w:id="225"/>
      </w:r>
      <w:r>
        <w:rPr>
          <w:rFonts w:ascii="Amiri" w:hAnsi="Amiri" w:eastAsia="Amiri" w:cs="Amiri"/>
          <w:color w:val="111111"/>
          <w:sz w:val="28"/>
          <w:sz w:val="28"/>
          <w:szCs w:val="28"/>
          <w:rtl w:val="true"/>
          <w:lang w:bidi="ar-SA"/>
        </w:rPr>
        <w:t xml:space="preserve">، وأن المصلي قائم بين يدي الله تعالى </w:t>
      </w:r>
      <w:r>
        <w:rPr>
          <w:rStyle w:val="FootnoteAnchor"/>
          <w:rtl w:val="true"/>
        </w:rPr>
        <w:footnoteReference w:id="226"/>
      </w:r>
      <w:r>
        <w:rPr>
          <w:rFonts w:ascii="Amiri" w:hAnsi="Amiri" w:eastAsia="Amiri" w:cs="Amiri"/>
          <w:color w:val="111111"/>
          <w:sz w:val="28"/>
          <w:sz w:val="28"/>
          <w:szCs w:val="28"/>
          <w:rtl w:val="true"/>
          <w:lang w:bidi="ar-SA"/>
        </w:rPr>
        <w:t>، أنَّ الصلاة مركبة من خضوعات وكونها مجلس المخاطبة وعدم التفصيل بين الأجزاء، فالصلاة نظير مجلس الحضور عند السلطان، فلو فعل الشخص شيئاً منافياً لمجلس الحضور سقط مجلسه عن مجلس الحضور والمخاطبة، فالمصلي كان في مجلس الحضور عند السلطان الحقيقي ولذلك المجلس خضوعات وتخشعات ،وتذللات فالكل من آداب مجلس الحضور نظير أعمال مجلس حضور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الأعمال من الهوي والقيام وغير ذلك، مضافاً إلى عدم تفرقة المتشرعة في تسمية شخص في أثناء الصلاة بالمصلي بين كونه مشغولاً بالأفعال أو بالأكوان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ما ذكرناه، ما ذكره بعض الفقهاء</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علم المصلي بالنجاسة في اثناء الصلاة من وجوب الإزالة فوراً إن أمكن، ولو لم تكن الأكوان أجزاءً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الإزالة فوراً، وكيف كان فالمسألة محل إشكال وتردد، فافهم</w:t>
      </w:r>
      <w:r>
        <w:rPr>
          <w:rFonts w:eastAsia="Amiri" w:cs="Amiri" w:ascii="Amiri" w:hAnsi="Amiri"/>
          <w:color w:val="111111"/>
          <w:sz w:val="28"/>
          <w:szCs w:val="28"/>
          <w:rtl w:val="true"/>
          <w:lang w:bidi="ar-SA"/>
        </w:rPr>
        <w:t xml:space="preserve">. </w:t>
      </w:r>
      <w:bookmarkStart w:id="112" w:name="pg9203_87086"/>
    </w:p>
    <w:p>
      <w:pPr>
        <w:pStyle w:val="Heading2"/>
        <w:numPr>
          <w:ilvl w:val="1"/>
          <w:numId w:val="1"/>
        </w:numPr>
        <w:rPr/>
      </w:pPr>
      <w:bookmarkStart w:id="113" w:name="__RefHeading___Toc3967880_2870459653"/>
      <w:bookmarkStart w:id="114" w:name="_Toc39"/>
      <w:bookmarkEnd w:id="112"/>
      <w:bookmarkEnd w:id="113"/>
      <w:r>
        <w:rPr>
          <w:rtl w:val="true"/>
        </w:rPr>
        <w:t xml:space="preserve">[ </w:t>
      </w:r>
      <w:r>
        <w:rPr>
          <w:rtl w:val="true"/>
        </w:rPr>
        <w:t>وجوب إزالة النجاسة عن الثوب والبدن للطواف</w:t>
      </w:r>
      <w:r>
        <w:rPr>
          <w:rtl w:val="true"/>
        </w:rPr>
        <w:t>]</w:t>
      </w:r>
      <w:bookmarkEnd w:id="114"/>
    </w:p>
    <w:p>
      <w:pPr>
        <w:pStyle w:val="BookText"/>
        <w:rPr/>
      </w:pPr>
      <w:r>
        <w:rPr>
          <w:rFonts w:ascii="Amiri" w:hAnsi="Amiri" w:eastAsia="Amiri" w:cs="Amiri"/>
          <w:color w:val="111111"/>
          <w:sz w:val="28"/>
          <w:sz w:val="28"/>
          <w:szCs w:val="28"/>
          <w:rtl w:val="true"/>
          <w:lang w:bidi="ar-SA"/>
        </w:rPr>
        <w:t>وكذا يجب إزالة النجاسة عن الثوب</w:t>
      </w:r>
      <w:r>
        <w:rPr>
          <w:rStyle w:val="FootnoteAnchor"/>
          <w:rtl w:val="true"/>
        </w:rPr>
        <w:footnoteReference w:id="228"/>
      </w:r>
      <w:r>
        <w:rPr>
          <w:rFonts w:ascii="Amiri" w:hAnsi="Amiri" w:eastAsia="Amiri" w:cs="Amiri"/>
          <w:color w:val="111111"/>
          <w:sz w:val="28"/>
          <w:sz w:val="28"/>
          <w:szCs w:val="28"/>
          <w:rtl w:val="true"/>
          <w:lang w:bidi="ar-SA"/>
        </w:rPr>
        <w:t xml:space="preserve">والبدن للطواف الواجب والمندوب؛ لأنّ الطواف في البيت صلاة </w:t>
      </w:r>
      <w:r>
        <w:rPr>
          <w:rStyle w:val="FootnoteAnchor"/>
          <w:rtl w:val="true"/>
        </w:rPr>
        <w:footnoteReference w:id="229"/>
      </w:r>
      <w:r>
        <w:rPr>
          <w:rFonts w:ascii="Amiri" w:hAnsi="Amiri" w:eastAsia="Amiri" w:cs="Amiri"/>
          <w:color w:val="111111"/>
          <w:sz w:val="28"/>
          <w:sz w:val="28"/>
          <w:szCs w:val="28"/>
          <w:rtl w:val="true"/>
          <w:lang w:bidi="ar-SA"/>
        </w:rPr>
        <w:t>والتشبيه يقتضي عموم الأحكام سيما الأحكام الظاهرة، ومنها الطهارة، وسيأتي تحقيقه في باب الحج،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3967882_2870459653"/>
      <w:bookmarkStart w:id="116" w:name="_Toc40"/>
      <w:bookmarkEnd w:id="115"/>
      <w:r>
        <w:rPr>
          <w:rtl w:val="true"/>
        </w:rPr>
        <w:t xml:space="preserve">[ </w:t>
      </w:r>
      <w:r>
        <w:rPr>
          <w:rtl w:val="true"/>
        </w:rPr>
        <w:t>وجوب إزالة النجاسة لدخول المساجد والمشاهد</w:t>
      </w:r>
      <w:r>
        <w:rPr>
          <w:rtl w:val="true"/>
        </w:rPr>
        <w:t>]</w:t>
      </w:r>
      <w:bookmarkEnd w:id="116"/>
    </w:p>
    <w:p>
      <w:pPr>
        <w:pStyle w:val="BookText"/>
        <w:rPr/>
      </w:pPr>
      <w:r>
        <w:rPr>
          <w:rFonts w:ascii="Amiri" w:hAnsi="Amiri" w:eastAsia="Amiri" w:cs="Amiri"/>
          <w:color w:val="111111"/>
          <w:sz w:val="28"/>
          <w:sz w:val="28"/>
          <w:szCs w:val="28"/>
          <w:rtl w:val="true"/>
          <w:lang w:bidi="ar-SA"/>
        </w:rPr>
        <w:t xml:space="preserve">وكذا تجب الإزالة لدخول المساجد، والأصل فيه بعد الشهرة المنقولة </w:t>
      </w:r>
      <w:r>
        <w:rPr>
          <w:rStyle w:val="FootnoteAnchor"/>
          <w:rtl w:val="true"/>
        </w:rPr>
        <w:footnoteReference w:id="230"/>
      </w:r>
      <w:r>
        <w:rPr>
          <w:rFonts w:ascii="Amiri" w:hAnsi="Amiri" w:eastAsia="Amiri" w:cs="Amiri"/>
          <w:color w:val="111111"/>
          <w:sz w:val="28"/>
          <w:sz w:val="28"/>
          <w:szCs w:val="28"/>
          <w:rtl w:val="true"/>
          <w:lang w:bidi="ar-SA"/>
        </w:rPr>
        <w:t>والمحصلة والإجماع المحكي عن بعض كابن إدريس رحمه الله</w:t>
      </w:r>
      <w:r>
        <w:rPr>
          <w:rStyle w:val="FootnoteAnchor"/>
          <w:rtl w:val="true"/>
        </w:rPr>
        <w:footnoteReference w:id="231"/>
      </w:r>
      <w:r>
        <w:rPr>
          <w:rFonts w:ascii="Amiri" w:hAnsi="Amiri" w:eastAsia="Amiri" w:cs="Amiri"/>
          <w:color w:val="111111"/>
          <w:sz w:val="28"/>
          <w:sz w:val="28"/>
          <w:szCs w:val="28"/>
          <w:rtl w:val="true"/>
          <w:lang w:bidi="ar-SA"/>
        </w:rPr>
        <w:t xml:space="preserve">، والشهيد رحمه الله </w:t>
      </w:r>
      <w:r>
        <w:rPr>
          <w:rStyle w:val="FootnoteAnchor"/>
          <w:rtl w:val="true"/>
        </w:rPr>
        <w:footnoteReference w:id="232"/>
      </w:r>
      <w:r>
        <w:rPr>
          <w:rFonts w:ascii="Amiri" w:hAnsi="Amiri" w:eastAsia="Amiri" w:cs="Amiri"/>
          <w:color w:val="111111"/>
          <w:sz w:val="28"/>
          <w:sz w:val="28"/>
          <w:szCs w:val="28"/>
          <w:rtl w:val="true"/>
          <w:lang w:bidi="ar-SA"/>
        </w:rPr>
        <w:t>، على الظاهر في الأخير، ونفي الخلاف المحكي عن جماعة</w:t>
      </w:r>
      <w:r>
        <w:rPr>
          <w:rStyle w:val="FootnoteAnchor"/>
          <w:rtl w:val="true"/>
        </w:rPr>
        <w:footnoteReference w:id="233"/>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حيث رتب عدم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كناية عن عدم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النجاسة؛ فيدلّ على حرمة دخول كل نجاسة، والاستدلال به يتم بإثبات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النجس حقيقة شرعية في المعنى الشرعي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كونه حقيقة شرعية في ذلك المعنى؛ إذ من البعيد عدم الثبوت من زمان البعثة إلى زمان الصدور مع كثرة إطلاقه وابتلاء الناس، ولا أقل من المجاز المشهور؛ فلا بُدَّ أن يُحمل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الإغماض عن جميع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هو المعنى الشرعي بسبب القرينة؛ إذ لا يكون مطلق النجاسة واجباً إزالته من المسجد</w:t>
      </w:r>
      <w:r>
        <w:rPr>
          <w:rStyle w:val="FootnoteAnchor"/>
          <w:rtl w:val="true"/>
        </w:rPr>
        <w:footnoteReference w:id="235"/>
      </w:r>
      <w:r>
        <w:rPr>
          <w:rFonts w:ascii="IRNazanin" w:hAnsi="IRNazanin" w:eastAsia="IRNazanin"/>
          <w:color w:val="111111"/>
          <w:sz w:val="28"/>
          <w:sz w:val="28"/>
          <w:szCs w:val="28"/>
          <w:rtl w:val="true"/>
          <w:lang w:bidi="fa-IR"/>
        </w:rPr>
        <w:t>والحال أنّه أطلق عدم القرب على مطلق النجس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w:t>
      </w:r>
      <w:r>
        <w:rPr>
          <w:rStyle w:val="FootnoteAnchor"/>
          <w:rtl w:val="true"/>
        </w:rPr>
        <w:footnoteReference w:id="236"/>
      </w:r>
      <w:r>
        <w:rPr>
          <w:rFonts w:ascii="Amiri" w:hAnsi="Amiri" w:eastAsia="Amiri" w:cs="Amiri"/>
          <w:color w:val="111111"/>
          <w:sz w:val="28"/>
          <w:sz w:val="28"/>
          <w:szCs w:val="28"/>
          <w:rtl w:val="true"/>
          <w:lang w:bidi="ar-SA"/>
        </w:rPr>
        <w:t xml:space="preserve">يكون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نجاستهم؛ وهو مدفوع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نفهم من النجاسة إلا وجوب الإزالة بحكم الشرع؛ وذلك الحكم لا يتفاوت بالنسبة إلى المشرك وغيره، ولو لم يكن حكم الشارع بأنّ النجس يجب الاجتناب عنه لم يفهم قذارة في كثير من النجاسات،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w:t>
      </w:r>
      <w:r>
        <w:rPr>
          <w:rStyle w:val="FootnoteAnchor"/>
          <w:rtl w:val="true"/>
        </w:rPr>
        <w:footnoteReference w:id="238"/>
      </w:r>
      <w:r>
        <w:rPr>
          <w:rFonts w:ascii="Amiri" w:hAnsi="Amiri" w:eastAsia="Amiri" w:cs="Amiri"/>
          <w:color w:val="111111"/>
          <w:sz w:val="28"/>
          <w:sz w:val="28"/>
          <w:szCs w:val="28"/>
          <w:rtl w:val="true"/>
          <w:lang w:bidi="ar-SA"/>
        </w:rPr>
        <w:t>يكون الحكم مخصوصاً بالمسجد الحرام؛ فلا يعمّ جميع المساجد، وهو أيضاً مدفوع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يستدل به في المقام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وطَهَّرَا بَيْتِيَ لِلطَّائِفِينَ وَالْعَاكِفِينَ</w:t>
      </w:r>
      <w:r>
        <w:rPr>
          <w:rStyle w:val="FootnoteAnchor"/>
          <w:rtl w:val="true"/>
        </w:rPr>
        <w:footnoteReference w:id="239"/>
      </w:r>
      <w:r>
        <w:rPr>
          <w:rFonts w:ascii="Amiri" w:hAnsi="Amiri" w:eastAsia="Amiri" w:cs="Amiri"/>
          <w:color w:val="111111"/>
          <w:sz w:val="28"/>
          <w:sz w:val="28"/>
          <w:szCs w:val="28"/>
          <w:rtl w:val="true"/>
          <w:lang w:bidi="ar-SA"/>
        </w:rPr>
        <w:t>، والاستدلال به يتوقف على كون الطهارة في الشرع السابق بالمعنى الشرعي، ويمكن أن يمنع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التسليم لا يبعد أن يكون المراد بالطهارة في هذه الآية النظافة والنزاهة والكناسة بقرينة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لِلطَّائِفِينَ وَالْعَاكِفِينَ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الظاهر أَنَّ وجوب إزالة النجاسة عن المسجد نفسي، لا لأجل عدم تلويث المصلين، وإن قال به بعض</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مما يستدل به في المقام الحديث النبوي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مساجدكم النجاسة</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بناءً على كون المراد بالمساجد هو المسجد لا موضع السجود من الجبهة أو من الأرض، ولا مطلق مكان المصلي ؛ فإنّ الظاهر كون المراد بها هو المساجد المعروفة، وإن كان يمكن منع الظهور في ذلك الزمان، ومع ذلك فحال سنده غير معلوم، إلّا أنّ الفقهاء استدلوا به واشتهر استدلالهم به، ويمكن جبر السند بالشهرة، ولا يمكن جبر دلالتها بها إلّا أن تكشف شهرة الاستدلال عن وجود قرينة هي سبب للفهم وإلا فمحض الشهرة لا يكون جابراً للدلالة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يستدل به، ما ورد من تعظيم شعائر الله تعالى</w:t>
      </w:r>
      <w:r>
        <w:rPr>
          <w:rStyle w:val="FootnoteAnchor"/>
          <w:rtl w:val="true"/>
        </w:rPr>
        <w:footnoteReference w:id="242"/>
      </w:r>
      <w:r>
        <w:rPr>
          <w:rFonts w:ascii="Amiri" w:hAnsi="Amiri" w:eastAsia="Amiri" w:cs="Amiri"/>
          <w:color w:val="111111"/>
          <w:sz w:val="28"/>
          <w:sz w:val="28"/>
          <w:szCs w:val="28"/>
          <w:rtl w:val="true"/>
          <w:lang w:bidi="ar-SA"/>
        </w:rPr>
        <w:t>، وإزالة النجاسة عنه، تعظيم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التعظيم له مراتب مختلفة وبعضها متعسر أو متعذر، فحمل الأمر على الوجوب مشكل على ما ورد من تسهيل الأمر على هذه الأمة، ولو كان مطلق التعظيم واجباً لكان عيناً، ولو كان واجباً عينياً على كل أحد؛ لاشتغل كل الناس صباحاً ومساءً بطوافهم حوله؛ لأنه تعظيم للمسجد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عدم جواز الانتهاك والإهانة، ودخول النجاسة فيه ليس انتهاكاً له خصوصاً غير المتعدية، خصوصاً إذا كانت النجاسة في ثوب بحيث لا يلاقي أرض المسجد ولا فرشه و لا آبه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ويستدل أيضاً بروايات آخر لا تدل على المطلب، ولا نطيل بذكرها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ملاحظة الإجماعات المنقولة، بل المحصلة؛ فلا مناص عن القول بوجوب الإزالة</w:t>
      </w:r>
      <w:r>
        <w:rPr>
          <w:rFonts w:eastAsia="Amiri" w:cs="Amiri" w:ascii="Amiri" w:hAnsi="Amiri"/>
          <w:color w:val="111111"/>
          <w:sz w:val="28"/>
          <w:szCs w:val="28"/>
          <w:rtl w:val="true"/>
          <w:lang w:bidi="ar-SA"/>
        </w:rPr>
        <w:t xml:space="preserve">. </w:t>
      </w:r>
      <w:bookmarkStart w:id="117" w:name="pg9203_87089"/>
    </w:p>
    <w:p>
      <w:pPr>
        <w:pStyle w:val="Heading2"/>
        <w:numPr>
          <w:ilvl w:val="1"/>
          <w:numId w:val="1"/>
        </w:numPr>
        <w:rPr/>
      </w:pPr>
      <w:bookmarkStart w:id="118" w:name="__RefHeading___Toc3967884_2870459653"/>
      <w:bookmarkStart w:id="119" w:name="_Toc41"/>
      <w:bookmarkEnd w:id="117"/>
      <w:bookmarkEnd w:id="118"/>
      <w:r>
        <w:rPr>
          <w:rtl w:val="true"/>
        </w:rPr>
        <w:t xml:space="preserve">[ </w:t>
      </w:r>
      <w:r>
        <w:rPr>
          <w:rtl w:val="true"/>
        </w:rPr>
        <w:t>هل يختص الحكم بالنجاسة المتعدية أو لا؟</w:t>
      </w:r>
      <w:r>
        <w:rPr>
          <w:rtl w:val="true"/>
        </w:rPr>
        <w:t>]</w:t>
      </w:r>
      <w:bookmarkEnd w:id="119"/>
    </w:p>
    <w:p>
      <w:pPr>
        <w:pStyle w:val="BookText"/>
        <w:rPr/>
      </w:pPr>
      <w:r>
        <w:rPr>
          <w:rFonts w:ascii="Amiri" w:hAnsi="Amiri" w:eastAsia="Amiri" w:cs="Amiri"/>
          <w:color w:val="111111"/>
          <w:sz w:val="28"/>
          <w:sz w:val="28"/>
          <w:szCs w:val="28"/>
          <w:rtl w:val="true"/>
          <w:lang w:bidi="ar-SA"/>
        </w:rPr>
        <w:t xml:space="preserve">ثمّ هل يختص الحكم على فرض تمامية الأدلّة بالمتعدية أو يعم المتعدية وغيرها؟ وذهب إلى الثاني أكثر القدماء </w:t>
      </w:r>
      <w:r>
        <w:rPr>
          <w:rStyle w:val="FootnoteAnchor"/>
          <w:rtl w:val="true"/>
        </w:rPr>
        <w:footnoteReference w:id="244"/>
      </w:r>
      <w:r>
        <w:rPr>
          <w:rFonts w:ascii="Amiri" w:hAnsi="Amiri" w:eastAsia="Amiri" w:cs="Amiri"/>
          <w:color w:val="111111"/>
          <w:sz w:val="28"/>
          <w:sz w:val="28"/>
          <w:szCs w:val="28"/>
          <w:rtl w:val="true"/>
          <w:lang w:bidi="ar-SA"/>
        </w:rPr>
        <w:t>، والطبقة الوسطى حتى ادعى بعضهم الإجماع عليه</w:t>
      </w:r>
      <w:r>
        <w:rPr>
          <w:rStyle w:val="FootnoteAnchor"/>
          <w:rtl w:val="true"/>
        </w:rPr>
        <w:footnoteReference w:id="245"/>
      </w:r>
      <w:r>
        <w:rPr>
          <w:rFonts w:ascii="Amiri" w:hAnsi="Amiri" w:eastAsia="Amiri" w:cs="Amiri"/>
          <w:color w:val="111111"/>
          <w:sz w:val="28"/>
          <w:sz w:val="28"/>
          <w:szCs w:val="28"/>
          <w:rtl w:val="true"/>
          <w:lang w:bidi="ar-SA"/>
        </w:rPr>
        <w:t>، حتى قال 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بيد المصلي خاتم عمله يهودي وكان المصلي في المسجد لو فسدت صلاته لاقتضاء الأمر بالشيء النهي عن الضد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وتمسكوا في هذا الحكم بإطلاق الأخبار والآيات التي ذكرنا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إلى الأول أكثر المتأخرين</w:t>
      </w:r>
      <w:r>
        <w:rPr>
          <w:rStyle w:val="FootnoteAnchor"/>
          <w:rtl w:val="true"/>
        </w:rPr>
        <w:footnoteReference w:id="247"/>
      </w:r>
      <w:r>
        <w:rPr>
          <w:rFonts w:ascii="Amiri" w:hAnsi="Amiri" w:eastAsia="Amiri" w:cs="Amiri"/>
          <w:color w:val="111111"/>
          <w:sz w:val="28"/>
          <w:sz w:val="28"/>
          <w:szCs w:val="28"/>
          <w:rtl w:val="true"/>
          <w:lang w:bidi="ar-SA"/>
        </w:rPr>
        <w:t>، وهو الحق؛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على فرض تماميتها ودلالتها على أصل الحكم وإن كانت مطلقة على الظاهر إلّا أنّه لا يبعد انصرافها إلى المتعدية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الأولى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وإن كان النهي متفرعاً على النجاسة فيكشف عن كون النجاسة مطلقاً علةً للحكم، إلّا أنّ النهي ورد مورد الغالب؛ لأن الغالب تلويثهم المسجد؛ لأنهم كانوا حفاةً غالباً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 بَيْتِي </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فبعد المناقشة التي ذكرناها،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التطهير مستلزم لثبوت النجاسة وتنجس المسجد، ولم يثبت التنجس بمجرد إدخال النجاسة غير المتعدية حتى يجب تطهيرها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الحديث النبوي </w:t>
      </w:r>
      <w:r>
        <w:rPr>
          <w:rStyle w:val="FootnoteAnchor"/>
          <w:rtl w:val="true"/>
        </w:rPr>
        <w:footnoteReference w:id="250"/>
      </w:r>
      <w:r>
        <w:rPr>
          <w:rFonts w:ascii="Amiri" w:hAnsi="Amiri" w:eastAsia="Amiri" w:cs="Amiri"/>
          <w:color w:val="111111"/>
          <w:sz w:val="28"/>
          <w:sz w:val="28"/>
          <w:szCs w:val="28"/>
          <w:rtl w:val="true"/>
          <w:lang w:bidi="ar-SA"/>
        </w:rPr>
        <w:t>أيضاً يمكن تنزيله على المطلب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النجاسة الوارد في الخبر إما أن يكون مصدراً؛ فيكون بمعنى التنجس فينطبق على المدعى، وإمّا أن يكون اسماً، فعلى هذا لا يبعد أيضاً ادعاء الظهور في التنجس؛ لأنّ الظاهر من تعلق الاجتناب بالنجس هو الاجتناب عن تلويث الشخص به كما هو الظاهر من ملاحظة الإطلاقات العرفية للاجتناب عن النجس فينطبق أيضاً على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مطلق إدخال النجاسة إهانة وتركها مطلقاً تعظيم؛ فلم يثبت، وإنّما الإهانة تلويث المسجد بها لا غير مضافاً إلى الأخبار الواردة في طواف المستحاضة </w:t>
      </w:r>
      <w:r>
        <w:rPr>
          <w:rStyle w:val="FootnoteAnchor"/>
          <w:rtl w:val="true"/>
        </w:rPr>
        <w:footnoteReference w:id="251"/>
      </w:r>
      <w:r>
        <w:rPr>
          <w:rFonts w:ascii="Amiri" w:hAnsi="Amiri" w:eastAsia="Amiri" w:cs="Amiri"/>
          <w:color w:val="111111"/>
          <w:sz w:val="28"/>
          <w:sz w:val="28"/>
          <w:szCs w:val="28"/>
          <w:rtl w:val="true"/>
          <w:lang w:bidi="ar-SA"/>
        </w:rPr>
        <w:t>حتى الكثيرة منها مع ملازمتها للنجاسة، والى جواز اجتياز الجنب والحائض في المساجد</w:t>
      </w:r>
      <w:r>
        <w:rPr>
          <w:rStyle w:val="FootnoteAnchor"/>
          <w:rtl w:val="true"/>
        </w:rPr>
        <w:footnoteReference w:id="252"/>
      </w:r>
      <w:r>
        <w:rPr>
          <w:rFonts w:ascii="Amiri" w:hAnsi="Amiri" w:eastAsia="Amiri" w:cs="Amiri"/>
          <w:color w:val="111111"/>
          <w:sz w:val="28"/>
          <w:sz w:val="28"/>
          <w:szCs w:val="28"/>
          <w:rtl w:val="true"/>
          <w:lang w:bidi="ar-SA"/>
        </w:rPr>
        <w:t xml:space="preserve">مع أن الجنب لا يخلو رأس حشفته عن النجاسة غالباً، والى عدم منع أصحاب القروح والجروح </w:t>
      </w:r>
      <w:r>
        <w:rPr>
          <w:rStyle w:val="FootnoteAnchor"/>
          <w:rtl w:val="true"/>
        </w:rPr>
        <w:footnoteReference w:id="253"/>
      </w:r>
      <w:r>
        <w:rPr>
          <w:rFonts w:ascii="Amiri" w:hAnsi="Amiri" w:eastAsia="Amiri" w:cs="Amiri"/>
          <w:color w:val="111111"/>
          <w:sz w:val="28"/>
          <w:sz w:val="28"/>
          <w:szCs w:val="28"/>
          <w:rtl w:val="true"/>
          <w:lang w:bidi="ar-SA"/>
        </w:rPr>
        <w:t xml:space="preserve">والمسلوس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ملازمته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حضور الجمعة والجماعات الواقعة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كلها مخرجة بالدليل الخاص، دعوى ركيكة يشهد ببطلانها العقل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القطعية في عدم المنع من إدخال غير المتعدية، وهنا تفصيلان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عين النجاسة وما بحكمها، ويظهر من كلام ابن إدريس، حتى أنه بعد أن ادعى الإجماع أولاً على وجوب تجنيب المساجد عن النجاسات كلها؛ ادعى الإجماع على جواز إدخال الناس للميت في المسجد وبنى في دعوى جواز إدخال </w:t>
      </w:r>
    </w:p>
    <w:p>
      <w:pPr>
        <w:pStyle w:val="BookText"/>
        <w:rPr/>
      </w:pPr>
      <w:r>
        <w:rPr>
          <w:rFonts w:ascii="Amiri" w:hAnsi="Amiri" w:eastAsia="Amiri" w:cs="Amiri"/>
          <w:color w:val="111111"/>
          <w:sz w:val="28"/>
          <w:sz w:val="28"/>
          <w:szCs w:val="28"/>
          <w:rtl w:val="true"/>
          <w:lang w:bidi="ar-SA"/>
        </w:rPr>
        <w:t>النجاسة الحكمية زعما منه أن يديه نجسة نجاسة حكمية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ورده المحقق قدس سره</w:t>
      </w:r>
      <w:r>
        <w:rPr>
          <w:rStyle w:val="FootnoteAnchor"/>
          <w:rtl w:val="true"/>
        </w:rPr>
        <w:footnoteReference w:id="255"/>
      </w:r>
      <w:r>
        <w:rPr>
          <w:rFonts w:ascii="Amiri" w:hAnsi="Amiri" w:eastAsia="Amiri" w:cs="Amiri"/>
          <w:color w:val="111111"/>
          <w:sz w:val="28"/>
          <w:sz w:val="28"/>
          <w:szCs w:val="28"/>
          <w:rtl w:val="true"/>
          <w:lang w:bidi="ar-SA"/>
        </w:rPr>
        <w:t>في مستطرفات السرائر من نوادر البزنطي، وإن زيفه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أقوال البزنطي لا من رواياته</w:t>
      </w:r>
      <w:r>
        <w:rPr>
          <w:rStyle w:val="FootnoteAnchor"/>
          <w:rtl w:val="true"/>
        </w:rPr>
        <w:footnoteReference w:id="256"/>
      </w:r>
      <w:r>
        <w:rPr>
          <w:rFonts w:ascii="Amiri" w:hAnsi="Amiri" w:eastAsia="Amiri" w:cs="Amiri"/>
          <w:color w:val="111111"/>
          <w:sz w:val="28"/>
          <w:sz w:val="28"/>
          <w:szCs w:val="28"/>
          <w:rtl w:val="true"/>
          <w:lang w:bidi="ar-SA"/>
        </w:rPr>
        <w:t>، إلا أنه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القرحة التي لا يستطيع صاحبها ربطها ولا حبس دمها يصلي ولا يغسل ثوبه في اليوم أكثر من مرة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جملة من الأخبار التي يمكن الاستدلال بها سوى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 وكون الدمين المذكورين معفوين على الإطلاق سواء سال أم لا، وسواء كان دائماً أو كان منقطعاً وسواء كانت مشقة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الأخبار على أقسام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الإطلاق مثل حسنة المرادي</w:t>
      </w:r>
      <w:r>
        <w:rPr>
          <w:rStyle w:val="FootnoteAnchor"/>
          <w:rtl w:val="true"/>
        </w:rPr>
        <w:footnoteReference w:id="258"/>
      </w:r>
      <w:r>
        <w:rPr>
          <w:rFonts w:ascii="Amiri" w:hAnsi="Amiri" w:eastAsia="Amiri" w:cs="Amiri"/>
          <w:color w:val="111111"/>
          <w:sz w:val="28"/>
          <w:sz w:val="28"/>
          <w:szCs w:val="28"/>
          <w:rtl w:val="true"/>
          <w:lang w:bidi="ar-SA"/>
        </w:rPr>
        <w:t>، وموثقة الساباطي</w:t>
      </w:r>
      <w:r>
        <w:rPr>
          <w:rStyle w:val="FootnoteAnchor"/>
          <w:rtl w:val="true"/>
        </w:rPr>
        <w:footnoteReference w:id="259"/>
      </w:r>
      <w:r>
        <w:rPr>
          <w:rFonts w:ascii="IRNazanin" w:hAnsi="IRNazanin" w:eastAsia="IRNazanin"/>
          <w:color w:val="111111"/>
          <w:sz w:val="28"/>
          <w:sz w:val="28"/>
          <w:szCs w:val="28"/>
          <w:rtl w:val="true"/>
          <w:lang w:bidi="fa-IR"/>
        </w:rPr>
        <w:t>، بل لا يبعد القول بكون الأول صريح في الإطلاق، ومثل خبر أبي بصير الذي لم نذكره وهو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الباقر علیه السلام وهو يصلي، وقال لي قائدي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ثوبه دماً، فلما انصرف، </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قائدي أخبرني أن بثوبك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 دماميل ولست أغسل ثوبي حتى تبرأ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وقسم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الظهور وظاهر بملاحظتها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الخبر الأول، وإن كان السؤال عن الدماء التي لا تزال تدمي وربّما يظهر منه في بادي النظر أنّ المراد عدم الانقطاع، إلّا أن 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الإخراج مكرراً وإن كان بين الإخراجات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عدم إرادة الاحتمال الأول بملاحظة الجواب، فإنّ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الدماء تسيل</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أنّ الصورة التي 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لا بأس فيها حتى هذه الصورة التي لم تسأل عنها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ويدفع الثاني أيضاً بأنّ المتبادر من هذا اللفظ في نظر أهل العرف هو الثالث كما يقال لمن يتكلم ثمّ يسكت قليلاً ثم 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يزال يتكلم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يكن هذا ظاهراً فلا أقل من التساوي بين الاحتمالين، مضافاً إلى أنّ المتبادر من السؤال والجواب أنّ العفو عن قليله ثابت، إلّا أنّ السائل شك فيه بسبب الكثرة،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الدم الكثير هل يعفى عنه أم لا؟ ويدلّ على هذا جوابه علیه السلام ؛ حيث جعل الفرد الضعيف المستبعد في النظر كما هو الشأن في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الوصلية، هو السائل وهو ينطبق على ما ذكرنا؛ لأنّه إذا لم يكن مراد السائل هذا كان مراده السؤال عن حكم مطلق الدم فلا بُدَّ أن يجعل علیه السلام الفرد الضعيف هو الدم القليل منه لا الدم السائل منه؛ لأنّ حكم السائل وعدم المنقطع </w:t>
      </w:r>
    </w:p>
    <w:p>
      <w:pPr>
        <w:pStyle w:val="BookText"/>
        <w:rPr/>
      </w:pPr>
      <w:r>
        <w:rPr>
          <w:rFonts w:ascii="Amiri" w:hAnsi="Amiri" w:eastAsia="Amiri" w:cs="Amiri"/>
          <w:color w:val="111111"/>
          <w:sz w:val="28"/>
          <w:sz w:val="28"/>
          <w:szCs w:val="28"/>
          <w:rtl w:val="true"/>
          <w:lang w:bidi="ar-SA"/>
        </w:rPr>
        <w:t>يعلم من أدلة نفي الحرج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الخبر الثالث وهو صحيح عبد الرحمن فتقريبه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وإن كان عن الدم السائل إلّا أنّ العبرة بعموم الجواب لا بخصوص المورد، وعدم الجواب بسبب ترك الاستفصال لو لم يكن فيه عموم فأقصاه عدم تعرض الإمام علیه السلام الحكم غير مورد السؤال، وذلك لا يدلّ على عدم كون الحكم فيه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الخبر الرابع</w:t>
      </w:r>
      <w:r>
        <w:rPr>
          <w:rStyle w:val="FootnoteAnchor"/>
          <w:rtl w:val="true"/>
        </w:rPr>
        <w:footnoteReference w:id="262"/>
      </w:r>
      <w:r>
        <w:rPr>
          <w:rFonts w:ascii="IRNazanin" w:hAnsi="IRNazanin" w:eastAsia="IRNazanin"/>
          <w:color w:val="111111"/>
          <w:sz w:val="28"/>
          <w:sz w:val="28"/>
          <w:szCs w:val="28"/>
          <w:rtl w:val="true"/>
          <w:lang w:bidi="fa-IR"/>
        </w:rPr>
        <w:t>، فتقريبه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وان كانت واردةً عن الجرح السائل على كون المراد بالسائل السيلان الحقيقي لا مطلق الخروج، أنّ الجواب عام إلّا أنه علیه السلام وإن أدرج في الشرط الجرح السائل لا مطلق الجرح إلّا أنّه قال في الجزاء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يغسله حتى يبرئ فحكم بالعفو إلى زمان البرء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والقول بأنّ البرء فيه بمعنى القطع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تفسير لهذا، ويؤيده تقييده الجرح بالسائل،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مجاز لا يصار إليه، بل يحمل الانقطاع عليه لا ما يظهر من فرديه وهو الانقطاع مع عدم البرء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ظهر لك من الأخبار المذكورة 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ذكرنا كونها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الشهرة ومن أدلة نفي الحرج ومن علمنا بخصوصية هذا الدم، أنه يفرق حكمها عن سائر النجاسات، وإلا الأخبار الواردة كثيرة فيها دون سائرها، ولو لم يكن الحكم لمطلقها بل كان للسائلة منها أو عدم المنقطعة منها لا يحتاج إلى سؤال وجواب، بل يكفي فيها أدلة نفي الحرج بل كان حكمها إليها كما أحيل إلى تلك الأدلّة في غير هذا الموضع كما يعلم ذلك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هذا وأشباهه من كتاب الله</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 xml:space="preserve">أنّ الحكم بالإطلاق يكون متجهاً فلا يعبأ بالخبرين المذكورين أخيراً، مضافاً إلى ما فيهما من </w:t>
      </w:r>
    </w:p>
    <w:p>
      <w:pPr>
        <w:pStyle w:val="BookText"/>
        <w:rPr/>
      </w:pPr>
      <w:r>
        <w:rPr>
          <w:rFonts w:ascii="Amiri" w:hAnsi="Amiri" w:eastAsia="Amiri" w:cs="Amiri"/>
          <w:color w:val="111111"/>
          <w:sz w:val="28"/>
          <w:sz w:val="28"/>
          <w:szCs w:val="28"/>
          <w:rtl w:val="true"/>
          <w:lang w:bidi="ar-SA"/>
        </w:rPr>
        <w:t>ضعف السند وضعف الدلالة، أمّا ضعف السند فيعلم من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ضعف الدلالة في الخبر الأول ؛ فلانحصار دلالته بمفهوم التعليل، والتعليل كما يحتمل أن يكون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لعدم استحباب غسل الزائد على المرة في كل يوم؛ لأنه 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 كل يوم إلا مرة على الندب إجماعاً، ولم يظهر مخالف إلّا صاحب الحدائق </w:t>
      </w:r>
      <w:r>
        <w:rPr>
          <w:rStyle w:val="FootnoteAnchor"/>
          <w:rtl w:val="true"/>
        </w:rPr>
        <w:footnoteReference w:id="264"/>
      </w:r>
      <w:r>
        <w:rPr>
          <w:rFonts w:ascii="Amiri" w:hAnsi="Amiri" w:eastAsia="Amiri" w:cs="Amiri"/>
          <w:color w:val="111111"/>
          <w:sz w:val="28"/>
          <w:sz w:val="28"/>
          <w:szCs w:val="28"/>
          <w:rtl w:val="true"/>
          <w:lang w:bidi="ar-SA"/>
        </w:rPr>
        <w:t>وهو أيضاً لم تظهر مخالفته؛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التدقيق لا في مقام الفتوى والعمل، فالاحتمال الثاني يكون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ضعف الدلالة في الخبر الثاني؛ فلانحصار دلالته في مفهوم الوصف والحال فيه معلوم، وعلى فرض تمامية دلالتها أيضاً لا يقاومان الأدلة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تكلف في توجيه الإطلاق، وفي كل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أنا قرّرنا أنّ الأصل المستفاد من 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الاحتراز عن كل نجاسة في الصلاة، فلا بُدَّ من الخروج عن ذلك الأصل بدليل يدلّ على خلاف ذلك، والأدلّة المذكورة غير وافية بل هي على خلاف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 المدعى ظهورها في ذلك فليست بظاهرة ، بل يقال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مثل موثق عمار الساباطي، فإنّه لا يدلّ على خروج الدم؛ لأن المسؤول الشيء الخارج من الدماميل المنفجرة في حال الصلاة أعمّ من أن يكون قيحاً أو دماً، فلعلّ منظور السائل السؤال عن القيح الكثير الذي يكون خبثاً، وعلى فرض الدلالة يكون الجواب منطبقاً على السؤال، والسؤال إنّما يكون ظاهراً في السيلان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الكلام في الظهور المدعى من حسنة المرادي بل الظهور في عكس المراد؛ لأنّ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به الدماميل والقروح فجلده وثيابه مملوة دماً وقيحاً وثيابه بمنزلة جلده؟</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ظاهر في أنّ الدم كثير سائل غير منقطع؛ لأنّ مثل تلك الحالة </w:t>
      </w:r>
    </w:p>
    <w:p>
      <w:pPr>
        <w:pStyle w:val="BookText"/>
        <w:rPr/>
      </w:pPr>
      <w:r>
        <w:rPr>
          <w:rFonts w:ascii="Amiri" w:hAnsi="Amiri" w:eastAsia="Amiri" w:cs="Amiri"/>
          <w:color w:val="111111"/>
          <w:sz w:val="28"/>
          <w:sz w:val="28"/>
          <w:szCs w:val="28"/>
          <w:rtl w:val="true"/>
          <w:lang w:bidi="ar-SA"/>
        </w:rPr>
        <w:t>أن تكون سبب الدم القليل غير السائل، لأنّه على هذا التقدير غاية ما يتلوث بها ثوبه المنطبق بذلك الوضع وما يقرب منه لا جميع ثيابه وجلده كما هو ظاهر على المنصف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خبر أبي بصير ففيه ضعف السند أولاً، وضعف الدلالة بمنع الظهور ثانياً، غاية ما يستفاد أنّ الدم معفو في الجملة ولم يدلّ على كونه معفوا مطلقاً خصوصاً بملاحظة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بي دماميل فإنّه يدلّ على كثرة الدماميل ومشقة إزالة 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الوجوه المذكورة للدلالة في الأخبار الأخر فكلها مردودة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الوجه الأول المذكور في الخبر الأول 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تدمي</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اللفظ معناه الحقيقي هو عدم الانقطاع وصرف عن معناه الحقيقي يحتاج إلى دليل، والظهور العرفي ممنوع، بل ولا كونه جائز الاستعمال إلا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الظهور المدعى في الجواب فهو أيضاً ممنوع؛ لأنّ السؤال عن الدم المنقطع، فيجيب بأنّ ذلك الدم غير مضر، بل لو كان كثيراً غاية الكثرة أيضاً غير مضر؛ لأنّه ارتكز في ذهنهم عدم العفو عن الدم الكثير والعفو عن القليل فأشار إلى أنّ ذلك المرتكز غير سار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ذكرته في الخبر الثالث فهو أيضاً ممنوع؛ لأنّ الجواب جواب عن السؤال و وارد عليه والمناسب أن يكون الجواب مطابقاً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ذكرته في بيان العموم من عدم الاستفصال فهو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 الجواب جواباً عن السؤال هو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الاستفصال في مقام الحاجة دليل العموم لا مطلقاً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ذكرته في الخبر الرابع من حكم الإمام علیه السلام بالعفو إلى زمان البرء؛ فممنوع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على هذا لا معنى للتقييد بقول سائل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ما ذكرته من كون البرء بمعنى القطع مما لا يصار إليه، فممنوع؛ لأنّ المجاز إذا كان معه قرينه فلا ضير فيه خصوصاً مثل هذه القرينة المتصلة، فلا يبعد ترجيحه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ذكرته في الخبرين الآخرين من انحصار دلالتها في المفهوم؛ ودلالة المفهوم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ذكرته في مفهوم التعليل فهو ممنوع؛ بأنّ السائل سأل عن جواز الصلاة على هذه الحالة فالمناسب أن يعلل ذلك الحكم المقصود بالسؤال، ولأنّ السائل لم يتوهم استحباب الزائد على المرّة حتى يردّه بأن يؤكد الحكم بالتعليل، بل المقصود جواز الصلاة وعدمها فيكون التعليل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ذكرته في الثاني فهو أيضاً ممنوع؛ لأنّ مفهوم الوصف على فرض عدم الحجيّة معناه أنه ليس له ظهور حتى يتمسك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له ظهور فيتمسك به قطعاً، ويمكن دعوى الظهور؛ إما في أنّ صدور هذا الكلام من الإمام الله مع كون المقام مقام بيان حكم مطلق الدم؛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باب القرائن الخارجية مثل الأخبار الأخر، ومثل هذه العمومات التي في مطلق الدم من عدم جواز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نفي الحرج؛ فلا تثبت الحكم على الإطلاق بل يثبته إذا كان حرجاً كغير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ذكرته من عدم الخصوصية إذا لم يكن العفو عن مطلق الدم، والحال أن الخصوصية ثابتة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بل السؤال بواسطة كونها أحد النجاسات والأحكام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الخصوصية فيها لا يستلزم العفو عن مطلقها بل الخصوصية حاصلة بالعفو عن غير المنقطع منها ولو لم يكن فيه مشقة؛ إذ يمكن عدم المشقة مع </w:t>
      </w:r>
      <w:bookmarkStart w:id="120" w:name="pg9203_87097"/>
    </w:p>
    <w:p>
      <w:pPr>
        <w:pStyle w:val="BookText"/>
        <w:rPr/>
      </w:pPr>
      <w:bookmarkEnd w:id="120"/>
      <w:r>
        <w:rPr>
          <w:rFonts w:ascii="Amiri" w:hAnsi="Amiri" w:eastAsia="Amiri" w:cs="Amiri"/>
          <w:color w:val="111111"/>
          <w:sz w:val="28"/>
          <w:sz w:val="28"/>
          <w:szCs w:val="28"/>
          <w:rtl w:val="true"/>
          <w:lang w:bidi="ar-SA"/>
        </w:rPr>
        <w:t xml:space="preserve">عدم الانقطاع، وإن قال بعدم الإمكان بعض مشايخنا قدس سره </w:t>
      </w:r>
      <w:r>
        <w:rPr>
          <w:rStyle w:val="FootnoteAnchor"/>
          <w:rtl w:val="true"/>
        </w:rPr>
        <w:footnoteReference w:id="267"/>
      </w:r>
      <w:r>
        <w:rPr>
          <w:rFonts w:ascii="Amiri" w:hAnsi="Amiri" w:eastAsia="Amiri" w:cs="Amiri"/>
          <w:color w:val="111111"/>
          <w:sz w:val="28"/>
          <w:sz w:val="28"/>
          <w:szCs w:val="28"/>
          <w:rtl w:val="true"/>
          <w:lang w:bidi="ar-SA"/>
        </w:rPr>
        <w:t>، كما إذا كان المصلي بطرف الجدول، ففي هذا الموضع لم يكن في الإزالة مشقة مع عدم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يقتصر في الحكم المخالف للأصل على القدر الثابت،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لم يكن الدم منقطعاً لو كان فيه مشقة والأحوط من ذلك هو ما لم يكن الدم منقطعاً وكان فيه مشقة</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3967886_2870459653"/>
      <w:bookmarkStart w:id="122" w:name="_Toc42"/>
      <w:bookmarkEnd w:id="121"/>
      <w:r>
        <w:rPr>
          <w:rtl w:val="true"/>
        </w:rPr>
        <w:t>[</w:t>
      </w:r>
      <w:r>
        <w:rPr>
          <w:rtl w:val="true"/>
        </w:rPr>
        <w:t>حكم الدم الخارج عن المعتاد</w:t>
      </w:r>
      <w:r>
        <w:rPr>
          <w:rtl w:val="true"/>
        </w:rPr>
        <w:t>]</w:t>
      </w:r>
      <w:bookmarkEnd w:id="122"/>
    </w:p>
    <w:p>
      <w:pPr>
        <w:pStyle w:val="BookText"/>
        <w:rPr/>
      </w:pPr>
      <w:r>
        <w:rPr>
          <w:rFonts w:ascii="Amiri" w:hAnsi="Amiri" w:eastAsia="Amiri" w:cs="Amiri"/>
          <w:color w:val="111111"/>
          <w:sz w:val="28"/>
          <w:sz w:val="28"/>
          <w:szCs w:val="28"/>
          <w:rtl w:val="true"/>
          <w:lang w:bidi="ar-SA"/>
        </w:rPr>
        <w:t>ثمّ على تقدير العفو هل يحكم بالعفو ولو كان خارجاً عن المعتاد أم لا؟</w:t>
      </w:r>
    </w:p>
    <w:p>
      <w:pPr>
        <w:pStyle w:val="BookText"/>
        <w:rPr/>
      </w:pPr>
      <w:r>
        <w:rPr>
          <w:rFonts w:ascii="Amiri" w:hAnsi="Amiri" w:eastAsia="Amiri" w:cs="Amiri"/>
          <w:color w:val="111111"/>
          <w:sz w:val="28"/>
          <w:sz w:val="28"/>
          <w:szCs w:val="28"/>
          <w:rtl w:val="true"/>
          <w:lang w:bidi="ar-SA"/>
        </w:rPr>
        <w:t xml:space="preserve">ظاهر بعض الأخبار الإطلاق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وثيابه وجلده مملؤة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 لكن يمكن دعوى ورود السؤال والجواب في مورد الغالب والغالب عدم التعدي إلى غير المعتاد</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3967888_2870459653"/>
      <w:bookmarkStart w:id="124" w:name="_Toc43"/>
      <w:bookmarkEnd w:id="123"/>
      <w:r>
        <w:rPr>
          <w:rtl w:val="true"/>
        </w:rPr>
        <w:t>[</w:t>
      </w:r>
      <w:r>
        <w:rPr>
          <w:rtl w:val="true"/>
        </w:rPr>
        <w:t xml:space="preserve">حكم ملاقي الدم المعفو عنه </w:t>
      </w:r>
      <w:r>
        <w:rPr>
          <w:rtl w:val="true"/>
        </w:rPr>
        <w:t>]</w:t>
      </w:r>
      <w:bookmarkEnd w:id="124"/>
    </w:p>
    <w:p>
      <w:pPr>
        <w:pStyle w:val="BookText"/>
        <w:rPr/>
      </w:pPr>
      <w:r>
        <w:rPr>
          <w:rFonts w:ascii="Amiri" w:hAnsi="Amiri" w:eastAsia="Amiri" w:cs="Amiri"/>
          <w:color w:val="111111"/>
          <w:sz w:val="28"/>
          <w:sz w:val="28"/>
          <w:szCs w:val="28"/>
          <w:rtl w:val="true"/>
          <w:lang w:bidi="ar-SA"/>
        </w:rPr>
        <w:t>وأيضاً على تقدير العفو هل يعفى عن المتنجس بذلك أم لا؟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اشكال من أنّ حكم النجاسة إنّما يسري من النجس إلى المتنجس، ومن أنّهم قالوا في غير هذا الدم يعفى عما دون الدرهم إذا كان دما دون ما إذا وقع ماء وكان المجموع أقل من الدرهم، ولم يقولوا بالعفو عنها؛ إلا أنه تدل الأخبار على العفو عن الدم وذلك لا يخرجه عن الدم؛ ولأنّ ذلك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غالباً للعرق والقيح المخلوط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معفو عنه ببعض الأخبار </w:t>
      </w:r>
      <w:r>
        <w:rPr>
          <w:rStyle w:val="FootnoteAnchor"/>
          <w:rtl w:val="true"/>
        </w:rPr>
        <w:footnoteReference w:id="268"/>
      </w:r>
      <w:r>
        <w:rPr>
          <w:rFonts w:ascii="Amiri" w:hAnsi="Amiri" w:eastAsia="Amiri" w:cs="Amiri"/>
          <w:color w:val="111111"/>
          <w:sz w:val="28"/>
          <w:sz w:val="28"/>
          <w:szCs w:val="28"/>
          <w:rtl w:val="true"/>
          <w:lang w:bidi="ar-SA"/>
        </w:rPr>
        <w:t xml:space="preserve">، فلا بُدَّ أن يسلموا بالعفو في غيره؛ لعدم الفرق وأنّه لو لم يكن الحكم بالعفو هنا لزم أن يرتفع حكم العفو عن هذا الدم غالباً؛ لعدم انفكاكها غالباً من العرق خصوصاً في الصيف، على أنّ إطلاق الأخبار بالعفو على عدم انفكاكها عن العرق والحال أن السؤال والجواب عن الأفراد المتعارفة لا </w:t>
      </w:r>
      <w:bookmarkStart w:id="125" w:name="pg9203_87098"/>
    </w:p>
    <w:p>
      <w:pPr>
        <w:pStyle w:val="BookText"/>
        <w:rPr/>
      </w:pPr>
      <w:bookmarkEnd w:id="125"/>
      <w:r>
        <w:rPr>
          <w:rFonts w:ascii="Amiri" w:hAnsi="Amiri" w:eastAsia="Amiri" w:cs="Amiri"/>
          <w:color w:val="111111"/>
          <w:sz w:val="28"/>
          <w:sz w:val="28"/>
          <w:szCs w:val="28"/>
          <w:rtl w:val="true"/>
          <w:lang w:bidi="ar-SA"/>
        </w:rPr>
        <w:t>الفرد النادر الذي لا يكاد وقوعه يحكم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متعلّق بالسابق وهو أن الرواية السابقة المعللة بأنه لا يستطيع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الشيء هو أنّه يمكن أن يستفاد من التعليل أن ما هو المناط والسبب في جواز الصلاة في هذا الدم هو عدم استطاعة غسله كل ساعة أي كل صلاة استطاع في مجموع اليوم والليلة مرتين أو مرة، ويمكن الإزالة بهذا المقدار لوجب بهذا المقدار والازالة بهذا المقدار فلو زاد الدم عن هذا المقدار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 الإزالة إلّا بغسل ثلاث مرات أو أربع فالعفو فيه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هذا ليس من باب مفهوم التعليل حتى يدفع بأن مفهوم التعليل ليس بحجّة بل من باب الحصر في مقام البيان، فإنّ المفهوم من حصر العلة في مقام بيان العلة والاقتصار فيه بأنّ العلة في العفو هي ذلك لا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علمت ذلك كله فإعلم أنّه لا يمكن قطع النظر عن الإطلاقات التي رأيتها بمجرد هذه المقربات والمبعدات</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3967890_2870459653"/>
      <w:bookmarkStart w:id="127" w:name="_Toc44"/>
      <w:bookmarkEnd w:id="126"/>
      <w:r>
        <w:rPr>
          <w:rtl w:val="true"/>
        </w:rPr>
        <w:t>[</w:t>
      </w:r>
      <w:r>
        <w:rPr>
          <w:rtl w:val="true"/>
        </w:rPr>
        <w:t>في أنَّ الحكم بالعفو مختص بالدم المجتمع أو يعم المتفرق ؟</w:t>
      </w:r>
      <w:r>
        <w:rPr>
          <w:rtl w:val="true"/>
        </w:rPr>
        <w:t>]</w:t>
      </w:r>
      <w:bookmarkEnd w:id="127"/>
    </w:p>
    <w:p>
      <w:pPr>
        <w:pStyle w:val="BookText"/>
        <w:rPr/>
      </w:pPr>
      <w:r>
        <w:rPr>
          <w:rFonts w:ascii="Amiri" w:hAnsi="Amiri" w:eastAsia="Amiri" w:cs="Amiri"/>
          <w:color w:val="111111"/>
          <w:sz w:val="28"/>
          <w:sz w:val="28"/>
          <w:szCs w:val="28"/>
          <w:rtl w:val="true"/>
          <w:lang w:bidi="ar-SA"/>
        </w:rPr>
        <w:t xml:space="preserve">وعفي أيضاً عما دون الدرهم من الدم إذا كان مجتمعاً وفي المتفرق خلاف، فههنا مقامات لا بد أن نتكلم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المقدار الذي عُفي عنه ماذا؟ هل هو قدر الدرهم أو ما دونه؟ وسيأتي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المقدار الذي عفي عنه في الصلاة سواءً كان قدر الدرهم أو أقله، هل هو مختص بالدم المجتمع الفعلي أو يكون أعم منه ومن المجتمع الشأني كالمتفرق؟</w:t>
      </w:r>
    </w:p>
    <w:p>
      <w:pPr>
        <w:pStyle w:val="BookText"/>
        <w:rPr/>
      </w:pPr>
      <w:r>
        <w:rPr>
          <w:rFonts w:ascii="Amiri" w:hAnsi="Amiri" w:eastAsia="Amiri" w:cs="Amiri"/>
          <w:color w:val="111111"/>
          <w:sz w:val="28"/>
          <w:sz w:val="28"/>
          <w:szCs w:val="28"/>
          <w:rtl w:val="true"/>
          <w:lang w:bidi="ar-SA"/>
        </w:rPr>
        <w:t>ولا بد في تعيين ذلك المطلب الرجوع إلى الأخبار حتى نفهم المراد منها، وقبل الشروع في الأخبار لا بُدَّ أن نتبين الأصل؛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المستفاد من العمومات الأولية؛ وجوب إزالة الدم مطلقاً في </w:t>
      </w:r>
    </w:p>
    <w:p>
      <w:pPr>
        <w:pStyle w:val="BookText"/>
        <w:rPr/>
      </w:pPr>
      <w:r>
        <w:rPr>
          <w:rFonts w:ascii="Amiri" w:hAnsi="Amiri" w:eastAsia="Amiri" w:cs="Amiri"/>
          <w:color w:val="111111"/>
          <w:sz w:val="28"/>
          <w:sz w:val="28"/>
          <w:szCs w:val="28"/>
          <w:rtl w:val="true"/>
          <w:lang w:bidi="ar-SA"/>
        </w:rPr>
        <w:t xml:space="preserve">حال الصلاة، وهنا عمومات أخر تدل على عدم العفو عن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سواءً كان مجتمعاً أو متفرقاً، فإنّ استفدنا من الأخبار الدالّة على العفو عن مقدار الدرهم العموم وعدم الإجمال فيها بسبب الاستثناء رتب </w:t>
      </w:r>
      <w:r>
        <w:rPr>
          <w:rStyle w:val="FootnoteAnchor"/>
          <w:rtl w:val="true"/>
        </w:rPr>
        <w:footnoteReference w:id="269"/>
      </w:r>
      <w:r>
        <w:rPr>
          <w:rFonts w:ascii="Amiri" w:hAnsi="Amiri" w:eastAsia="Amiri" w:cs="Amiri"/>
          <w:color w:val="111111"/>
          <w:sz w:val="28"/>
          <w:sz w:val="28"/>
          <w:szCs w:val="28"/>
          <w:rtl w:val="true"/>
          <w:lang w:bidi="ar-SA"/>
        </w:rPr>
        <w:t xml:space="preserve">الواردة فيها ؛ فتعارض مع العمومات الدالة على عدم العفو عن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الدرهم سواءً كان مجتمعاً أو متفرقاً؛ لأنّ العمومات الأولية تقول بالعفو عن الدم المتفرق مطلقاً، والثانية تقول بعدم العفو عن أكثر من مقدار الدرهم سواءً كان مجتمعاً أو متفرقاً؛ فلا بُدَّ أن ينظر إلى المرجحات فإن لم يكن مرجح لأحدهما فتطرح كل منها فيرجع إلى العمومات الأولية</w:t>
      </w:r>
    </w:p>
    <w:p>
      <w:pPr>
        <w:pStyle w:val="BookText"/>
        <w:rPr/>
      </w:pPr>
      <w:r>
        <w:rPr>
          <w:rFonts w:ascii="Amiri" w:hAnsi="Amiri" w:eastAsia="Amiri" w:cs="Amiri"/>
          <w:color w:val="111111"/>
          <w:sz w:val="28"/>
          <w:sz w:val="28"/>
          <w:szCs w:val="28"/>
          <w:rtl w:val="true"/>
          <w:lang w:bidi="ar-SA"/>
        </w:rPr>
        <w:t>المانعة عن مطلق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لا بد أن نذكر بعض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دم البراغيث؟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يكثر ويتفاحش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يكون في ثوبه نقط الدم ولا يعلم به ثمّ يعلم فينسى أن يغسله فيصلي ثمّ يذكر بعدما صلّى أيعيد صلاته؟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يغسله ولا يعيد صلاته إلّا أن يكون مقدار الدرهم مجتمعاً فيغسله ويعيد الصلاة</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جميل بن دراج عن بعض أصحابنا عن أبي جعفر وأبي عبد الله علیهم السلام ، انهما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يصلي الرجل في الثوب وفيه الدم متفرقاً شبه النضح، وإن كان قد رآه صاحبه قبل ذلك فلا بأس به، ما لم يكن مجتمعاً قدر الدرهم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الخبر الأول يحتمل أن يكون خبراً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يكون خبراً بعد خبر له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الضمير الراجع إلى الدم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ويحتمل أن يكون حالاً، فالضمير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 الثاني إما أن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الدم باعتبار النقط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تقدير كونه خبراً لا بُدَّ أن يقدر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يربط الجملة بالسابقة، وعلى ذلك التقدير وتقدير كونه خبراً بعد خبر لا يبعد ظهوره في الاجتماع الفعلي؛ فلا يدلّ على حكم الاجتماع الشأني؛ ولا يفرق في ذلك أن الضمير راجع إلى النقط أو إلى الدم، ولا ينافي كون السؤال عن النقط والجواب مطابق للسؤال، فيكون مراد الإمام علیه السلام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الدم الذي تفرق في الثوب لا بأس به ما لم يكن حال اجتماعه قدر الدرهم؛ لأنّ السؤال كأنه من شيئين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باعتبار مجموعه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كل منهما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الإمام عليه علیه السلام عن الأول بأنه لا بأس به، إلّا في الثاني إذا كان قدر الدرهم أو 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إنا لو سلّمنا كون السؤال عن النقط بالاعتبار الأول؛ فلا يبعد فيه أن يجيب عنه بعنوان الكلية بأنّ يبين أنّ حكم مطلق الدم أن أكثر من قدرِ الدرهم فيه مضر إذا كان مجتمعا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الحالية كما هو الأظهر، إما أن يكون 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أو يكون العامل فيه هو معنى الفعل المستفاد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الدرهم أي يساوي الدرهم مجتمعاً؛ وذلك باعتبار أنّ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فيها دلالة على الحدث وإنّما تدل على مجرد الربط والزمان </w:t>
      </w:r>
      <w:r>
        <w:rPr>
          <w:rStyle w:val="FootnoteAnchor"/>
          <w:rtl w:val="true"/>
        </w:rPr>
        <w:footnoteReference w:id="272"/>
      </w:r>
      <w:r>
        <w:rPr>
          <w:rFonts w:ascii="Amiri" w:hAnsi="Amiri" w:eastAsia="Amiri" w:cs="Amiri"/>
          <w:color w:val="111111"/>
          <w:sz w:val="28"/>
          <w:sz w:val="28"/>
          <w:szCs w:val="28"/>
          <w:rtl w:val="true"/>
          <w:lang w:bidi="ar-SA"/>
        </w:rPr>
        <w:t>فلا يصلح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إما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أو الناقصة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امّا أن يكون الضمير راجعاً إلى النقط أو إلى الدم أو إلى الدم </w:t>
      </w:r>
    </w:p>
    <w:p>
      <w:pPr>
        <w:pStyle w:val="BookText"/>
        <w:rPr/>
      </w:pPr>
      <w:r>
        <w:rPr>
          <w:rFonts w:ascii="IRNazanin" w:hAnsi="IRNazanin" w:eastAsia="IRNazanin"/>
          <w:color w:val="111111"/>
          <w:sz w:val="28"/>
          <w:sz w:val="28"/>
          <w:szCs w:val="28"/>
          <w:rtl w:val="true"/>
          <w:lang w:bidi="fa-IR"/>
        </w:rPr>
        <w:t xml:space="preserve">باعتبار النقط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تقدير إما أن يكون الحال مبيناً لوقت النسبة المذكورة في الكلام فيكون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قائماً كون زيد وقت القيام، وتصدق زيد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التصدق منه مقيد بوقت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الحال مبيناً لحالة الفعل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صدور الفعل في تلك الحالة لا غير ووقت النسبة هو الوقت المذكور إن كانت مذكورة، وإلا فهو الحال فمعنى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زيد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التصدق منه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تكون الحال محققة لا مقدرة؛ لأنّ المقدرة هي التي يكون زمانها مغايراً لزمان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من التقديرين المذكورين يكون وقت الحال متحداً مع زمان العامل غاية الأمر أن يكون الوقت في أحدهما هي الحال، وفي الثاني وقت وقوع الحال من فاعلها، ولا يبعد كون الظاهر من القسمين هو الثاني؛ لظهور الفعلية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زيد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كلام النحاة</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ما يبين هيئة الفاعل والمفعول، ولم ينكر كونها قيداً ووقتاً للعامل والنسبة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ذلك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مجتمعاً على تقدير الحالية يكون معنى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الدم لا يضرُّ إلّا أن يكون مقدار الدرهم والحال أنّه مجتمع، لا أن معنى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يكون مقدار الدرهم في حال الاجتماع ووقت الاجتماع</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الدم يساوي الدرهم الآن في حال كونه مجتمعاً، وعلى ذلك التقريب لا يفرق كثيراً بين كون عامل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المعنى المستفاد من مقدار الدرهم كما لا يفرق بين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أو الناقصة، ولا يفرق أيضاً بين كون الضمير </w:t>
      </w:r>
      <w:bookmarkStart w:id="128" w:name="pg9203_87102"/>
    </w:p>
    <w:p>
      <w:pPr>
        <w:pStyle w:val="BookText"/>
        <w:rPr/>
      </w:pPr>
      <w:bookmarkEnd w:id="128"/>
      <w:r>
        <w:rPr>
          <w:rFonts w:ascii="Amiri" w:hAnsi="Amiri" w:eastAsia="Amiri" w:cs="Amiri"/>
          <w:color w:val="111111"/>
          <w:sz w:val="28"/>
          <w:sz w:val="28"/>
          <w:szCs w:val="28"/>
          <w:rtl w:val="true"/>
          <w:lang w:bidi="ar-SA"/>
        </w:rPr>
        <w:t>راجعاً إلى النقط أو إلى الدم؛ لأنه على تقدير رجوعه إلى النقط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تلك النقط إلا إذا كان مقدار الدرهم في الحال في حالة الاجتماع، على أنّ إرجاع الضمير إلى النقط خلاف الظاهر بحسب قواعد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المراد هو الاجتماع الفعلي لا الاجتماع التقديري، وإن بقي لك شك فراجع الخبر الثاني فإنّه أظهر من ذلك من اعتبار الاجتماع الفعلي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مجتمعاً في الخبر الثاني أيضاً يحتمل وجوهاً؛ يحتمل أن يكون حالاً والخبر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الدرهم، وبالجملة فالظهور في الخبرين سيما في الخبر الثاني مما لا ريب فيه</w:t>
      </w:r>
      <w:r>
        <w:rPr>
          <w:rFonts w:eastAsia="IRNazanin" w:cs="IRNazanin"/>
          <w:color w:val="111111"/>
          <w:sz w:val="28"/>
          <w:szCs w:val="28"/>
          <w:rtl w:val="true"/>
          <w:lang w:bidi="fa-IR"/>
        </w:rPr>
        <w:t>.</w:t>
      </w:r>
    </w:p>
    <w:p>
      <w:pPr>
        <w:pStyle w:val="Heading2"/>
        <w:numPr>
          <w:ilvl w:val="1"/>
          <w:numId w:val="1"/>
        </w:numPr>
        <w:rPr/>
      </w:pPr>
      <w:bookmarkStart w:id="129" w:name="__RefHeading___Toc3967892_2870459653"/>
      <w:bookmarkStart w:id="130" w:name="_Toc45"/>
      <w:bookmarkEnd w:id="129"/>
      <w:r>
        <w:rPr>
          <w:rtl w:val="true"/>
        </w:rPr>
        <w:t xml:space="preserve">[ </w:t>
      </w:r>
      <w:r>
        <w:rPr>
          <w:rtl w:val="true"/>
        </w:rPr>
        <w:t>الدم المعفو عنه هو ما دون قدر الدرهم</w:t>
      </w:r>
      <w:r>
        <w:rPr>
          <w:rtl w:val="true"/>
        </w:rPr>
        <w:t>]</w:t>
      </w:r>
      <w:bookmarkEnd w:id="130"/>
    </w:p>
    <w:p>
      <w:pPr>
        <w:pStyle w:val="BookText"/>
        <w:rPr/>
      </w:pPr>
      <w:r>
        <w:rPr>
          <w:rFonts w:ascii="Amiri" w:hAnsi="Amiri" w:eastAsia="Amiri" w:cs="Amiri"/>
          <w:color w:val="111111"/>
          <w:sz w:val="28"/>
          <w:sz w:val="28"/>
          <w:szCs w:val="28"/>
          <w:rtl w:val="true"/>
          <w:lang w:bidi="ar-SA"/>
        </w:rPr>
        <w:t>وأما الكلام في أنّ المعفو عنه مقدار الدرهم أو ما دونه؟</w:t>
      </w:r>
    </w:p>
    <w:p>
      <w:pPr>
        <w:pStyle w:val="BookText"/>
        <w:rPr/>
      </w:pPr>
      <w:r>
        <w:rPr>
          <w:rFonts w:ascii="IRNazanin" w:hAnsi="IRNazanin" w:eastAsia="IRNazanin"/>
          <w:color w:val="111111"/>
          <w:sz w:val="28"/>
          <w:sz w:val="28"/>
          <w:szCs w:val="28"/>
          <w:rtl w:val="true"/>
          <w:lang w:bidi="fa-IR"/>
        </w:rPr>
        <w:t xml:space="preserve">والمشهور </w:t>
      </w:r>
      <w:r>
        <w:rPr>
          <w:rStyle w:val="FootnoteAnchor"/>
          <w:rtl w:val="true"/>
        </w:rPr>
        <w:footnoteReference w:id="274"/>
      </w:r>
      <w:r>
        <w:rPr>
          <w:rFonts w:ascii="Amiri" w:hAnsi="Amiri" w:eastAsia="Amiri" w:cs="Amiri"/>
          <w:color w:val="111111"/>
          <w:sz w:val="28"/>
          <w:sz w:val="28"/>
          <w:szCs w:val="28"/>
          <w:rtl w:val="true"/>
          <w:lang w:bidi="ar-SA"/>
        </w:rPr>
        <w:t>هو الثاني، وبعض الأخبار أيضاً تدلّ عليه؛ لكن بعض آخر من الأخبار يدلّ على خلاف ذلك في بادئ النظر إلّا أنّ هذه مختلفة المفاد؛ لأنّ دلالتها على الأول بالمفهوم، والمفهوم من صدر واحد منها مناقض لمفهوم ذيله، فلا دلالة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بالأكثر المذكور فيه هو قدر الدرهم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حيث أُريد الاثنتين وما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حد المكاري الذي لا يقيم أكثر من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الأخبار مسوقة لبيان حال الغالب، والغالب في الدم المتخلّف في الثوب بحسب اعتقاد الناظر إما أكثر أو أقلّ، وأما كونه بقدر الدرهم فنادر فسيق الأخبار لبيان حال الغالب ولم يتعرض لحال قدر الدرهم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 يعارض هذه الأخبار السابقة مع اعتضادها بالشهرة واعتبار السند وموافقتها للعمومات الدالة على وجوب إزالة النجاسة في الصلاة</w:t>
      </w:r>
      <w:r>
        <w:rPr>
          <w:rFonts w:eastAsia="Amiri" w:cs="Amiri" w:ascii="Amiri" w:hAnsi="Amiri"/>
          <w:color w:val="111111"/>
          <w:sz w:val="28"/>
          <w:szCs w:val="28"/>
          <w:rtl w:val="true"/>
          <w:lang w:bidi="ar-SA"/>
        </w:rPr>
        <w:t xml:space="preserve">. </w:t>
      </w:r>
      <w:bookmarkStart w:id="131" w:name="pg9203_87103"/>
    </w:p>
    <w:p>
      <w:pPr>
        <w:pStyle w:val="Heading2"/>
        <w:numPr>
          <w:ilvl w:val="1"/>
          <w:numId w:val="1"/>
        </w:numPr>
        <w:rPr/>
      </w:pPr>
      <w:bookmarkStart w:id="132" w:name="__RefHeading___Toc3967894_2870459653"/>
      <w:bookmarkStart w:id="133" w:name="_Toc46"/>
      <w:bookmarkEnd w:id="131"/>
      <w:bookmarkEnd w:id="132"/>
      <w:r>
        <w:rPr>
          <w:rtl w:val="true"/>
        </w:rPr>
        <w:t>[</w:t>
      </w:r>
      <w:r>
        <w:rPr>
          <w:rtl w:val="true"/>
        </w:rPr>
        <w:t>تعيين مقدار الدرهم</w:t>
      </w:r>
      <w:r>
        <w:rPr>
          <w:rtl w:val="true"/>
        </w:rPr>
        <w:t>]</w:t>
      </w:r>
      <w:bookmarkEnd w:id="133"/>
    </w:p>
    <w:p>
      <w:pPr>
        <w:pStyle w:val="BookText"/>
        <w:rPr/>
      </w:pPr>
      <w:r>
        <w:rPr>
          <w:rFonts w:ascii="Amiri" w:hAnsi="Amiri" w:eastAsia="Amiri" w:cs="Amiri"/>
          <w:color w:val="111111"/>
          <w:sz w:val="28"/>
          <w:sz w:val="28"/>
          <w:szCs w:val="28"/>
          <w:rtl w:val="true"/>
          <w:lang w:bidi="ar-SA"/>
        </w:rPr>
        <w:t xml:space="preserve">وأمّا الكلام في تعيين مقدار الدرهم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بحسب الوزن، والظاهر كونه ثمانية دوانيق كما يظهر من ملاحظة كلمات الأصحاب</w:t>
      </w:r>
      <w:r>
        <w:rPr>
          <w:rStyle w:val="FootnoteAnchor"/>
          <w:rtl w:val="true"/>
        </w:rPr>
        <w:footnoteReference w:id="276"/>
      </w:r>
      <w:r>
        <w:rPr>
          <w:rFonts w:ascii="IRNazanin" w:hAnsi="IRNazanin" w:eastAsia="IRNazanin"/>
          <w:color w:val="111111"/>
          <w:sz w:val="28"/>
          <w:sz w:val="28"/>
          <w:szCs w:val="28"/>
          <w:rtl w:val="true"/>
          <w:lang w:bidi="fa-IR"/>
        </w:rPr>
        <w:t>وبعض الأخبار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بحسب المساحة كما هو المعتبر في العفو؛ فغير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ابن إدريس رحمه اللهأنّه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بقدر أخمص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وشاهدتُ واحداً منها</w:t>
      </w:r>
      <w:r>
        <w:rPr>
          <w:rStyle w:val="FootnoteAnchor"/>
          <w:rtl w:val="true"/>
        </w:rPr>
        <w:footnoteReference w:id="278"/>
      </w:r>
      <w:r>
        <w:rPr>
          <w:rFonts w:ascii="IRNazanin" w:hAnsi="IRNazanin" w:eastAsia="IRNazanin"/>
          <w:color w:val="111111"/>
          <w:sz w:val="28"/>
          <w:sz w:val="28"/>
          <w:szCs w:val="28"/>
          <w:rtl w:val="true"/>
          <w:lang w:bidi="fa-IR"/>
        </w:rPr>
        <w:t>وهو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ليس رؤيته كذلك دليلا على اعتبار هذا المقدار، وكون هذا المقدار مقداراً له في زمان صدور الحكم؛ إذ لعلّ ذلك حدث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فلا بُدَّ من الاقتصار على القدر المتيقن بمقتضى العمومات واشتغال الذمة، ولا يبعد كونه بقدر الدنانير المتداولة في هذا الزمان</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عند الفقهاء التعبير عنه بالدرهم البغلي، وسبب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أنّه منسوب إلى قرية بالجامعين، وأمّا أنّه منسوب إلى رأس البغل، وهو الذي ضربه الثاني في ولايته</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تقدمها، وانما التسمية حادثة، فالرجوع إلى المنقول أولى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9203_87104"/>
    </w:p>
    <w:p>
      <w:pPr>
        <w:pStyle w:val="Heading2"/>
        <w:numPr>
          <w:ilvl w:val="1"/>
          <w:numId w:val="1"/>
        </w:numPr>
        <w:rPr/>
      </w:pPr>
      <w:bookmarkStart w:id="135" w:name="__RefHeading___Toc3967896_2870459653"/>
      <w:bookmarkStart w:id="136" w:name="_Toc47"/>
      <w:bookmarkEnd w:id="134"/>
      <w:bookmarkEnd w:id="135"/>
      <w:r>
        <w:rPr>
          <w:rtl w:val="true"/>
        </w:rPr>
        <w:t xml:space="preserve">[ </w:t>
      </w:r>
      <w:r>
        <w:rPr>
          <w:rtl w:val="true"/>
        </w:rPr>
        <w:t>استثناء دم الحيض والنفاس والإستحاضة</w:t>
      </w:r>
      <w:r>
        <w:rPr>
          <w:rtl w:val="true"/>
        </w:rPr>
        <w:t>]</w:t>
      </w:r>
      <w:bookmarkEnd w:id="136"/>
    </w:p>
    <w:p>
      <w:pPr>
        <w:pStyle w:val="BookText"/>
        <w:rPr/>
      </w:pPr>
      <w:r>
        <w:rPr>
          <w:rFonts w:ascii="Amiri" w:hAnsi="Amiri" w:eastAsia="Amiri" w:cs="Amiri"/>
          <w:color w:val="111111"/>
          <w:sz w:val="28"/>
          <w:sz w:val="28"/>
          <w:szCs w:val="28"/>
          <w:rtl w:val="true"/>
          <w:lang w:bidi="ar-SA"/>
        </w:rPr>
        <w:t>واستثني من هذا الدم المعفو دم الحيض إجماعاً</w:t>
      </w:r>
      <w:r>
        <w:rPr>
          <w:rStyle w:val="FootnoteAnchor"/>
          <w:rtl w:val="true"/>
        </w:rPr>
        <w:footnoteReference w:id="281"/>
      </w:r>
      <w:r>
        <w:rPr>
          <w:rFonts w:ascii="Amiri" w:hAnsi="Amiri" w:eastAsia="Amiri" w:cs="Amiri"/>
          <w:color w:val="111111"/>
          <w:sz w:val="28"/>
          <w:sz w:val="28"/>
          <w:szCs w:val="28"/>
          <w:rtl w:val="true"/>
          <w:lang w:bidi="ar-SA"/>
        </w:rPr>
        <w:t xml:space="preserve">، وللخبر الوارد فيه بخصوصه </w:t>
      </w:r>
      <w:r>
        <w:rPr>
          <w:rStyle w:val="FootnoteAnchor"/>
          <w:rtl w:val="true"/>
        </w:rPr>
        <w:footnoteReference w:id="282"/>
      </w:r>
      <w:r>
        <w:rPr>
          <w:rFonts w:ascii="Amiri" w:hAnsi="Amiri" w:eastAsia="Amiri" w:cs="Amiri"/>
          <w:color w:val="111111"/>
          <w:sz w:val="28"/>
          <w:sz w:val="28"/>
          <w:szCs w:val="28"/>
          <w:rtl w:val="true"/>
          <w:lang w:bidi="ar-SA"/>
        </w:rPr>
        <w:t>، وألحقوا به دم الاستحاضة ودم النفاس، ولا بأس به بعد الإجماعات المحكية وعدم عموم في الأخبار حتى تشملها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دم النفاس بخصوصه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حيض محتبس</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وموافقته للعمومات الدالة على المنع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بعضُ </w:t>
      </w:r>
      <w:r>
        <w:rPr>
          <w:rStyle w:val="FootnoteAnchor"/>
          <w:rtl w:val="true"/>
        </w:rPr>
        <w:footnoteReference w:id="284"/>
      </w:r>
      <w:r>
        <w:rPr>
          <w:rFonts w:ascii="Amiri" w:hAnsi="Amiri" w:eastAsia="Amiri" w:cs="Amiri"/>
          <w:color w:val="111111"/>
          <w:sz w:val="28"/>
          <w:sz w:val="28"/>
          <w:szCs w:val="28"/>
          <w:rtl w:val="true"/>
          <w:lang w:bidi="ar-SA"/>
        </w:rPr>
        <w:t>دمَ نجس العين بها ولا بأس به؛ لأنه وإن لم يثبت فيه دليل بخصوصه إلّا أنّ أخبار العفو تدل على العفو من الدم من حيث إنّه دم، لا من حيث إنّه جزء نجس العين، وملاق لنجس العين فتدل الأخبار على العفو عن نجاسة الدم لا العفو عن نجس العين أو الميتة أو أنّه ملاق لنجس العين؛ لأنه لا يبعد كون ذلك سبباً لغلظة حكمه</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3967898_2870459653"/>
      <w:bookmarkStart w:id="138" w:name="_Toc48"/>
      <w:bookmarkEnd w:id="137"/>
      <w:r>
        <w:rPr>
          <w:rtl w:val="true"/>
        </w:rPr>
        <w:t xml:space="preserve">[ </w:t>
      </w:r>
      <w:r>
        <w:rPr>
          <w:rtl w:val="true"/>
        </w:rPr>
        <w:t>العفو عن نجاسة ما لا تتم فيه الصلاة</w:t>
      </w:r>
      <w:r>
        <w:rPr>
          <w:rtl w:val="true"/>
        </w:rPr>
        <w:t>]</w:t>
      </w:r>
      <w:bookmarkEnd w:id="138"/>
    </w:p>
    <w:p>
      <w:pPr>
        <w:pStyle w:val="BookText"/>
        <w:rPr/>
      </w:pPr>
      <w:r>
        <w:rPr>
          <w:rFonts w:ascii="Amiri" w:hAnsi="Amiri" w:eastAsia="Amiri" w:cs="Amiri"/>
          <w:color w:val="111111"/>
          <w:sz w:val="28"/>
          <w:sz w:val="28"/>
          <w:szCs w:val="28"/>
          <w:rtl w:val="true"/>
          <w:lang w:bidi="ar-SA"/>
        </w:rPr>
        <w:t>وكذا عفي عن نجاسة ما لا يتم فيه الصلاة، والكلام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الحكم مختص بما له شأنية اللبس أو يعمه وما ليس له هذه الشأنية كالحجر مثلاً؟</w:t>
      </w:r>
    </w:p>
    <w:p>
      <w:pPr>
        <w:pStyle w:val="BookText"/>
        <w:rPr/>
      </w:pPr>
      <w:r>
        <w:rPr>
          <w:rFonts w:ascii="Amiri" w:hAnsi="Amiri" w:eastAsia="Amiri" w:cs="Amiri"/>
          <w:color w:val="111111"/>
          <w:sz w:val="28"/>
          <w:sz w:val="28"/>
          <w:szCs w:val="28"/>
          <w:rtl w:val="true"/>
          <w:lang w:bidi="ar-SA"/>
        </w:rPr>
        <w:t>والثانية في أنّه هل يختص الحكم بالملابس الفعلية أو يعمها، والمحمولات إذا كانت من الملابس ولكن لم تلبس؟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عدم تمامية الصلاة فيه فعلاً أو يعمه والقوة القريبة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كونها في محالها أم لا يعتبر، بل يعتبر كونها ملبوسة سواءً كانت في محالها أم لا؟</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عدم تمامية الصلاة بالنسبة إلى الرجل خاصة حتى لو كان الشيء لا يتم فيه صلاة المرأة ولكن يتم فيه صلاة الرجل فليس بمعفو عنه أو يعتبر عدم التمامية بالنسبة إلى كل من الرجل والمرأة؟</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المعتبر في العفو مقدار خاص كالذراع مثلاً؟ والمذكور في الخبر من باب الكشف عنه ؟</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الشارع اعتبر مقداراً خاصاً ولاحظه فحكم بالعفو عنه، مثل ما لا يتم صلاة الرجل الضخم أو الرجل المتوسط أو لم يلاحظ مقداراً خاصاً بل حكم بالعفو عما لا يتم ، فإنّ كان يصلي رجلٌ ضخم فعدم النجاسة بالنسبة، وإن كان صغيراً أيضاً بحسبه؟</w:t>
      </w:r>
    </w:p>
    <w:p>
      <w:pPr>
        <w:pStyle w:val="BookText"/>
        <w:rPr/>
      </w:pP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العفو عما لا يتم مختص بالمتنجس أو يشمله والنجس حتى لو كان من ميتة أيضاً؟</w:t>
      </w:r>
    </w:p>
    <w:p>
      <w:pPr>
        <w:pStyle w:val="BookText"/>
        <w:rPr/>
      </w:pPr>
      <w:r>
        <w:rPr>
          <w:rFonts w:ascii="Amiri" w:hAnsi="Amiri" w:eastAsia="Amiri" w:cs="Amiri"/>
          <w:color w:val="111111"/>
          <w:sz w:val="28"/>
          <w:sz w:val="28"/>
          <w:szCs w:val="28"/>
          <w:rtl w:val="true"/>
          <w:lang w:bidi="ar-SA"/>
        </w:rPr>
        <w:t xml:space="preserve">والثامنة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من حيث الاشتباه بأنّ يعلم أنّ في لباسه نجاسة ولم يعلم أنّه فيما يتم أو ما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المسألة الجماعي في الجملة تحصيلاً ومنقولاً</w:t>
      </w:r>
      <w:r>
        <w:rPr>
          <w:rStyle w:val="FootnoteAnchor"/>
          <w:rtl w:val="true"/>
        </w:rPr>
        <w:footnoteReference w:id="285"/>
      </w:r>
      <w:r>
        <w:rPr>
          <w:rFonts w:ascii="Amiri" w:hAnsi="Amiri" w:eastAsia="Amiri" w:cs="Amiri"/>
          <w:color w:val="111111"/>
          <w:sz w:val="28"/>
          <w:sz w:val="28"/>
          <w:szCs w:val="28"/>
          <w:rtl w:val="true"/>
          <w:lang w:bidi="ar-SA"/>
        </w:rPr>
        <w:t>، فلا حاجة لنا إلى أدلّة أخرى لكن نذكر بعض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قول أحدهما علیهما السلام في موثق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كان لا تجوز فيه الصلاة وحده فلا بأس أن يكون عليه الشيء،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القلنسوة والتكة والجورب</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الصادق علیه السلام في مرسلة عبد الله بن سنان كل ما كان على الإنسان أو معه </w:t>
      </w:r>
    </w:p>
    <w:p>
      <w:pPr>
        <w:pStyle w:val="BookText"/>
        <w:rPr/>
      </w:pPr>
      <w:r>
        <w:rPr>
          <w:rFonts w:ascii="Amiri" w:hAnsi="Amiri" w:eastAsia="Amiri" w:cs="Amiri"/>
          <w:color w:val="111111"/>
          <w:sz w:val="28"/>
          <w:sz w:val="28"/>
          <w:szCs w:val="28"/>
          <w:rtl w:val="true"/>
          <w:lang w:bidi="ar-SA"/>
        </w:rPr>
        <w:t>مما لا تجوز الصلاة فيه وحده فلا بأس أن يصلي فيه وإن كان فيه قذر،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القلنسوة والتكة والكمرة والنعل والخفين وما أشبه ذلك</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وبذلك المضمون أخبار أخر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تجوز الصلاة فيه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شأنية الصلاة؛ لأنّ التقابل حقيقة تقابل العدم والملكة؛ لأنّ المفهوم من هذا اللفظ عند العرف هو ما له الشأنية المذكورة فلا تنصرف أذهانهم عند سماع هذا اللفظ إلى الحجر والجدار ، كما لا ينصرف من لفظ العمى إلّا ما له شأنية 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الاختصاص بما له شأنية اللبس لا مطلق ما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أيضاً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العفو ثابت عن الملبوس والمحمول؛ لأنّ ما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أو مطلق فيشملها، سيما بعد مرسل ابن سفيان، ولا يبعده الظرفية المستفادة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يصدق على المحمول أيضاً أنه صلّى فيه؛ لأنه ليس المراد الظرفية الحقيقية بل مطلق التلبس بالشيء كما يظهر من ملاحظة الأخبار والاستعمالات الواردة فيها في الصلاة في السيف والدملج وخرقة الحنّاء والصلاة في منديلك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نسلم أولاً كون المراد بما لا يتم الملبوس الفعلي بل المراد مطلق ما يلبس إلّا أنّ الظاهر أنّ هذه الأخبار كأنها استثناء من كلية المنع من نجاسة اللباس، ومنع ظهور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المحمول سيّما بعد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في الظرفية، ولا سيّما انصراف إطلاق النص ومعاقد الإجماعات إليه، وظهور هذه المذكورات في الروايات من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القلنسوة والجورب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لأنّها محمولة على الغالب، والغالب اللبس في الملبوس</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أنه هل المعتبر عدم التمامية في كلِّ على حسب حيثيته أو المعتبر عدم التمامية النوعية، بمعنى أنّ المذكورات في سياق الأخبار كواشف عن مقدار خاص اعتبره الشارع؟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أن يكون المعتبر هو الأول؛ لأنه هو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على الإنسان أو معه مما لا تجوز فيه الصلاة</w:t>
      </w:r>
      <w:r>
        <w:rPr>
          <w:rFonts w:eastAsia="IRNazanin" w:cs="IRNazanin"/>
          <w:color w:val="111111"/>
          <w:sz w:val="28"/>
          <w:szCs w:val="28"/>
          <w:rtl w:val="true"/>
          <w:lang w:bidi="fa-IR"/>
        </w:rPr>
        <w:t>»</w:t>
      </w:r>
      <w:r>
        <w:rPr>
          <w:rStyle w:val="FootnoteAnchor"/>
          <w:rtl w:val="true"/>
        </w:rPr>
        <w:footnoteReference w:id="289"/>
      </w:r>
      <w:r>
        <w:rPr>
          <w:rFonts w:ascii="Amiri" w:hAnsi="Amiri" w:eastAsia="Amiri" w:cs="Amiri"/>
          <w:color w:val="111111"/>
          <w:sz w:val="28"/>
          <w:sz w:val="28"/>
          <w:szCs w:val="28"/>
          <w:rtl w:val="true"/>
          <w:lang w:bidi="ar-SA"/>
        </w:rPr>
        <w:t>أي بالنسبة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فلو كان المراد ما لا يتم بالنسبة إلى الضخم أو إلى الصغير فلا بد أن تقيد الأخبار به سيّما بملاحظة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قلنسوتي وقعت في بول فأخذتها فوضعتها على رأسي ثمّ صليت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المعتبر معياراً خاصاً فلا بُدَّ أن يفصل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الظاهر من عدم تمامية الصلاة فيه هو الفعل والقوة القريبة؛ لأنّ القوة القريبة أيضاً في حكم الفعل، فيخرج ما لا يتم فيه الصلاة، ولكن يتم فيه الصلاة بالقوة القريبة من الفعل كالعمامة مثلاً؛ لأنها كثوب مطوي وملوي فإدخالها في هذا الحكم ليس في محلّه</w:t>
      </w:r>
      <w:r>
        <w:rPr>
          <w:rStyle w:val="FootnoteAnchor"/>
          <w:rtl w:val="true"/>
        </w:rPr>
        <w:footnoteReference w:id="291"/>
      </w:r>
      <w:r>
        <w:rPr>
          <w:rFonts w:ascii="Amiri" w:hAnsi="Amiri" w:eastAsia="Amiri" w:cs="Amiri"/>
          <w:color w:val="111111"/>
          <w:sz w:val="28"/>
          <w:sz w:val="28"/>
          <w:szCs w:val="28"/>
          <w:rtl w:val="true"/>
          <w:lang w:bidi="ar-SA"/>
        </w:rPr>
        <w:t xml:space="preserve">، ويدخل في هذا الحكم ما يتم فيه الصلاة بإخراجه عن أهلية اللبس كالقلنسوة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 أنّ ما لا يتم بالنسبة إلى الرجل والمرأة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يتم صلاة المرأة فيه معفو عنه أو مختص بما لا يتم فيه صلاة الرجل؟</w:t>
      </w:r>
    </w:p>
    <w:p>
      <w:pPr>
        <w:pStyle w:val="BookText"/>
        <w:rPr/>
      </w:pPr>
      <w:r>
        <w:rPr>
          <w:rFonts w:ascii="Amiri" w:hAnsi="Amiri" w:eastAsia="Amiri" w:cs="Amiri"/>
          <w:color w:val="111111"/>
          <w:sz w:val="28"/>
          <w:sz w:val="28"/>
          <w:szCs w:val="28"/>
          <w:rtl w:val="true"/>
          <w:lang w:bidi="ar-SA"/>
        </w:rPr>
        <w:t xml:space="preserve">وظاهر كلمات الأصحاب </w:t>
      </w:r>
      <w:r>
        <w:rPr>
          <w:rStyle w:val="FootnoteAnchor"/>
          <w:rtl w:val="true"/>
        </w:rPr>
        <w:footnoteReference w:id="292"/>
      </w:r>
      <w:r>
        <w:rPr>
          <w:rFonts w:ascii="Amiri" w:hAnsi="Amiri" w:eastAsia="Amiri" w:cs="Amiri"/>
          <w:color w:val="111111"/>
          <w:sz w:val="28"/>
          <w:sz w:val="28"/>
          <w:szCs w:val="28"/>
          <w:rtl w:val="true"/>
          <w:lang w:bidi="ar-SA"/>
        </w:rPr>
        <w:t>أنّ نجاسة ما لا يتم صلاة الرجل معفو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في استخراجه من الأخبار ؛ لأنّ الأخبار مطلقة بالنسبة إلى المرأة والرجل، فالتخصيص إما بأن نقيّد ما لا يتم بالرجل كما يظهر من كلمات بعضهم</w:t>
      </w:r>
      <w:r>
        <w:rPr>
          <w:rStyle w:val="FootnoteAnchor"/>
          <w:rtl w:val="true"/>
        </w:rPr>
        <w:footnoteReference w:id="293"/>
      </w:r>
      <w:r>
        <w:rPr>
          <w:rFonts w:ascii="Amiri" w:hAnsi="Amiri" w:eastAsia="Amiri" w:cs="Amiri"/>
          <w:color w:val="111111"/>
          <w:sz w:val="28"/>
          <w:sz w:val="28"/>
          <w:szCs w:val="28"/>
          <w:rtl w:val="true"/>
          <w:lang w:bidi="ar-SA"/>
        </w:rPr>
        <w:t>أو ما لا يتم بالنسبة إلى العورة المشتركة وعورة النظر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يتم الصلاة في حال من الأحوال اختياراً كان أو اضطراراً فعلى </w:t>
      </w:r>
      <w:bookmarkStart w:id="139" w:name="pg9203_87108"/>
    </w:p>
    <w:p>
      <w:pPr>
        <w:pStyle w:val="BookText"/>
        <w:rPr/>
      </w:pPr>
      <w:bookmarkEnd w:id="139"/>
      <w:r>
        <w:rPr>
          <w:rFonts w:ascii="Amiri" w:hAnsi="Amiri" w:eastAsia="Amiri" w:cs="Amiri"/>
          <w:color w:val="111111"/>
          <w:sz w:val="28"/>
          <w:sz w:val="28"/>
          <w:szCs w:val="28"/>
          <w:rtl w:val="true"/>
          <w:lang w:bidi="ar-SA"/>
        </w:rPr>
        <w:t>هذا مما لا يتم فيه الصلاة في جميع الأحوال هو أمثال المذكورات في الخبر لا مثل ثوبها الذي يستر عورة النظر وهي القبل والدبر ؛ لأنّه قد يتم به الصلاة كما إذا لم يوجد لها ملبوس غيره فإنّه يكتفى به في هذه الحالة وتصلي قائمةً</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3967900_2870459653"/>
      <w:bookmarkStart w:id="141" w:name="_Toc49"/>
      <w:bookmarkEnd w:id="140"/>
      <w:r>
        <w:rPr>
          <w:rtl w:val="true"/>
        </w:rPr>
        <w:t xml:space="preserve">[ </w:t>
      </w:r>
      <w:r>
        <w:rPr>
          <w:rtl w:val="true"/>
        </w:rPr>
        <w:t>اختصاص الحكم بالمتنجس</w:t>
      </w:r>
      <w:r>
        <w:rPr>
          <w:rtl w:val="true"/>
        </w:rPr>
        <w:t>]</w:t>
      </w:r>
      <w:bookmarkEnd w:id="141"/>
    </w:p>
    <w:p>
      <w:pPr>
        <w:pStyle w:val="BookText"/>
        <w:rPr/>
      </w:pPr>
      <w:r>
        <w:rPr>
          <w:rFonts w:ascii="Amiri" w:hAnsi="Amiri" w:eastAsia="Amiri" w:cs="Amiri"/>
          <w:color w:val="111111"/>
          <w:sz w:val="28"/>
          <w:sz w:val="28"/>
          <w:szCs w:val="28"/>
          <w:rtl w:val="true"/>
          <w:lang w:bidi="ar-SA"/>
        </w:rPr>
        <w:t>وأما الكلام في اختصاصه بالمتنجس أو يشمله والنجس أيضاً؟</w:t>
      </w:r>
    </w:p>
    <w:p>
      <w:pPr>
        <w:pStyle w:val="BookText"/>
        <w:rPr/>
      </w:pPr>
      <w:r>
        <w:rPr>
          <w:rFonts w:ascii="Amiri" w:hAnsi="Amiri" w:eastAsia="Amiri" w:cs="Amiri"/>
          <w:color w:val="111111"/>
          <w:sz w:val="28"/>
          <w:sz w:val="28"/>
          <w:szCs w:val="28"/>
          <w:rtl w:val="true"/>
          <w:lang w:bidi="ar-SA"/>
        </w:rPr>
        <w:t xml:space="preserve">فالظاهر من الأخبار هو الأول ؛ لأنّ مورد الأخبار كلها مختص بالمتنجس إذا أصابه القَذَر أو وقعت في بول، ولكن عمم بعض الأصحاب </w:t>
      </w:r>
      <w:r>
        <w:rPr>
          <w:rStyle w:val="FootnoteAnchor"/>
          <w:rtl w:val="true"/>
        </w:rPr>
        <w:footnoteReference w:id="294"/>
      </w:r>
      <w:r>
        <w:rPr>
          <w:rFonts w:ascii="Amiri" w:hAnsi="Amiri" w:eastAsia="Amiri" w:cs="Amiri"/>
          <w:color w:val="111111"/>
          <w:sz w:val="28"/>
          <w:sz w:val="28"/>
          <w:szCs w:val="28"/>
          <w:rtl w:val="true"/>
          <w:lang w:bidi="ar-SA"/>
        </w:rPr>
        <w:t>إلى النجس؛ لأنه يظهر من الأخبار أنّ نجاسته غير مانعةٍ أعمّ من أنّ تكون النجاسة عرضية أو ذاتية، ويشكل ذلك فيما إذا اجتمع في النجس 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النجاسة وحيثية كونه غير مأكول اللحم أو كونه جزءا من نجس العين أو ملاق له، فإنّ العفو إنما جاء عن حيثية الدم لا من فضلة </w:t>
      </w:r>
      <w:r>
        <w:rPr>
          <w:rStyle w:val="FootnoteAnchor"/>
          <w:rtl w:val="true"/>
        </w:rPr>
        <w:footnoteReference w:id="295"/>
      </w:r>
      <w:r>
        <w:rPr>
          <w:rFonts w:ascii="Amiri" w:hAnsi="Amiri" w:eastAsia="Amiri" w:cs="Amiri"/>
          <w:color w:val="111111"/>
          <w:sz w:val="28"/>
          <w:sz w:val="28"/>
          <w:szCs w:val="28"/>
          <w:rtl w:val="true"/>
          <w:lang w:bidi="ar-SA"/>
        </w:rPr>
        <w:t>غير مأكول اللحم أو نجس العين؛ إلّا أن يتمسك بإطلاق الأخبار، ولكن لا يخفى ما فيه من الوهن</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3967902_2870459653"/>
      <w:bookmarkStart w:id="143" w:name="_Toc50"/>
      <w:bookmarkEnd w:id="142"/>
      <w:r>
        <w:rPr>
          <w:rtl w:val="true"/>
        </w:rPr>
        <w:t xml:space="preserve">[ </w:t>
      </w:r>
      <w:r>
        <w:rPr>
          <w:rtl w:val="true"/>
        </w:rPr>
        <w:t>الشبهة المصداقية في المسائل الثلاث</w:t>
      </w:r>
      <w:r>
        <w:rPr>
          <w:rtl w:val="true"/>
        </w:rPr>
        <w:t>]</w:t>
      </w:r>
      <w:bookmarkEnd w:id="143"/>
    </w:p>
    <w:p>
      <w:pPr>
        <w:pStyle w:val="BookText"/>
        <w:rPr/>
      </w:pPr>
      <w:r>
        <w:rPr>
          <w:rFonts w:ascii="Amiri" w:hAnsi="Amiri" w:eastAsia="Amiri" w:cs="Amiri"/>
          <w:color w:val="111111"/>
          <w:sz w:val="28"/>
          <w:sz w:val="28"/>
          <w:szCs w:val="28"/>
          <w:rtl w:val="true"/>
          <w:lang w:bidi="ar-SA"/>
        </w:rPr>
        <w:t>والكلام في الشبهة المصداقية في المسائل الثلاث كلها، مثلاً حصل العلم بالدم ولكن لم يعلم أنه من القروح أو الجروح أو من غيره، أو شك في أنه قدر الدرهم أو أزيد، أو حصل بأن في ثيابي دماً ولكن لا أدري أنه هل يكون فيما لا يتم أو فيما يتم؟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w:t>
      </w:r>
      <w:r>
        <w:rPr>
          <w:rStyle w:val="FootnoteAnchor"/>
          <w:rtl w:val="true"/>
        </w:rPr>
        <w:footnoteReference w:id="296"/>
      </w:r>
      <w:r>
        <w:rPr>
          <w:rFonts w:ascii="Amiri" w:hAnsi="Amiri" w:eastAsia="Amiri" w:cs="Amiri"/>
          <w:color w:val="111111"/>
          <w:sz w:val="28"/>
          <w:sz w:val="28"/>
          <w:szCs w:val="28"/>
          <w:rtl w:val="true"/>
          <w:lang w:bidi="ar-SA"/>
        </w:rPr>
        <w:t xml:space="preserve">أنه في حكم المانع في مقام الشبهة، ولعله من باب أنّ المقتضي لعدم جواز الصلاة موجود وهو النجاسة بمقتضى العمومات، ولكن يشك في وجود </w:t>
      </w:r>
    </w:p>
    <w:p>
      <w:pPr>
        <w:pStyle w:val="BookText"/>
        <w:rPr/>
      </w:pPr>
      <w:r>
        <w:rPr>
          <w:rFonts w:ascii="Amiri" w:hAnsi="Amiri" w:eastAsia="Amiri" w:cs="Amiri"/>
          <w:color w:val="111111"/>
          <w:sz w:val="28"/>
          <w:sz w:val="28"/>
          <w:szCs w:val="28"/>
          <w:rtl w:val="true"/>
          <w:lang w:bidi="ar-SA"/>
        </w:rPr>
        <w:t>المانع وهو كونه من الجروح أو أقل من قدر الدرهم أو كونه فيما لا يتم، والأصل يتم، عدمه، فيكون المقتضي على اقتضائه، فيترتب أحكام عدم المانع لا الأحكام المحمولة على المقتضي؛ لأنه حينئذ يكون من قبيل الأصل المثبت، والحق خلافه؛ لأنه يترتب على هذا الأصل أحكام وجود المقتضي وهو عدم جواز الصلاة ويثبت 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في هذا المقام الحكم بالعفو؛ لاستصحاب بقاء الثوب على حالته السابقة من جواز الصلاة معه إلى أن يعلم المانع ، ويظهر من بعض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الاشتباه بين كونه من الدم المعفو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بالعفو؛ للقاعدة الجارية في مقام الشك بين كون الشيء من المحصور أو غيره وهي إلحاقه بغير المحصور؛ وذلك لكون غير المحصور أغلب والظَّنُ يلحق الشيء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يتم لو ثبت حجيّة مطلق الظن من أي سبب، ويشكل الأمر في المقدار من الدم الذي يعفى نوعه إذا كان في الثوب ولم نعلم أن هذا المقدار مما حكم الشارع فيه بالعفو أم لا، بناءً على عدم معلومية معيار العفو، وهو كونه أقل من الدرهم أو بقدره، وأنّه بأي مساحة واقعي ما علم العفو عن مقدار الدرهم ولكن لم يتبين لنا قدر الدرهم بحسب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في هذا المقام تكون الشبهة شبهة حكمية أو تكون شبهة مصداقية؟</w:t>
      </w:r>
    </w:p>
    <w:p>
      <w:pPr>
        <w:pStyle w:val="BookText"/>
        <w:rPr/>
      </w:pPr>
      <w:r>
        <w:rPr>
          <w:rFonts w:ascii="Amiri" w:hAnsi="Amiri" w:eastAsia="Amiri" w:cs="Amiri"/>
          <w:color w:val="111111"/>
          <w:sz w:val="28"/>
          <w:sz w:val="28"/>
          <w:szCs w:val="28"/>
          <w:rtl w:val="true"/>
          <w:lang w:bidi="ar-SA"/>
        </w:rPr>
        <w:t>من أنّ الحكم في هذا القدر ليس بمعلوم أصلاً لأنّ عدم العلم بواسطة الاشتباه؛ لأنّ الشك بين شيء مجمل فليس لنا طريق إلى بيانه إلا بالرجوع إليه، فكأن الشك لم يبين الحكم أصلاً لأن البيان المجمل كالعدم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أنّ المخاطب بهذه الألفاظ لم يكن المعيار مجهولاً عنده حتى يكون الخطاب مجملاً فلم يكن الاشتباه له وحصول الاشتباه لنا بواسطة عدم معلومية المتعارف في </w:t>
      </w:r>
      <w:bookmarkStart w:id="144" w:name="pg9203_87110"/>
    </w:p>
    <w:p>
      <w:pPr>
        <w:pStyle w:val="BookText"/>
        <w:rPr/>
      </w:pPr>
      <w:bookmarkEnd w:id="144"/>
      <w:r>
        <w:rPr>
          <w:rFonts w:ascii="Amiri" w:hAnsi="Amiri" w:eastAsia="Amiri" w:cs="Amiri"/>
          <w:color w:val="111111"/>
          <w:sz w:val="28"/>
          <w:sz w:val="28"/>
          <w:szCs w:val="28"/>
          <w:rtl w:val="true"/>
          <w:lang w:bidi="ar-SA"/>
        </w:rPr>
        <w:t>ذلك الزمان لنا، ولا نكون مكلّفين بالخطابات حتى تكون الخطابات مجملة بواسطة عدم علمنا، بل الواجب علينا الرجوع إلى أهل ذلك الزمان وما هو متعارف بينهم؛ ففي الحقيقة للدم فردان فرد يعفى عنه يقيناً وجزماً بمقتضى الأخبار، وهو ما دون الدرهم المعلوم عند المخاطبين، وفرد غير معفو عنه، وهو الزائد عنه، واشتبه لنا بواسطة عدم علمنا بمتعارف ذلك الزمان، فطرقُ تعينه الرجوع إلى متفاهمهم، فإنّ لم يتعين لنا واشتبه علينا فنتمسك بالاستصحاب لا جواز الصلاة في الثوب</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3967904_2870459653"/>
      <w:bookmarkStart w:id="146" w:name="_Toc51"/>
      <w:bookmarkEnd w:id="145"/>
      <w:r>
        <w:rPr>
          <w:rtl w:val="true"/>
        </w:rPr>
        <w:t>[</w:t>
      </w:r>
      <w:r>
        <w:rPr>
          <w:rtl w:val="true"/>
        </w:rPr>
        <w:t>في اشتراط نجاسة ملاقي النجس بوجود الرطوبة</w:t>
      </w:r>
      <w:r>
        <w:rPr>
          <w:rtl w:val="true"/>
        </w:rPr>
        <w:t>]</w:t>
      </w:r>
      <w:bookmarkEnd w:id="146"/>
    </w:p>
    <w:p>
      <w:pPr>
        <w:pStyle w:val="BookText"/>
        <w:rPr/>
      </w:pPr>
      <w:r>
        <w:rPr>
          <w:rFonts w:ascii="Amiri" w:hAnsi="Amiri" w:eastAsia="Amiri" w:cs="Amiri"/>
          <w:color w:val="111111"/>
          <w:sz w:val="28"/>
          <w:sz w:val="28"/>
          <w:szCs w:val="28"/>
          <w:rtl w:val="true"/>
          <w:lang w:bidi="ar-SA"/>
        </w:rPr>
        <w:t>ومن جملة أحكام النجاسات تنجس ،ملاقيها ولكن الكلام في أنّ التنجس مشروط بشرط أم لا يشترط بل تكفي الملاقاة فقط؟</w:t>
      </w:r>
    </w:p>
    <w:p>
      <w:pPr>
        <w:pStyle w:val="BookText"/>
        <w:rPr/>
      </w:pPr>
      <w:r>
        <w:rPr>
          <w:rFonts w:ascii="Amiri" w:hAnsi="Amiri" w:eastAsia="Amiri" w:cs="Amiri"/>
          <w:color w:val="111111"/>
          <w:sz w:val="28"/>
          <w:sz w:val="28"/>
          <w:szCs w:val="28"/>
          <w:rtl w:val="true"/>
          <w:lang w:bidi="ar-SA"/>
        </w:rPr>
        <w:t>لا خلاف في مشروطيته إلّا في الميتة فإنّ أكثر الأصحاب</w:t>
      </w:r>
      <w:r>
        <w:rPr>
          <w:rStyle w:val="FootnoteAnchor"/>
          <w:rtl w:val="true"/>
        </w:rPr>
        <w:footnoteReference w:id="298"/>
      </w:r>
      <w:r>
        <w:rPr>
          <w:rFonts w:ascii="Amiri" w:hAnsi="Amiri" w:eastAsia="Amiri" w:cs="Amiri"/>
          <w:color w:val="111111"/>
          <w:sz w:val="28"/>
          <w:sz w:val="28"/>
          <w:szCs w:val="28"/>
          <w:rtl w:val="true"/>
          <w:lang w:bidi="ar-SA"/>
        </w:rPr>
        <w:t>حكموا بالتنجس بمطلق ملاقاة الميت بل إجماعهم في الميت الآدمي</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تقدير مشروطيته بشيء هل هي الرطوبة أو مطلق الميعان ولو لم يكن لرطوبة؟ ظاهر أكثر الأصحاب </w:t>
      </w:r>
      <w:r>
        <w:rPr>
          <w:rStyle w:val="FootnoteAnchor"/>
          <w:rtl w:val="true"/>
        </w:rPr>
        <w:footnoteReference w:id="300"/>
      </w:r>
      <w:r>
        <w:rPr>
          <w:rFonts w:ascii="Amiri" w:hAnsi="Amiri" w:eastAsia="Amiri" w:cs="Amiri"/>
          <w:color w:val="111111"/>
          <w:sz w:val="28"/>
          <w:sz w:val="28"/>
          <w:szCs w:val="28"/>
          <w:rtl w:val="true"/>
          <w:lang w:bidi="ar-SA"/>
        </w:rPr>
        <w:t>بل صريحهم أنّه مشروط بالرطوبة، بل يشهد بالإجماع بعضُ كلماتهم</w:t>
      </w:r>
      <w:r>
        <w:rPr>
          <w:rStyle w:val="FootnoteAnchor"/>
          <w:rtl w:val="true"/>
        </w:rPr>
        <w:footnoteReference w:id="301"/>
      </w:r>
      <w:r>
        <w:rPr>
          <w:rFonts w:ascii="Amiri" w:hAnsi="Amiri" w:eastAsia="Amiri" w:cs="Amiri"/>
          <w:color w:val="111111"/>
          <w:sz w:val="28"/>
          <w:sz w:val="28"/>
          <w:szCs w:val="28"/>
          <w:rtl w:val="true"/>
          <w:lang w:bidi="ar-SA"/>
        </w:rPr>
        <w:t>حيث قال العلّامة قدس سره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لاقى النجاسة برطوبة فنجس ولا ينجس لو كانا يابسين</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وأرسله إرسال المسلّمات وعدم ذكره الخلاف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هذا فكيفية التنجس بسبب الملاقاة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يكتسب الملاقي الطاهر بعضَ الأجزاء النجسة من الملاقي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يابس ذكي</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147" w:name="pg9203_87111"/>
    </w:p>
    <w:p>
      <w:pPr>
        <w:pStyle w:val="BookText"/>
        <w:rPr/>
      </w:pPr>
      <w:bookmarkEnd w:id="147"/>
      <w:r>
        <w:rPr>
          <w:rFonts w:ascii="Amiri" w:hAnsi="Amiri" w:eastAsia="Amiri" w:cs="Amiri"/>
          <w:color w:val="111111"/>
          <w:sz w:val="28"/>
          <w:sz w:val="28"/>
          <w:szCs w:val="28"/>
          <w:rtl w:val="true"/>
          <w:lang w:bidi="ar-SA"/>
        </w:rPr>
        <w:t xml:space="preserve">فعلى هذا يكون المراد بالمائع المذكور في كلام بعض الفقهاء </w:t>
      </w:r>
      <w:r>
        <w:rPr>
          <w:rStyle w:val="FootnoteAnchor"/>
          <w:rtl w:val="true"/>
        </w:rPr>
        <w:footnoteReference w:id="304"/>
      </w:r>
      <w:r>
        <w:rPr>
          <w:rFonts w:ascii="IRNazanin" w:hAnsi="IRNazanin" w:eastAsia="IRNazanin"/>
          <w:color w:val="111111"/>
          <w:sz w:val="28"/>
          <w:sz w:val="28"/>
          <w:szCs w:val="28"/>
          <w:rtl w:val="true"/>
          <w:lang w:bidi="fa-IR"/>
        </w:rPr>
        <w:t>، وبعض الأخبار</w:t>
      </w:r>
      <w:r>
        <w:rPr>
          <w:rStyle w:val="FootnoteAnchor"/>
          <w:rtl w:val="true"/>
        </w:rPr>
        <w:footnoteReference w:id="305"/>
      </w:r>
      <w:r>
        <w:rPr>
          <w:rFonts w:ascii="Amiri" w:hAnsi="Amiri" w:eastAsia="Amiri" w:cs="Amiri"/>
          <w:color w:val="111111"/>
          <w:sz w:val="28"/>
          <w:sz w:val="28"/>
          <w:szCs w:val="28"/>
          <w:rtl w:val="true"/>
          <w:lang w:bidi="ar-SA"/>
        </w:rPr>
        <w:t>هو المائع الذي فيه رطوبة لا مطلق الميعان حتى يشمل الفلزات المذابة كالفضة والذهب والرصاص إذا كانت مذابة فلا يحكم بنجاستها بمحض ملاقاة النجاسة</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3967906_2870459653"/>
      <w:bookmarkStart w:id="149" w:name="_Toc52"/>
      <w:bookmarkEnd w:id="148"/>
      <w:r>
        <w:rPr>
          <w:rtl w:val="true"/>
        </w:rPr>
        <w:t xml:space="preserve">[ </w:t>
      </w:r>
      <w:r>
        <w:rPr>
          <w:rtl w:val="true"/>
        </w:rPr>
        <w:t>نجاسة ملاقي المتنجس</w:t>
      </w:r>
      <w:r>
        <w:rPr>
          <w:rtl w:val="true"/>
        </w:rPr>
        <w:t>]</w:t>
      </w:r>
      <w:bookmarkEnd w:id="149"/>
    </w:p>
    <w:p>
      <w:pPr>
        <w:pStyle w:val="BookText"/>
        <w:rPr/>
      </w:pPr>
      <w:r>
        <w:rPr>
          <w:rFonts w:ascii="Amiri" w:hAnsi="Amiri" w:eastAsia="Amiri" w:cs="Amiri"/>
          <w:color w:val="111111"/>
          <w:sz w:val="28"/>
          <w:sz w:val="28"/>
          <w:szCs w:val="28"/>
          <w:rtl w:val="true"/>
          <w:lang w:bidi="ar-SA"/>
        </w:rPr>
        <w:t xml:space="preserve">ثم هل يفرق في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تنجس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النجس والمتنجس أو يكون فيهما معاً؟</w:t>
      </w:r>
    </w:p>
    <w:p>
      <w:pPr>
        <w:pStyle w:val="BookText"/>
        <w:rPr/>
      </w:pPr>
      <w:r>
        <w:rPr>
          <w:rFonts w:ascii="Amiri" w:hAnsi="Amiri" w:eastAsia="Amiri" w:cs="Amiri"/>
          <w:color w:val="111111"/>
          <w:sz w:val="28"/>
          <w:sz w:val="28"/>
          <w:szCs w:val="28"/>
          <w:rtl w:val="true"/>
          <w:lang w:bidi="ar-SA"/>
        </w:rPr>
        <w:t xml:space="preserve">الأكثر القريب إلى الإجماع </w:t>
      </w:r>
      <w:r>
        <w:rPr>
          <w:rStyle w:val="FootnoteAnchor"/>
          <w:rtl w:val="true"/>
        </w:rPr>
        <w:footnoteReference w:id="306"/>
      </w:r>
      <w:r>
        <w:rPr>
          <w:rFonts w:ascii="Amiri" w:hAnsi="Amiri" w:eastAsia="Amiri" w:cs="Amiri"/>
          <w:color w:val="111111"/>
          <w:sz w:val="28"/>
          <w:sz w:val="28"/>
          <w:szCs w:val="28"/>
          <w:rtl w:val="true"/>
          <w:lang w:bidi="ar-SA"/>
        </w:rPr>
        <w:t xml:space="preserve">هو الثاني، ولم يظهر مخالف إلّا العلّامة الله في المنتهى </w:t>
      </w:r>
      <w:r>
        <w:rPr>
          <w:rStyle w:val="FootnoteAnchor"/>
          <w:rtl w:val="true"/>
        </w:rPr>
        <w:footnoteReference w:id="307"/>
      </w:r>
      <w:r>
        <w:rPr>
          <w:rFonts w:ascii="IRNazanin" w:hAnsi="IRNazanin" w:eastAsia="IRNazanin"/>
          <w:color w:val="111111"/>
          <w:sz w:val="28"/>
          <w:sz w:val="28"/>
          <w:szCs w:val="28"/>
          <w:rtl w:val="true"/>
          <w:lang w:bidi="fa-IR"/>
        </w:rPr>
        <w:t xml:space="preserve">، والقواعد </w:t>
      </w:r>
      <w:r>
        <w:rPr>
          <w:rStyle w:val="FootnoteAnchor"/>
          <w:rtl w:val="true"/>
        </w:rPr>
        <w:footnoteReference w:id="308"/>
      </w:r>
      <w:r>
        <w:rPr>
          <w:rFonts w:ascii="Amiri" w:hAnsi="Amiri" w:eastAsia="Amiri" w:cs="Amiri"/>
          <w:color w:val="111111"/>
          <w:sz w:val="28"/>
          <w:sz w:val="28"/>
          <w:szCs w:val="28"/>
          <w:rtl w:val="true"/>
          <w:lang w:bidi="ar-SA"/>
        </w:rPr>
        <w:t>، في الملاقي للملاقي لبدن الميت بيبوسة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نجاسة الملاقي بيبوسة نجاسة حكمية لا نجاسة عينية فلم تؤثر في الملاقي له، والملاقي له طاهر بالأصل وعدم دليل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ابن إدريس </w:t>
      </w:r>
      <w:r>
        <w:rPr>
          <w:rStyle w:val="FootnoteAnchor"/>
          <w:rtl w:val="true"/>
        </w:rPr>
        <w:footnoteReference w:id="309"/>
      </w:r>
      <w:r>
        <w:rPr>
          <w:rFonts w:ascii="Amiri" w:hAnsi="Amiri" w:eastAsia="Amiri" w:cs="Amiri"/>
          <w:color w:val="111111"/>
          <w:sz w:val="28"/>
          <w:sz w:val="28"/>
          <w:szCs w:val="28"/>
          <w:rtl w:val="true"/>
          <w:lang w:bidi="ar-SA"/>
        </w:rPr>
        <w:t xml:space="preserve">فإنّه ذهب إلى عدم تنجس المائع الملاقي للملاقي لبدن الميت واحتج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ببطلان قياسه على الملاقي لبدن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بطهارة المستعمل في الحدث الأكبر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ماء الأغسال ومنها غسل 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استيطان الغاسل للمسجد قبل غسله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الوجوه أنّ النجاسة في الملاقي لبدن الميت نجاسة حكمية فلم تتعدَّ إلى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المحقق رحمه الله</w:t>
      </w:r>
      <w:r>
        <w:rPr>
          <w:rStyle w:val="FootnoteAnchor"/>
          <w:rtl w:val="true"/>
        </w:rPr>
        <w:footnoteReference w:id="310"/>
      </w:r>
      <w:r>
        <w:rPr>
          <w:rFonts w:ascii="IRNazanin" w:hAnsi="IRNazanin" w:eastAsia="IRNazanin"/>
          <w:color w:val="111111"/>
          <w:sz w:val="28"/>
          <w:sz w:val="28"/>
          <w:szCs w:val="28"/>
          <w:rtl w:val="true"/>
          <w:lang w:bidi="fa-IR"/>
        </w:rPr>
        <w:t>له عن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باب القياس، بل هو المستفاد من إجماع الأصحاب على نجاسة الملاقي لبدن الميت وللإجماع على تنجس الملاقي للنجس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وقع على طهارة الماء من حيث إنه مستعمل في رفع الحدث ولم يقم على طهارة الماء حتى لو كان في بدنه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لم يقم على جواز استيطانه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من المحدّث الكاشاني أنّه قال بعدم تنجس ملاقي المتنجس مطلقاً لو لم يكن فيه عين النجس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وهو مردود بعد ثبوت الدليل على خلافه وهو قيام الإجماع في الجملة وهو كافٍ في ردّه، مضافاً إلى ما هو المعلوم بديهة أنّ منشأ الحكم بتنجس الملاقي للنجس ليس إلّا النجاسة وتأثيره فيه بحلول بعض أجزائه فيه وهو موجود في الملاقي للمتنجس، فافهم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بخبرين لا يدلان على مقصوده أصلاً؛ وحاصل مضمونهما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الراوي يسأل عن إنّي بلتُ ،ومسحت أي استبرأت فلم أجد ماء ؟ فيجيب الإمام علیه السلام بهذا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ذكرك بريقك فإن أصاب ببدنك شيء فقل من هذه لا من ذاك </w:t>
      </w:r>
      <w:r>
        <w:rPr>
          <w:rStyle w:val="FootnoteAnchor"/>
          <w:rtl w:val="true"/>
        </w:rPr>
        <w:footnoteReference w:id="312"/>
      </w:r>
      <w:bookmarkStart w:id="150" w:name="pg9203_87113"/>
    </w:p>
    <w:p>
      <w:pPr>
        <w:pStyle w:val="BookText"/>
        <w:rPr/>
      </w:pPr>
      <w:bookmarkEnd w:id="150"/>
      <w:r>
        <w:rPr>
          <w:rFonts w:ascii="IRNazanin" w:hAnsi="IRNazanin" w:eastAsia="IRNazanin"/>
          <w:color w:val="111111"/>
          <w:sz w:val="28"/>
          <w:sz w:val="28"/>
          <w:szCs w:val="28"/>
          <w:rtl w:val="true"/>
          <w:lang w:bidi="fa-IR"/>
        </w:rPr>
        <w:t>فتوهم أنّ الإمام علیه السلام أمر السائل بمسح رأس الحشفة الذي فيه بول فيصير ريقه متنجساً فحكم الإمام علیه السلام بأنه متنجس فلا يضر اصابته ببدنك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خبير بأنّ المراد خلاف ذلك، ومراد الإمام علیه السلام من الأمر بهذا الطريق أن یصیر ما أصابه مشتبهاً بين أن يكون من البول أو الريق، وليس المراد مسح رأس الحشفة بل مسح أطراف الذكر</w:t>
      </w:r>
      <w:r>
        <w:rPr>
          <w:rFonts w:eastAsia="IRNazanin" w:cs="IRNazanin"/>
          <w:color w:val="111111"/>
          <w:sz w:val="28"/>
          <w:szCs w:val="28"/>
          <w:rtl w:val="true"/>
          <w:lang w:bidi="fa-IR"/>
        </w:rPr>
        <w:t>.</w:t>
      </w:r>
    </w:p>
    <w:p>
      <w:pPr>
        <w:pStyle w:val="Heading2"/>
        <w:numPr>
          <w:ilvl w:val="1"/>
          <w:numId w:val="1"/>
        </w:numPr>
        <w:rPr/>
      </w:pPr>
      <w:bookmarkStart w:id="151" w:name="__RefHeading___Toc3967908_2870459653"/>
      <w:bookmarkStart w:id="152" w:name="_Toc53"/>
      <w:bookmarkEnd w:id="151"/>
      <w:r>
        <w:rPr>
          <w:rtl w:val="true"/>
        </w:rPr>
        <w:t>[</w:t>
      </w:r>
      <w:r>
        <w:rPr>
          <w:rtl w:val="true"/>
        </w:rPr>
        <w:t>في مدخلية العلم بثبوت النجاسة</w:t>
      </w:r>
      <w:r>
        <w:rPr>
          <w:rtl w:val="true"/>
        </w:rPr>
        <w:t>]</w:t>
      </w:r>
      <w:bookmarkEnd w:id="152"/>
    </w:p>
    <w:p>
      <w:pPr>
        <w:pStyle w:val="BookText"/>
        <w:rPr/>
      </w:pPr>
      <w:r>
        <w:rPr>
          <w:rFonts w:ascii="Amiri" w:hAnsi="Amiri" w:eastAsia="Amiri" w:cs="Amiri"/>
          <w:color w:val="111111"/>
          <w:sz w:val="28"/>
          <w:sz w:val="28"/>
          <w:szCs w:val="28"/>
          <w:rtl w:val="true"/>
          <w:lang w:bidi="ar-SA"/>
        </w:rPr>
        <w:t>ثم إنّ النجاسة هل لها ثبوت وشيئية مع قطع النظر عن علم المكلف بها أم لا، فيثبت بالعلم وقبل العلم لم تكن نجاسة؟</w:t>
      </w:r>
    </w:p>
    <w:p>
      <w:pPr>
        <w:pStyle w:val="BookText"/>
        <w:rPr/>
      </w:pPr>
      <w:r>
        <w:rPr>
          <w:rFonts w:ascii="Amiri" w:hAnsi="Amiri" w:eastAsia="Amiri" w:cs="Amiri"/>
          <w:color w:val="111111"/>
          <w:sz w:val="28"/>
          <w:sz w:val="28"/>
          <w:szCs w:val="28"/>
          <w:rtl w:val="true"/>
          <w:lang w:bidi="ar-SA"/>
        </w:rPr>
        <w:t xml:space="preserve">الظاهر الأول لا الثاني، كما قال به صاحب الحدائق </w:t>
      </w:r>
      <w:r>
        <w:rPr>
          <w:rStyle w:val="FootnoteAnchor"/>
          <w:rtl w:val="true"/>
        </w:rPr>
        <w:footnoteReference w:id="313"/>
      </w:r>
      <w:r>
        <w:rPr>
          <w:rFonts w:ascii="Amiri" w:hAnsi="Amiri" w:eastAsia="Amiri" w:cs="Amiri"/>
          <w:color w:val="111111"/>
          <w:sz w:val="28"/>
          <w:sz w:val="28"/>
          <w:szCs w:val="28"/>
          <w:rtl w:val="true"/>
          <w:lang w:bidi="ar-SA"/>
        </w:rPr>
        <w:t>لأنّ النجاسة قذارة في الشيء ثابتة مع قطع النظر عن علم المكلف، ولكن رفع حكمها قبل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الأول فهل هي صفة منتزعة من حكم الشارع بوجوب الاجتناب أو هي منتزعة من نفس عينها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الثاني؛ لأنّ حكم الشارع بسبب كونها فيها وتابع لها فلو لم تكن فيها لما حكم الشارع بوجوب الاجتناب على ما قلنا من كون الملاقاة سبباً لتنجس الملاقي بسببها فيشكل الفرق بين ملاقاة نجس بجزء من المائع فيحكمون بنجاسته کله بمجرد الملاقاة بجزء؛ لأنّ كل الأجزاء متصلة، وبين ملاقاة النجس بجزء من الثوب الذي يكون فيه رطوبة فيحكمون بنجاسة الجزء الملاقي لا بنجاسة سائر أجزاء الثوب مثلاً فإنّ كان سبب التنجيس هي الملاقاة فهي موجودة في الصورتين؛ لأنّ كل جزء من الأجزاء ملاق بعضها مع بعض ومتصلة في الصورة الأخيرة أيضاً، بل يتأتى الإشكال المذكور في نفس الثوب؛ كيف يحكم بنجاسة الجزء الملاقي ولا يحكمون بنجاسة الملاقي للملاقي للنجس مع أنّ ملاقاة النجس أيضاً حكمها حكم ملاقاة النجس في التنجيس </w:t>
      </w:r>
    </w:p>
    <w:p>
      <w:pPr>
        <w:pStyle w:val="BookText"/>
        <w:rPr/>
      </w:pP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في الفرق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المائع لما كان عرفاً شيئاً واحداً ويكون فيه ميعان إذا لاقى النجس بجزء منه؛ فقد تأثر في تمام الأجزاء به، فكأنَّ النجس لاقى تمام أجزائه، وهذا بخلاف الثوب فإنّه بسبب يبوسته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ميعانه وعدم كونه في العرف شيئاً واحداً لم تؤثر النجاسة الملاقية بجزء في تمام أجزائه، فلم يتنجس الكل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الإشكال المذكور بعضُ الأجلاء، وهو السيد الطباطبائي قدس سره في منظومته</w:t>
      </w:r>
      <w:r>
        <w:rPr>
          <w:rStyle w:val="FootnoteAnchor"/>
          <w:rtl w:val="true"/>
        </w:rPr>
        <w:footnoteReference w:id="314"/>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والفرق فيما بينه وبين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لحوق وصل ما تقدما</w:t>
      </w:r>
    </w:p>
    <w:p>
      <w:pPr>
        <w:pStyle w:val="BookText"/>
        <w:rPr/>
      </w:pPr>
      <w:r>
        <w:rPr>
          <w:rFonts w:ascii="Amiri" w:hAnsi="Amiri" w:eastAsia="Amiri" w:cs="Amiri"/>
          <w:color w:val="111111"/>
          <w:sz w:val="28"/>
          <w:sz w:val="28"/>
          <w:szCs w:val="28"/>
          <w:rtl w:val="true"/>
          <w:lang w:bidi="ar-SA"/>
        </w:rPr>
        <w:t xml:space="preserve">وسبق الاتصال فيما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مَنْ للفرق قد تفطنا</w:t>
      </w:r>
    </w:p>
    <w:p>
      <w:pPr>
        <w:pStyle w:val="BookText"/>
        <w:rPr/>
      </w:pPr>
      <w:r>
        <w:rPr>
          <w:rFonts w:ascii="Amiri" w:hAnsi="Amiri" w:eastAsia="Amiri" w:cs="Amiri"/>
          <w:color w:val="111111"/>
          <w:sz w:val="28"/>
          <w:sz w:val="28"/>
          <w:szCs w:val="28"/>
          <w:rtl w:val="true"/>
          <w:lang w:bidi="ar-SA"/>
        </w:rPr>
        <w:t>وحاصل الفرق أن الحكم بالتنجس سبب ملاقاة المتنجس في موضع يكون اللحوق طارئاً لا فيما إذا كان الاتصال حاصلاً سابقاً، فإنّ الجزء المتصل سابقاً لم يؤثر في نجاسته نجاسة الجزء اللاحق لأنّ التنجس سبب الملاقاة، والملاقاة ليست حاصلة بل كان الاتصال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الفرق غير فارق؛ لأنّ مقتضى ذلك أن لا يحكم بالنجاسة فيما لو وقعت الفأرة حيةً على ثوب ثمّ ماتت فيه، لأنه لم يحصل الاتصال بعد الموت بل كان الاتصال سابقاً، والحال أنّ الأخبار صريحة في أنه لو وقعت الفأرة حيةً في الدبس ثمّ ماتت فيه فتنجيسها ما حولها بحكمه، بأخذها وما حولها وطرحها ثم الأكل من باقيها، فثبت أنّ الفرق غير فارق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 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قائم على طهارة سائر الأجزاء مما سوى الملاقي، ولا يتوهم من كلامنا أنّ الأصل مختص بسائر الأجزاء لا بالجزء الملاقي؛ لأنه وإن كان </w:t>
      </w:r>
      <w:bookmarkStart w:id="153" w:name="pg9203_87115"/>
    </w:p>
    <w:p>
      <w:pPr>
        <w:pStyle w:val="BookText"/>
        <w:rPr/>
      </w:pPr>
      <w:bookmarkEnd w:id="153"/>
      <w:r>
        <w:rPr>
          <w:rFonts w:ascii="Amiri" w:hAnsi="Amiri" w:eastAsia="Amiri" w:cs="Amiri"/>
          <w:color w:val="111111"/>
          <w:sz w:val="28"/>
          <w:sz w:val="28"/>
          <w:szCs w:val="28"/>
          <w:rtl w:val="true"/>
          <w:lang w:bidi="ar-SA"/>
        </w:rPr>
        <w:t>جارياً فيه إلّا أنّ الدليل قائم على خلافه بخلاف سائر الأجزاء، فإنّ الأصل قائم ولم يعارضه دليل، لأنّ الدليل الدال على تنجس الملاقي بالمتنجس لم يساعد على إثبات التنجس في الملاقي للملاقي الذي لم يكن مائعا بل منصرف إلى غيره ولكن يمكن دفعه فتأمل</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3967910_2870459653"/>
      <w:bookmarkStart w:id="155" w:name="_Toc54"/>
      <w:bookmarkEnd w:id="154"/>
      <w:r>
        <w:rPr>
          <w:rtl w:val="true"/>
        </w:rPr>
        <w:t xml:space="preserve">[ </w:t>
      </w:r>
      <w:r>
        <w:rPr>
          <w:rtl w:val="true"/>
        </w:rPr>
        <w:t>طرق ثبوت النجاسة</w:t>
      </w:r>
      <w:r>
        <w:rPr>
          <w:rtl w:val="true"/>
        </w:rPr>
        <w:t>]</w:t>
      </w:r>
      <w:bookmarkEnd w:id="155"/>
    </w:p>
    <w:p>
      <w:pPr>
        <w:pStyle w:val="BookText"/>
        <w:rPr/>
      </w:pPr>
      <w:r>
        <w:rPr>
          <w:rFonts w:ascii="Amiri" w:hAnsi="Amiri" w:eastAsia="Amiri" w:cs="Amiri"/>
          <w:color w:val="111111"/>
          <w:sz w:val="28"/>
          <w:sz w:val="28"/>
          <w:szCs w:val="28"/>
          <w:rtl w:val="true"/>
          <w:lang w:bidi="ar-SA"/>
        </w:rPr>
        <w:t>واعلم أنّه هل لنا طريق آخر إلى إثبات النجاسة سوى العلم أم لا؟</w:t>
      </w:r>
    </w:p>
    <w:p>
      <w:pPr>
        <w:pStyle w:val="BookText"/>
        <w:rPr/>
      </w:pPr>
      <w:r>
        <w:rPr>
          <w:rFonts w:ascii="Amiri" w:hAnsi="Amiri" w:eastAsia="Amiri" w:cs="Amiri"/>
          <w:color w:val="111111"/>
          <w:sz w:val="28"/>
          <w:sz w:val="28"/>
          <w:szCs w:val="28"/>
          <w:rtl w:val="true"/>
          <w:lang w:bidi="ar-SA"/>
        </w:rPr>
        <w:t>الظاهر الأول ، وأنّه تثبت النجاسة بغيره أيضاً كالبينة واليد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شهادة العدلين</w:t>
      </w:r>
    </w:p>
    <w:p>
      <w:pPr>
        <w:pStyle w:val="BookText"/>
        <w:rPr/>
      </w:pPr>
      <w:r>
        <w:rPr>
          <w:rFonts w:ascii="Amiri" w:hAnsi="Amiri" w:eastAsia="Amiri" w:cs="Amiri"/>
          <w:color w:val="111111"/>
          <w:sz w:val="28"/>
          <w:sz w:val="28"/>
          <w:szCs w:val="28"/>
          <w:rtl w:val="true"/>
          <w:lang w:bidi="ar-SA"/>
        </w:rPr>
        <w:t xml:space="preserve">فالظاهر حجيتها كما هو المشهور </w:t>
      </w:r>
      <w:r>
        <w:rPr>
          <w:rStyle w:val="FootnoteAnchor"/>
          <w:rtl w:val="true"/>
        </w:rPr>
        <w:footnoteReference w:id="315"/>
      </w:r>
      <w:r>
        <w:rPr>
          <w:rFonts w:ascii="Amiri" w:hAnsi="Amiri" w:eastAsia="Amiri" w:cs="Amiri"/>
          <w:color w:val="111111"/>
          <w:sz w:val="28"/>
          <w:sz w:val="28"/>
          <w:szCs w:val="28"/>
          <w:rtl w:val="true"/>
          <w:lang w:bidi="ar-SA"/>
        </w:rPr>
        <w:t>، كما يستفاد ذلك من الآيات والأخبار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وغير ذلك مما يستفاد من مجموعهما أن شهادة العدلين شيء يعتبر في الموضوعات والأحكام ولا يختص حُجيتهما بمورد مثل المرافعات مثلاً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والأخبار الكثيرة أيضاً دالة على هذا سيما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هو لك حلال حتى تعلم أنّه حرام بعينه إلى أن قال والأشياء كلها على هذا حتى يستبين لك غير هذا أو تقوم به البينة</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بناءً على أنّ الحرام أعمّ من أن يكون من سبب النجاسة أو شيء آخر، وان البينة هي شهادة العدلين</w:t>
      </w:r>
      <w:r>
        <w:rPr>
          <w:rFonts w:eastAsia="Amiri" w:cs="Amiri" w:ascii="Amiri" w:hAnsi="Amiri"/>
          <w:color w:val="111111"/>
          <w:sz w:val="28"/>
          <w:szCs w:val="28"/>
          <w:rtl w:val="true"/>
          <w:lang w:bidi="ar-SA"/>
        </w:rPr>
        <w:t xml:space="preserve">. </w:t>
      </w:r>
      <w:bookmarkStart w:id="156" w:name="pg9203_87116"/>
    </w:p>
    <w:p>
      <w:pPr>
        <w:pStyle w:val="Heading2"/>
        <w:numPr>
          <w:ilvl w:val="1"/>
          <w:numId w:val="1"/>
        </w:numPr>
        <w:rPr/>
      </w:pPr>
      <w:bookmarkStart w:id="157" w:name="__RefHeading___Toc3967912_2870459653"/>
      <w:bookmarkStart w:id="158" w:name="_Toc55"/>
      <w:bookmarkEnd w:id="156"/>
      <w:bookmarkEnd w:id="157"/>
      <w:r>
        <w:rPr>
          <w:rtl w:val="true"/>
        </w:rPr>
        <w:t>خبر الواحد</w:t>
      </w:r>
      <w:bookmarkEnd w:id="158"/>
    </w:p>
    <w:p>
      <w:pPr>
        <w:pStyle w:val="BookText"/>
        <w:rPr/>
      </w:pPr>
      <w:r>
        <w:rPr>
          <w:rFonts w:ascii="IRNazanin" w:hAnsi="IRNazanin" w:eastAsia="IRNazanin"/>
          <w:color w:val="111111"/>
          <w:sz w:val="28"/>
          <w:sz w:val="28"/>
          <w:szCs w:val="28"/>
          <w:rtl w:val="true"/>
          <w:lang w:bidi="fa-IR"/>
        </w:rPr>
        <w:t>وأما خبر الواحد</w:t>
      </w:r>
    </w:p>
    <w:p>
      <w:pPr>
        <w:pStyle w:val="BookText"/>
        <w:rPr/>
      </w:pPr>
      <w:r>
        <w:rPr>
          <w:rFonts w:ascii="Amiri" w:hAnsi="Amiri" w:eastAsia="Amiri" w:cs="Amiri"/>
          <w:color w:val="111111"/>
          <w:sz w:val="28"/>
          <w:sz w:val="28"/>
          <w:szCs w:val="28"/>
          <w:rtl w:val="true"/>
          <w:lang w:bidi="ar-SA"/>
        </w:rPr>
        <w:t>فيمكن حجيته في هذا المقام أيضاً بناءً على شمول آية النبأ</w:t>
      </w:r>
      <w:r>
        <w:rPr>
          <w:rStyle w:val="FootnoteAnchor"/>
          <w:rtl w:val="true"/>
        </w:rPr>
        <w:footnoteReference w:id="319"/>
      </w:r>
      <w:r>
        <w:rPr>
          <w:rFonts w:ascii="Amiri" w:hAnsi="Amiri" w:eastAsia="Amiri" w:cs="Amiri"/>
          <w:color w:val="111111"/>
          <w:sz w:val="28"/>
          <w:sz w:val="28"/>
          <w:szCs w:val="28"/>
          <w:rtl w:val="true"/>
          <w:lang w:bidi="ar-SA"/>
        </w:rPr>
        <w:t>للموضوعات، وبناءً على دلالتها على حُجيّة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تمسكنا في حُجيّة خبر العادل ببناء العقلاء على استنادهم في أمورهم إلى قول الثقة فواضح الشمول للموضوعات، ويمكن استفادة ذلك بانضمام عدم القول بالفصل من الخبر الوارد في باب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الوكيل ثابت على وكالته ما لم يخبره ثقة بعزل الموكل له </w:t>
      </w:r>
      <w:r>
        <w:rPr>
          <w:rStyle w:val="FootnoteAnchor"/>
          <w:rtl w:val="true"/>
        </w:rPr>
        <w:footnoteReference w:id="320"/>
      </w:r>
      <w:r>
        <w:rPr>
          <w:rFonts w:ascii="Amiri" w:hAnsi="Amiri" w:eastAsia="Amiri" w:cs="Amiri"/>
          <w:color w:val="111111"/>
          <w:sz w:val="28"/>
          <w:sz w:val="28"/>
          <w:szCs w:val="28"/>
          <w:rtl w:val="true"/>
          <w:lang w:bidi="ar-SA"/>
        </w:rPr>
        <w:t xml:space="preserve">، والخبر الوارد في باب الوصية من أنه لو وضع شخص دنانير عند شخص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مت ردّ نصفه إلى وارثه ونصفه إلى شخص، فمات</w:t>
      </w:r>
      <w:r>
        <w:rPr>
          <w:rStyle w:val="FootnoteAnchor"/>
          <w:rtl w:val="true"/>
        </w:rPr>
        <w:footnoteReference w:id="321"/>
      </w:r>
      <w:r>
        <w:rPr>
          <w:rFonts w:ascii="Amiri" w:hAnsi="Amiri" w:eastAsia="Amiri" w:cs="Amiri"/>
          <w:color w:val="111111"/>
          <w:sz w:val="28"/>
          <w:sz w:val="28"/>
          <w:szCs w:val="28"/>
          <w:rtl w:val="true"/>
          <w:lang w:bidi="ar-SA"/>
        </w:rPr>
        <w:t>، وأخبره ثقة أنّ الموصي حين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الثقة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المشهور</w:t>
      </w:r>
      <w:r>
        <w:rPr>
          <w:rStyle w:val="FootnoteAnchor"/>
          <w:rtl w:val="true"/>
        </w:rPr>
        <w:footnoteReference w:id="322"/>
      </w:r>
      <w:r>
        <w:rPr>
          <w:rFonts w:ascii="Amiri" w:hAnsi="Amiri" w:eastAsia="Amiri" w:cs="Amiri"/>
          <w:color w:val="111111"/>
          <w:sz w:val="28"/>
          <w:sz w:val="28"/>
          <w:szCs w:val="28"/>
          <w:rtl w:val="true"/>
          <w:lang w:bidi="ar-SA"/>
        </w:rPr>
        <w:t xml:space="preserve">بنوا على عدم حجيّته فلا يتم عدم القول بالفصل، وكذلك قالوا بعدم شمول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للموضوعات، ولم يعملوا بالخبرين وعملوا بمقتضى القاعدة، وعلى تقدير عدم القول بالفصل بناءً على أنهم لو قالوا أو عملوا بقول الثقة في ذينك الموردين لعملوا به في باقي الموارد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يتعارض بينه وبين مفهوم الخبر المذكور والأشياء كلها على هذا حتی يستبين لك غير هذا أو تقوم به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بمفهومه على أنه إذا لم يبين أو لم تقم عليه شهادة العدلين فهو على حاله بل يدلّ بمنطوقه لأنّ المفهوم نفي ما اعتبر في المنطوق من العموم والخصوص وغير ذلك، وعلى هذا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ما لم يستبن ولم تقم عليه البينة فهو ليس على حاله؛ فظهر فساد 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يلزم اعتبار العموم في المفهوم فلم يدلّ على عدم اعتبار العدل الواحد</w:t>
      </w:r>
      <w:r>
        <w:rPr>
          <w:rFonts w:eastAsia="IRNazanin" w:cs="IRNazanin"/>
          <w:color w:val="111111"/>
          <w:sz w:val="28"/>
          <w:szCs w:val="28"/>
          <w:rtl w:val="true"/>
          <w:lang w:bidi="fa-IR"/>
        </w:rPr>
        <w:t xml:space="preserve">. </w:t>
      </w:r>
      <w:bookmarkStart w:id="159" w:name="pg9203_87117"/>
    </w:p>
    <w:p>
      <w:pPr>
        <w:pStyle w:val="BookText"/>
        <w:rPr/>
      </w:pPr>
      <w:bookmarkEnd w:id="159"/>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العدلين حجّة اتفاقاً </w:t>
      </w:r>
      <w:r>
        <w:rPr>
          <w:rStyle w:val="FootnoteAnchor"/>
          <w:rtl w:val="true"/>
        </w:rPr>
        <w:footnoteReference w:id="323"/>
      </w:r>
      <w:r>
        <w:rPr>
          <w:rFonts w:ascii="Amiri" w:hAnsi="Amiri" w:eastAsia="Amiri" w:cs="Amiri"/>
          <w:color w:val="111111"/>
          <w:sz w:val="28"/>
          <w:sz w:val="28"/>
          <w:szCs w:val="28"/>
          <w:rtl w:val="true"/>
          <w:lang w:bidi="ar-SA"/>
        </w:rPr>
        <w:t xml:space="preserve">، ولم يظهر مخالف إلّا من موضع في التذكرة </w:t>
      </w:r>
      <w:r>
        <w:rPr>
          <w:rStyle w:val="FootnoteAnchor"/>
          <w:rtl w:val="true"/>
        </w:rPr>
        <w:footnoteReference w:id="324"/>
      </w:r>
      <w:r>
        <w:rPr>
          <w:rFonts w:ascii="Amiri" w:hAnsi="Amiri" w:eastAsia="Amiri" w:cs="Amiri"/>
          <w:color w:val="111111"/>
          <w:sz w:val="28"/>
          <w:sz w:val="28"/>
          <w:szCs w:val="28"/>
          <w:rtl w:val="true"/>
          <w:lang w:bidi="ar-SA"/>
        </w:rPr>
        <w:t xml:space="preserve">، ومحتمل النهاية </w:t>
      </w:r>
      <w:r>
        <w:rPr>
          <w:rStyle w:val="FootnoteAnchor"/>
          <w:rtl w:val="true"/>
        </w:rPr>
        <w:footnoteReference w:id="325"/>
      </w:r>
      <w:r>
        <w:rPr>
          <w:rFonts w:ascii="Amiri" w:hAnsi="Amiri" w:eastAsia="Amiri" w:cs="Amiri"/>
          <w:color w:val="111111"/>
          <w:sz w:val="28"/>
          <w:sz w:val="28"/>
          <w:szCs w:val="28"/>
          <w:rtl w:val="true"/>
          <w:lang w:bidi="ar-SA"/>
        </w:rPr>
        <w:t xml:space="preserve">، ويحصل العلم لمن تتبع في الآيات الواردة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في السنّة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أن اعتبار شهادة العدلين أمر مفروغ عنه في جميع أبواب الفقه</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3967914_2870459653"/>
      <w:bookmarkStart w:id="161" w:name="_Toc56"/>
      <w:bookmarkEnd w:id="160"/>
      <w:r>
        <w:rPr>
          <w:rtl w:val="true"/>
        </w:rPr>
        <w:t>العدل الواحد</w:t>
      </w:r>
      <w:bookmarkEnd w:id="161"/>
    </w:p>
    <w:p>
      <w:pPr>
        <w:pStyle w:val="BookText"/>
        <w:rPr/>
      </w:pPr>
      <w:r>
        <w:rPr>
          <w:rFonts w:ascii="IRNazanin" w:hAnsi="IRNazanin" w:eastAsia="IRNazanin"/>
          <w:color w:val="111111"/>
          <w:sz w:val="28"/>
          <w:sz w:val="28"/>
          <w:szCs w:val="28"/>
          <w:rtl w:val="true"/>
          <w:lang w:bidi="fa-IR"/>
        </w:rPr>
        <w:t>وأما العدل الواحد</w:t>
      </w:r>
    </w:p>
    <w:p>
      <w:pPr>
        <w:pStyle w:val="BookText"/>
        <w:rPr/>
      </w:pPr>
      <w:r>
        <w:rPr>
          <w:rFonts w:ascii="Amiri" w:hAnsi="Amiri" w:eastAsia="Amiri" w:cs="Amiri"/>
          <w:color w:val="111111"/>
          <w:sz w:val="28"/>
          <w:sz w:val="28"/>
          <w:szCs w:val="28"/>
          <w:rtl w:val="true"/>
          <w:lang w:bidi="ar-SA"/>
        </w:rPr>
        <w:t xml:space="preserve">فليس بمعتبر قطعاً ولم يذهب إليه أحد، وأما الموارد الواردة في الأخبار من اعتبار قول الثقة مثل الخبر الوارد في الوصية </w:t>
      </w:r>
      <w:r>
        <w:rPr>
          <w:rStyle w:val="FootnoteAnchor"/>
          <w:rtl w:val="true"/>
        </w:rPr>
        <w:footnoteReference w:id="327"/>
      </w:r>
      <w:r>
        <w:rPr>
          <w:rFonts w:ascii="Amiri" w:hAnsi="Amiri" w:eastAsia="Amiri" w:cs="Amiri"/>
          <w:color w:val="111111"/>
          <w:sz w:val="28"/>
          <w:sz w:val="28"/>
          <w:szCs w:val="28"/>
          <w:rtl w:val="true"/>
          <w:lang w:bidi="ar-SA"/>
        </w:rPr>
        <w:t xml:space="preserve">، والخبر الوارد في الوكالة </w:t>
      </w:r>
      <w:r>
        <w:rPr>
          <w:rStyle w:val="FootnoteAnchor"/>
          <w:rtl w:val="true"/>
        </w:rPr>
        <w:footnoteReference w:id="328"/>
      </w:r>
      <w:r>
        <w:rPr>
          <w:rFonts w:ascii="Amiri" w:hAnsi="Amiri" w:eastAsia="Amiri" w:cs="Amiri"/>
          <w:color w:val="111111"/>
          <w:sz w:val="28"/>
          <w:sz w:val="28"/>
          <w:szCs w:val="28"/>
          <w:rtl w:val="true"/>
          <w:lang w:bidi="ar-SA"/>
        </w:rPr>
        <w:t xml:space="preserve">، والخبر الوارد في جواز وطء الأمة بقول البائع بالاستبراء إذا كان عادلاً </w:t>
      </w:r>
      <w:r>
        <w:rPr>
          <w:rStyle w:val="FootnoteAnchor"/>
          <w:rtl w:val="true"/>
        </w:rPr>
        <w:footnoteReference w:id="329"/>
      </w:r>
      <w:r>
        <w:rPr>
          <w:rFonts w:ascii="Amiri" w:hAnsi="Amiri" w:eastAsia="Amiri" w:cs="Amiri"/>
          <w:color w:val="111111"/>
          <w:sz w:val="28"/>
          <w:sz w:val="28"/>
          <w:szCs w:val="28"/>
          <w:rtl w:val="true"/>
          <w:lang w:bidi="ar-SA"/>
        </w:rPr>
        <w:t>فلم يعمل فيها بالأخبار، بل يعمل في باب الوصية بمقتضى قواعدها، فيحكمون فيما لو شهد واحد بنص المشهود في مورد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الوكالة لم يتعرضوا للحكم المذكور مع كون الرواية يذكرونها لإثبات الوكالة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الوارد في باب جواز وطء الأمة بقول البائع العادل، فمحمول بأنّ حُجيته من باب كونه ذا اليد لا لكونه قولاً عادلاً، أو بكون الأخبار محمولة بأنها في مقام حصول العلم، وكذلك الأخبار الواردة في جواز الاعتداد بقول المؤذن العادل أولاً واردة في باب التقية، ومن باب أنّ الظن في الوقت حجّة؛ لا لخصوص الخبر</w:t>
      </w:r>
      <w:r>
        <w:rPr>
          <w:rFonts w:eastAsia="Amiri" w:cs="Amiri" w:ascii="Amiri" w:hAnsi="Amiri"/>
          <w:color w:val="111111"/>
          <w:sz w:val="28"/>
          <w:szCs w:val="28"/>
          <w:rtl w:val="true"/>
          <w:lang w:bidi="ar-SA"/>
        </w:rPr>
        <w:t xml:space="preserve">. </w:t>
      </w:r>
      <w:bookmarkStart w:id="162" w:name="pg9203_87118"/>
    </w:p>
    <w:p>
      <w:pPr>
        <w:pStyle w:val="Heading2"/>
        <w:numPr>
          <w:ilvl w:val="1"/>
          <w:numId w:val="1"/>
        </w:numPr>
        <w:rPr/>
      </w:pPr>
      <w:bookmarkStart w:id="163" w:name="__RefHeading___Toc3967916_2870459653"/>
      <w:bookmarkStart w:id="164" w:name="_Toc57"/>
      <w:bookmarkEnd w:id="162"/>
      <w:bookmarkEnd w:id="163"/>
      <w:r>
        <w:rPr>
          <w:rtl w:val="true"/>
        </w:rPr>
        <w:t xml:space="preserve">[ </w:t>
      </w:r>
      <w:r>
        <w:rPr>
          <w:rtl w:val="true"/>
        </w:rPr>
        <w:t>في أن حُجيّة شهادة العدلين مطلقة أو لا؟</w:t>
      </w:r>
      <w:r>
        <w:rPr>
          <w:rtl w:val="true"/>
        </w:rPr>
        <w:t>]</w:t>
      </w:r>
      <w:bookmarkEnd w:id="164"/>
    </w:p>
    <w:p>
      <w:pPr>
        <w:pStyle w:val="BookText"/>
        <w:rPr/>
      </w:pPr>
      <w:r>
        <w:rPr>
          <w:rFonts w:ascii="Amiri" w:hAnsi="Amiri" w:eastAsia="Amiri" w:cs="Amiri"/>
          <w:color w:val="111111"/>
          <w:sz w:val="28"/>
          <w:sz w:val="28"/>
          <w:szCs w:val="28"/>
          <w:rtl w:val="true"/>
          <w:lang w:bidi="ar-SA"/>
        </w:rPr>
        <w:t>فبعد اعتبار شهادة العدلين، هل يعتبر مطلقاً أو يعتبر بشرط تفصيل السبب؟ فيه خلاف قول بعدم الوجوب مطلقاً</w:t>
      </w:r>
      <w:r>
        <w:rPr>
          <w:rStyle w:val="FootnoteAnchor"/>
          <w:rtl w:val="true"/>
        </w:rPr>
        <w:footnoteReference w:id="330"/>
      </w:r>
      <w:r>
        <w:rPr>
          <w:rFonts w:ascii="Amiri" w:hAnsi="Amiri" w:eastAsia="Amiri" w:cs="Amiri"/>
          <w:color w:val="111111"/>
          <w:sz w:val="28"/>
          <w:sz w:val="28"/>
          <w:szCs w:val="28"/>
          <w:rtl w:val="true"/>
          <w:lang w:bidi="ar-SA"/>
        </w:rPr>
        <w:t>، وقول بالتفصيل</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وجه عدم الوجوب فظاهر </w:t>
      </w:r>
      <w:r>
        <w:rPr>
          <w:rStyle w:val="FootnoteAnchor"/>
          <w:rtl w:val="true"/>
        </w:rPr>
        <w:footnoteReference w:id="332"/>
      </w:r>
      <w:r>
        <w:rPr>
          <w:rFonts w:ascii="Amiri" w:hAnsi="Amiri" w:eastAsia="Amiri" w:cs="Amiri"/>
          <w:color w:val="111111"/>
          <w:sz w:val="28"/>
          <w:sz w:val="28"/>
          <w:szCs w:val="28"/>
          <w:rtl w:val="true"/>
          <w:lang w:bidi="ar-SA"/>
        </w:rPr>
        <w:t>لأنَّ عدالة العادل تمنع من استناده في شهادته إلى ما هو مذهبه أو مذهب مجتهده مع إطلاقه، لأنّه لا يخلو عن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يتم ويكون تدليساً لو بنينا على اعتبار قول العدل مطلقاً، وأما لو فصلنا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معتبراً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تدليساً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المشهود به إن كان مشتركاً فلا بُدَّ من التفسير عن مراده، وإن كان له حقيقة واحدة فيكون مختلفاً فيه بين العلماء، بمعنى أنّ للعلماء فيه أقوالاً</w:t>
      </w:r>
      <w:r>
        <w:rPr>
          <w:rStyle w:val="FootnoteAnchor"/>
          <w:rtl w:val="true"/>
        </w:rPr>
        <w:footnoteReference w:id="333"/>
      </w:r>
      <w:r>
        <w:rPr>
          <w:rFonts w:ascii="Amiri" w:hAnsi="Amiri" w:eastAsia="Amiri" w:cs="Amiri"/>
          <w:color w:val="111111"/>
          <w:sz w:val="28"/>
          <w:sz w:val="28"/>
          <w:szCs w:val="28"/>
          <w:rtl w:val="true"/>
          <w:lang w:bidi="ar-SA"/>
        </w:rPr>
        <w:t xml:space="preserve">، فإنّ كان المشهود به فعلاً خارجياً أو قوة ويكون لنا على إحراز الواقع قاعدة، مثل أصالة الصحة فنحكم بالنسبة، بمعنى أنّ هذا الشيء يكون واقعاً في الخارج ونحكم بقاعدة الصحة كونه صحيحاً واقعاً لا الصحيح عنده، وكذا لو لم يكن المشهود به مختلف فيه، وأما لو كان المشهود به هو الفعل الخارجي، ولعلّ مذهبه في صحة هذا الفعل شيء غير ما اعتبر عندنا ولم تكن لنا قاعدة حتى نحرز الواقع بها فلا نحكم بقوله؛ لأنه تقليد له وتقليده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لعلّ مراده بالمنع الواقع في الخارج أو هو المتعين هو بيع المعاطاة الذي لم يصححها فيكون الاعتماد على قوله تقليد له كما لو شهد أنّ هذا محرم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بالرضاع،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الرضاع المحرم؛ فلا بُدَّ في جميع ذلك من التفصيل لأنهم اختلفوا في الرضاع المحرم فلا يعلم أنّ مراده أي منها، خصوصاً إذا كان مذهبه ومذهب المشهور عنده مختلفاً، وإطلاقه في هذا المقام لا يكون تدليساً؛ إذ التدليس إنّما </w:t>
      </w:r>
    </w:p>
    <w:p>
      <w:pPr>
        <w:pStyle w:val="BookText"/>
        <w:rPr/>
      </w:pPr>
      <w:r>
        <w:rPr>
          <w:rFonts w:ascii="Amiri" w:hAnsi="Amiri" w:eastAsia="Amiri" w:cs="Amiri"/>
          <w:color w:val="111111"/>
          <w:sz w:val="28"/>
          <w:sz w:val="28"/>
          <w:szCs w:val="28"/>
          <w:rtl w:val="true"/>
          <w:lang w:bidi="ar-SA"/>
        </w:rPr>
        <w:t>يكون لو كان البناء على حُجيّة شهادة العدلين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بنينا على التفصيل فلم يكن تدليساً؛ لأنه يعلم بأنّ الحاكم لم يعتمد على قوله لو أطلق بكونه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الدالّة على قبول قول العادل لا تدلّ إلّا على تصديق العادل، وتصديقك له فيما يشهد به وترتب الآثار عليه فيما إذا كان له أثر، وأما في موضع لم يكن له أثر مثل أن يخبر عن اجتهاده؛ فلا يجب تصديقه بمعنى فرضه واقعاً؛ لأنّه تقليد له وتقليده لا يجوز، بل يجب تصديقه بمعنى أنّه اجتهد في هذا ولم يكذب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لم تدل إلّا على أن خبر العادل وشهادته حجّة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تعمده للكذب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صدقه مطلقاً بمعنى مطابقته للواقع وعدم خطأه في حديثه وكونه حجّة حتى في مقام الحدس أيضاً فلا تدلّ عليه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لم تقبل الشهادة الحدسية والعلمية والتصديق المأمور به هو التصديق فيما له أثر كأن يكون في مقام الحسّ ، كأن يخبر عن موت زيد، والضابط في حجيّته مطلقاً بدون تفصيل، فيما كان المشهود به أمراً لا يتعلق بالأحكام أو في موضوعات الأحكام، كأن يخبر بوقوع البيع في الخارج، وكان لنا أصل على طبقه لنحرز الواقع، أو كان حكماً ولم يكن مختلفاً فيه، أو يكون الخلاف ولكن يكون نادراً بحيث نقطع بعدم إرادته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موضع يكون مختلفاً فيه كالرضاع مثلاً فإنّ العلماء اختلفوا فيه على أقوال شتى؛ بعضهم يكتفي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بمسمى الرضاع</w:t>
      </w:r>
      <w:r>
        <w:rPr>
          <w:rStyle w:val="FootnoteAnchor"/>
          <w:rtl w:val="true"/>
        </w:rPr>
        <w:footnoteReference w:id="335"/>
      </w:r>
      <w:r>
        <w:rPr>
          <w:rFonts w:ascii="Amiri" w:hAnsi="Amiri" w:eastAsia="Amiri" w:cs="Amiri"/>
          <w:color w:val="111111"/>
          <w:sz w:val="28"/>
          <w:sz w:val="28"/>
          <w:szCs w:val="28"/>
          <w:rtl w:val="true"/>
          <w:lang w:bidi="ar-SA"/>
        </w:rPr>
        <w:t xml:space="preserve">، وبعضهم يكتفي بعشر رضعات </w:t>
      </w:r>
      <w:r>
        <w:rPr>
          <w:rStyle w:val="FootnoteAnchor"/>
          <w:rtl w:val="true"/>
        </w:rPr>
        <w:footnoteReference w:id="336"/>
      </w:r>
      <w:r>
        <w:rPr>
          <w:rFonts w:ascii="Amiri" w:hAnsi="Amiri" w:eastAsia="Amiri" w:cs="Amiri"/>
          <w:color w:val="111111"/>
          <w:sz w:val="28"/>
          <w:sz w:val="28"/>
          <w:szCs w:val="28"/>
          <w:rtl w:val="true"/>
          <w:lang w:bidi="ar-SA"/>
        </w:rPr>
        <w:t xml:space="preserve">، وبعضهم خمسة عشر </w:t>
      </w:r>
      <w:r>
        <w:rPr>
          <w:rStyle w:val="FootnoteAnchor"/>
          <w:rtl w:val="true"/>
        </w:rPr>
        <w:footnoteReference w:id="337"/>
      </w:r>
      <w:r>
        <w:rPr>
          <w:rFonts w:ascii="Amiri" w:hAnsi="Amiri" w:eastAsia="Amiri" w:cs="Amiri"/>
          <w:color w:val="111111"/>
          <w:sz w:val="28"/>
          <w:sz w:val="28"/>
          <w:szCs w:val="28"/>
          <w:rtl w:val="true"/>
          <w:lang w:bidi="ar-SA"/>
        </w:rPr>
        <w:t xml:space="preserve">، وبعضهم يعتبر وبعضهم يعتبر شدّ العظم </w:t>
      </w:r>
      <w:bookmarkStart w:id="165" w:name="pg9203_87120"/>
    </w:p>
    <w:p>
      <w:pPr>
        <w:pStyle w:val="BookText"/>
        <w:rPr/>
      </w:pPr>
      <w:bookmarkEnd w:id="165"/>
      <w:r>
        <w:rPr>
          <w:rFonts w:ascii="IRNazanin" w:hAnsi="IRNazanin" w:eastAsia="IRNazanin"/>
          <w:color w:val="111111"/>
          <w:sz w:val="28"/>
          <w:sz w:val="28"/>
          <w:szCs w:val="28"/>
          <w:rtl w:val="true"/>
          <w:lang w:bidi="fa-IR"/>
        </w:rPr>
        <w:t xml:space="preserve">وإنبات اللحم </w:t>
      </w:r>
      <w:r>
        <w:rPr>
          <w:rStyle w:val="FootnoteAnchor"/>
          <w:rtl w:val="true"/>
        </w:rPr>
        <w:footnoteReference w:id="338"/>
      </w:r>
      <w:r>
        <w:rPr>
          <w:rFonts w:ascii="Amiri" w:hAnsi="Amiri" w:eastAsia="Amiri" w:cs="Amiri"/>
          <w:color w:val="111111"/>
          <w:sz w:val="28"/>
          <w:sz w:val="28"/>
          <w:szCs w:val="28"/>
          <w:rtl w:val="true"/>
          <w:lang w:bidi="ar-SA"/>
        </w:rPr>
        <w:t xml:space="preserve">، ففي هذا الموضع لم يجب تصديق الشاهد الذي يشهد بوقوع الرضاع المحرم؛ لعلّ مذهبه يكون مخالفاً وإخباره من باب اجتهاده وحدسه، وأما لو وافق مذهبه مذهب الحاكم أو يكون مقلداً له يعتبر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ما ذكرنا كونه حجّة تعبداً؛ لأن معنى حُجيته تعبداً انه لا بُدَّ أن يعمل بقوله وان لم يحصل العلم بقوله أو الظن ، لا أنّه حجّة تعبداً سواء أخبر عن اجتهاده أو عن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لا ينافي ذلك الأخبار الدالّة على الحليّة حتى يستبين غيرها أو تقوم به البينة ،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والأشياء كلها على هذا حتى يستبين لك غير هذا أو تقوم به البيئة</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لأنّ هذا وارد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الحكم بالحلية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وارد في مقام حجيّة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 وفي مقام بيان كيفية البينة حتى يتمسك بإطلاقه</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3967918_2870459653"/>
      <w:bookmarkStart w:id="167" w:name="_Toc58"/>
      <w:bookmarkEnd w:id="166"/>
      <w:r>
        <w:rPr>
          <w:rtl w:val="true"/>
        </w:rPr>
        <w:t>قول ذي اليد فالكلام فيه يقع في أمور</w:t>
      </w:r>
      <w:r>
        <w:rPr>
          <w:rtl w:val="true"/>
        </w:rPr>
        <w:t>:</w:t>
      </w:r>
      <w:bookmarkEnd w:id="167"/>
    </w:p>
    <w:p>
      <w:pPr>
        <w:pStyle w:val="BookText"/>
        <w:rPr/>
      </w:pPr>
      <w:r>
        <w:rPr>
          <w:rFonts w:ascii="Amiri" w:hAnsi="Amiri" w:eastAsia="Amiri" w:cs="Amiri"/>
          <w:color w:val="111111"/>
          <w:sz w:val="28"/>
          <w:sz w:val="28"/>
          <w:szCs w:val="28"/>
          <w:rtl w:val="true"/>
          <w:lang w:bidi="ar-SA"/>
        </w:rPr>
        <w:t>وأما قول ذي اليد فالكلام فيه يقع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تشخيص ذي اليد ؛ وأنّه هو المالك لا غير، أو يعمّه وغيره حتى يد العارية ويد الغاصب ؟ فسيأتي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حُجيّته في الجُملة، أو في جميع الموارد على تقدير حجيّته؟ وهذا أيضاً تأتي الإشارة إليه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حجّة أم لا؟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على حُجيّته</w:t>
      </w:r>
      <w:r>
        <w:rPr>
          <w:rStyle w:val="FootnoteAnchor"/>
          <w:rtl w:val="true"/>
        </w:rPr>
        <w:footnoteReference w:id="340"/>
      </w:r>
      <w:r>
        <w:rPr>
          <w:rFonts w:ascii="Amiri" w:hAnsi="Amiri" w:eastAsia="Amiri" w:cs="Amiri"/>
          <w:color w:val="111111"/>
          <w:sz w:val="28"/>
          <w:sz w:val="28"/>
          <w:szCs w:val="28"/>
          <w:rtl w:val="true"/>
          <w:lang w:bidi="ar-SA"/>
        </w:rPr>
        <w:t xml:space="preserve">، والأخبار في ذلك كثيرة، أتمها دلالة الأخبار الواردة في </w:t>
      </w:r>
    </w:p>
    <w:p>
      <w:pPr>
        <w:pStyle w:val="BookText"/>
        <w:rPr/>
      </w:pPr>
      <w:r>
        <w:rPr>
          <w:rFonts w:ascii="Amiri" w:hAnsi="Amiri" w:eastAsia="Amiri" w:cs="Amiri"/>
          <w:color w:val="111111"/>
          <w:sz w:val="28"/>
          <w:sz w:val="28"/>
          <w:szCs w:val="28"/>
          <w:rtl w:val="true"/>
          <w:lang w:bidi="ar-SA"/>
        </w:rPr>
        <w:t xml:space="preserve">بيع الدهن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تبيعه وتبين لمن اشتراه ليستصبح به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الدلالة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قول ذي اليد حجّة، لم يكن وجه لوجوب قوله للمشتري، لأنّه على تقدير عدم حجيّته لا يعبأ بقوله أبداً فوجوب الإعلام لا يحسن بل لا يجوز إلّا بعد وجوب القبول؛ لأنّ الباعث على الوجوب هو حصول غايته وهو الاستصباح تحت السماء، فلو لم يكن واجباً على المشتري قبول قوله فلم يكن تحصل تلك الغاية فلا بُدَّ أن لا يكون واجباً؛ لأنّ الوجوب لأجل الاستصباح، وهو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قول ذي اليد في مقام البيع سيّما في النجاسة والطهارة يحصل فيه العلم فلم يدل على قبول قول ذي اليد تعبداً مطلقاً،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بالوجوب لأجل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بوجداننا خلافه بالضرورة، فإنّه كثيراً ما لا يحصل الظن فضلاً عن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Style w:val="FootnoteAnchor"/>
          <w:rtl w:val="true"/>
        </w:rPr>
        <w:footnoteReference w:id="342"/>
      </w:r>
      <w:r>
        <w:rPr>
          <w:rFonts w:ascii="IRNazanin" w:hAnsi="IRNazanin" w:eastAsia="IRNazanin"/>
          <w:color w:val="111111"/>
          <w:sz w:val="28"/>
          <w:sz w:val="28"/>
          <w:szCs w:val="28"/>
          <w:rtl w:val="true"/>
          <w:lang w:bidi="fa-IR"/>
        </w:rPr>
        <w:t>يمكن الاستدلال على هذا المطلب بخبر عبد الله بن بكير، سأل الصادق علیه السلام عن رجل أعار رجلاً ثوباً فصلّى فيه، وهو لا يصلّى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أعلمه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قول ذي اليد حجّة ويجب اتباعه، لم يكن وجه للنهي عنه وهذا الخبر يحتمل وجوه</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يعلمه هل هو بمعنى الإعلام والإخبار نظير القول، أو يكون بمعنى إعطائه العلم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به يتوقف على كون المراد هو الأول، وهو الظاهر من الإعلام بحسب العرف بحيث يُعدّ الاحتمال الثاني احتمالاً بعيداً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الإعلام قبل الصلاة، أو يكون بعد ما صلّى فيه ينهى عن إعلامه؟ والظاهر هو عدم الإعلام بعد الصلاة؛ لأنّ السائل يسأل عن أنّ هذا الشخص صلّى في ثوب نجس هل يكون تكليفي إعلامه حتى يعيد صلاته أو لا يكون تكليفي إعلامه ؟</w:t>
      </w:r>
    </w:p>
    <w:p>
      <w:pPr>
        <w:pStyle w:val="BookText"/>
        <w:rPr/>
      </w:pPr>
      <w:r>
        <w:rPr>
          <w:rFonts w:ascii="Amiri" w:hAnsi="Amiri" w:eastAsia="Amiri" w:cs="Amiri"/>
          <w:color w:val="111111"/>
          <w:sz w:val="28"/>
          <w:sz w:val="28"/>
          <w:szCs w:val="28"/>
          <w:rtl w:val="true"/>
          <w:lang w:bidi="ar-SA"/>
        </w:rPr>
        <w:t>والاستدلال به يتم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أوضح؛ لأنه يكون مبناه حينئذ لا يعلمه حين الإعارة، فإنْ أعلمه يعيد صلاته؛ لأنّ قوله حجّة عليه، لأنّه يكون ذايد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على التقدير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فيحتاج إلى أن يرتكب خلاف الظاهر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بحمله على خلاف الظاهر وهو الندب، لئلا يلزم خلاف الإجماع وهو تكليف الجاهل بالإعادة، وبعد حمله على الندب أيضاً يمكن الاستدلال به بواسطة أنّ الغرض من الاستحباب أنّ قول ذي اليد حجّة، حتى أنّه بعد الصلاة يستحب بواسطة قوله الإعادة، وبواسطة قوله عن الواقع فكيف قبل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ذي اليد حجّة بواسطة أنّ الإعادة بعد العلم لا يكون إجماعاً، فلا بُدَّ من أن يكون الغرض من الأمر بالإعادة أنّ قوله متبع، وكذلك الاحتمال المتصوّر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لا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الصلاة لا ينحصر أن يكون بواسطة النجاسة بل يمكن أن يكون الوجه هو كونه مغصوباً مثلاً أو حريراً لا يضرنا؛ لأنّه إن كان عدم الصلاة فهو المطلوب وإن كان غيره فيتم بعدم القول بالفصل؛ لأنه لا فاصل بين حجيّته فيما نحن فيه 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عكسه كما هو مذهب جماعة فإذن يتم الاستدلال به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يمكن الاستدلال به هو النهي الوارد في بعض الأخبار حيث إنّه علیه السلام أعطى الخادم در هماً وأمره أن يبتاع من مسلم جبناً ونهاه عن السؤال</w:t>
      </w:r>
      <w:r>
        <w:rPr>
          <w:rStyle w:val="FootnoteAnchor"/>
          <w:rtl w:val="true"/>
        </w:rPr>
        <w:footnoteReference w:id="344"/>
      </w:r>
      <w:r>
        <w:rPr>
          <w:rFonts w:ascii="Amiri" w:hAnsi="Amiri" w:eastAsia="Amiri" w:cs="Amiri"/>
          <w:color w:val="111111"/>
          <w:sz w:val="28"/>
          <w:sz w:val="28"/>
          <w:szCs w:val="28"/>
          <w:rtl w:val="true"/>
          <w:lang w:bidi="ar-SA"/>
        </w:rPr>
        <w:t xml:space="preserve">، ولو لم يكن قول البائع </w:t>
      </w:r>
    </w:p>
    <w:p>
      <w:pPr>
        <w:pStyle w:val="BookText"/>
        <w:rPr/>
      </w:pPr>
      <w:r>
        <w:rPr>
          <w:rFonts w:ascii="Amiri" w:hAnsi="Amiri" w:eastAsia="Amiri" w:cs="Amiri"/>
          <w:color w:val="111111"/>
          <w:sz w:val="28"/>
          <w:sz w:val="28"/>
          <w:szCs w:val="28"/>
          <w:rtl w:val="true"/>
          <w:lang w:bidi="ar-SA"/>
        </w:rPr>
        <w:t>حجّة لا ينهى غلامه عن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الواردة في نهي السؤال عن الفرو والجلود الواقعة في الأسواق </w:t>
      </w:r>
      <w:r>
        <w:rPr>
          <w:rStyle w:val="FootnoteAnchor"/>
          <w:rtl w:val="true"/>
        </w:rPr>
        <w:footnoteReference w:id="345"/>
      </w:r>
      <w:r>
        <w:rPr>
          <w:rFonts w:ascii="Amiri" w:hAnsi="Amiri" w:eastAsia="Amiri" w:cs="Amiri"/>
          <w:color w:val="111111"/>
          <w:sz w:val="28"/>
          <w:sz w:val="28"/>
          <w:szCs w:val="28"/>
          <w:rtl w:val="true"/>
          <w:lang w:bidi="ar-SA"/>
        </w:rPr>
        <w:t>، فلا يتم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الخوارج ضيقوا على أنفسهم بجهالتهم، إن الدين أوسع من ذلك</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فيه دلالة لكان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لا تسألون؛ لأنّ المسؤول يقول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نجس فيجب اتباع قوله فيشكل الأمر عليكم؛ ولكن لا يخفى ما فيه؛ لأنّ الخبر لا يدلّ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 أن يكون المراد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كناية عن البحث والتفتيش عن واقع الشيء،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لا تكونوا مكلفين بإحراز الواقع بواسطة السؤال عن الواقع والتفتيش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عليكم الاحتياط عن الشيء وعدم العمل بالأصل والسوق </w:t>
      </w:r>
      <w:r>
        <w:rPr>
          <w:rStyle w:val="FootnoteAnchor"/>
          <w:rtl w:val="true"/>
        </w:rPr>
        <w:footnoteReference w:id="347"/>
      </w:r>
      <w:r>
        <w:rPr>
          <w:rFonts w:ascii="Amiri" w:hAnsi="Amiri" w:eastAsia="Amiri" w:cs="Amiri"/>
          <w:color w:val="111111"/>
          <w:sz w:val="28"/>
          <w:sz w:val="28"/>
          <w:szCs w:val="28"/>
          <w:rtl w:val="true"/>
          <w:lang w:bidi="ar-SA"/>
        </w:rPr>
        <w:t xml:space="preserve">في الأشياء المبتاعة من السوق حتى تسألوا عن طهارته؛ لأنّ الالتزام بالسؤال وعدم العمل قبل السؤال وعدم إعمال الأصل والسوق </w:t>
      </w:r>
      <w:r>
        <w:rPr>
          <w:rStyle w:val="FootnoteAnchor"/>
          <w:rtl w:val="true"/>
        </w:rPr>
        <w:footnoteReference w:id="348"/>
      </w:r>
      <w:r>
        <w:rPr>
          <w:rFonts w:ascii="Amiri" w:hAnsi="Amiri" w:eastAsia="Amiri" w:cs="Amiri"/>
          <w:color w:val="111111"/>
          <w:sz w:val="28"/>
          <w:sz w:val="28"/>
          <w:szCs w:val="28"/>
          <w:rtl w:val="true"/>
          <w:lang w:bidi="ar-SA"/>
        </w:rPr>
        <w:t>توجب المشقة؛ لأنّ الخوارج التزموا بالسؤال عن الطهارة وعدم العمل بالأصل قبل السؤال؛ فوقعوا في حرج شديد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ما عرفت ما ذكرنا؛ فاعلم أنه لا يعارضه العمومات الدالة على الطهارة حتى يحصل العلم؛ لأنها مطلقة أو عامة، وهذه مقيّدة ومخصصه فتكون مقدّمة عليها، وكذلك لا يعارضها الرواية الواردة في البختج التي ذكرناها سابقاً في مبحث العصير العنبي؛ لأنها واردة في التطهر وكلامنا في النجاسة الآن، وهي في ذلك المقام أيضاً لا تدل على عدم حجية اليد؛ لأنّه أولاً على التفصيل بين ذي اليد العادل وذي اليد الفاسق </w:t>
      </w:r>
      <w:bookmarkStart w:id="168" w:name="pg9203_87124"/>
    </w:p>
    <w:p>
      <w:pPr>
        <w:pStyle w:val="BookText"/>
        <w:rPr/>
      </w:pPr>
      <w:bookmarkEnd w:id="168"/>
      <w:r>
        <w:rPr>
          <w:rFonts w:ascii="IRNazanin" w:hAnsi="IRNazanin" w:eastAsia="IRNazanin"/>
          <w:color w:val="111111"/>
          <w:sz w:val="28"/>
          <w:sz w:val="28"/>
          <w:szCs w:val="28"/>
          <w:rtl w:val="true"/>
          <w:lang w:bidi="fa-IR"/>
        </w:rPr>
        <w:t>وليس تفصيل في المسألة؛ لأنّ مضمونه أنّه يكون رجل يأتيني بالبختج وهو يقول على الثلث، وأنا أعلم أنّه يشربه على النصف،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على أنّ الرجل الفاسق يكون كاذباً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فلا نقول بحجيّة اليد حتى في مقابل العلم، بل قائم مقام العلم، والسائل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الأخبار </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3967920_2870459653"/>
      <w:bookmarkStart w:id="170" w:name="_Toc59"/>
      <w:bookmarkEnd w:id="169"/>
      <w:r>
        <w:rPr>
          <w:rtl w:val="true"/>
        </w:rPr>
        <w:t>أقوال العلماء</w:t>
      </w:r>
      <w:bookmarkEnd w:id="170"/>
    </w:p>
    <w:p>
      <w:pPr>
        <w:pStyle w:val="BookText"/>
        <w:rPr/>
      </w:pPr>
      <w:r>
        <w:rPr>
          <w:rFonts w:ascii="IRNazanin" w:hAnsi="IRNazanin" w:eastAsia="IRNazanin"/>
          <w:color w:val="111111"/>
          <w:sz w:val="28"/>
          <w:sz w:val="28"/>
          <w:szCs w:val="28"/>
          <w:rtl w:val="true"/>
          <w:lang w:bidi="fa-IR"/>
        </w:rPr>
        <w:t xml:space="preserve">فالمشهور </w:t>
      </w:r>
      <w:r>
        <w:rPr>
          <w:rStyle w:val="FootnoteAnchor"/>
          <w:rtl w:val="true"/>
        </w:rPr>
        <w:footnoteReference w:id="349"/>
      </w:r>
      <w:r>
        <w:rPr>
          <w:rFonts w:ascii="Amiri" w:hAnsi="Amiri" w:eastAsia="Amiri" w:cs="Amiri"/>
          <w:color w:val="111111"/>
          <w:sz w:val="28"/>
          <w:sz w:val="28"/>
          <w:szCs w:val="28"/>
          <w:rtl w:val="true"/>
          <w:lang w:bidi="ar-SA"/>
        </w:rPr>
        <w:t>حجيّته ولم ينقل خلاف إلّا عن بعض متأخري المتأخرين</w:t>
      </w:r>
      <w:r>
        <w:rPr>
          <w:rStyle w:val="FootnoteAnchor"/>
          <w:rtl w:val="true"/>
        </w:rPr>
        <w:footnoteReference w:id="350"/>
      </w:r>
      <w:r>
        <w:rPr>
          <w:rFonts w:ascii="Amiri" w:hAnsi="Amiri" w:eastAsia="Amiri" w:cs="Amiri"/>
          <w:color w:val="111111"/>
          <w:sz w:val="28"/>
          <w:sz w:val="28"/>
          <w:szCs w:val="28"/>
          <w:rtl w:val="true"/>
          <w:lang w:bidi="ar-SA"/>
        </w:rPr>
        <w:t xml:space="preserve">، وأشكل في نهاية الأحكام </w:t>
      </w:r>
      <w:r>
        <w:rPr>
          <w:rStyle w:val="FootnoteAnchor"/>
          <w:rtl w:val="true"/>
        </w:rPr>
        <w:footnoteReference w:id="351"/>
      </w:r>
      <w:r>
        <w:rPr>
          <w:rFonts w:ascii="Amiri" w:hAnsi="Amiri" w:eastAsia="Amiri" w:cs="Amiri"/>
          <w:color w:val="111111"/>
          <w:sz w:val="28"/>
          <w:sz w:val="28"/>
          <w:szCs w:val="28"/>
          <w:rtl w:val="true"/>
          <w:lang w:bidi="ar-SA"/>
        </w:rPr>
        <w:t>، ونقل الاتفاق في الذخيرة</w:t>
      </w:r>
      <w:r>
        <w:rPr>
          <w:rStyle w:val="FootnoteAnchor"/>
          <w:rtl w:val="true"/>
        </w:rPr>
        <w:footnoteReference w:id="352"/>
      </w:r>
      <w:r>
        <w:rPr>
          <w:rFonts w:ascii="IRNazanin" w:hAnsi="IRNazanin" w:eastAsia="IRNazanin"/>
          <w:color w:val="111111"/>
          <w:sz w:val="28"/>
          <w:sz w:val="28"/>
          <w:szCs w:val="28"/>
          <w:rtl w:val="true"/>
          <w:lang w:bidi="fa-IR"/>
        </w:rPr>
        <w:t xml:space="preserve">والحدائق </w:t>
      </w:r>
      <w:r>
        <w:rPr>
          <w:rStyle w:val="FootnoteAnchor"/>
          <w:rtl w:val="true"/>
        </w:rPr>
        <w:footnoteReference w:id="353"/>
      </w:r>
      <w:r>
        <w:rPr>
          <w:rFonts w:ascii="Amiri" w:hAnsi="Amiri" w:eastAsia="Amiri" w:cs="Amiri"/>
          <w:color w:val="111111"/>
          <w:sz w:val="28"/>
          <w:sz w:val="28"/>
          <w:szCs w:val="28"/>
          <w:rtl w:val="true"/>
          <w:lang w:bidi="ar-SA"/>
        </w:rPr>
        <w:t>، ووجه خلاف هذا المتأخر ، أيضاً معلوم وهو أنه يكون التعارض بين هذه الأدلة والعمومات عموماً من وجه، فلا بُدَّ أن يرجع إلى المرجحات فإن لم تكن؛ فلا بُدَّ أن يرجع إلى الأصل، والأصل عدم النجاسة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الإشكال في نهاية الأحكام أيضاً واضح؛ وهو أنه بعد ما كان الشخص مالكاً للشيء يكون قادراً على منع الغير من التصرف فيه، فلم يتصور في حقه الكذب في إخباره بالنجاسة؛ لأنّ كذبه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تحت يده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يكون بواسطة منع الغير من التصرف فيه، وذلك في موضع لا يكفيه المنع إلّا بالكذب وتلك</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بعد كونه قادراً على الرد فلا داعي له على الكذب فيحصل العلم بصدقه فيعمل بقوله لحصول العلم من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ليس منحصراً في هذه؛ إذ لعلّ الشخص لا يمكنه المنع إلا بهذا القول، وأما بحسب القاعدة فيدلّ عليه أصالة صدق المسلم والسيرة المستمرة القطعية عليه، ونجاسته شيء لا يعلم إلّا من قبله، فلا بُدَّ من العمل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وتمسّك بعض </w:t>
      </w:r>
      <w:r>
        <w:rPr>
          <w:rStyle w:val="FootnoteAnchor"/>
          <w:rtl w:val="true"/>
        </w:rPr>
        <w:footnoteReference w:id="356"/>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لما كان مالكاً لتنجس ذلك ومسلطاً عليه، كان مالكاً للإقرار به وأنه نجسه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قلنا أنّ المسألة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الأخبار فقد مرَّ ؛ وأما من حيث كلمات الأصحاب والشهرة أيضاً فواضحة حتى ادعى الاتفاق جماعة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الإجماع العملي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واضحة؛ لأنّ السيرة المحققة موجودة أولاً، وإن لم تكن فالحكمية موجودة قطعاً، وأيضاً واضحة من جهة أنها شيء لا يعلم غالباً إلّا من قبله كالعدة والحيض والنية في المذكى، فلا يعبأ بخلاف من خالف لشبهة حصلت له، أو إشكال من استشكل كصاحب الدلائل </w:t>
      </w:r>
      <w:r>
        <w:rPr>
          <w:rStyle w:val="FootnoteAnchor"/>
          <w:rtl w:val="true"/>
        </w:rPr>
        <w:footnoteReference w:id="360"/>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عن النجاسة منع الغير عن التصرف وله أن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كلامه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أنّه مسلط على منع الغير من التصرف، والإخبار عن النجاسة ليس شيئاً زائداً على المنع من التصرف</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منع واضح؛ لأنّ قوله بالنجاسة لا يكون منعاً من التصرف من جانب المالك بل المنع من التصرف فيه من جهة الشرع ، ومنعه من التصرف مالكي فأين الاتحاد بينهما ؟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هو ما قلنا في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bookmarkStart w:id="171" w:name="pg9203_87126"/>
    </w:p>
    <w:p>
      <w:pPr>
        <w:pStyle w:val="BookText"/>
        <w:rPr/>
      </w:pPr>
      <w:bookmarkEnd w:id="171"/>
      <w:r>
        <w:rPr>
          <w:rFonts w:ascii="Amiri" w:hAnsi="Amiri" w:eastAsia="Amiri" w:cs="Amiri"/>
          <w:color w:val="111111"/>
          <w:sz w:val="28"/>
          <w:sz w:val="28"/>
          <w:szCs w:val="28"/>
          <w:rtl w:val="true"/>
          <w:lang w:bidi="ar-SA"/>
        </w:rPr>
        <w:t xml:space="preserve">أنّ له المنع من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سبب المنع فيه يعني تنجسه، فله الإقرار بسبب ذلك المنع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مالك للمنع ولا يكون سبب منعه نجاسته بل النجاسة تسبب بمنع الشرع لا لمنع المالك بل السبب فيه عدم رضائه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وبعضهم فصل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كان إخباره قبل الاستعمال فيكون حجّة وإن كان بعد الاستعمال فليس بحجة، وكذلك فصَّل بين كون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ملكه أو بعد خروجه عن ملكه؛ فيقبل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التفصيل؛ لعلّه أنّ الإخبار بعد الاستعمال وكذلك بعد الانتقال، كأنه إقرار في حق الغير وإقرار بنجاسة الغير ، واقراره في حق الغير غير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ليس إقراراً على تقدير الإخبار بنجاسته السابقة، نعم يكون في حق الغير لو أقرَّ بأنَّ اللباس المستعمل نجس وهو لا يقول به؛ فتم الكلام في المقام الثالث</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3967922_2870459653"/>
      <w:bookmarkStart w:id="173" w:name="_Toc60"/>
      <w:bookmarkEnd w:id="172"/>
      <w:r>
        <w:rPr>
          <w:rtl w:val="true"/>
        </w:rPr>
        <w:t>[</w:t>
      </w:r>
      <w:r>
        <w:rPr>
          <w:rtl w:val="true"/>
        </w:rPr>
        <w:t>عموم مفهوم ذي اليد</w:t>
      </w:r>
      <w:r>
        <w:rPr>
          <w:rtl w:val="true"/>
        </w:rPr>
        <w:t>]</w:t>
      </w:r>
      <w:bookmarkEnd w:id="173"/>
    </w:p>
    <w:p>
      <w:pPr>
        <w:pStyle w:val="BookText"/>
        <w:rPr/>
      </w:pPr>
      <w:r>
        <w:rPr>
          <w:rFonts w:ascii="Amiri" w:hAnsi="Amiri" w:eastAsia="Amiri" w:cs="Amiri"/>
          <w:color w:val="111111"/>
          <w:sz w:val="28"/>
          <w:sz w:val="28"/>
          <w:szCs w:val="28"/>
          <w:rtl w:val="true"/>
          <w:lang w:bidi="ar-SA"/>
        </w:rPr>
        <w:t>وأما الكلام في المقام الأول، وهو كون ذي اليد عاماً يشمل المالك والمستأجر والعارية والوكيل والودعي أو يكون خاصاً بالمالك؟</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كونه عاماً؛ لأنّ المناط القطعي هو كون الشخص مستولياً على الشيء ومتصرفاً فيه ومورد الأخبار وإن كان لا يشمل بعض الصور كالعارية والوديعة إلّا أنّه يظهر من كلمات العلماء والأخبار أيضاً، خصوصاً السيرة القطعية أن المراد باليد هو كون الشيء تحت تصرفه وإن كان غاصبا</w:t>
      </w:r>
      <w:r>
        <w:rPr>
          <w:rStyle w:val="FootnoteAnchor"/>
          <w:rtl w:val="true"/>
        </w:rPr>
        <w:footnoteReference w:id="362"/>
      </w:r>
      <w:r>
        <w:rPr>
          <w:rFonts w:ascii="Amiri" w:hAnsi="Amiri" w:eastAsia="Amiri" w:cs="Amiri"/>
          <w:color w:val="111111"/>
          <w:sz w:val="28"/>
          <w:sz w:val="28"/>
          <w:szCs w:val="28"/>
          <w:rtl w:val="true"/>
          <w:lang w:bidi="ar-SA"/>
        </w:rPr>
        <w:t>إلّا أنّه لا يشمل يد الودعي؛ لأنّ الودعي لا يكون متصرفاً بل أميناً في الحفظ، فيشكل الأمر في اليد المشتركة إذا أخبر بعض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بالنجاسة، والظاهر قبول قوله أيضاً؛ لأنه ذو اليد حقيقة</w:t>
      </w:r>
      <w:r>
        <w:rPr>
          <w:rFonts w:eastAsia="Amiri" w:cs="Amiri" w:ascii="Amiri" w:hAnsi="Amiri"/>
          <w:color w:val="111111"/>
          <w:sz w:val="28"/>
          <w:szCs w:val="28"/>
          <w:rtl w:val="true"/>
          <w:lang w:bidi="ar-SA"/>
        </w:rPr>
        <w:t xml:space="preserve">. </w:t>
      </w:r>
      <w:bookmarkStart w:id="174" w:name="pg9203_87127"/>
    </w:p>
    <w:p>
      <w:pPr>
        <w:pStyle w:val="Heading2"/>
        <w:numPr>
          <w:ilvl w:val="1"/>
          <w:numId w:val="1"/>
        </w:numPr>
        <w:rPr/>
      </w:pPr>
      <w:bookmarkStart w:id="175" w:name="__RefHeading___Toc3967924_2870459653"/>
      <w:bookmarkStart w:id="176" w:name="_Toc61"/>
      <w:bookmarkEnd w:id="174"/>
      <w:bookmarkEnd w:id="175"/>
      <w:r>
        <w:rPr>
          <w:rtl w:val="true"/>
        </w:rPr>
        <w:t xml:space="preserve">[ </w:t>
      </w:r>
      <w:r>
        <w:rPr>
          <w:rtl w:val="true"/>
        </w:rPr>
        <w:t>حجيّة قول ذي اليد في الجملة</w:t>
      </w:r>
      <w:r>
        <w:rPr>
          <w:rtl w:val="true"/>
        </w:rPr>
        <w:t>]</w:t>
      </w:r>
      <w:bookmarkEnd w:id="176"/>
    </w:p>
    <w:p>
      <w:pPr>
        <w:pStyle w:val="BookText"/>
        <w:rPr/>
      </w:pPr>
      <w:r>
        <w:rPr>
          <w:rFonts w:ascii="Amiri" w:hAnsi="Amiri" w:eastAsia="Amiri" w:cs="Amiri"/>
          <w:color w:val="111111"/>
          <w:sz w:val="28"/>
          <w:sz w:val="28"/>
          <w:szCs w:val="28"/>
          <w:rtl w:val="true"/>
          <w:lang w:bidi="ar-SA"/>
        </w:rPr>
        <w:t>وأمّا الكلام 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الذي يظهر من كلمات الأصحاب </w:t>
      </w:r>
      <w:r>
        <w:rPr>
          <w:rStyle w:val="FootnoteAnchor"/>
          <w:rtl w:val="true"/>
        </w:rPr>
        <w:footnoteReference w:id="363"/>
      </w:r>
      <w:r>
        <w:rPr>
          <w:rFonts w:ascii="Amiri" w:hAnsi="Amiri" w:eastAsia="Amiri" w:cs="Amiri"/>
          <w:color w:val="111111"/>
          <w:sz w:val="28"/>
          <w:sz w:val="28"/>
          <w:szCs w:val="28"/>
          <w:rtl w:val="true"/>
          <w:lang w:bidi="ar-SA"/>
        </w:rPr>
        <w:t>أنه ليس حجّة في جميع الموارد، إلّا أنّ المشهور يقولون بالحجيّة في التطهير والتنجيس والحِلِّية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القول بالحجيّة في التطهير والحِل والحرمة أظهر من القول بالحجيّة في النجاسة؛ لأنهم يستدلون كثيراً في هذا المورد لحجيته في تلك الموارد من باب الفحوى والأولوية، هذا تمام الكلام في هذا المقام</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3967926_2870459653"/>
      <w:bookmarkStart w:id="178" w:name="_Toc62"/>
      <w:bookmarkEnd w:id="177"/>
      <w:r>
        <w:rPr>
          <w:rtl w:val="true"/>
        </w:rPr>
        <w:t>مسألة في المطهرات</w:t>
      </w:r>
      <w:bookmarkEnd w:id="17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ولا شك أنّ الغسل معتبر في مطهرية الماء، وإنّما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أنّه هل يكفي الغسل بالماء مرة واحدة أم يعتبر التعدد؟</w:t>
      </w:r>
    </w:p>
    <w:p>
      <w:pPr>
        <w:pStyle w:val="Heading2"/>
        <w:numPr>
          <w:ilvl w:val="1"/>
          <w:numId w:val="1"/>
        </w:numPr>
        <w:rPr/>
      </w:pPr>
      <w:bookmarkStart w:id="179" w:name="__RefHeading___Toc3967928_2870459653"/>
      <w:bookmarkStart w:id="180" w:name="_Toc63"/>
      <w:bookmarkEnd w:id="179"/>
      <w:r>
        <w:rPr>
          <w:rtl w:val="true"/>
        </w:rPr>
        <w:t>أما في الثوب</w:t>
      </w:r>
      <w:r>
        <w:rPr>
          <w:rtl w:val="true"/>
        </w:rPr>
        <w:t>:</w:t>
      </w:r>
      <w:bookmarkEnd w:id="180"/>
    </w:p>
    <w:p>
      <w:pPr>
        <w:pStyle w:val="BookText"/>
        <w:rPr/>
      </w:pPr>
      <w:r>
        <w:rPr>
          <w:rFonts w:ascii="IRNazanin" w:hAnsi="IRNazanin" w:eastAsia="IRNazanin"/>
          <w:color w:val="111111"/>
          <w:sz w:val="28"/>
          <w:sz w:val="28"/>
          <w:szCs w:val="28"/>
          <w:rtl w:val="true"/>
          <w:lang w:bidi="fa-IR"/>
        </w:rPr>
        <w:t>فالمشهور</w:t>
      </w:r>
      <w:r>
        <w:rPr>
          <w:rStyle w:val="FootnoteAnchor"/>
          <w:rtl w:val="true"/>
        </w:rPr>
        <w:footnoteReference w:id="364"/>
      </w:r>
      <w:r>
        <w:rPr>
          <w:rFonts w:ascii="IRNazanin" w:hAnsi="IRNazanin" w:eastAsia="IRNazanin"/>
          <w:color w:val="111111"/>
          <w:sz w:val="28"/>
          <w:sz w:val="28"/>
          <w:szCs w:val="28"/>
          <w:rtl w:val="true"/>
          <w:lang w:bidi="fa-IR"/>
        </w:rPr>
        <w:t>على التعدد حتى ادعى المحقق قدس سره أنه مذهب علمائنا</w:t>
      </w:r>
      <w:r>
        <w:rPr>
          <w:rStyle w:val="FootnoteAnchor"/>
          <w:rtl w:val="true"/>
        </w:rPr>
        <w:footnoteReference w:id="365"/>
      </w:r>
      <w:r>
        <w:rPr>
          <w:rFonts w:ascii="Amiri" w:hAnsi="Amiri" w:eastAsia="Amiri" w:cs="Amiri"/>
          <w:color w:val="111111"/>
          <w:sz w:val="28"/>
          <w:sz w:val="28"/>
          <w:szCs w:val="28"/>
          <w:rtl w:val="true"/>
          <w:lang w:bidi="ar-SA"/>
        </w:rPr>
        <w:t xml:space="preserve">، ولم يظهر مخالف ظاهراً إلّا الشيخ رحمه الله في المبسوط </w:t>
      </w:r>
      <w:r>
        <w:rPr>
          <w:rStyle w:val="FootnoteAnchor"/>
          <w:rtl w:val="true"/>
        </w:rPr>
        <w:footnoteReference w:id="366"/>
      </w:r>
      <w:r>
        <w:rPr>
          <w:rFonts w:ascii="Amiri" w:hAnsi="Amiri" w:eastAsia="Amiri" w:cs="Amiri"/>
          <w:color w:val="111111"/>
          <w:sz w:val="28"/>
          <w:sz w:val="28"/>
          <w:szCs w:val="28"/>
          <w:rtl w:val="true"/>
          <w:lang w:bidi="ar-SA"/>
        </w:rPr>
        <w:t xml:space="preserve">، فإنّه حكم فيه باختصاص المرتبتين بالولوغ، ولا صريحاً إلّا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Style w:val="FootnoteAnchor"/>
          <w:rtl w:val="true"/>
        </w:rPr>
        <w:footnoteReference w:id="367"/>
      </w:r>
      <w:r>
        <w:rPr>
          <w:rFonts w:ascii="Amiri" w:hAnsi="Amiri" w:eastAsia="Amiri" w:cs="Amiri"/>
          <w:color w:val="111111"/>
          <w:sz w:val="28"/>
          <w:sz w:val="28"/>
          <w:szCs w:val="28"/>
          <w:rtl w:val="true"/>
          <w:lang w:bidi="ar-SA"/>
        </w:rPr>
        <w:t>، فإنّه حكم بالاكتفاء بالمرّة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أيضاً متواترة ولم يظهر للمخالف دليل سوى دليل اعتباري جارٍ فيما </w:t>
      </w:r>
      <w:bookmarkStart w:id="181" w:name="pg9203_87128"/>
    </w:p>
    <w:p>
      <w:pPr>
        <w:pStyle w:val="BookText"/>
        <w:rPr/>
      </w:pPr>
      <w:bookmarkEnd w:id="181"/>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وأن الماء مطهريته ليست بالعقل بل بالشرع، وبلزوم الشارع استعمال الطهور مرّة واحدة، وببعض الإطلاقات الواردة في مقام بيان لزوم الغسل لا الصب مثلاً وعلى تقدیر ورودها في هذا المقام فلا بُدَّ من تقييدها بالأخبار المقيدة؛ لكثرتها واعتضادها بالشهرة بل الإجماع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نجاسة البول بالماء القليل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غير نجاسة البول فيظهر من بعض </w:t>
      </w:r>
      <w:r>
        <w:rPr>
          <w:rStyle w:val="FootnoteAnchor"/>
          <w:rtl w:val="true"/>
        </w:rPr>
        <w:footnoteReference w:id="370"/>
      </w:r>
      <w:r>
        <w:rPr>
          <w:rFonts w:ascii="Amiri" w:hAnsi="Amiri" w:eastAsia="Amiri" w:cs="Amiri"/>
          <w:color w:val="111111"/>
          <w:sz w:val="28"/>
          <w:sz w:val="28"/>
          <w:szCs w:val="28"/>
          <w:rtl w:val="true"/>
          <w:lang w:bidi="ar-SA"/>
        </w:rPr>
        <w:t>المخالفة والاكتفاء بالمرّة، وبعض بالعكس</w:t>
      </w:r>
      <w:r>
        <w:rPr>
          <w:rStyle w:val="FootnoteAnchor"/>
          <w:rtl w:val="true"/>
        </w:rPr>
        <w:footnoteReference w:id="371"/>
      </w:r>
      <w:r>
        <w:rPr>
          <w:rFonts w:ascii="Amiri" w:hAnsi="Amiri" w:eastAsia="Amiri" w:cs="Amiri"/>
          <w:color w:val="111111"/>
          <w:sz w:val="28"/>
          <w:sz w:val="28"/>
          <w:szCs w:val="28"/>
          <w:rtl w:val="true"/>
          <w:lang w:bidi="ar-SA"/>
        </w:rPr>
        <w:t>، ويظهر من بعض أيضاً أنّ البول يكفي فيه الصب</w:t>
      </w:r>
      <w:r>
        <w:rPr>
          <w:rStyle w:val="FootnoteAnchor"/>
          <w:rtl w:val="true"/>
        </w:rPr>
        <w:footnoteReference w:id="372"/>
      </w:r>
      <w:r>
        <w:rPr>
          <w:rFonts w:ascii="Amiri" w:hAnsi="Amiri" w:eastAsia="Amiri" w:cs="Amiri"/>
          <w:color w:val="111111"/>
          <w:sz w:val="28"/>
          <w:sz w:val="28"/>
          <w:szCs w:val="28"/>
          <w:rtl w:val="true"/>
          <w:lang w:bidi="ar-SA"/>
        </w:rPr>
        <w:t>لأنّ النجاسة لا ترسب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الماء كثيراً أو جارياً فالاكتفاء بالمرّة ربما يكون مشهوراً</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3967930_2870459653"/>
      <w:bookmarkStart w:id="183" w:name="_Toc64"/>
      <w:bookmarkEnd w:id="182"/>
      <w:r>
        <w:rPr>
          <w:rtl w:val="true"/>
        </w:rPr>
        <w:t xml:space="preserve">[ </w:t>
      </w:r>
      <w:r>
        <w:rPr>
          <w:rtl w:val="true"/>
        </w:rPr>
        <w:t>اعتبار العصر في الغسل بالماء القليل</w:t>
      </w:r>
      <w:r>
        <w:rPr>
          <w:rtl w:val="true"/>
        </w:rPr>
        <w:t>]</w:t>
      </w:r>
      <w:bookmarkEnd w:id="183"/>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العصر في الغسل بالماء أو لا يعتبر العصر؟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والأكثر </w:t>
      </w:r>
      <w:r>
        <w:rPr>
          <w:rStyle w:val="FootnoteAnchor"/>
          <w:rtl w:val="true"/>
        </w:rPr>
        <w:footnoteReference w:id="373"/>
      </w:r>
      <w:r>
        <w:rPr>
          <w:rFonts w:ascii="Amiri" w:hAnsi="Amiri" w:eastAsia="Amiri" w:cs="Amiri"/>
          <w:color w:val="111111"/>
          <w:sz w:val="28"/>
          <w:sz w:val="28"/>
          <w:szCs w:val="28"/>
          <w:rtl w:val="true"/>
          <w:lang w:bidi="ar-SA"/>
        </w:rPr>
        <w:t xml:space="preserve">على لزوم العصر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بالماء القليل، وربّما ادعى بعض الإجماع على ذلك </w:t>
      </w:r>
      <w:r>
        <w:rPr>
          <w:rStyle w:val="FootnoteAnchor"/>
          <w:rtl w:val="true"/>
        </w:rPr>
        <w:footnoteReference w:id="374"/>
      </w:r>
      <w:r>
        <w:rPr>
          <w:rFonts w:ascii="Amiri" w:hAnsi="Amiri" w:eastAsia="Amiri" w:cs="Amiri"/>
          <w:color w:val="111111"/>
          <w:sz w:val="28"/>
          <w:sz w:val="28"/>
          <w:szCs w:val="28"/>
          <w:rtl w:val="true"/>
          <w:lang w:bidi="ar-SA"/>
        </w:rPr>
        <w:t xml:space="preserve">، ويظهر من بعض </w:t>
      </w:r>
      <w:r>
        <w:rPr>
          <w:rStyle w:val="FootnoteAnchor"/>
          <w:rtl w:val="true"/>
        </w:rPr>
        <w:footnoteReference w:id="375"/>
      </w:r>
      <w:r>
        <w:rPr>
          <w:rFonts w:ascii="Amiri" w:hAnsi="Amiri" w:eastAsia="Amiri" w:cs="Amiri"/>
          <w:color w:val="111111"/>
          <w:sz w:val="28"/>
          <w:sz w:val="28"/>
          <w:szCs w:val="28"/>
          <w:rtl w:val="true"/>
          <w:lang w:bidi="ar-SA"/>
        </w:rPr>
        <w:t>اعتباره في مفهوم الغسل وكذا يظهر من بعض الأخبار دخوله في مفهوم الغسل مثل رواية الحسن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بول الصبي؟ </w:t>
      </w:r>
      <w:bookmarkStart w:id="184" w:name="pg9203_87129"/>
    </w:p>
    <w:p>
      <w:pPr>
        <w:pStyle w:val="BookText"/>
        <w:rPr/>
      </w:pPr>
      <w:bookmarkEnd w:id="184"/>
      <w:r>
        <w:rPr>
          <w:rFonts w:ascii="IRNazanin" w:hAnsi="IRNazanin" w:eastAsia="IRNazanin"/>
          <w:color w:val="111111"/>
          <w:sz w:val="28"/>
          <w:sz w:val="28"/>
          <w:szCs w:val="28"/>
          <w:rtl w:val="true"/>
          <w:lang w:bidi="fa-IR"/>
        </w:rPr>
        <w:t>قال علیه السلام تصب عليه الماء، وإن كان قد أكل فاغسله</w:t>
      </w:r>
      <w:r>
        <w:rPr>
          <w:rFonts w:eastAsia="IRNazanin" w:cs="IRNazanin"/>
          <w:color w:val="111111"/>
          <w:sz w:val="28"/>
          <w:szCs w:val="28"/>
          <w:rtl w:val="true"/>
          <w:lang w:bidi="fa-IR"/>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وإن لم يكن معتبراً فيه ، فمن لوازمه العرفية؛ لكونه المتعارف المشهود في العصر بعد الغسل؛ ولأنّ النجاسة رسبت في الثوب فلا ترتفع إلا بالعصر ، ولأن </w:t>
      </w:r>
      <w:r>
        <w:rPr>
          <w:rFonts w:eastAsia="Amiri" w:cs="Amiri" w:ascii="Amiri" w:hAnsi="Amiri"/>
          <w:color w:val="111111"/>
          <w:sz w:val="28"/>
          <w:szCs w:val="28"/>
          <w:rtl w:val="true"/>
          <w:lang w:bidi="ar-SA"/>
        </w:rPr>
        <w:t>...</w:t>
      </w:r>
      <w:r>
        <w:rPr>
          <w:rStyle w:val="FootnoteAnchor"/>
          <w:rtl w:val="true"/>
        </w:rPr>
        <w:footnoteReference w:id="377"/>
      </w:r>
    </w:p>
    <w:p>
      <w:pPr>
        <w:pStyle w:val="Heading2"/>
        <w:numPr>
          <w:ilvl w:val="1"/>
          <w:numId w:val="1"/>
        </w:numPr>
        <w:rPr/>
      </w:pPr>
      <w:bookmarkStart w:id="185" w:name="__RefHeading___Toc3967932_2870459653"/>
      <w:bookmarkStart w:id="186" w:name="_Toc65"/>
      <w:bookmarkEnd w:id="185"/>
      <w:r>
        <w:rPr>
          <w:rtl w:val="true"/>
        </w:rPr>
        <w:t xml:space="preserve">[ </w:t>
      </w:r>
      <w:r>
        <w:rPr>
          <w:rtl w:val="true"/>
        </w:rPr>
        <w:t>اعتبار تعدد العصر في الغسل بالماء القليل</w:t>
      </w:r>
      <w:r>
        <w:rPr>
          <w:rtl w:val="true"/>
        </w:rPr>
        <w:t>]</w:t>
      </w:r>
      <w:bookmarkEnd w:id="186"/>
    </w:p>
    <w:p>
      <w:pPr>
        <w:pStyle w:val="BookText"/>
        <w:rPr/>
      </w:pPr>
      <w:r>
        <w:rPr>
          <w:rFonts w:ascii="Amiri" w:hAnsi="Amiri" w:eastAsia="Amiri" w:cs="Amiri"/>
          <w:color w:val="111111"/>
          <w:sz w:val="28"/>
          <w:sz w:val="28"/>
          <w:szCs w:val="28"/>
          <w:rtl w:val="true"/>
          <w:lang w:bidi="ar-SA"/>
        </w:rPr>
        <w:t>بقي الكلام في أنّه على فرض اعتبار العصر هل يعتبر التعدد أم يكتفي بالمرّة؟</w:t>
      </w:r>
    </w:p>
    <w:p>
      <w:pPr>
        <w:pStyle w:val="BookText"/>
        <w:rPr/>
      </w:pPr>
      <w:r>
        <w:rPr>
          <w:rFonts w:ascii="Amiri" w:hAnsi="Amiri" w:eastAsia="Amiri" w:cs="Amiri"/>
          <w:color w:val="111111"/>
          <w:sz w:val="28"/>
          <w:sz w:val="28"/>
          <w:szCs w:val="28"/>
          <w:rtl w:val="true"/>
          <w:lang w:bidi="ar-SA"/>
        </w:rPr>
        <w:t xml:space="preserve">يظهر من بعض التعدد </w:t>
      </w:r>
      <w:r>
        <w:rPr>
          <w:rStyle w:val="FootnoteAnchor"/>
          <w:rtl w:val="true"/>
        </w:rPr>
        <w:footnoteReference w:id="378"/>
      </w:r>
      <w:r>
        <w:rPr>
          <w:rFonts w:ascii="Amiri" w:hAnsi="Amiri" w:eastAsia="Amiri" w:cs="Amiri"/>
          <w:color w:val="111111"/>
          <w:sz w:val="28"/>
          <w:sz w:val="28"/>
          <w:szCs w:val="28"/>
          <w:rtl w:val="true"/>
          <w:lang w:bidi="ar-SA"/>
        </w:rPr>
        <w:t>، ومن بعض الاكتفاء بالمرّة</w:t>
      </w:r>
      <w:r>
        <w:rPr>
          <w:rStyle w:val="FootnoteAnchor"/>
          <w:rtl w:val="true"/>
        </w:rPr>
        <w:footnoteReference w:id="379"/>
      </w:r>
      <w:r>
        <w:rPr>
          <w:rFonts w:ascii="Amiri" w:hAnsi="Amiri" w:eastAsia="Amiri" w:cs="Amiri"/>
          <w:color w:val="111111"/>
          <w:sz w:val="28"/>
          <w:sz w:val="28"/>
          <w:szCs w:val="28"/>
          <w:rtl w:val="true"/>
          <w:lang w:bidi="ar-SA"/>
        </w:rPr>
        <w:t xml:space="preserve">، ومقتضى بعض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التعدد كما هو واضح، وألحق بعضُ الأصحاب</w:t>
      </w:r>
      <w:r>
        <w:rPr>
          <w:rStyle w:val="FootnoteAnchor"/>
          <w:rtl w:val="true"/>
        </w:rPr>
        <w:footnoteReference w:id="380"/>
      </w:r>
      <w:r>
        <w:rPr>
          <w:rFonts w:ascii="Amiri" w:hAnsi="Amiri" w:eastAsia="Amiri" w:cs="Amiri"/>
          <w:color w:val="111111"/>
          <w:sz w:val="28"/>
          <w:sz w:val="28"/>
          <w:szCs w:val="28"/>
          <w:rtl w:val="true"/>
          <w:lang w:bidi="ar-SA"/>
        </w:rPr>
        <w:t xml:space="preserve">بالعصر الدَقَ والتغمر مثلاً في الأشياء التي يعسر عادة عصرها، وألحق أيضاً به بعضُ </w:t>
      </w:r>
      <w:r>
        <w:rPr>
          <w:rStyle w:val="FootnoteAnchor"/>
          <w:rtl w:val="true"/>
        </w:rPr>
        <w:footnoteReference w:id="381"/>
      </w:r>
      <w:r>
        <w:rPr>
          <w:rFonts w:ascii="Amiri" w:hAnsi="Amiri" w:eastAsia="Amiri" w:cs="Amiri"/>
          <w:color w:val="111111"/>
          <w:sz w:val="28"/>
          <w:sz w:val="28"/>
          <w:szCs w:val="28"/>
          <w:rtl w:val="true"/>
          <w:lang w:bidi="ar-SA"/>
        </w:rPr>
        <w:t>الجفاف، لكنه لا دليل عليه هذا كله في الغسل بالماء القليل</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3967934_2870459653"/>
      <w:bookmarkStart w:id="188" w:name="_Toc66"/>
      <w:bookmarkEnd w:id="187"/>
      <w:r>
        <w:rPr>
          <w:rtl w:val="true"/>
        </w:rPr>
        <w:t>[</w:t>
      </w:r>
      <w:r>
        <w:rPr>
          <w:rtl w:val="true"/>
        </w:rPr>
        <w:t>عدم اعتبار العصر في الغسل بالماء الكثير والجاري</w:t>
      </w:r>
      <w:r>
        <w:rPr>
          <w:rtl w:val="true"/>
        </w:rPr>
        <w:t>]</w:t>
      </w:r>
      <w:bookmarkEnd w:id="188"/>
    </w:p>
    <w:p>
      <w:pPr>
        <w:pStyle w:val="BookText"/>
        <w:rPr/>
      </w:pPr>
      <w:r>
        <w:rPr>
          <w:rFonts w:ascii="Amiri" w:hAnsi="Amiri" w:eastAsia="Amiri" w:cs="Amiri"/>
          <w:color w:val="111111"/>
          <w:sz w:val="28"/>
          <w:sz w:val="28"/>
          <w:szCs w:val="28"/>
          <w:rtl w:val="true"/>
          <w:lang w:bidi="ar-SA"/>
        </w:rPr>
        <w:t xml:space="preserve">وأمّا الماء الكثير والجاري فالظاهر عدم اعتبار العصر لعدم تنجسه بالملاقاة، والعمدة في لزوم العصر في القليل هي انفعاله بالملاقاة، وهذا غير موجود في الكثير؛ هذا فيما يمكن عصره </w:t>
      </w:r>
      <w:r>
        <w:rPr>
          <w:rFonts w:eastAsia="Amiri" w:cs="Amiri" w:ascii="Amiri" w:hAnsi="Amiri"/>
          <w:color w:val="111111"/>
          <w:sz w:val="28"/>
          <w:szCs w:val="28"/>
          <w:rtl w:val="true"/>
          <w:lang w:bidi="ar-SA"/>
        </w:rPr>
        <w:t>.</w:t>
      </w:r>
    </w:p>
    <w:p>
      <w:pPr>
        <w:pStyle w:val="Heading2"/>
        <w:numPr>
          <w:ilvl w:val="1"/>
          <w:numId w:val="1"/>
        </w:numPr>
        <w:rPr/>
      </w:pPr>
      <w:bookmarkStart w:id="189" w:name="__RefHeading___Toc3967936_2870459653"/>
      <w:bookmarkStart w:id="190" w:name="_Toc67"/>
      <w:bookmarkEnd w:id="189"/>
      <w:r>
        <w:rPr>
          <w:rtl w:val="true"/>
        </w:rPr>
        <w:t xml:space="preserve">[ </w:t>
      </w:r>
      <w:r>
        <w:rPr>
          <w:rtl w:val="true"/>
        </w:rPr>
        <w:t xml:space="preserve">في اعتبار عصر ما لا يمكن ما لا يمكن عصره </w:t>
      </w:r>
      <w:r>
        <w:rPr>
          <w:rtl w:val="true"/>
        </w:rPr>
        <w:t>]</w:t>
      </w:r>
      <w:bookmarkEnd w:id="19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لا يمكن عصره فما يرسب فيه الماء فإذا كان يرسب فيه قليل من ماء الغُسالة بحيث ينفك عنه أكثر ماء الغُسالة في أقلّ الغسل، والظاهر طهارته بعدم </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Amiri" w:hAnsi="Amiri" w:eastAsia="Amiri" w:cs="Amiri"/>
          <w:color w:val="111111"/>
          <w:sz w:val="28"/>
          <w:sz w:val="28"/>
          <w:szCs w:val="28"/>
          <w:rtl w:val="true"/>
          <w:lang w:bidi="ar-SA"/>
        </w:rPr>
        <w:t>الاعتبار بهذا القليل بل يظهر حاله من المتخلف في المحل من ماء الغُسالة فيما يمكن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يرسب فيه </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ماء الغُسالة ولا يمكن عصره فيشكل الأمر فيه سيما في غسله بالقليل، وذلك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تتعد النجاسة في أعماقه بل أصابت النجاسة ظاهره؛ فالظاهر فيه طهارته بالكثير بوضعه فيه؛ لإطلاقات الغسل وللأخبار الخاصة كرواية اللحم ورواية الذنوب </w:t>
      </w:r>
      <w:r>
        <w:rPr>
          <w:rStyle w:val="FootnoteAnchor"/>
          <w:rtl w:val="true"/>
        </w:rPr>
        <w:footnoteReference w:id="383"/>
      </w:r>
      <w:r>
        <w:rPr>
          <w:rFonts w:ascii="Amiri" w:hAnsi="Amiri" w:eastAsia="Amiri" w:cs="Amiri"/>
          <w:color w:val="111111"/>
          <w:sz w:val="28"/>
          <w:sz w:val="28"/>
          <w:szCs w:val="28"/>
          <w:rtl w:val="true"/>
          <w:lang w:bidi="ar-SA"/>
        </w:rPr>
        <w:t>، ورواية الدن</w:t>
      </w:r>
      <w:r>
        <w:rPr>
          <w:rStyle w:val="FootnoteAnchor"/>
          <w:rtl w:val="true"/>
        </w:rPr>
        <w:footnoteReference w:id="384"/>
      </w:r>
      <w:r>
        <w:rPr>
          <w:rFonts w:ascii="Amiri" w:hAnsi="Amiri" w:eastAsia="Amiri" w:cs="Amiri"/>
          <w:color w:val="111111"/>
          <w:sz w:val="28"/>
          <w:sz w:val="28"/>
          <w:szCs w:val="28"/>
          <w:rtl w:val="true"/>
          <w:lang w:bidi="ar-SA"/>
        </w:rPr>
        <w:t xml:space="preserve">، ورواية الكوز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العصر واعتباره في الغسل 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لزومه في الكثير وعلى فرض ثبوته فيه فلا نسلم لزومه حتى فيما لا يمكن عصره حتى يقال بعدم طهارته ، وأمّا طهارته بالقليل فيشكل الأمر فيه من باب لزوم العصر في القليل، إما من باب نجاسة الغُسالة وأما من باب اعتباره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الطهارة بعدم نجاسة الغُسالة وبعدم اعتباره في الغسل؛ وصدق الغسل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اجتمعت الأدلّة على اعتباره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القول بعدم الطهارة بالقليل هل يطهر ظاهره ولو كان باطنه نجساً من </w:t>
      </w:r>
    </w:p>
    <w:p>
      <w:pPr>
        <w:pStyle w:val="BookText"/>
        <w:rPr/>
      </w:pPr>
      <w:r>
        <w:rPr>
          <w:rFonts w:ascii="Amiri" w:hAnsi="Amiri" w:eastAsia="Amiri" w:cs="Amiri"/>
          <w:color w:val="111111"/>
          <w:sz w:val="28"/>
          <w:sz w:val="28"/>
          <w:szCs w:val="28"/>
          <w:rtl w:val="true"/>
          <w:lang w:bidi="ar-SA"/>
        </w:rPr>
        <w:t>جهة رسوب ماء الغسالة فيه أو لا يطهر ظاهره ولا باطنه ؟</w:t>
      </w:r>
    </w:p>
    <w:p>
      <w:pPr>
        <w:pStyle w:val="BookText"/>
        <w:rPr/>
      </w:pPr>
      <w:r>
        <w:rPr>
          <w:rFonts w:ascii="Amiri" w:hAnsi="Amiri" w:eastAsia="Amiri" w:cs="Amiri"/>
          <w:color w:val="111111"/>
          <w:sz w:val="28"/>
          <w:sz w:val="28"/>
          <w:szCs w:val="28"/>
          <w:rtl w:val="true"/>
          <w:lang w:bidi="ar-SA"/>
        </w:rPr>
        <w:t>فالظاهر أنه إن اجتمع ماء الغُسالة في الباطن بحيث لم يبق في ظاهره من ماء الغُسالة شيء ونفذ كله إلى الباطن طَهُرَ ظاهره؛ لصدق غسله ولأنّ الغسل لإزالة القذر، والقذر قد زال من الظاهر واجتمع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الغُسالة في الظاهر مثل ما في الباطن، فالظاهر عدم حصول الطهارة، بل المتيقن؛ لعدم خروج ماء الغُسالة ولعدم حصول الغسل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تنفذ النجاسة في أعماقه وانتقع بالماء؛ فالظاهر عدم حصول الطهارة له لا بالقليل ولا بالكثير ؛ لعدم وصول الماء إلى الأجزاء الباطنة وعدم حصول الغسل حقيقة؛ فدعوى العفو عن نجاسة الباطن كدعوى الاكتفاء في طهارة الباطن بطهارة الظاهر لبطلانها ضرورة، بل دعوى حصول الطهارة للباطن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الرطوبة إلى الباطن دون الماء كذلك؛ لتواتر الأخبار باعتبار الغسل في الطهارة، والغسل لا يتحقق إلّا بجريان الماء على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حصول الطهارة له بالكثير بواسطة اتصال ما فيها من الماء النجس بالكثير؛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الغمض عن لزوم الممازجة وهي غير متحققة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حصول الاتصال بواسطة توسط أجزاء الجسم كيف كان ، ولو كان كذلك فلا بُدَّ أن تحصل الطهارة بظاهر الأواني الظرف مثلاً إذا كان ظاهره نجساً بواسطة اتصال باطنه بالكثير للاتصال، ولو سلمنا الاتصال فلا نسلم حصول اتصال بحيث يصدق عليه الاتحاد عرفاً، بل الاتصال ضعيف خارج عن الاعتبار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الاستدلال بالأخبار مثل رواية عمار بن موسى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الكوز أو الإناء يكون قذراً كيف يغسل وكم مرة يغسل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 ثلاث مرات يصب فيه الماء، فيحرك فيه ثمّ يفرغ منه ذلك ، ثمّ يصب فيه آخر فيحرك فيه، ثمّ </w:t>
      </w:r>
    </w:p>
    <w:p>
      <w:pPr>
        <w:pStyle w:val="BookText"/>
        <w:rPr/>
      </w:pPr>
      <w:r>
        <w:rPr>
          <w:rFonts w:ascii="Amiri" w:hAnsi="Amiri" w:eastAsia="Amiri" w:cs="Amiri"/>
          <w:color w:val="111111"/>
          <w:sz w:val="28"/>
          <w:sz w:val="28"/>
          <w:szCs w:val="28"/>
          <w:rtl w:val="true"/>
          <w:lang w:bidi="ar-SA"/>
        </w:rPr>
        <w:t xml:space="preserve">يفرغ منه ذلك الماء، ثمّ يصب فيه ماء آخر فيحرك فيه، ثمّ يفرغ منه وقد طهر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السكوني عن جعفر بن محمد عن آبائه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عليا علیه السلام سُئل عن قدر طبخت وإذا في القدر فأرة؟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يهرق مرقها ويغسل اللحم ويأكل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زكريا بن آدم بهذا المضمون</w:t>
      </w:r>
      <w:r>
        <w:rPr>
          <w:rStyle w:val="FootnoteAnchor"/>
          <w:rtl w:val="true"/>
        </w:rPr>
        <w:footnoteReference w:id="388"/>
      </w:r>
      <w:r>
        <w:rPr>
          <w:rFonts w:ascii="IRNazanin" w:hAnsi="IRNazanin" w:eastAsia="IRNazanin"/>
          <w:color w:val="111111"/>
          <w:sz w:val="28"/>
          <w:sz w:val="28"/>
          <w:szCs w:val="28"/>
          <w:rtl w:val="true"/>
          <w:lang w:bidi="fa-IR"/>
        </w:rPr>
        <w:t>، وخبر ابن جعفر المروي في قرب الإسناد عن أخيه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أكسية المرعزي</w:t>
      </w:r>
      <w:r>
        <w:rPr>
          <w:rStyle w:val="FootnoteAnchor"/>
          <w:rtl w:val="true"/>
        </w:rPr>
        <w:footnoteReference w:id="389"/>
      </w:r>
      <w:r>
        <w:rPr>
          <w:rFonts w:ascii="Amiri" w:hAnsi="Amiri" w:eastAsia="Amiri" w:cs="Amiri"/>
          <w:color w:val="111111"/>
          <w:sz w:val="28"/>
          <w:sz w:val="28"/>
          <w:szCs w:val="28"/>
          <w:rtl w:val="true"/>
          <w:lang w:bidi="ar-SA"/>
        </w:rPr>
        <w:t xml:space="preserve">والخفاف تنقع في البول، أيصلّى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بالماء فلا بأس</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وخبر الذنوب</w:t>
      </w:r>
      <w:r>
        <w:rPr>
          <w:rStyle w:val="FootnoteAnchor"/>
          <w:rtl w:val="true"/>
        </w:rPr>
        <w:footnoteReference w:id="391"/>
      </w:r>
      <w:r>
        <w:rPr>
          <w:rFonts w:ascii="IRNazanin" w:hAnsi="IRNazanin" w:eastAsia="IRNazanin"/>
          <w:color w:val="111111"/>
          <w:sz w:val="28"/>
          <w:sz w:val="28"/>
          <w:szCs w:val="28"/>
          <w:rtl w:val="true"/>
          <w:lang w:bidi="fa-IR"/>
        </w:rPr>
        <w:t>المتضمن الأمر النبي صلی الله عليه وآله وسلم بإراقة ذَنُوب من ماء على بول الإعرابي في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وجه الاستدلال بالخبر الأول فمشكل؛ لأنّ الاحتمالات المتصورة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الاستدلال بالخبر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رجوع الضمير المستكن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الكوز، والكوز اسم لجميع أجزائه لا باطنه فقط، فحكم بطهارة جميع أجزائه بمجرد الغسل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راجع إلى موضع القذر منه بقرينة السؤال، ولا نسلم قذارة جوف الكوز أيضاً كسطحه بل الغالب قذارة سطحه لا جميع أجزائه، غاية ما يلزم 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أعماقه بواسطة رسوب ماء الغُسالة لو كان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القليل وهو غير مضر؛ لحصول الطهارة للموضع القذر وهو سطحه</w:t>
      </w:r>
      <w:r>
        <w:rPr>
          <w:rFonts w:eastAsia="Amiri" w:cs="Amiri" w:ascii="Amiri" w:hAnsi="Amiri"/>
          <w:color w:val="111111"/>
          <w:sz w:val="28"/>
          <w:szCs w:val="28"/>
          <w:rtl w:val="true"/>
          <w:lang w:bidi="ar-SA"/>
        </w:rPr>
        <w:t xml:space="preserve">. </w:t>
      </w:r>
      <w:bookmarkStart w:id="191" w:name="pg9203_87133"/>
    </w:p>
    <w:p>
      <w:pPr>
        <w:pStyle w:val="BookText"/>
        <w:rPr/>
      </w:pPr>
      <w:bookmarkEnd w:id="191"/>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تقييده بسطحه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مندفع بعدم تسليم الإطلاق، لما ذكرنا؛ ولأنّ السؤال حقيقة عن إمكان استعمال الكوز ومواضع استعماله مع كونه كوزا واظهر استعمال الكوز من حيث كونه كوزا ليس إلّا بالنسبة إلى سطحه لا إلى باطنه فالجواب جواب عن السؤال عنه وهو طهارة لباطن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حصول فائدة طهارة السطح الباطن مع نجاسة جوفه وسريان النجاسة من الباطن إلى الظاهر</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عن حصول الطهارة، فأجاب بحصول الطهارة ولو لم يحصل فائدة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الفائدة وهي جواز استعماله حاصل ما لم يعلم بحك سطحه، والعلم بالحك غير حاصل في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بخبر الدن، فهو أيضاً لعدم معلومية كون السؤال عن مجموع الدن، بل الظاهر هو السؤال عن الظاهر أي سطحه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السؤال عن الدن لأجل إعمال الخل فيه، فلا بُدَّ من زمان طويل، فيسري النجاسة من الجوف إلى السطح، فينجس السطح وما في الدن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النفوذ من جانب السطح إلى الجوف لا منه إليه ما دام فيه</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3967938_2870459653"/>
      <w:bookmarkStart w:id="193" w:name="_Toc68"/>
      <w:bookmarkEnd w:id="192"/>
      <w:r>
        <w:rPr>
          <w:rtl w:val="true"/>
        </w:rPr>
        <w:t>رواية الذَنوب ففيه</w:t>
      </w:r>
      <w:r>
        <w:rPr>
          <w:rtl w:val="true"/>
        </w:rPr>
        <w:t>:</w:t>
      </w:r>
      <w:bookmarkEnd w:id="19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عامية ضعيفة السند </w:t>
      </w:r>
      <w:r>
        <w:rPr>
          <w:rStyle w:val="FootnoteAnchor"/>
          <w:rtl w:val="true"/>
        </w:rPr>
        <w:footnoteReference w:id="393"/>
      </w:r>
      <w:r>
        <w:rPr>
          <w:rFonts w:ascii="Amiri" w:hAnsi="Amiri" w:eastAsia="Amiri" w:cs="Amiri"/>
          <w:color w:val="111111"/>
          <w:sz w:val="28"/>
          <w:sz w:val="28"/>
          <w:szCs w:val="28"/>
          <w:rtl w:val="true"/>
          <w:lang w:bidi="ar-SA"/>
        </w:rPr>
        <w:t>؛ فلا يثبت بها مثل هذا الحكم</w:t>
      </w:r>
      <w:r>
        <w:rPr>
          <w:rFonts w:eastAsia="Amiri" w:cs="Amiri" w:ascii="Amiri" w:hAnsi="Amiri"/>
          <w:color w:val="111111"/>
          <w:sz w:val="28"/>
          <w:szCs w:val="28"/>
          <w:rtl w:val="true"/>
          <w:lang w:bidi="ar-SA"/>
        </w:rPr>
        <w:t xml:space="preserve">. </w:t>
      </w:r>
      <w:bookmarkStart w:id="194" w:name="pg9203_87134"/>
    </w:p>
    <w:p>
      <w:pPr>
        <w:pStyle w:val="BookText"/>
        <w:rPr/>
      </w:pPr>
      <w:bookmarkEnd w:id="194"/>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الذنوب كراً، أو عدم نجاسة الغُسالة أو تكون نجسة لكن خرجت إلى خارج المسجد بحيث يكون الموضع النجس متصلاً بخارجه، وكون الأرض صلبه لا ينفذ فيها ماء الغُسالة حتى يتنجس باطنها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روايتا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القول المذكور في سائر الروايات، وهو عدم العلم بنجاسة الأعماق لطبخه في الماء القذر فوصل الماء النجس إلى الأعماق، إلّا أنهما ضعيفتا السند</w:t>
      </w:r>
      <w:r>
        <w:rPr>
          <w:rStyle w:val="FootnoteAnchor"/>
          <w:rtl w:val="true"/>
        </w:rPr>
        <w:footnoteReference w:id="394"/>
      </w:r>
      <w:r>
        <w:rPr>
          <w:rFonts w:ascii="Amiri" w:hAnsi="Amiri" w:eastAsia="Amiri" w:cs="Amiri"/>
          <w:color w:val="111111"/>
          <w:sz w:val="28"/>
          <w:sz w:val="28"/>
          <w:szCs w:val="28"/>
          <w:rtl w:val="true"/>
          <w:lang w:bidi="ar-SA"/>
        </w:rPr>
        <w:t>، على أنّه يمكن القول بخروجهما عن مفروض الكلام؛ لأنّ الكلام فيما يرسب النجاسة فيه ولا يمكن عصره، واللحم المطبوخ يمكن عصره</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3967940_2870459653"/>
      <w:bookmarkStart w:id="196" w:name="_Toc69"/>
      <w:bookmarkEnd w:id="195"/>
      <w:r>
        <w:rPr>
          <w:rtl w:val="true"/>
        </w:rPr>
        <w:t>رواية أكسية المرعزي والخفاف</w:t>
      </w:r>
      <w:r>
        <w:rPr>
          <w:rtl w:val="true"/>
        </w:rPr>
        <w:t>:</w:t>
      </w:r>
      <w:bookmarkEnd w:id="196"/>
    </w:p>
    <w:p>
      <w:pPr>
        <w:pStyle w:val="BookText"/>
        <w:rPr/>
      </w:pPr>
      <w:r>
        <w:rPr>
          <w:rFonts w:ascii="Amiri" w:hAnsi="Amiri" w:eastAsia="Amiri" w:cs="Amiri"/>
          <w:color w:val="111111"/>
          <w:sz w:val="28"/>
          <w:sz w:val="28"/>
          <w:szCs w:val="28"/>
          <w:rtl w:val="true"/>
          <w:lang w:bidi="ar-SA"/>
        </w:rPr>
        <w:t xml:space="preserve">فيمكن القول بأنّ السؤال فيها عن النجاسة الظاهرية الموجبة للتلويث، وأمّا نجاسة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الخفاف مما لا تتم فيها الصلاة، فيجوز الصلاة فيها، وإن كانت نجسة، فيعلم أنّ السؤال عن نجاسة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المصبوغ بالنجس أو المتنجس فإنّ كان صبغه رطباً غير منجمد فلا يطهر إلّا بغلبة الماء المطلق عليه وزوال عين النجس ، وكذا إذا كان باقياً، ويعتبر بقاء الماء على إطلاقه حين نفوذه إلى الأجزاء النجسة بحيث يصدق الغسل بالماء المطلق فيطهر ما لم يعلم التغير، فإنّ علم التغير عند غسل جزء ولم يعلم سبق التغير على الورود أو العكس، فلا ريب في بقاء الجزء المقارن صدق غسله لانفصاله متغيراً على النجاسة وإنّما الكلام في الجزء السابق عليه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حادثان أحدهما التغير والثاني ورود الماء بمقتضى أصالة عدم حصول التغير إلى زمان ورود الماء على حصول الطهارة، ومقتضى استصحاب عدم وصول الماء المطلق إليه إلى زمان التغير عدم حصول الطهارة فيتعارض الاستصحابان، فيكون </w:t>
      </w:r>
      <w:bookmarkStart w:id="197" w:name="pg9203_87135"/>
    </w:p>
    <w:p>
      <w:pPr>
        <w:pStyle w:val="BookText"/>
        <w:rPr/>
      </w:pPr>
      <w:bookmarkEnd w:id="197"/>
      <w:r>
        <w:rPr>
          <w:rFonts w:ascii="Amiri" w:hAnsi="Amiri" w:eastAsia="Amiri" w:cs="Amiri"/>
          <w:color w:val="111111"/>
          <w:sz w:val="28"/>
          <w:sz w:val="28"/>
          <w:szCs w:val="28"/>
          <w:rtl w:val="true"/>
          <w:lang w:bidi="ar-SA"/>
        </w:rPr>
        <w:t>استصحاب النجاسة سليماً عن المعارض فيحكم بنجاسته؛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النجاسة ليست من اللوازم الشرعية لاستصحاب عدم الوصول بل من لوازمه العقلية؛ لأنّ الوصول علّة للطهارة، فيحكم العقل بأنّ عدم العلة وهي الوصول علّة لعدم المعلول وهي الطهارة، فيكون استصحاب الإطلاق مع استصحاب النجاسة، فلا يحكم أيضاً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في دفع هذا القول بأنّ استصحاب الإطلاق حاكم على استصحاب النجاسة؛ فيكون مقدماً عليه، فيحكم أيضاً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أن يستشكل في حصول الطهارة بواسطة مُلاقاة المحل للأجزاء النجسة أو المتنجسة من الصبغ ونحوه؛ لأنّ 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تنجس المحل بواسطة ماء الغُسالة لا عدم تنجيسه لغيره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الأجزاء بحكم ماء الغُسالة؛ لأنه يصدق على التغير بالصبغ ونحوه ماء الغُسالة فلا يكون هناك ماء الغُسالة ومتنجس آخر غير ماء الغُسالة، فيكون ملاقياً لا لشيء آخر فلا ينجس المحل بها، فافهم</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3967942_2870459653"/>
      <w:bookmarkStart w:id="199" w:name="_Toc70"/>
      <w:bookmarkEnd w:id="198"/>
      <w:r>
        <w:rPr>
          <w:rtl w:val="true"/>
        </w:rPr>
        <w:t>[</w:t>
      </w:r>
      <w:r>
        <w:rPr>
          <w:rtl w:val="true"/>
        </w:rPr>
        <w:t>في اشتراط ورود الماء القليل على النجس</w:t>
      </w:r>
      <w:r>
        <w:rPr>
          <w:rtl w:val="true"/>
        </w:rPr>
        <w:t>]</w:t>
      </w:r>
      <w:bookmarkEnd w:id="199"/>
    </w:p>
    <w:p>
      <w:pPr>
        <w:pStyle w:val="BookText"/>
        <w:rPr/>
      </w:pPr>
      <w:r>
        <w:rPr>
          <w:rFonts w:ascii="Amiri" w:hAnsi="Amiri" w:eastAsia="Amiri" w:cs="Amiri"/>
          <w:color w:val="111111"/>
          <w:sz w:val="28"/>
          <w:sz w:val="28"/>
          <w:szCs w:val="28"/>
          <w:rtl w:val="true"/>
          <w:lang w:bidi="ar-SA"/>
        </w:rPr>
        <w:t>ثم الكلام في أنّه هل يشترط ورود الماء على النجس إذا غسل بالماء القليل أو لا يشترط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والمشهور على الاشتراط </w:t>
      </w:r>
      <w:r>
        <w:rPr>
          <w:rStyle w:val="FootnoteAnchor"/>
          <w:rtl w:val="true"/>
        </w:rPr>
        <w:footnoteReference w:id="395"/>
      </w:r>
      <w:r>
        <w:rPr>
          <w:rFonts w:ascii="Amiri" w:hAnsi="Amiri" w:eastAsia="Amiri" w:cs="Amiri"/>
          <w:color w:val="111111"/>
          <w:sz w:val="28"/>
          <w:sz w:val="28"/>
          <w:szCs w:val="28"/>
          <w:rtl w:val="true"/>
          <w:lang w:bidi="ar-SA"/>
        </w:rPr>
        <w:t>، وبعضهم اشترط إذا لم يكن المحل إناء</w:t>
      </w:r>
      <w:r>
        <w:rPr>
          <w:rStyle w:val="FootnoteAnchor"/>
          <w:rtl w:val="true"/>
        </w:rPr>
        <w:footnoteReference w:id="396"/>
      </w:r>
      <w:r>
        <w:rPr>
          <w:rFonts w:ascii="Amiri" w:hAnsi="Amiri" w:eastAsia="Amiri" w:cs="Amiri"/>
          <w:color w:val="111111"/>
          <w:sz w:val="28"/>
          <w:sz w:val="28"/>
          <w:szCs w:val="28"/>
          <w:rtl w:val="true"/>
          <w:lang w:bidi="ar-SA"/>
        </w:rPr>
        <w:t xml:space="preserve">، والذي يدلّ على الاشتراط بعد الأصل؛ الأوامر الواردة بالصب، وقاعدة انفعال القليل بالملاقاة وأنّ النجس منجس وأنّ النجس لا يطهر؛ خرجنا عن هذه القواعد في القدر المتيقن وما عداه يكون مشكوكاً فيبقى تحت هذه القواعد، وبملاحظة أنّ الغسل </w:t>
      </w:r>
    </w:p>
    <w:p>
      <w:pPr>
        <w:pStyle w:val="BookText"/>
        <w:rPr/>
      </w:pPr>
      <w:r>
        <w:rPr>
          <w:rFonts w:ascii="IRNazanin" w:hAnsi="IRNazanin" w:eastAsia="IRNazanin"/>
          <w:color w:val="111111"/>
          <w:sz w:val="28"/>
          <w:sz w:val="28"/>
          <w:szCs w:val="28"/>
          <w:rtl w:val="true"/>
          <w:lang w:bidi="fa-IR"/>
        </w:rPr>
        <w:t>لإزالة القذارة التي في النجس، ومع الورود يكون للماء قاهرية على النجاسة فيزيلها بخلاف العكس، وليس في مقابلها شيء إلّا إطلاقات الغسل الشاملة بإطلاقها صورة غير الورود، وخصوص صحيح ابن مسلم سأل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 يصيبه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في المركن مرتين</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والمركن هي الأجانة التي تغسل فيها الثياب </w:t>
      </w:r>
      <w:r>
        <w:rPr>
          <w:rStyle w:val="FootnoteAnchor"/>
          <w:rtl w:val="true"/>
        </w:rPr>
        <w:footnoteReference w:id="398"/>
      </w:r>
      <w:r>
        <w:rPr>
          <w:rFonts w:ascii="Amiri" w:hAnsi="Amiri" w:eastAsia="Amiri" w:cs="Amiri"/>
          <w:color w:val="111111"/>
          <w:sz w:val="28"/>
          <w:sz w:val="28"/>
          <w:szCs w:val="28"/>
          <w:rtl w:val="true"/>
          <w:lang w:bidi="ar-SA"/>
        </w:rPr>
        <w:t>، والغالب في الغسل فيها هو إراقة الماء أولاً ثمّ وضع الثوب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وخبر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الجص يوقد عليه بالعذرة وعظام الموتى ثّم يحصص به المسجد أيسجد عليه؟ فكتب إلى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والنار قد طهراه</w:t>
      </w:r>
      <w:r>
        <w:rPr>
          <w:rFonts w:eastAsia="IRNazanin" w:cs="IRNazanin"/>
          <w:color w:val="111111"/>
          <w:sz w:val="28"/>
          <w:szCs w:val="28"/>
          <w:rtl w:val="true"/>
          <w:lang w:bidi="fa-IR"/>
        </w:rPr>
        <w:t>»</w:t>
      </w:r>
      <w:r>
        <w:rPr>
          <w:rStyle w:val="FootnoteAnchor"/>
          <w:rtl w:val="true"/>
        </w:rPr>
        <w:footnoteReference w:id="399"/>
      </w:r>
      <w:r>
        <w:rPr>
          <w:rFonts w:ascii="Amiri" w:hAnsi="Amiri" w:eastAsia="Amiri" w:cs="Amiri"/>
          <w:color w:val="111111"/>
          <w:sz w:val="28"/>
          <w:sz w:val="28"/>
          <w:szCs w:val="28"/>
          <w:rtl w:val="true"/>
          <w:lang w:bidi="ar-SA"/>
        </w:rPr>
        <w:t>والأقوى في النظر هو اشتراط الورود؛ للاستصحاب والأوامر الواردة بالصب، والنهي الوارد عن إدخال اليد النجسة في الإناء، والقواعد المذكورة وعدم دليل صالح لعدم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الإطلاقات فيمكن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إطلاقها، إما لأنها واردة مورد حكم آخر، وهو لزوم الغسل بالماء ولم ترد في بيان كيفية الغسل حتى يتمسك بإطلاقها، وأما لأنها منصرفة إلى الفرد الغالب المتداول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الناس والمعروف بينهم، وهو ورود الماء على النجس فلا يكون لها إطلاق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الآمرة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معتضدة بالشهرة</w:t>
      </w:r>
      <w:r>
        <w:rPr>
          <w:rStyle w:val="FootnoteAnchor"/>
          <w:rtl w:val="true"/>
        </w:rPr>
        <w:footnoteReference w:id="401"/>
      </w:r>
      <w:r>
        <w:rPr>
          <w:rFonts w:ascii="Amiri" w:hAnsi="Amiri" w:eastAsia="Amiri" w:cs="Amiri"/>
          <w:color w:val="111111"/>
          <w:sz w:val="28"/>
          <w:sz w:val="28"/>
          <w:szCs w:val="28"/>
          <w:rtl w:val="true"/>
          <w:lang w:bidi="ar-SA"/>
        </w:rPr>
        <w:t xml:space="preserve">وعمل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من تقييد الإطلاقات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صحيح ابن مسلم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في المركن هو وضع الثوب أولاً فيه ثمّ إراقة الماء عليه مع احتمال 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دلالته على عدم الاشتراط لا بُدَّ من الخروج عنها بملاحظة ما ذكرنا سابقاً، فلِمَ لا يطرح الخبر الصحيح لأجل كون الشهرة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يعفور فلم يتضح المراد من مطهريتها به، لعلّ المراد أنّ ماء المطر يجري عليه فيطهره، لا الماء الذي تنتقع به حين إعماله وعلى فرض كونه المراد لعلّ المعروف فيه إراقة الماء عليه مضافاً إلى اشتماله على مخالفة المشهور </w:t>
      </w:r>
      <w:r>
        <w:rPr>
          <w:rStyle w:val="FootnoteAnchor"/>
          <w:rtl w:val="true"/>
        </w:rPr>
        <w:footnoteReference w:id="402"/>
      </w:r>
      <w:r>
        <w:rPr>
          <w:rFonts w:ascii="Amiri" w:hAnsi="Amiri" w:eastAsia="Amiri" w:cs="Amiri"/>
          <w:color w:val="111111"/>
          <w:sz w:val="28"/>
          <w:sz w:val="28"/>
          <w:szCs w:val="28"/>
          <w:rtl w:val="true"/>
          <w:lang w:bidi="ar-SA"/>
        </w:rPr>
        <w:t xml:space="preserve">، إن لم يكن إجماعاً </w:t>
      </w:r>
      <w:r>
        <w:rPr>
          <w:rStyle w:val="FootnoteAnchor"/>
          <w:rtl w:val="true"/>
        </w:rPr>
        <w:footnoteReference w:id="403"/>
      </w:r>
      <w:r>
        <w:rPr>
          <w:rFonts w:ascii="Amiri" w:hAnsi="Amiri" w:eastAsia="Amiri" w:cs="Amiri"/>
          <w:color w:val="111111"/>
          <w:sz w:val="28"/>
          <w:sz w:val="28"/>
          <w:szCs w:val="28"/>
          <w:rtl w:val="true"/>
          <w:lang w:bidi="ar-SA"/>
        </w:rPr>
        <w:t>من طهارته بالنار مع أنّه يعتبر في الطهارة بالنار الاستحالة، مضافاً إلى عدم صراحة الخبر سؤالاً وجواباً في تنجس الجص بمحض وقود العذرة وعظام الموتى عليه، والسؤال عن العذرة التي حصلت بواسطة إحراقها عليه لا عن النجاسة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فلو فرضنا عدم وجود دليل دال على اعتبار الورود وليس مخالفاً للقواعد ؛ لأنّ أدلّة انفعال القليل لا يكون فيها عموم حتى يشمل موارد الكلام بل مختص بملاقاة النجاسة الخارجية، وكل ما دلّ على منجسية المتنجس مختص بالمتنجس بغير الغسل، وكذلك قاعدة أنّ المتنجس لا يطهر، وكذلك يمكن الإشكال على اعتبار الورود بأنّه يتم في الجزء الأول من الثوب،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منه فلا يحصل فيها الورود خصوصاً في الإناء من ملاقاة بعض الأجزاء بعضها ببعض، ومن هنا التجأ بعض الأصحاب كالشهيد قدس سره واعتبر الورود الابتدائي في بعض كتبه</w:t>
      </w:r>
      <w:r>
        <w:rPr>
          <w:rStyle w:val="FootnoteAnchor"/>
          <w:rtl w:val="true"/>
        </w:rPr>
        <w:footnoteReference w:id="404"/>
      </w:r>
      <w:r>
        <w:rPr>
          <w:rFonts w:ascii="Amiri" w:hAnsi="Amiri" w:eastAsia="Amiri" w:cs="Amiri"/>
          <w:color w:val="111111"/>
          <w:sz w:val="28"/>
          <w:sz w:val="28"/>
          <w:szCs w:val="28"/>
          <w:rtl w:val="true"/>
          <w:lang w:bidi="ar-SA"/>
        </w:rPr>
        <w:t xml:space="preserve">واستثنى غسل الإناء في بعض كتبه </w:t>
      </w:r>
      <w:r>
        <w:rPr>
          <w:rStyle w:val="FootnoteAnchor"/>
          <w:rtl w:val="true"/>
        </w:rPr>
        <w:footnoteReference w:id="405"/>
      </w:r>
      <w:r>
        <w:rPr>
          <w:rFonts w:ascii="Amiri" w:hAnsi="Amiri" w:eastAsia="Amiri" w:cs="Amiri"/>
          <w:color w:val="111111"/>
          <w:sz w:val="28"/>
          <w:sz w:val="28"/>
          <w:szCs w:val="28"/>
          <w:rtl w:val="true"/>
          <w:lang w:bidi="ar-SA"/>
        </w:rPr>
        <w:t xml:space="preserve">من أدلة اعتبار الورود، إلّا أنّه يدفعها ملاحظة الاستصحاب </w:t>
      </w:r>
      <w:bookmarkStart w:id="200" w:name="pg9203_87138"/>
    </w:p>
    <w:p>
      <w:pPr>
        <w:pStyle w:val="BookText"/>
        <w:rPr/>
      </w:pPr>
      <w:bookmarkEnd w:id="200"/>
      <w:r>
        <w:rPr>
          <w:rFonts w:ascii="Amiri" w:hAnsi="Amiri" w:eastAsia="Amiri" w:cs="Amiri"/>
          <w:color w:val="111111"/>
          <w:sz w:val="28"/>
          <w:sz w:val="28"/>
          <w:szCs w:val="28"/>
          <w:rtl w:val="true"/>
          <w:lang w:bidi="ar-SA"/>
        </w:rPr>
        <w:t>حتى يحصل المتيقن والمتيقن هو صورة الورود ولو في أول جزئه</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3967944_2870459653"/>
      <w:bookmarkStart w:id="202" w:name="_Toc71"/>
      <w:bookmarkEnd w:id="201"/>
      <w:r>
        <w:rPr>
          <w:rtl w:val="true"/>
        </w:rPr>
        <w:t>[</w:t>
      </w:r>
      <w:r>
        <w:rPr>
          <w:rtl w:val="true"/>
        </w:rPr>
        <w:t xml:space="preserve">اعتبار إزالة عين النجاسة لا أوصافها </w:t>
      </w:r>
      <w:r>
        <w:rPr>
          <w:rtl w:val="true"/>
        </w:rPr>
        <w:t>]</w:t>
      </w:r>
      <w:bookmarkEnd w:id="202"/>
    </w:p>
    <w:p>
      <w:pPr>
        <w:pStyle w:val="BookText"/>
        <w:rPr/>
      </w:pPr>
      <w:r>
        <w:rPr>
          <w:rFonts w:ascii="Amiri" w:hAnsi="Amiri" w:eastAsia="Amiri" w:cs="Amiri"/>
          <w:color w:val="111111"/>
          <w:sz w:val="28"/>
          <w:sz w:val="28"/>
          <w:szCs w:val="28"/>
          <w:rtl w:val="true"/>
          <w:lang w:bidi="ar-SA"/>
        </w:rPr>
        <w:t xml:space="preserve">وكيف كان فالمعتبر إزالة عين النجاسة لا إزالة لون النجاسة بحيث لم يبق من عين النجاسة في المحل شيء في نظر العرف، وإن كان بحسب الدقة الفلسفية –باعتبار امتناع انتقال العرض من المعروض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ببقاء العين مع اللون؛ لأن المدار في الخطابات والأحكام الشرعية على العرف فالمعتبر في الإزالة هي إزالته في نظر العرف، والنجاسة لا تصدق على اللون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لو انتقل ذلك اللون إلى الماء مثلاً بحيث لم يبقَ من اللون في المحل شيء ، ويكون الماء بذلك اللون في نجاسة هذا الماء المتلون باعتبار وقوع أجزاء النجاسة فيه، التي ما دام كان المحل لا يكون لها حكم بواسطة حكم العرف باللونية، وبعدما صارت ظاهراً محكومة بحكم النجس، وفي طهارته باعتبار أنها لم يكن لها حكم أصلاً سواءً كانت في المحل أو غيره؛ لأنه لو كان لها حكم لكان باعتبار الأجزاء النجسة ليست بمرتبته وتلك الأجزاء ثابتة في المحل، فالظاهر هو الطهارة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يكون قسم من اللون بحيث يزول بأدنى فرك ولا يحتاج إلى فرك بليغ فالظاهر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إزالتها؛ لأنّ العين باقية هنا في نظر العرف هذا تمام الكلام</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3967946_2870459653"/>
      <w:bookmarkStart w:id="204" w:name="_Toc72"/>
      <w:bookmarkEnd w:id="203"/>
      <w:r>
        <w:rPr>
          <w:rtl w:val="true"/>
        </w:rPr>
        <w:t>ومن جملة المطهرات ماء الغيث</w:t>
      </w:r>
      <w:bookmarkEnd w:id="20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فالمشهور</w:t>
      </w:r>
      <w:r>
        <w:rPr>
          <w:rStyle w:val="FootnoteAnchor"/>
          <w:rtl w:val="true"/>
        </w:rPr>
        <w:footnoteReference w:id="407"/>
      </w:r>
      <w:r>
        <w:rPr>
          <w:rFonts w:ascii="Amiri" w:hAnsi="Amiri" w:eastAsia="Amiri" w:cs="Amiri"/>
          <w:color w:val="111111"/>
          <w:sz w:val="28"/>
          <w:sz w:val="28"/>
          <w:szCs w:val="28"/>
          <w:rtl w:val="true"/>
          <w:lang w:bidi="ar-SA"/>
        </w:rPr>
        <w:t xml:space="preserve">بين العلماء حتى كاد أن يكون إجماعياً أنه بحكم الجاري في عدم الانفعال بمجرد الملاقاة في الجملة حتى من قال باشتراط الكرية في الماء الجاري </w:t>
      </w:r>
    </w:p>
    <w:p>
      <w:pPr>
        <w:pStyle w:val="BookText"/>
        <w:rPr/>
      </w:pPr>
      <w:r>
        <w:rPr>
          <w:rFonts w:ascii="Amiri" w:hAnsi="Amiri" w:eastAsia="Amiri" w:cs="Amiri"/>
          <w:color w:val="111111"/>
          <w:sz w:val="28"/>
          <w:sz w:val="28"/>
          <w:szCs w:val="28"/>
          <w:rtl w:val="true"/>
          <w:lang w:bidi="ar-SA"/>
        </w:rPr>
        <w:t>کالعلّامة</w:t>
      </w:r>
      <w:r>
        <w:rPr>
          <w:rStyle w:val="FootnoteAnchor"/>
          <w:rtl w:val="true"/>
        </w:rPr>
        <w:footnoteReference w:id="408"/>
      </w:r>
      <w:r>
        <w:rPr>
          <w:rFonts w:ascii="Amiri" w:hAnsi="Amiri" w:eastAsia="Amiri" w:cs="Amiri"/>
          <w:color w:val="111111"/>
          <w:sz w:val="28"/>
          <w:sz w:val="28"/>
          <w:szCs w:val="28"/>
          <w:rtl w:val="true"/>
          <w:lang w:bidi="ar-SA"/>
        </w:rPr>
        <w:t xml:space="preserve">، وظاهره هنا عدم اشتراط الكرية وإن اختلفوا في كيفية مطهريته وعدم انفعاله وشرطه على مذاهب تكون على الظاهر ستة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المشهور </w:t>
      </w:r>
      <w:r>
        <w:rPr>
          <w:rStyle w:val="FootnoteAnchor"/>
          <w:rtl w:val="true"/>
        </w:rPr>
        <w:footnoteReference w:id="409"/>
      </w:r>
      <w:r>
        <w:rPr>
          <w:rFonts w:ascii="Amiri" w:hAnsi="Amiri" w:eastAsia="Amiri" w:cs="Amiri"/>
          <w:color w:val="111111"/>
          <w:sz w:val="28"/>
          <w:sz w:val="28"/>
          <w:szCs w:val="28"/>
          <w:rtl w:val="true"/>
          <w:lang w:bidi="ar-SA"/>
        </w:rPr>
        <w:t>، وهو اعتبار صدق ماء الغيث، ويقولون لو صدق الغيث على الماء المنزل من السماء يكفي في عدم انفعاله، وظاهرهم أنه لو صدق ماء الغيث يكون مطهراً ولو تقاطر في موضع قطرتين تكونا مطهرتين فلا يلزم صدق ماء الغيث على القطرات الواردة في كل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–وهو المنقول عن بعض </w:t>
      </w:r>
      <w:r>
        <w:rPr>
          <w:rStyle w:val="FootnoteAnchor"/>
          <w:rtl w:val="true"/>
        </w:rPr>
        <w:footnoteReference w:id="4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كفاية القطرات اليسيرة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اعتبار الكثرة والجريان ولو قوة، وهو المنقول عن صاحب الحدائق والمحقق الأردبيلي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مسمى الجريان فعلاً، ولو كان مثل الجريان في ماء الوضوء من انتقال الماء من جزء إلى جزء آخر </w:t>
      </w:r>
      <w:r>
        <w:rPr>
          <w:rStyle w:val="FootnoteAnchor"/>
          <w:rtl w:val="true"/>
        </w:rPr>
        <w:footnoteReference w:id="412"/>
      </w:r>
      <w:r>
        <w:rPr>
          <w:rFonts w:ascii="Amiri" w:hAnsi="Amiri" w:eastAsia="Amiri" w:cs="Amiri"/>
          <w:color w:val="111111"/>
          <w:sz w:val="28"/>
          <w:sz w:val="28"/>
          <w:szCs w:val="28"/>
          <w:rtl w:val="true"/>
          <w:lang w:bidi="ar-SA"/>
        </w:rPr>
        <w:t>ولو بإمرار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المنقول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الجريان في الميزاب خاصة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 من المرازيب حكمه حكم الجاري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المنقول عن صاحب الوسيلة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اعتبار الجريان من الميزاب وشبهه،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الجاري من المثعب كذلك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والمثعب كما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205" w:name="pg9203_87140"/>
    </w:p>
    <w:p>
      <w:pPr>
        <w:pStyle w:val="BookText"/>
        <w:rPr/>
      </w:pPr>
      <w:bookmarkEnd w:id="205"/>
      <w:r>
        <w:rPr>
          <w:rFonts w:ascii="Amiri" w:hAnsi="Amiri" w:eastAsia="Amiri" w:cs="Amiri"/>
          <w:color w:val="111111"/>
          <w:sz w:val="28"/>
          <w:sz w:val="28"/>
          <w:szCs w:val="28"/>
          <w:rtl w:val="true"/>
          <w:lang w:bidi="ar-SA"/>
        </w:rPr>
        <w:t>الطريق العظيم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الذي ذكر من الأقوال الستة هو المأخوذ من ظواهرهم، وإلا يمكن إرجاع بعضها إلى بعض، بحيث تصير الأقوال ثلاثة، كما ارتكبه بعض المتأخرين كصاحب الجواهر قدس سره </w:t>
      </w:r>
      <w:r>
        <w:rPr>
          <w:rStyle w:val="FootnoteAnchor"/>
          <w:rtl w:val="true"/>
        </w:rPr>
        <w:footnoteReference w:id="415"/>
      </w:r>
      <w:r>
        <w:rPr>
          <w:rFonts w:ascii="Amiri" w:hAnsi="Amiri" w:eastAsia="Amiri" w:cs="Amiri"/>
          <w:color w:val="111111"/>
          <w:sz w:val="28"/>
          <w:sz w:val="28"/>
          <w:szCs w:val="28"/>
          <w:rtl w:val="true"/>
          <w:lang w:bidi="ar-SA"/>
        </w:rPr>
        <w:t>، بأن يكون مراد الشيخ من ذكر المرازيب هو إرادة المثال فيتحد مع صاحب الوسيلة ويكون المراد من الجريان مسمى الجريان ولو قوة؛ فتتحد الأقوال الأربعة الأخيرة</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3967948_2870459653"/>
      <w:bookmarkStart w:id="207" w:name="_Toc73"/>
      <w:bookmarkEnd w:id="206"/>
      <w:r>
        <w:rPr>
          <w:rtl w:val="true"/>
        </w:rPr>
        <w:t xml:space="preserve">[ </w:t>
      </w:r>
      <w:r>
        <w:rPr>
          <w:rtl w:val="true"/>
        </w:rPr>
        <w:t>الكلام في أنَّ محل الخلاف هو ماء المطر حال تقاطره</w:t>
      </w:r>
      <w:r>
        <w:rPr>
          <w:rtl w:val="true"/>
        </w:rPr>
        <w:t>]</w:t>
      </w:r>
      <w:bookmarkEnd w:id="207"/>
    </w:p>
    <w:p>
      <w:pPr>
        <w:pStyle w:val="BookText"/>
        <w:rPr/>
      </w:pPr>
      <w:r>
        <w:rPr>
          <w:rFonts w:ascii="Amiri" w:hAnsi="Amiri" w:eastAsia="Amiri" w:cs="Amiri"/>
          <w:color w:val="111111"/>
          <w:sz w:val="28"/>
          <w:sz w:val="28"/>
          <w:szCs w:val="28"/>
          <w:rtl w:val="true"/>
          <w:lang w:bidi="ar-SA"/>
        </w:rPr>
        <w:t xml:space="preserve">ومما ينبغي أن يعلم أنّ محل الخلاف هو ماء المطر في حال التقاطر لا بعد التقاطر، وإلا يكون حكمه حكم القليل بلا خلاف، ومدرك الحكم الأصل أولاً والشهرة العظيمة المنقولة والمحصلة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يقول باعتبارها حتى أنه لم يظهر مخالف ناهض في المخالفة، إلّا ما نقل عن الشيخ في المصابيح وهو أيضاً لم يثبت، بل ما بأيدينا من قوله خلافه</w:t>
      </w:r>
      <w:r>
        <w:rPr>
          <w:rStyle w:val="FootnoteAnchor"/>
          <w:rtl w:val="true"/>
        </w:rPr>
        <w:footnoteReference w:id="416"/>
      </w:r>
      <w:r>
        <w:rPr>
          <w:rFonts w:ascii="Amiri" w:hAnsi="Amiri" w:eastAsia="Amiri" w:cs="Amiri"/>
          <w:color w:val="111111"/>
          <w:sz w:val="28"/>
          <w:sz w:val="28"/>
          <w:szCs w:val="28"/>
          <w:rtl w:val="true"/>
          <w:lang w:bidi="ar-SA"/>
        </w:rPr>
        <w:t xml:space="preserve">والعمومات الكفائية </w:t>
      </w:r>
      <w:r>
        <w:rPr>
          <w:rStyle w:val="FootnoteAnchor"/>
          <w:rtl w:val="true"/>
        </w:rPr>
        <w:footnoteReference w:id="417"/>
      </w:r>
      <w:r>
        <w:rPr>
          <w:rFonts w:ascii="IRNazanin" w:hAnsi="IRNazanin" w:eastAsia="IRNazanin"/>
          <w:color w:val="111111"/>
          <w:sz w:val="28"/>
          <w:sz w:val="28"/>
          <w:szCs w:val="28"/>
          <w:rtl w:val="true"/>
          <w:lang w:bidi="fa-IR"/>
        </w:rPr>
        <w:t>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وَأَنْزَلْنَا مِنَ السَّمَاءِ مَاءً طَهُوراً</w:t>
      </w:r>
      <w:r>
        <w:rPr>
          <w:rStyle w:val="FootnoteAnchor"/>
          <w:rtl w:val="true"/>
        </w:rPr>
        <w:footnoteReference w:id="418"/>
      </w:r>
      <w:r>
        <w:rPr>
          <w:rFonts w:ascii="Amiri" w:hAnsi="Amiri" w:eastAsia="Amiri" w:cs="Amiri"/>
          <w:color w:val="111111"/>
          <w:sz w:val="28"/>
          <w:sz w:val="28"/>
          <w:szCs w:val="28"/>
          <w:rtl w:val="true"/>
          <w:lang w:bidi="ar-SA"/>
        </w:rPr>
        <w:t>حيث إنه وارد في مقام الامتنان على العباد والمناسب له العموم، فيستفاد منه العموم،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المنزل من السماء مطهر مطلقاً وطبيعته التطهير، فيستفاد منه أنّ قليله وكثيره والجاري منه وغير الجاري مطهر،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عَلَيْكُمْ مِنَ السَّمَاءِ مَاءً</w:t>
      </w:r>
    </w:p>
    <w:p>
      <w:pPr>
        <w:pStyle w:val="BookText"/>
        <w:rPr/>
      </w:pPr>
      <w:r>
        <w:rPr>
          <w:rFonts w:ascii="Amiri" w:hAnsi="Amiri" w:eastAsia="Amiri" w:cs="Amiri"/>
          <w:color w:val="111111"/>
          <w:sz w:val="28"/>
          <w:sz w:val="28"/>
          <w:szCs w:val="28"/>
          <w:rtl w:val="true"/>
          <w:lang w:bidi="ar-SA"/>
        </w:rPr>
        <w:t>هر، وكذا</w:t>
      </w:r>
    </w:p>
    <w:p>
      <w:pPr>
        <w:pStyle w:val="BookText"/>
        <w:rPr/>
      </w:pP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لِيُطَهِّرَكُمْ بِهِ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منه عدم الانفعال من باب العمومات الدالة على أنّ النجس ينجس</w:t>
      </w:r>
      <w:r>
        <w:rPr>
          <w:rStyle w:val="FootnoteAnchor"/>
          <w:rtl w:val="true"/>
        </w:rPr>
        <w:footnoteReference w:id="420"/>
      </w:r>
      <w:r>
        <w:rPr>
          <w:rFonts w:ascii="IRNazanin" w:hAnsi="IRNazanin" w:eastAsia="IRNazanin"/>
          <w:color w:val="111111"/>
          <w:sz w:val="28"/>
          <w:sz w:val="28"/>
          <w:szCs w:val="28"/>
          <w:rtl w:val="true"/>
          <w:lang w:bidi="fa-IR"/>
        </w:rPr>
        <w:t xml:space="preserve">، والأخبار المتظافرة الدالّة على عدم الانفعال بمجرد صدق المطر مطلقاً سواء جرى أم لم يجر، مثل مرسلة الكاهلي، وهي وإن كانت مرسلة إلّا أنّ إرسالها منجبر بشهرة الفتوى بها، وهي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يسيل علي من ماء المطر أرى فيه التغير وأرى فيه آثار القذر فتقطر القطرات علي وينتضح علي منه، والبيت يتوضأ على سطحه فيكف على ثيابنا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بذا بأس ، لا تغسله كل شيء يراه ماء المطر فقد طهر</w:t>
      </w:r>
      <w:r>
        <w:rPr>
          <w:rFonts w:eastAsia="IRNazanin" w:cs="IRNazanin"/>
          <w:color w:val="111111"/>
          <w:sz w:val="28"/>
          <w:szCs w:val="28"/>
          <w:rtl w:val="true"/>
          <w:lang w:bidi="fa-IR"/>
        </w:rPr>
        <w:t xml:space="preserve">» </w:t>
      </w:r>
      <w:r>
        <w:rPr>
          <w:rStyle w:val="FootnoteAnchor"/>
          <w:rtl w:val="true"/>
        </w:rPr>
        <w:footnoteReference w:id="421"/>
      </w:r>
      <w:r>
        <w:rPr>
          <w:rFonts w:ascii="Amiri" w:hAnsi="Amiri" w:eastAsia="Amiri" w:cs="Amiri"/>
          <w:color w:val="111111"/>
          <w:sz w:val="28"/>
          <w:sz w:val="28"/>
          <w:szCs w:val="28"/>
          <w:rtl w:val="true"/>
          <w:lang w:bidi="ar-SA"/>
        </w:rPr>
        <w:t>بناءً على أنّ التغير المذكور في السؤال هو أحد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السؤال عن الماء الذي وقع على النجاسة وبعضه صار متغيراً وبعضه لم يتغير ولم أعلم أنّ الماء الذي أصابني من المتغير أو من غير المتغير فتكون الشبهة 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الماء تغير لونه ولم أعلم أن تغيره بواسطة النجاسة أو لا، ويكون آثار كون التغير من النجاسة موجودة فتكون الشبهة حقيقة شبهة حكمية، بمعنى أنّ هذا التغير مضر أم لا؟ لأنه لو بقي الخبر على ظاهره لكان مخالفاً للإجماع؛ لأنّ المتغير بالنجاسة نجس إجماعاً مطلقاً </w:t>
      </w:r>
      <w:r>
        <w:rPr>
          <w:rStyle w:val="FootnoteAnchor"/>
          <w:rtl w:val="true"/>
        </w:rPr>
        <w:footnoteReference w:id="422"/>
      </w:r>
      <w:r>
        <w:rPr>
          <w:rFonts w:ascii="Amiri" w:hAnsi="Amiri" w:eastAsia="Amiri" w:cs="Amiri"/>
          <w:color w:val="111111"/>
          <w:sz w:val="28"/>
          <w:sz w:val="28"/>
          <w:szCs w:val="28"/>
          <w:rtl w:val="true"/>
          <w:lang w:bidi="ar-SA"/>
        </w:rPr>
        <w:t>لأنه لا يزيد عن الجاري، والجاري ينجس بالتغير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 الثاني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المذكور في السؤال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القطرات الواقعة عليه من هذا الماء المتغير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الواكف من السطح الذي يكون نجساً باعتبار وقوع غُسالة </w:t>
      </w:r>
    </w:p>
    <w:p>
      <w:pPr>
        <w:pStyle w:val="BookText"/>
        <w:rPr/>
      </w:pPr>
      <w:r>
        <w:rPr>
          <w:rFonts w:ascii="IRNazanin" w:hAnsi="IRNazanin" w:eastAsia="IRNazanin"/>
          <w:color w:val="111111"/>
          <w:sz w:val="28"/>
          <w:sz w:val="28"/>
          <w:szCs w:val="28"/>
          <w:rtl w:val="true"/>
          <w:lang w:bidi="fa-IR"/>
        </w:rPr>
        <w:t xml:space="preserve">النجاسة عليه؛ لأنّ المراد بالتوضأ على السطح هو فعل الطهارة الوضوئية؛ لأنّ ما لم یکن نجساً حتى يسأل عنه </w:t>
      </w:r>
      <w:r>
        <w:rPr>
          <w:rStyle w:val="FootnoteAnchor"/>
          <w:rtl w:val="true"/>
        </w:rPr>
        <w:footnoteReference w:id="423"/>
      </w:r>
      <w:r>
        <w:rPr>
          <w:rFonts w:ascii="IRNazanin" w:hAnsi="IRNazanin" w:eastAsia="IRNazanin"/>
          <w:color w:val="111111"/>
          <w:sz w:val="28"/>
          <w:sz w:val="28"/>
          <w:szCs w:val="28"/>
          <w:rtl w:val="true"/>
          <w:lang w:bidi="fa-IR"/>
        </w:rPr>
        <w:t xml:space="preserve">بل المراد به المعنى اللغوي وطهارة البدن من النجاسة، ويكون السؤال عن نجاسة الماء الذي أصابه من السطح أو من غيره، والمذكور في الجواب أيضاً يحتمل أن يكون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بِذَا بَأْسٌ لَا 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عن السؤال الأول،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يراه ماء المطر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عن السؤال الثاني؛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السطح بواسطة وقوع المطر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الجواب مناسب، وكأنَّ السؤال عن طهارة السطح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بناءً على أنّ السؤال عن الماء الواكف من جهة انفعاله وعدمه فلا يناسبه؛ لأنّه يمكن أن يكون السطح طاهراً وغسالته الواكفة نجسة كما يقول به القائلون بنجاسة الغُسالة، إلّا أن تكون الملازمة بين طهارة الشيء وطهارة غسالته وتأخذ</w:t>
      </w:r>
      <w:r>
        <w:rPr>
          <w:rStyle w:val="FootnoteAnchor"/>
          <w:rtl w:val="true"/>
        </w:rPr>
        <w:footnoteReference w:id="424"/>
      </w:r>
      <w:r>
        <w:rPr>
          <w:rFonts w:ascii="IRNazanin" w:hAnsi="IRNazanin" w:eastAsia="IRNazanin"/>
          <w:color w:val="111111"/>
          <w:sz w:val="28"/>
          <w:sz w:val="28"/>
          <w:szCs w:val="28"/>
          <w:rtl w:val="true"/>
          <w:lang w:bidi="fa-IR"/>
        </w:rPr>
        <w:t>هذه الملازمة من كلامه علیه السلام ، هذا باعتبار أنَّ سؤال السائل عن نجاسة الماء الواكف وطهارته، والجواب لا بُدَّ أن يكون جواباً للسؤال، وهو لا يتم إلا بالملازمة بين الأمرين، وهذه الملازمة شرعية أُخذت من كلامه علیه السلام ؛ إلا أن يكون السؤال عن طهارة السطح، وهو</w:t>
      </w:r>
    </w:p>
    <w:p>
      <w:pPr>
        <w:pStyle w:val="BookText"/>
        <w:rPr/>
      </w:pPr>
      <w:r>
        <w:rPr>
          <w:rFonts w:ascii="Amiri" w:hAnsi="Amiri" w:eastAsia="Amiri" w:cs="Amiri"/>
          <w:color w:val="111111"/>
          <w:sz w:val="28"/>
          <w:sz w:val="28"/>
          <w:szCs w:val="28"/>
          <w:rtl w:val="true"/>
          <w:lang w:bidi="ar-SA"/>
        </w:rPr>
        <w:t>بعيد في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ماء الوضوء الذي اجتمع على السطح ويكف بواسطة المطر، وحينئذ لا حاجة إلى ادعاء الملازمة؛ لأنّ الجواب دال على أنّ هذا الماء الواكف بواسطة المطر طاهر، وهو أيضاً بعيد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ويحتمل أن يكون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بذا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عن السؤالين،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يراه ماء المطر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أظهر ، وحينئذ أيضاً يحتاج إلى ادعاء الملازمة، وعلى كل تقدير يدلّ على أنَّ المطر مطهر مطلقاً وبمجرد صدق المطر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الأخبار صحيح هشام بن سالم، أنه سأل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السطح يبال عليه فيصيبه الماء، فيكف فيصيب الثوب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ما أصابه من الماء أكثر منه </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أصابه من الماء أكثر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التعليل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في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راجع إلى السطح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الذي أصاب السطح أكثر من البول فلا ينفعل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راجعاً إلى الثوب يعني أنّ ما أصاب الثوب من الماء أكثر من البول الذي أصابه، وحينئذٍ لا بُدَّ من تقييد الأكثرية بالقهر والإهلاك؛ لأنه ما لم يكن البول مستهلكاً لم يعقل طهارته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راجعاً إلى البول يعني أنّ ما أصاب البول من الماء أكثر من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منفعلاً، وهذا أقرب من حيث عدم التفكيك في مرجع الضميرين إلا أنّه بعيد عن ظاهر الخبر من حيث السؤال والجواب ؛ بل الأظهر هو الثاني لأنّ السؤال عن الماء الذي أصاب الثوب ولاقى البول ويحتمل على تقدير الأول أنّ منظور الإمام علیه السلام طهارة السطح وحينئذٍ يحتاج إلى الملازمة التي استفدناها من الخبر السابق بين طهارة السطح وطهارة الماء الواكف، وإن لم نقل بهذه الملازمة في غير ماء المطر أو يكون منظوره عدم انفعال الماء الملاقي للسطح الواكف</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كل تقدير فلا بد أن تقيّد الأكثرية لا محالة بناءً على كون التعليل عاماً بالنسبة إلى جميع المياه ولم نحمل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الماء على الماء المعهود وهو ماء المطر وكون المراد به جنس الماء فيشمل جميع أفراد المياه بعدم التغير، بل على تقدير كون الماء هو ماء المطر أيضاً؛ لأنّه لم يقل أحد بعدم انفعال الماء مع تغيره بالنجاسة؛ لأنّ ماء المطر لم يكن أقوى من الماء الجاري وهو ينجس في التغير فيكون تعليل عدم انفعال الماء الغالب غير المتغير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على هذا التقدير من كون الماء عاماً ولم يكن خاصاً فلا بُدَّ أن نقيّد أيضاً الماء الأكثر إما بكونه وارداً على النجاسة أو بكونه ماء المطر؛ لأنه بناءً على التعميم يشمل القليل، والقليل لا بُدَّ في عدم انفعاله من كونه وارداً، ويمكن ادعاء الإجماع </w:t>
      </w:r>
      <w:r>
        <w:rPr>
          <w:rStyle w:val="FootnoteAnchor"/>
          <w:rtl w:val="true"/>
        </w:rPr>
        <w:footnoteReference w:id="426"/>
      </w:r>
      <w:r>
        <w:rPr>
          <w:rFonts w:ascii="Amiri" w:hAnsi="Amiri" w:eastAsia="Amiri" w:cs="Amiri"/>
          <w:color w:val="111111"/>
          <w:sz w:val="28"/>
          <w:sz w:val="28"/>
          <w:szCs w:val="28"/>
          <w:rtl w:val="true"/>
          <w:lang w:bidi="ar-SA"/>
        </w:rPr>
        <w:t>على عدم كفاية محض الأكثرية وعدم التغير فيه، ولعلّ المخالفة عن بعض</w:t>
      </w:r>
      <w:r>
        <w:rPr>
          <w:rStyle w:val="FootnoteAnchor"/>
          <w:rtl w:val="true"/>
        </w:rPr>
        <w:footnoteReference w:id="427"/>
      </w:r>
      <w:r>
        <w:rPr>
          <w:rFonts w:ascii="IRNazanin" w:hAnsi="IRNazanin" w:eastAsia="IRNazanin"/>
          <w:color w:val="111111"/>
          <w:sz w:val="28"/>
          <w:sz w:val="28"/>
          <w:szCs w:val="28"/>
          <w:rtl w:val="true"/>
          <w:lang w:bidi="fa-IR"/>
        </w:rPr>
        <w:t xml:space="preserve">ممن لا يعتد بمخالفتهم، ولأنا اخترنا سابقاً من اعتبار الورود فيه فلا بُدَّ من أحد التقييدين من الورود وكونه ماء المطر وكونه خارجاً حكمه عن حكم التعليل، ويلزم بناءً على التقييد الأول وهو الورود وتخصيص انفعال القليل، ويلزم على الثاني تخصيص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اظهر بمعهوديته وورود الأخبار فيه، فيكون حاصل التعليل أنّ الماء الأكثر الذي كان وارداً أو مطراً لم ينفعل، وهذا لا يصدق في أول درجة صدق المطر، فيطابق للمشهور</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يكفي في التطهير أيضاً؛ لأنا نسأل عن معتبر الجريان أنّ القطرة والقطرتين أو القطرات بقدر صدق المطر والماء النجس مع اختلاطهما بحالها من طهارة الأول ونجاسة الثاني، فإما أن يقول بالأول فثبت المطلوب وهو التطهير بمجرد صدق المطر ، أو يقول بالثاني فإما أن يقول بعد تحقيق الجريان بصيرورة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أولاً المنفعلة طاهرة ثم وقعت 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 بكونها مطهرة مع كونها نجسة؛ لأنه لا معنى لكون وصف الجريان مطهراً، بل المطهر هو المطر الجاري وهو ليس إلا هذه القطرات النازلة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سبيل إلى الثاني ؛ لأنّه لا يلزم</w:t>
      </w:r>
      <w:r>
        <w:rPr>
          <w:rStyle w:val="FootnoteAnchor"/>
          <w:rtl w:val="true"/>
        </w:rPr>
        <w:footnoteReference w:id="429"/>
      </w:r>
      <w:r>
        <w:rPr>
          <w:rFonts w:ascii="Amiri" w:hAnsi="Amiri" w:eastAsia="Amiri" w:cs="Amiri"/>
          <w:color w:val="111111"/>
          <w:sz w:val="28"/>
          <w:sz w:val="28"/>
          <w:szCs w:val="28"/>
          <w:rtl w:val="true"/>
          <w:lang w:bidi="ar-SA"/>
        </w:rPr>
        <w:t xml:space="preserve">على هذا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 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w:t>
      </w:r>
    </w:p>
    <w:p>
      <w:pPr>
        <w:pStyle w:val="BookText"/>
        <w:rPr/>
      </w:pPr>
      <w:r>
        <w:rPr>
          <w:rFonts w:ascii="Amiri" w:hAnsi="Amiri" w:eastAsia="Amiri" w:cs="Amiri"/>
          <w:color w:val="111111"/>
          <w:sz w:val="28"/>
          <w:sz w:val="28"/>
          <w:szCs w:val="28"/>
          <w:rtl w:val="true"/>
          <w:lang w:bidi="ar-SA"/>
        </w:rPr>
        <w:t xml:space="preserve">إلى الثاني </w:t>
      </w:r>
      <w:r>
        <w:rPr>
          <w:rStyle w:val="FootnoteAnchor"/>
          <w:rtl w:val="true"/>
        </w:rPr>
        <w:footnoteReference w:id="430"/>
      </w:r>
      <w:r>
        <w:rPr>
          <w:rFonts w:ascii="Amiri" w:hAnsi="Amiri" w:eastAsia="Amiri" w:cs="Amiri"/>
          <w:color w:val="111111"/>
          <w:sz w:val="28"/>
          <w:sz w:val="28"/>
          <w:szCs w:val="28"/>
          <w:rtl w:val="true"/>
          <w:lang w:bidi="ar-SA"/>
        </w:rPr>
        <w:t>أيضاً؛ لأنّ سبب طهارة القطرة الأولى ليس إلّا القطرات الثانية وهي حالها مثل حال الأولى بناءً على انفعال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سبيل إلى القول بكون القطرة الأولى مراعى؛ فإنّ تحقق الجريان انكشف عن كونها مطهرة وإلا فلا لأنّه ،بعيد لأنّ سبب الطهارة بناءً على اعتبار الجريان هو المطر الجاري لا مطلق القطرة الأولى بخلاف المراعي اللازم على قول المشهور، فإنه بعد تحقق صدق المطر، انكشف عن كون القطرة الأولى مطهراً؛ لأنه مطر وكذلك الأخبار الواردة طين المطر تدل على مطهرية مطلق المطر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 المقيدة بالجريان والسيلان فلا تصلح لتقييدها؛ لأنّ أصحها سنداً هو صحيح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البيت يبال على ظهره ويغتسل من الجنابة ثمّ يصيبه المطر أياخذ من مائه فيتوضأ به للصلاة؟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جرى فلا بأس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المراد بالشرط التنصيص على مورد السؤال ضرورة ظهور السؤال في الماء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أيضاً أن يكون المراد أنّ الأخذ لا يمكن إلّا بعد الجريان، لا لأنه إذا انتفى الجريان يكون منفصلاً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أيضاً أن يكون المراد بالبأس الثابت على تقدير عدم الجريان؛ هو الكرية بناءً على كونه ماء الغسالة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المراد به الاحتراز عن التغيّر بدون الجريان؛ لكثرة النجاسة بظهور السؤال في كون الظهر محلاً للبول وتكرر ذلك فيه، فيكون البول فيه محسوساً، فبدون الجريان لا يبعد تغيره، والماء المتغير نجس يقيناً؛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بذلك؛ </w:t>
      </w:r>
    </w:p>
    <w:p>
      <w:pPr>
        <w:pStyle w:val="BookText"/>
        <w:rPr/>
      </w:pPr>
      <w:r>
        <w:rPr>
          <w:rFonts w:ascii="Amiri" w:hAnsi="Amiri" w:eastAsia="Amiri" w:cs="Amiri"/>
          <w:color w:val="111111"/>
          <w:sz w:val="28"/>
          <w:sz w:val="28"/>
          <w:szCs w:val="28"/>
          <w:rtl w:val="true"/>
          <w:lang w:bidi="ar-SA"/>
        </w:rPr>
        <w:t>لأنّ الفعل المضارع يفيد الاستمرار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المقيدات جزء آخر في كتابه سأل أخاه علیه السلام أيضاً عن المطر يجري في مكان فيه العذرة فيصيب الثوب أيصلي فيه قبل أن يغسله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جرى به المطر فلا بأس</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 xml:space="preserve">وهذا الخبر يكون مكاتبة </w:t>
      </w:r>
      <w:r>
        <w:rPr>
          <w:rStyle w:val="FootnoteAnchor"/>
          <w:rtl w:val="true"/>
        </w:rPr>
        <w:footnoteReference w:id="433"/>
      </w:r>
      <w:r>
        <w:rPr>
          <w:rFonts w:ascii="Amiri" w:hAnsi="Amiri" w:eastAsia="Amiri" w:cs="Amiri"/>
          <w:color w:val="111111"/>
          <w:sz w:val="28"/>
          <w:sz w:val="28"/>
          <w:szCs w:val="28"/>
          <w:rtl w:val="true"/>
          <w:lang w:bidi="ar-SA"/>
        </w:rPr>
        <w:t xml:space="preserve">فلا يصلح للتقييد </w:t>
      </w:r>
      <w:r>
        <w:rPr>
          <w:rStyle w:val="FootnoteAnchor"/>
          <w:rtl w:val="true"/>
        </w:rPr>
        <w:footnoteReference w:id="434"/>
      </w:r>
      <w:r>
        <w:rPr>
          <w:rFonts w:ascii="Amiri" w:hAnsi="Amiri" w:eastAsia="Amiri" w:cs="Amiri"/>
          <w:color w:val="111111"/>
          <w:sz w:val="28"/>
          <w:sz w:val="28"/>
          <w:szCs w:val="28"/>
          <w:rtl w:val="true"/>
          <w:lang w:bidi="ar-SA"/>
        </w:rPr>
        <w:t>، ويحتمل فيه أيضاً أن يكون الشرط وارداً مورد السؤال وفي بيان تحقيق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الأخبار وهي لا تصلح للتقييد فتكون المطلقات على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الخدشة في جميع المذكورات؛ لأنّ الظاهر عدم جريان الأصل هنا بناءً على كون أدلة القليل عامة، ولا تكون منصرفة إلى غير ماء المطر، فيكون الأصل هو الانفعال، وكذلك الآيتان أيضاً بناءً على تسليم كونهما واردتين مورد الامتنان، والمناسب له التعميم، غاية ما يستفاد منها بناءً على أنّ الماء المنزل من السماء مطهر بجميع أفراده، ولم يكونا واردين في بيان كيفية التطهير به، ولا يستلزم كونه مطهراً مطلقاً لجميع أفراده أن يكون مطهراً بأي نحو كان بل يكون جميع أفراده مطهراً على الكيفية الخاصة وبطريق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مرسلة الكاهلي بناءً على الغض عن ظاهر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السؤال في الماء المتغير بالنجاسة وهو يكون منفعلاً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الجواب دال على أنّ ماء المطر مطهر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ماء المطر أنّه غير المطر؛ لأنّ المطر هو الماء المنزل من السماء، وماء المطر هو المجتمع منه على الأرض، فلا بُدَّ أن نحمله على الإضافة البيانية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ماء هو المطر، وهو خلاف الظاهر فيُحمل على الإضافة اللامية فيكون المراد ماء متلبس </w:t>
      </w:r>
      <w:bookmarkStart w:id="208" w:name="pg9203_87147"/>
    </w:p>
    <w:p>
      <w:pPr>
        <w:pStyle w:val="BookText"/>
        <w:rPr/>
      </w:pPr>
      <w:bookmarkEnd w:id="208"/>
      <w:r>
        <w:rPr>
          <w:rFonts w:ascii="Amiri" w:hAnsi="Amiri" w:eastAsia="Amiri" w:cs="Amiri"/>
          <w:color w:val="111111"/>
          <w:sz w:val="28"/>
          <w:sz w:val="28"/>
          <w:szCs w:val="28"/>
          <w:rtl w:val="true"/>
          <w:lang w:bidi="ar-SA"/>
        </w:rPr>
        <w:t xml:space="preserve">بالمطر ومتعلق بالمطر، وهذا أعمّ من المجتمع بعد الانقطاع والمجتمع حال التقاطر وحمله على الأول يكون مخالفاً للإجماع؛ لأنّ ماء المطر بعد الانقطاع يكون حكمه حكم القليل اتفاقاً </w:t>
      </w:r>
      <w:r>
        <w:rPr>
          <w:rStyle w:val="FootnoteAnchor"/>
          <w:rtl w:val="true"/>
        </w:rPr>
        <w:footnoteReference w:id="435"/>
      </w:r>
      <w:r>
        <w:rPr>
          <w:rFonts w:ascii="Amiri" w:hAnsi="Amiri" w:eastAsia="Amiri" w:cs="Amiri"/>
          <w:color w:val="111111"/>
          <w:sz w:val="28"/>
          <w:sz w:val="28"/>
          <w:szCs w:val="28"/>
          <w:rtl w:val="true"/>
          <w:lang w:bidi="ar-SA"/>
        </w:rPr>
        <w:t xml:space="preserve">بلا شبهة فلا بُدَّ أن نحمله على الثاني، فلم تدل حينئذ على الإطلاق؛ لأنّ مدلوله حينئذٍ أنّ كلّ شيء يراه الماء المجتمع 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التقاطر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طاهراً، والقائل بالجريان أيضاً لم يُرد أزيد من هذا، خصوصاً من لا يعتبر الجريان الفعلي، بل</w:t>
      </w:r>
    </w:p>
    <w:p>
      <w:pPr>
        <w:pStyle w:val="BookText"/>
        <w:rPr/>
      </w:pPr>
      <w:r>
        <w:rPr>
          <w:rFonts w:ascii="Amiri" w:hAnsi="Amiri" w:eastAsia="Amiri" w:cs="Amiri"/>
          <w:color w:val="111111"/>
          <w:sz w:val="28"/>
          <w:sz w:val="28"/>
          <w:szCs w:val="28"/>
          <w:rtl w:val="true"/>
          <w:lang w:bidi="ar-SA"/>
        </w:rPr>
        <w:t>الشأني؛ لأنّ هذا لا ينفك عنه، فلا يكون في الخبر إطلاق حتى 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أيضاً صحيح هشام بن سالم اعتبر الأكثرية، ولا أن نقيّدها بالإستهلاك؛ لأنه لو لم يكن مستهلكاً كان البول فيه باقياً يكون نجساً، فلم يكن فيه أيضاً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الأخبار الواردة في طين المطر، حيث إنّها محتملة في الطين الحاصل من المطر، والطين الذي ورد عليه المطر ، والأول لا يكون إلا مع المطر الكثير ولا يحصل مع المطر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والاحتمالات المذكورة في الأخبار المقيّدة خلاف الظاهر منها، بل الظاهر منها كون الجريان علّة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خصوصاً بناءً على ما قلنا من كون أدلة القليل شاملة لما نحن فيه؛ فلا أن نقتصر على المتيقن وهو الجاري منه </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3967950_2870459653"/>
      <w:bookmarkStart w:id="210" w:name="_Toc74"/>
      <w:bookmarkEnd w:id="209"/>
      <w:r>
        <w:rPr>
          <w:rtl w:val="true"/>
        </w:rPr>
        <w:t>[</w:t>
      </w:r>
      <w:r>
        <w:rPr>
          <w:rtl w:val="true"/>
        </w:rPr>
        <w:t>اعتبار الجريان على الموضع النجس</w:t>
      </w:r>
      <w:r>
        <w:rPr>
          <w:rtl w:val="true"/>
        </w:rPr>
        <w:t>]</w:t>
      </w:r>
      <w:bookmarkEnd w:id="210"/>
    </w:p>
    <w:p>
      <w:pPr>
        <w:pStyle w:val="BookText"/>
        <w:rPr/>
      </w:pPr>
      <w:r>
        <w:rPr>
          <w:rFonts w:ascii="Amiri" w:hAnsi="Amiri" w:eastAsia="Amiri" w:cs="Amiri"/>
          <w:color w:val="111111"/>
          <w:sz w:val="28"/>
          <w:sz w:val="28"/>
          <w:szCs w:val="28"/>
          <w:rtl w:val="true"/>
          <w:lang w:bidi="ar-SA"/>
        </w:rPr>
        <w:t>ثم إذا بنينا على اعتبار الجريان، هل يكفي ولو في موضع آخر غير الموضع النجس بناءً على صدق المطر الجاري ولو في بعض الأمكنة فيكفي القطرات اليسيرة على الموضع النجس مع جريانه في غير موضع النجس؟</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اعتبار الجريان على النجس؛ لأنّ الظاهر أنّ الضمير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في الصحيح راجع إلى الماء المأخوذ،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الماء المأخوذ يعتبر فيه </w:t>
      </w:r>
    </w:p>
    <w:p>
      <w:pPr>
        <w:pStyle w:val="BookText"/>
        <w:rPr/>
      </w:pPr>
      <w:r>
        <w:rPr>
          <w:rFonts w:ascii="IRNazanin" w:hAnsi="IRNazanin" w:eastAsia="IRNazanin"/>
          <w:color w:val="111111"/>
          <w:sz w:val="28"/>
          <w:sz w:val="28"/>
          <w:szCs w:val="28"/>
          <w:rtl w:val="true"/>
          <w:lang w:bidi="fa-IR"/>
        </w:rPr>
        <w:t xml:space="preserve">الجريان، لا أنّ الضمير راجع إلى المطر فيكفي جريان مطلق المطر ولو في غير المأخوذ خصوصاً مع ظهور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جرى به أي بالمكان الذي فيه العذرة، خصوصاً مع ما نعلم أنه الذي يعتبر فيه الغَسْل ونفوذ الماء فيه بحيث تذهب القذارة الحاصلة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فالظاهر من جميع ذلك عدم اعتبار الجريان بل يكفي صدق المطر؛ لكثرة الأخبار المطلقة، وسماحة الملة مضافاً إلى السيرة التي ادعاها بعض الأساطين</w:t>
      </w:r>
      <w:r>
        <w:rPr>
          <w:rStyle w:val="FootnoteAnchor"/>
          <w:rtl w:val="true"/>
        </w:rPr>
        <w:footnoteReference w:id="436"/>
      </w:r>
      <w:r>
        <w:rPr>
          <w:rFonts w:ascii="Amiri" w:hAnsi="Amiri" w:eastAsia="Amiri" w:cs="Amiri"/>
          <w:color w:val="111111"/>
          <w:sz w:val="28"/>
          <w:sz w:val="28"/>
          <w:szCs w:val="28"/>
          <w:rtl w:val="true"/>
          <w:lang w:bidi="ar-SA"/>
        </w:rPr>
        <w:t>، وعُسر الاحتراز عن طين المطر ، مضافاً إلى فهم الأصحاب الإطلاق مع ظهور هذه المناقشات عليهم وكون الأخبار المقيدة بمرأى منهم ، وحملوها على المحامل البعيدة وطرحهم ظواهرها، خصوصاً مرسلة الكاهلي التي ضعفها منجبر بعمل الأصحاب، وفتاويهم وتمسكهم بها، وخصوصية في المطر ليست في غيره، فرفع اليد عن هذه الأخبار الكثيرة المنجبر ضعف سندها ودلالتها كانت بعمل الأصحاب وفتاويهم</w:t>
      </w:r>
      <w:r>
        <w:rPr>
          <w:rStyle w:val="FootnoteAnchor"/>
          <w:rtl w:val="true"/>
        </w:rPr>
        <w:footnoteReference w:id="437"/>
      </w:r>
      <w:r>
        <w:rPr>
          <w:rFonts w:ascii="Amiri" w:hAnsi="Amiri" w:eastAsia="Amiri" w:cs="Amiri"/>
          <w:color w:val="111111"/>
          <w:sz w:val="28"/>
          <w:sz w:val="28"/>
          <w:szCs w:val="28"/>
          <w:rtl w:val="true"/>
          <w:lang w:bidi="ar-SA"/>
        </w:rPr>
        <w:t>بها بمجرد المناقشات مشكل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عدم الانفعال مجرد صدق المطر وكونه أكثر من النجس الحاصل غالباً القطرة الواحدة، ونقول هذا القدر يكفي في مطهريته بالنسبة إلى غير الماء لكونه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مع فيطهر بما يلاقيه مع اكثريته من ملاقيه الحاصلة غالباً بالقطرة الواحدة وصدق الرؤية بمجرد ذلك، فيشمله خبر الكاهلي بعمومه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يعتبر فيه التعدد أيضاً لصدق الرؤية بالدفعة الأولى ولكونه بحكم الماء الجاري، مضافاً إلى عموم الآيتين مضافاً إلى السيرة وسماحة الملة وعُسر الاحتراز عنه</w:t>
      </w:r>
      <w:r>
        <w:rPr>
          <w:rFonts w:eastAsia="Amiri" w:cs="Amiri" w:ascii="Amiri" w:hAnsi="Amiri"/>
          <w:color w:val="111111"/>
          <w:sz w:val="28"/>
          <w:szCs w:val="28"/>
          <w:rtl w:val="true"/>
          <w:lang w:bidi="ar-SA"/>
        </w:rPr>
        <w:t xml:space="preserve">. </w:t>
      </w:r>
      <w:bookmarkStart w:id="211" w:name="pg9203_87149"/>
    </w:p>
    <w:p>
      <w:pPr>
        <w:pStyle w:val="Heading2"/>
        <w:numPr>
          <w:ilvl w:val="1"/>
          <w:numId w:val="1"/>
        </w:numPr>
        <w:rPr/>
      </w:pPr>
      <w:bookmarkStart w:id="212" w:name="__RefHeading___Toc3967952_2870459653"/>
      <w:bookmarkStart w:id="213" w:name="_Toc75"/>
      <w:bookmarkEnd w:id="211"/>
      <w:bookmarkEnd w:id="212"/>
      <w:r>
        <w:rPr>
          <w:rtl w:val="true"/>
        </w:rPr>
        <w:t xml:space="preserve">[ </w:t>
      </w:r>
      <w:r>
        <w:rPr>
          <w:rtl w:val="true"/>
        </w:rPr>
        <w:t>كيفية تطهير المطر للماء المتنجس</w:t>
      </w:r>
      <w:r>
        <w:rPr>
          <w:rtl w:val="true"/>
        </w:rPr>
        <w:t>]</w:t>
      </w:r>
      <w:bookmarkEnd w:id="213"/>
    </w:p>
    <w:p>
      <w:pPr>
        <w:pStyle w:val="BookText"/>
        <w:rPr/>
      </w:pPr>
      <w:r>
        <w:rPr>
          <w:rFonts w:ascii="Amiri" w:hAnsi="Amiri" w:eastAsia="Amiri" w:cs="Amiri"/>
          <w:color w:val="111111"/>
          <w:sz w:val="28"/>
          <w:sz w:val="28"/>
          <w:szCs w:val="28"/>
          <w:rtl w:val="true"/>
          <w:lang w:bidi="ar-SA"/>
        </w:rPr>
        <w:t xml:space="preserve">وأما تطهيره للماء، وهل يكفي فيه بمجرد نزول المطر عليه وكفاية القطرات فيه التي تكون الأكثرية بالنسبة إلى الملاقي حاصلة منها أو لا تكفي فيه ذلك، بل يعتبر فيه استيعاب المطر على جميع الماء ؟ وجهان بل قولان </w:t>
      </w:r>
      <w:r>
        <w:rPr>
          <w:rStyle w:val="FootnoteAnchor"/>
          <w:rtl w:val="true"/>
        </w:rPr>
        <w:footnoteReference w:id="439"/>
      </w:r>
      <w:r>
        <w:rPr>
          <w:rFonts w:ascii="Amiri" w:hAnsi="Amiri" w:eastAsia="Amiri" w:cs="Amiri"/>
          <w:color w:val="111111"/>
          <w:sz w:val="28"/>
          <w:sz w:val="28"/>
          <w:szCs w:val="28"/>
          <w:rtl w:val="true"/>
          <w:lang w:bidi="ar-SA"/>
        </w:rPr>
        <w:t xml:space="preserve">لأن القطرة الواحدة تكون معصومة مع حصول التقاطر وعدم الانقطاع فيكون له حكم الجاري، فيطهر ما يلاقيه ثمّ يطهر الجزء الثاني بواسطة ملاقاته بالماء المعصوم، وهكذا بالنسبة إلى الثالث والرابع ولا يستلزم ذلك الأزمنة المتعددة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القطرة حال نزولها تكون معصومة ثمّ ينقطع فيصير كالقليل فيكون منفصلاً؛ بل الترتب في المرتبة والذات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المستفاد من الأخبار أكثريته من النجس وصدق رؤية ماء المطر ولا يصدق بمجرد ملاقاة الطرف منه أنّه رأى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الأظهر الثاني تمسكاً بظاهر الأخبار واستبعاد حصول التطهير بدون وصول الماء وعدم صدق رؤية المطر؛ إذ الظاهر أنّ المراد من الشيء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يراه ماء المطر فقد طهر</w:t>
      </w:r>
      <w:r>
        <w:rPr>
          <w:rFonts w:eastAsia="IRNazanin" w:cs="IRNazanin"/>
          <w:color w:val="111111"/>
          <w:sz w:val="28"/>
          <w:szCs w:val="28"/>
          <w:rtl w:val="true"/>
          <w:lang w:bidi="fa-IR"/>
        </w:rPr>
        <w:t>»</w:t>
      </w:r>
      <w:r>
        <w:rPr>
          <w:rStyle w:val="FootnoteAnchor"/>
          <w:rtl w:val="true"/>
        </w:rPr>
        <w:footnoteReference w:id="440"/>
      </w:r>
      <w:r>
        <w:rPr>
          <w:rFonts w:ascii="Amiri" w:hAnsi="Amiri" w:eastAsia="Amiri" w:cs="Amiri"/>
          <w:color w:val="111111"/>
          <w:sz w:val="28"/>
          <w:sz w:val="28"/>
          <w:szCs w:val="28"/>
          <w:rtl w:val="true"/>
          <w:lang w:bidi="ar-SA"/>
        </w:rPr>
        <w:t>هو الموضع النجس لا مطلق الشيء، ولو كان الملاقاة بالنسبة إلى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تقوي القليل بالتقاطر عليه إذا كان هو المجتمع فيه فلا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تقوي القليل غير المجتمع منه في حال التقاطر فيكون القول به حال أنَّ ماء المطر حكمه حكم الجاري، والماء القليل المتصل بالجاري يتقوى به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المتصل بالكثير بناءً على اتحاده معه ولا ينجس القليل المتصل بالجاري بمجرد الملاقاة إجماعاً </w:t>
      </w:r>
      <w:r>
        <w:rPr>
          <w:rStyle w:val="FootnoteAnchor"/>
          <w:rtl w:val="true"/>
        </w:rPr>
        <w:footnoteReference w:id="441"/>
      </w:r>
      <w:r>
        <w:rPr>
          <w:rFonts w:ascii="Amiri" w:hAnsi="Amiri" w:eastAsia="Amiri" w:cs="Amiri"/>
          <w:color w:val="111111"/>
          <w:sz w:val="28"/>
          <w:sz w:val="28"/>
          <w:szCs w:val="28"/>
          <w:rtl w:val="true"/>
          <w:lang w:bidi="ar-SA"/>
        </w:rPr>
        <w:t xml:space="preserve">لأنه يكون حينئذ كالجزء من الجاري وكذا ماء المطر؛ لأنّه </w:t>
      </w:r>
      <w:bookmarkStart w:id="214" w:name="pg9203_87150"/>
    </w:p>
    <w:p>
      <w:pPr>
        <w:pStyle w:val="BookText"/>
        <w:rPr/>
      </w:pPr>
      <w:bookmarkEnd w:id="214"/>
      <w:r>
        <w:rPr>
          <w:rFonts w:ascii="Amiri" w:hAnsi="Amiri" w:eastAsia="Amiri" w:cs="Amiri"/>
          <w:color w:val="111111"/>
          <w:sz w:val="28"/>
          <w:sz w:val="28"/>
          <w:szCs w:val="28"/>
          <w:rtl w:val="true"/>
          <w:lang w:bidi="ar-SA"/>
        </w:rPr>
        <w:t>بحكمه في حال التقاطر، فيكون متصلاً بالمعصوم فلا ينجس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فرض عدم انفعال ماء المطر يكون متصلا به فيكون متحداً معه، ولا يتصور التفكيك في المتحد المنتزع فلا بُدَّ إما من الحكم بنجاسة جميعه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طهارة جميعه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لهذا المطلب بوجود المادة فيه</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في عموم التعليل الوارد في ماء البئر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لأنّ المادة عبارة عن كون الشيء منبعاً للشيء أو يكون حصوله منه نظير المادة التي تكون للحياض الصغار من الحمام ، وهنا ليس كذلك لأنّ وجوده لم يحصل منه</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3967954_2870459653"/>
      <w:bookmarkStart w:id="216" w:name="_Toc76"/>
      <w:bookmarkEnd w:id="215"/>
      <w:r>
        <w:rPr>
          <w:rtl w:val="true"/>
        </w:rPr>
        <w:t>الكلام في ماء الغسالة</w:t>
      </w:r>
      <w:bookmarkEnd w:id="216"/>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المنفصل عن المحل النجس ولو بجريانه إلى محل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اختصاصه بالمنفصل الذي يكون طرفه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نجسة أو طاهرة؟ والنزاع في هذه المسألة ليس مع من يقول بعدم انفعال الماء القليل مطلقاً؛ لأنه يقول بالكلية وهي فرد منها ، بل النزاع معه في أصل انفعال الماء القليل وعدمه لا في هذه المسألة، بل النزاع مع من يقول بالانفعال في الماء القليل ويقول بالطهارة هنا، إذ يكون مفصلاً بين الوارد فعدم التنجيس،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الوارد فالتنجيس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المفصل أيضاً يكون مفصلاً في أصل المسألة لا في هذه المسألة؛ لأنّه اشترط في المطهر أن يكون وارداً إلّا أن يكون التفصيل باعتبار شرطيته في الطهارة القابلة لا في حصول التطهير وعدمه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والأقوال المعروفة في هذه المسألة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وهو المنسوب إلى المتأخرين </w:t>
      </w:r>
      <w:r>
        <w:rPr>
          <w:rStyle w:val="FootnoteAnchor"/>
          <w:rtl w:val="true"/>
        </w:rPr>
        <w:footnoteReference w:id="444"/>
      </w:r>
      <w:r>
        <w:rPr>
          <w:rFonts w:ascii="Amiri" w:hAnsi="Amiri" w:eastAsia="Amiri" w:cs="Amiri"/>
          <w:color w:val="111111"/>
          <w:sz w:val="28"/>
          <w:sz w:val="28"/>
          <w:szCs w:val="28"/>
          <w:rtl w:val="true"/>
          <w:lang w:bidi="ar-SA"/>
        </w:rPr>
        <w:t xml:space="preserve">، وصريح جمع من الأعلام حتى ادعي عليه الإجماع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مطلقاً، وهو المنسوب إلى المتقدمين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الغسلة الأولى والثانية، وهو المنقول عن بعض كالفاضل </w:t>
      </w:r>
      <w:r>
        <w:rPr>
          <w:rStyle w:val="FootnoteAnchor"/>
          <w:rtl w:val="true"/>
        </w:rPr>
        <w:footnoteReference w:id="447"/>
      </w:r>
      <w:r>
        <w:rPr>
          <w:rFonts w:ascii="Amiri" w:hAnsi="Amiri" w:eastAsia="Amiri" w:cs="Amiri"/>
          <w:color w:val="111111"/>
          <w:sz w:val="28"/>
          <w:sz w:val="28"/>
          <w:szCs w:val="28"/>
          <w:rtl w:val="true"/>
          <w:lang w:bidi="ar-SA"/>
        </w:rPr>
        <w:t>وغيره</w:t>
      </w:r>
      <w:r>
        <w:rPr>
          <w:rStyle w:val="FootnoteAnchor"/>
          <w:rtl w:val="true"/>
        </w:rPr>
        <w:footnoteReference w:id="448"/>
      </w:r>
      <w:r>
        <w:rPr>
          <w:rFonts w:ascii="Amiri" w:hAnsi="Amiri" w:eastAsia="Amiri" w:cs="Amiri"/>
          <w:color w:val="111111"/>
          <w:sz w:val="28"/>
          <w:sz w:val="28"/>
          <w:szCs w:val="28"/>
          <w:rtl w:val="true"/>
          <w:lang w:bidi="ar-SA"/>
        </w:rPr>
        <w:t>، وهو الظاهر من كلام ابن إدريس</w:t>
      </w:r>
      <w:r>
        <w:rPr>
          <w:rStyle w:val="FootnoteAnchor"/>
          <w:rtl w:val="true"/>
        </w:rPr>
        <w:footnoteReference w:id="449"/>
      </w:r>
      <w:r>
        <w:rPr>
          <w:rFonts w:ascii="Amiri" w:hAnsi="Amiri" w:eastAsia="Amiri" w:cs="Amiri"/>
          <w:color w:val="111111"/>
          <w:sz w:val="28"/>
          <w:sz w:val="28"/>
          <w:szCs w:val="28"/>
          <w:rtl w:val="true"/>
          <w:lang w:bidi="ar-SA"/>
        </w:rPr>
        <w:t>على أحد وجهيه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آنية الولوغ فتطهر مطلقاً، وغيره يكون نجساً في الغسلة الأولى دون الثانية، وهو المنقول عن الشيخ في الخلاف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أقوال واحتمالات أخر يرتقي معها إلى عشرة أو اثني عشر</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هو الأول ، والظاهر عدم الإجماع؛ لأنه من طرف الطهارة يكون المتأخرون على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طرف النجاسة فيكون القدماء على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 من ادعى الإجماع على النجاسة اما كونه مشهوراً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إجماع القائلين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باب بطلان مبنى المخالف عنده، بحيث لو اطلع عليه لرجع إليه، فيكون إجماعاً شأنياً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والتمسك بعموم المفهوم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الماء قدر كر لم ينجسه شيء </w:t>
      </w:r>
      <w:r>
        <w:rPr>
          <w:rStyle w:val="FootnoteAnchor"/>
          <w:rtl w:val="true"/>
        </w:rPr>
        <w:footnoteReference w:id="452"/>
      </w:r>
      <w:r>
        <w:rPr>
          <w:rFonts w:ascii="Amiri" w:hAnsi="Amiri" w:eastAsia="Amiri" w:cs="Amiri"/>
          <w:color w:val="111111"/>
          <w:sz w:val="28"/>
          <w:sz w:val="28"/>
          <w:szCs w:val="28"/>
          <w:rtl w:val="true"/>
          <w:lang w:bidi="ar-SA"/>
        </w:rPr>
        <w:t xml:space="preserve">لا يناسب في مقابل لا من لا يقول بالمفهوم فيه أو مطلقاً بل يقول بالطهارة من باب الأدلّة الخاصة مثل قاعدة </w:t>
      </w:r>
    </w:p>
    <w:p>
      <w:pPr>
        <w:pStyle w:val="BookText"/>
        <w:rPr/>
      </w:pPr>
      <w:r>
        <w:rPr>
          <w:rFonts w:ascii="Amiri" w:hAnsi="Amiri" w:eastAsia="Amiri" w:cs="Amiri"/>
          <w:color w:val="111111"/>
          <w:sz w:val="28"/>
          <w:sz w:val="28"/>
          <w:szCs w:val="28"/>
          <w:rtl w:val="true"/>
          <w:lang w:bidi="ar-SA"/>
        </w:rPr>
        <w:t>النجس لا يطهر وغيرها، بل يناسب التمسك في مقابل من يقول بالمفهوم، ولكن يقول بكونه منصرفاً إلى غير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يناسب مع من يقول بالعموم أيضاً، لكن قال بالطهارة من باب الأدلّة الخاصة، وسيجيئ تخصيص العنوان بالغسالة في الغسلة التي بعدها طهر المحل؛ لأنا إذا أثبتنا نجاستها تكون الأولى نجسة يقيناً، وعدم وجود القائل بطهارة الأولى دون الثانية، بل الأمر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لما كان دليلنا أو كان عمدته هو عموم المفهوم فلا بُدَّ أن نتكلم فيه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لنا إلى إثبات العموم الأفرادي بالنسبة إلى الماء والنجس، بل يكفينا إثبات العموم الأحوالي؛ بل لا يثمر العموم الأفرادي حتى لا ينظم</w:t>
      </w:r>
      <w:r>
        <w:rPr>
          <w:rStyle w:val="FootnoteAnchor"/>
          <w:rtl w:val="true"/>
        </w:rPr>
        <w:footnoteReference w:id="453"/>
      </w:r>
      <w:r>
        <w:rPr>
          <w:rFonts w:ascii="Amiri" w:hAnsi="Amiri" w:eastAsia="Amiri" w:cs="Amiri"/>
          <w:color w:val="111111"/>
          <w:sz w:val="28"/>
          <w:sz w:val="28"/>
          <w:szCs w:val="28"/>
          <w:rtl w:val="true"/>
          <w:lang w:bidi="ar-SA"/>
        </w:rPr>
        <w:t xml:space="preserve">معه العموم الأحوالي؛ لأنّه على فرض ثبوت تنجس جميع أفراد الماء بجميع أفراد النجاسات يمكن القول بأنّ هذا مسلّم في غير حال الفعلي </w:t>
      </w:r>
      <w:r>
        <w:rPr>
          <w:rStyle w:val="FootnoteAnchor"/>
          <w:rtl w:val="true"/>
        </w:rPr>
        <w:footnoteReference w:id="454"/>
      </w:r>
      <w:r>
        <w:rPr>
          <w:rFonts w:ascii="Amiri" w:hAnsi="Amiri" w:eastAsia="Amiri" w:cs="Amiri"/>
          <w:color w:val="111111"/>
          <w:sz w:val="28"/>
          <w:sz w:val="28"/>
          <w:szCs w:val="28"/>
          <w:rtl w:val="true"/>
          <w:lang w:bidi="ar-SA"/>
        </w:rPr>
        <w:t xml:space="preserve">والتطهير، فإذا انضم إليه العموم بالنسبة إلى حال </w:t>
      </w:r>
      <w:r>
        <w:rPr>
          <w:rStyle w:val="FootnoteAnchor"/>
          <w:rtl w:val="true"/>
        </w:rPr>
        <w:footnoteReference w:id="455"/>
      </w:r>
      <w:r>
        <w:rPr>
          <w:rFonts w:ascii="Amiri" w:hAnsi="Amiri" w:eastAsia="Amiri" w:cs="Amiri"/>
          <w:color w:val="111111"/>
          <w:sz w:val="28"/>
          <w:sz w:val="28"/>
          <w:szCs w:val="28"/>
          <w:rtl w:val="true"/>
          <w:lang w:bidi="ar-SA"/>
        </w:rPr>
        <w:t>في حال الغسل، وفي غيره 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نتكلم في العموم الأحوالي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الخصم، أنت تسلّم أنّ فرداً من الماء ينجس بملاقاة النجاسة؛ لأنّ نزاعنا مع مثل هذا الشخص 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بالطهارة مطلقاً، ويثبت العموم الأحوالي بالنسبة إلى هذا المقدار بقرينة الحكمة، ثمّ نثبت في الباقي بعدم القول بالفصل؛ لأنه لا فاصل بين أفراد النجاسة وأفراد الماء القليل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يترآى من ظاهر كلام الشيخ في الخلاف من كونه فاصلاً بين نجاسة الولوغ وغيره؛ فهو ليس ،مراده، بل مراده التفصيل بين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بالطهارة، وبين غيره من الثوب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في الأحوال الثانية، كما صرح بذلك بعض من </w:t>
      </w:r>
    </w:p>
    <w:p>
      <w:pPr>
        <w:pStyle w:val="BookText"/>
        <w:rPr/>
      </w:pPr>
      <w:r>
        <w:rPr>
          <w:rFonts w:ascii="IRNazanin" w:hAnsi="IRNazanin" w:eastAsia="IRNazanin"/>
          <w:color w:val="111111"/>
          <w:sz w:val="28"/>
          <w:sz w:val="28"/>
          <w:szCs w:val="28"/>
          <w:rtl w:val="true"/>
          <w:lang w:bidi="fa-IR"/>
        </w:rPr>
        <w:t>الأعلام</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المركوز في الأذهان من صدر الإسلام إلى زماننا هذا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التنجس ليس إلّا بالملاقاة لا بالمجاورة والمحاذاة وغيرها، ولذلك المركوز في الأذهان في هذا المطلب بالنسبة إلى الغسلة التي بعدها طهر المحل وغيرها، وعدم الفرق في التنجيس وعدمه بين ورود الماء وعدمه، لا ما تظن</w:t>
      </w:r>
      <w:r>
        <w:rPr>
          <w:rStyle w:val="FootnoteAnchor"/>
          <w:rtl w:val="true"/>
        </w:rPr>
        <w:footnoteReference w:id="457"/>
      </w:r>
      <w:r>
        <w:rPr>
          <w:rFonts w:ascii="Amiri" w:hAnsi="Amiri" w:eastAsia="Amiri" w:cs="Amiri"/>
          <w:color w:val="111111"/>
          <w:sz w:val="28"/>
          <w:sz w:val="28"/>
          <w:szCs w:val="28"/>
          <w:rtl w:val="true"/>
          <w:lang w:bidi="ar-SA"/>
        </w:rPr>
        <w:t xml:space="preserve">نجاسته بواسطة حصول القذارة الكائنة في المغسول فيه، ولا فرق في هذا بين الورودين ولا بين الغسلتين، وإذا ثبت كونه مركوزاً في الأذهان وورد الكلام في مقام الحاجة المقتضي للبيان ولم يبيّن السبب يُفهم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إعتمد على ما ارتكز في الأذهان بالنحو المرتكز من السبب والعموم والخصوص؛ لأنه لو كان السبب غيره أو كان مع خصوصية فلا بُدَّ من بيانه؛ لأنّ المقام مقامه ونظيره في العرف أيضاً كثير؛ مثلاً عند العرف معلوم أنّ استعمال الترنجين</w:t>
      </w:r>
      <w:r>
        <w:rPr>
          <w:rStyle w:val="FootnoteAnchor"/>
          <w:rtl w:val="true"/>
        </w:rPr>
        <w:footnoteReference w:id="458"/>
      </w:r>
      <w:r>
        <w:rPr>
          <w:rFonts w:ascii="Amiri" w:hAnsi="Amiri" w:eastAsia="Amiri" w:cs="Amiri"/>
          <w:color w:val="111111"/>
          <w:sz w:val="28"/>
          <w:sz w:val="28"/>
          <w:szCs w:val="28"/>
          <w:rtl w:val="true"/>
          <w:lang w:bidi="ar-SA"/>
        </w:rPr>
        <w:t>بكيفية خاصة، وسأل الطبيب عن المرض الفلاني فيأمر باستعمال الترنجين ولم يبين كيفية استعماله؛ فيعلم أنه عول على المتعارف وإلا لبينه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المقام أيضاً يسأل عن حال الماء من حيث انفعاله وعدمه؛ فأجاب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ينفعل في صورة القلّة ولا ينفعل في صورة الكثرة ولم يبيّن كيفية التنجيس، فنفهم من كلامه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كان قدر كر لم ينجسه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أيّها السائل إنّ المقتضي للتنجيس ما هو المعروف عندكم، إلّا أنّ الكرية والكثرة مانعة عن تأثير المقتضي، فحوّل بيان المقتضي على المتعارف عندهم وبيّن أنّ هذا المقتضي يؤثر لو لم يحصل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الكرية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الماء القليل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بالملاقاة بأي نحو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نجاسة الغُسالة أيضاً من هذا الكلام؛ لأنها من أفراد الكُلّية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صدر من بعض الأعلام في هذا المقام من عدم جريان دليل الحكمة هنا؛ لأنه إنما يجري إذا كان علیه السلام في مقام البيان ولم يبين، وأمّا إذا لم يكن في مقام بيان حكم المفهوم، بل كان في مقام بيان عموم المنطوق وجيء بالشرطية لبيان العموم في المنطوق، فلم يكن مراده بیان حكم المفهوم حتى يتمسك بدليل الحكمة، واستشهد بذلك بكلام الفاضل البغدادي</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من هذا الكلام إفهام السائل كونَ الكرية مانعة،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ما هو مقتض للانفعال عندكم يتأثر إلّا في هذه الصورة، بحيث لو ذهب المانع يتأثر، إلّا أن مراده بيان المقتضي لعدم التنجيس بالشرط لإفادة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تقرير الخبر لإثبات المطلب من دون حاجة إلى إثبات العموم من جهة الحكمة،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الشارع وحكمه بالنسبة إلى الطريقة المتداولة بين الناس قد يقال في الإنكار عليها مجرد عدم الردع ، فحينئذ يرجع في كيفية الحكم إلى الطريقة المتداولة ما لم يرد ردع من جانب الشرع، ويحتاج إلى إمضاءه، بمعنى أنّ الشارع قد يكتفي فيه بالطريقة المتداولة،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يكتفي ولا 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الطريقة المتعارفة، بل يحكم بكيفية أخرى غير الكيفية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 الأول يُحمل كلامه عليها بمجرد عدم صدور الردع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الذي يحتمل الاكتفاء فيه وعدمه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يثبت الحكم من دليل لبّي من غير اللفظ فحينئذ لا يجري فيه الحكمة؛ لأنّه ليس لفظاً حتى يحمل على الإطلاق، وكون مراد الشارع هو العرف؛ لأنه لو كان غيره </w:t>
      </w:r>
      <w:bookmarkStart w:id="217" w:name="pg9203_87155"/>
    </w:p>
    <w:p>
      <w:pPr>
        <w:pStyle w:val="BookText"/>
        <w:rPr/>
      </w:pPr>
      <w:bookmarkEnd w:id="217"/>
      <w:r>
        <w:rPr>
          <w:rFonts w:ascii="Amiri" w:hAnsi="Amiri" w:eastAsia="Amiri" w:cs="Amiri"/>
          <w:color w:val="111111"/>
          <w:sz w:val="28"/>
          <w:sz w:val="28"/>
          <w:szCs w:val="28"/>
          <w:rtl w:val="true"/>
          <w:lang w:bidi="ar-SA"/>
        </w:rPr>
        <w:t>لبينه فيحمل اللفظ</w:t>
      </w:r>
      <w:r>
        <w:rPr>
          <w:rStyle w:val="FootnoteAnchor"/>
          <w:rtl w:val="true"/>
        </w:rPr>
        <w:footnoteReference w:id="460"/>
      </w:r>
      <w:r>
        <w:rPr>
          <w:rFonts w:ascii="IRNazanin" w:hAnsi="IRNazanin" w:eastAsia="IRNazanin"/>
          <w:color w:val="111111"/>
          <w:sz w:val="28"/>
          <w:sz w:val="28"/>
          <w:szCs w:val="28"/>
          <w:rtl w:val="true"/>
          <w:lang w:bidi="fa-IR"/>
        </w:rPr>
        <w:t>على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وتارة يثبت الحكم من اللفظ وهنا يجري فيه الحكمة، وكون مراده هو المتعارف لا غيره، وفي هذه الصورة لو أسند الفعل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القليل ينجسه شيء أو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مراده هو الطريقة المتعارفة،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بالطريقة المعهودة للتنجّس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 كلامه هنا هو التقييد بالطريقة لا الإطلاق حتى يحرز شرائط الإطلاق لإفادة العموم من كونه وارداً في مقام البيان ولم يبيّن، فيكون مراده الإطلاق والعموم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وحاصل الكلام أنّه يمكن أن يدعى أنه لو أسند الفعل ولم يبين كيفية الحكم، أن يكون مراده هي الطريقة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المتعارفة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ينجس بالطريقة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يكن فيه إطلاق حتى يحرز شرائط الإطلاق لإثبات العموم، فيظهر من كلامه علیه السلام اتكاله عليها</w:t>
      </w:r>
      <w:r>
        <w:rPr>
          <w:rFonts w:eastAsia="IRNazanin" w:cs="IRNazanin"/>
          <w:color w:val="111111"/>
          <w:sz w:val="28"/>
          <w:szCs w:val="28"/>
          <w:rtl w:val="true"/>
          <w:lang w:bidi="fa-IR"/>
        </w:rPr>
        <w:t>.</w:t>
      </w:r>
    </w:p>
    <w:p>
      <w:pPr>
        <w:pStyle w:val="Heading2"/>
        <w:numPr>
          <w:ilvl w:val="1"/>
          <w:numId w:val="1"/>
        </w:numPr>
        <w:rPr/>
      </w:pPr>
      <w:bookmarkStart w:id="218" w:name="__RefHeading___Toc3967956_2870459653"/>
      <w:bookmarkStart w:id="219" w:name="_Toc77"/>
      <w:bookmarkEnd w:id="218"/>
      <w:r>
        <w:rPr>
          <w:rtl w:val="true"/>
        </w:rPr>
        <w:t>[</w:t>
      </w:r>
      <w:r>
        <w:rPr>
          <w:rtl w:val="true"/>
        </w:rPr>
        <w:t>الأدلة الدالّة على نجاسة الغسالة</w:t>
      </w:r>
      <w:r>
        <w:rPr>
          <w:rtl w:val="true"/>
        </w:rPr>
        <w:t>]</w:t>
      </w:r>
      <w:bookmarkEnd w:id="219"/>
    </w:p>
    <w:p>
      <w:pPr>
        <w:pStyle w:val="BookText"/>
        <w:rPr/>
      </w:pPr>
      <w:r>
        <w:rPr>
          <w:rFonts w:ascii="Amiri" w:hAnsi="Amiri" w:eastAsia="Amiri" w:cs="Amiri"/>
          <w:color w:val="111111"/>
          <w:sz w:val="28"/>
          <w:sz w:val="28"/>
          <w:szCs w:val="28"/>
          <w:rtl w:val="true"/>
          <w:lang w:bidi="ar-SA"/>
        </w:rPr>
        <w:t>و من الأدلّة الدالّة على نجاسة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العيص بن القاسم المروية في الخلاف والمنتهى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أصابه قطرة من طشت فيه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بول أو قذر فيغسل ما أصابه ، وإن كان من ماء الوضوء فلا بأس</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وبهذا المضمون في الفقرة الثانية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صحة سنده وإن لم يكن مروياً في الكتب الأربعة؛ لأنّ العيص موثق </w:t>
      </w:r>
    </w:p>
    <w:p>
      <w:pPr>
        <w:pStyle w:val="BookText"/>
        <w:rPr/>
      </w:pPr>
      <w:r>
        <w:rPr>
          <w:rFonts w:ascii="Amiri" w:hAnsi="Amiri" w:eastAsia="Amiri" w:cs="Amiri"/>
          <w:color w:val="111111"/>
          <w:sz w:val="28"/>
          <w:sz w:val="28"/>
          <w:szCs w:val="28"/>
          <w:rtl w:val="true"/>
          <w:lang w:bidi="ar-SA"/>
        </w:rPr>
        <w:t xml:space="preserve">جليل </w:t>
      </w:r>
      <w:r>
        <w:rPr>
          <w:rStyle w:val="FootnoteAnchor"/>
          <w:rtl w:val="true"/>
        </w:rPr>
        <w:footnoteReference w:id="462"/>
      </w:r>
      <w:r>
        <w:rPr>
          <w:rFonts w:ascii="Amiri" w:hAnsi="Amiri" w:eastAsia="Amiri" w:cs="Amiri"/>
          <w:color w:val="111111"/>
          <w:sz w:val="28"/>
          <w:sz w:val="28"/>
          <w:szCs w:val="28"/>
          <w:rtl w:val="true"/>
          <w:lang w:bidi="ar-SA"/>
        </w:rPr>
        <w:t xml:space="preserve">، وأخذ الشيخ هذه الرواية من كتابه، وذكر في الفهرست </w:t>
      </w:r>
      <w:r>
        <w:rPr>
          <w:rStyle w:val="FootnoteAnchor"/>
          <w:rtl w:val="true"/>
        </w:rPr>
        <w:footnoteReference w:id="463"/>
      </w:r>
      <w:r>
        <w:rPr>
          <w:rFonts w:ascii="Amiri" w:hAnsi="Amiri" w:eastAsia="Amiri" w:cs="Amiri"/>
          <w:color w:val="111111"/>
          <w:sz w:val="28"/>
          <w:sz w:val="28"/>
          <w:szCs w:val="28"/>
          <w:rtl w:val="true"/>
          <w:lang w:bidi="ar-SA"/>
        </w:rPr>
        <w:t>طرقه إلى كتابه، ولم يكن طريقه إليه غير موثق، إلّا أنّ في سند هذه الرواية إبراهيم بن هاشم واختلف أهل الرجال فيه، وبعضهم وثقه وبعضهم لم يوثقه ، والظاهر أنه موثق</w:t>
      </w:r>
      <w:r>
        <w:rPr>
          <w:rStyle w:val="FootnoteAnchor"/>
          <w:rtl w:val="true"/>
        </w:rPr>
        <w:footnoteReference w:id="464"/>
      </w:r>
      <w:r>
        <w:rPr>
          <w:rFonts w:ascii="Amiri" w:hAnsi="Amiri" w:eastAsia="Amiri" w:cs="Amiri"/>
          <w:color w:val="111111"/>
          <w:sz w:val="28"/>
          <w:sz w:val="28"/>
          <w:szCs w:val="28"/>
          <w:rtl w:val="true"/>
          <w:lang w:bidi="ar-SA"/>
        </w:rPr>
        <w:t>فيكون سند الرواية صحيحاً، ولو لم يكن صحيحاً يكون كالصحيح فيكون معتبراً، هذا حال سنده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دلالته فيحتمل أن يكون المراد هو غُسالة الاستنجاء بقرينة المتعارف بين الناس من الوضوء بعد الاستنجاء، وتفصيله بين الشيئين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من مسالة البول والقذر فيغتسل، وإن كان من ماء الوضوء فلا بأس خصوصاً بقرينة ذكر البول مع القذر، والحال انه داخل في القذر فيظهر أن يكون المراد منه الغائط فحينئذ لا بُدَّ من حمل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 على المجاز وهو الندب، أو إلغاء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بول أو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يشمل الاستنجاء وغيره، فنقيّده بغير ماء الاستنجاء، فإذا دار الأمر بين التقييد والمجاز فالتقييد أولى فيتم دلالته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يتوهم من حمله على ما إذا استصحب أجزاء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حينئذ نجساً إجماعاً فإنّه يدلّ على التنجيس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بملاحظة ترك الاستفصال، فيحمل على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الأخبار الدالّة على النجاسة رواية عبد الله بن سنان، رواه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الذي يغسل به الثوب أو يغتسل به الرجل من الجنابة لا يجوز أن يتوضأ منه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المراد من عدم جواز التوضأ منه لعدم كونه رافعاً للحدث لا لنجاسته؛ </w:t>
      </w:r>
    </w:p>
    <w:p>
      <w:pPr>
        <w:pStyle w:val="BookText"/>
        <w:rPr/>
      </w:pPr>
      <w:r>
        <w:rPr>
          <w:rFonts w:ascii="Amiri" w:hAnsi="Amiri" w:eastAsia="Amiri" w:cs="Amiri"/>
          <w:color w:val="111111"/>
          <w:sz w:val="28"/>
          <w:sz w:val="28"/>
          <w:szCs w:val="28"/>
          <w:rtl w:val="true"/>
          <w:lang w:bidi="ar-SA"/>
        </w:rPr>
        <w:t>لأنّ ماء الغُسالة على فرض طهارته لا يرفع الحدث إجماعاً</w:t>
      </w:r>
      <w:r>
        <w:rPr>
          <w:rStyle w:val="FootnoteAnchor"/>
          <w:rtl w:val="true"/>
        </w:rPr>
        <w:footnoteReference w:id="466"/>
      </w:r>
      <w:r>
        <w:rPr>
          <w:rFonts w:ascii="Amiri" w:hAnsi="Amiri" w:eastAsia="Amiri" w:cs="Amiri"/>
          <w:color w:val="111111"/>
          <w:sz w:val="28"/>
          <w:sz w:val="28"/>
          <w:szCs w:val="28"/>
          <w:rtl w:val="true"/>
          <w:lang w:bidi="ar-SA"/>
        </w:rPr>
        <w:t xml:space="preserve">حتى من القائلين بالطهارة وكذا الماء الرافع به الحدث الأكبر لا يرفع الحدث عند بعض </w:t>
      </w:r>
      <w:r>
        <w:rPr>
          <w:rStyle w:val="FootnoteAnchor"/>
          <w:rtl w:val="true"/>
        </w:rPr>
        <w:footnoteReference w:id="467"/>
      </w:r>
      <w:r>
        <w:rPr>
          <w:rFonts w:ascii="Amiri" w:hAnsi="Amiri" w:eastAsia="Amiri" w:cs="Amiri"/>
          <w:color w:val="111111"/>
          <w:sz w:val="28"/>
          <w:sz w:val="28"/>
          <w:szCs w:val="28"/>
          <w:rtl w:val="true"/>
          <w:lang w:bidi="ar-SA"/>
        </w:rPr>
        <w:t>، فحينئذ فلا يدلّ الخبر على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أن يكون عدم جواز التوضأ به كناية عن نجاسته، كما يرشد إليه كثير من الأخبار الواردة في الطهارة والنجاسة فيكون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فيدعى ان حكمه بالنجاسة في ماء غسل الجنابة باعتبار عدم خلو بدن الجنب غالباً عن النجاسة فمُسلّمة باعتبار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في الخبر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إبقاءه على ظاهره ولا يكون التوضؤ كناية عن شيء بل عدم جواز التوضؤ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عدم التوضؤ </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لعدم كونه رافعاً للحدث وهذا يتم بالنسبة إلى غُسالة الثوب وأمّا بالنسبة إلى ماء غسل الجنابة فلا يتم؛ لأنه يتم على تقدير عدم كونه رافعاً للحدث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ممنوع لورود الأخبار الكثيرة على كونه رافعاً للحدث </w:t>
      </w:r>
      <w:r>
        <w:rPr>
          <w:rStyle w:val="FootnoteAnchor"/>
          <w:rtl w:val="true"/>
        </w:rPr>
        <w:footnoteReference w:id="469"/>
      </w:r>
      <w:r>
        <w:rPr>
          <w:rFonts w:ascii="Amiri" w:hAnsi="Amiri" w:eastAsia="Amiri" w:cs="Amiri"/>
          <w:color w:val="111111"/>
          <w:sz w:val="28"/>
          <w:sz w:val="28"/>
          <w:szCs w:val="28"/>
          <w:rtl w:val="true"/>
          <w:lang w:bidi="ar-SA"/>
        </w:rPr>
        <w:t xml:space="preserve">فلا بدَّ حينئذ من 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المعنى الأعمّ من الكراهة والحرمة وهو مطلق المرجوحية فيكون التوضؤ من ماء الغُسالة حراماً ومن ماء غسل الجنابة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المنع لنجاسة الماء وهو يتم بالنسبة إلى غُسالة الثوب ونجاسة الغسالة؛ وإن كان يمكن الخدش بأنّ المنع للنجاسة باعتبار كون الغالب امتزاج الغسلة الأولى بالثانية فيما لو غسل النجس في طرف مثلاً فلم يدلّ على نجاسة الغُسالة حتى في الغسلة الثانية، ويكون المنع باعتبار، ويمكن دفعه فعلاً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الغلبة ولو سُلّم فليس بحيث يصير منشئاً لانصراف اللفظ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يتم فيما يكفي فيه غسلة واحدة ولم يكن هناك غسلتان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الغُسالة الأولى نجسة دون الثانية، والمنع لأجل الغالب من اختلاط الغسلتين، وعلى هذا الاحتمال لا بُدَّ أن يُراد من الماء الذي يُغتسل به من الجنابة هو ماء الغسل ومقدماته من تطهير البدن حتى يكون نجساً باعتبار غلبة إطلاق الغسل عليه ومقدماته، وذلك يصير قرينة لكون المراد به الأعم، ويكون حينئذ عدم جواز التوضؤ كناية عن النجاسة لا أنه مستعمل في النجاسة حتى 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الغالب في موارد الكناية في الأخبار هو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هذا يكون أظهر من إرادة المعنى الأعم من لا يجوز التوضؤ؛ لأنه ظاهر في الحرمة والمعنى الأعمّ أن يناسب لو 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حال دلالته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سنده ففي طريقه أحمد بن هلال العبرتائي، وهو ربّما يُنسب إلى الغلو</w:t>
      </w:r>
      <w:r>
        <w:rPr>
          <w:rStyle w:val="FootnoteAnchor"/>
          <w:rtl w:val="true"/>
        </w:rPr>
        <w:footnoteReference w:id="470"/>
      </w:r>
      <w:r>
        <w:rPr>
          <w:rFonts w:ascii="Amiri" w:hAnsi="Amiri" w:eastAsia="Amiri" w:cs="Amiri"/>
          <w:color w:val="111111"/>
          <w:sz w:val="28"/>
          <w:sz w:val="28"/>
          <w:szCs w:val="28"/>
          <w:rtl w:val="true"/>
          <w:lang w:bidi="ar-SA"/>
        </w:rPr>
        <w:t xml:space="preserve">، وربّما نُسب إلى النصب </w:t>
      </w:r>
      <w:r>
        <w:rPr>
          <w:rStyle w:val="FootnoteAnchor"/>
          <w:rtl w:val="true"/>
        </w:rPr>
        <w:footnoteReference w:id="471"/>
      </w:r>
      <w:r>
        <w:rPr>
          <w:rFonts w:ascii="Amiri" w:hAnsi="Amiri" w:eastAsia="Amiri" w:cs="Amiri"/>
          <w:color w:val="111111"/>
          <w:sz w:val="28"/>
          <w:sz w:val="28"/>
          <w:szCs w:val="28"/>
          <w:rtl w:val="true"/>
          <w:lang w:bidi="ar-SA"/>
        </w:rPr>
        <w:t xml:space="preserve">، وورد فيه مذمة كثيرة </w:t>
      </w:r>
      <w:r>
        <w:rPr>
          <w:rStyle w:val="FootnoteAnchor"/>
          <w:rtl w:val="true"/>
        </w:rPr>
        <w:footnoteReference w:id="472"/>
      </w:r>
      <w:r>
        <w:rPr>
          <w:rFonts w:ascii="Amiri" w:hAnsi="Amiri" w:eastAsia="Amiri" w:cs="Amiri"/>
          <w:color w:val="111111"/>
          <w:sz w:val="28"/>
          <w:sz w:val="28"/>
          <w:szCs w:val="28"/>
          <w:rtl w:val="true"/>
          <w:lang w:bidi="ar-SA"/>
        </w:rPr>
        <w:t>، حتى ورد في بعض الأخبار أنّه صوفي فلا رحمه الله</w:t>
      </w:r>
      <w:r>
        <w:rPr>
          <w:rStyle w:val="FootnoteAnchor"/>
          <w:rtl w:val="true"/>
        </w:rPr>
        <w:footnoteReference w:id="473"/>
      </w:r>
      <w:r>
        <w:rPr>
          <w:rFonts w:ascii="Amiri" w:hAnsi="Amiri" w:eastAsia="Amiri" w:cs="Amiri"/>
          <w:color w:val="111111"/>
          <w:sz w:val="28"/>
          <w:sz w:val="28"/>
          <w:szCs w:val="28"/>
          <w:rtl w:val="true"/>
          <w:lang w:bidi="ar-SA"/>
        </w:rPr>
        <w:t>، وإن ورد فيه أيضاً أنه حج خمسين مرة بعضها ماشياً</w:t>
      </w:r>
      <w:r>
        <w:rPr>
          <w:rStyle w:val="FootnoteAnchor"/>
          <w:rtl w:val="true"/>
        </w:rPr>
        <w:footnoteReference w:id="474"/>
      </w:r>
      <w:r>
        <w:rPr>
          <w:rFonts w:ascii="Amiri" w:hAnsi="Amiri" w:eastAsia="Amiri" w:cs="Amiri"/>
          <w:color w:val="111111"/>
          <w:sz w:val="28"/>
          <w:sz w:val="28"/>
          <w:szCs w:val="28"/>
          <w:rtl w:val="true"/>
          <w:lang w:bidi="ar-SA"/>
        </w:rPr>
        <w:t xml:space="preserve">إلّا أنّه لا يعبأ به، إلّا أن تكون شواهد تدل على صدق رواية فيها رواية بني فصال عنه، وقد ورد في حقهم خذوا ما رووا وذروا ما رأوا </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حيث سُئِل عنهم ما يصنع بكتبهم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وبيوتنا منها 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وبمرئى منهم، حيث إنّ الظاهر مطلق الروايات التي في كتبهم سواءً كانت مع الواسطة أو بلا واسطة، ويمكن أن يدعى أن المراد هو الروايات التي وردت بلا واسطة عن المعصوم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الحسن بن الصفار </w:t>
      </w:r>
      <w:r>
        <w:rPr>
          <w:rStyle w:val="FootnoteAnchor"/>
          <w:rtl w:val="true"/>
        </w:rPr>
        <w:footnoteReference w:id="477"/>
      </w:r>
      <w:r>
        <w:rPr>
          <w:rFonts w:ascii="Amiri" w:hAnsi="Amiri" w:eastAsia="Amiri" w:cs="Amiri"/>
          <w:color w:val="111111"/>
          <w:sz w:val="28"/>
          <w:sz w:val="28"/>
          <w:szCs w:val="28"/>
          <w:rtl w:val="true"/>
          <w:lang w:bidi="ar-SA"/>
        </w:rPr>
        <w:t xml:space="preserve">عن احمد بن هلال، والحال أن الحسن رجل ممدوح في كتب الرجال غاية المدح حتى أنه لا يروي إلا عن الثقات ولا يروي إلّا الروايات الصحيحة،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هلال روى عن ابن محبوب؛ والظاهر أنّه أخذه من مشيخته وقالوا في حق مشيخته</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تؤخذ الروايات التي رويت عن مشيخته وإن كان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ووجه هذا القول أحد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روايات المشيخة معروفة عندهم لا يقدر أحد على الكذب على المشيخة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كثرة رواة روايات المشيخة ويكون طرقها متعددة، فلا تطرح الروايات لكون أحد طرقها ضعيفاً، وبعد هذه المذكورات يحصل الاطمئنان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استدل به في هذا المقام رواية الكوز </w:t>
      </w:r>
      <w:r>
        <w:rPr>
          <w:rStyle w:val="FootnoteAnchor"/>
          <w:rtl w:val="true"/>
        </w:rPr>
        <w:footnoteReference w:id="479"/>
      </w:r>
      <w:r>
        <w:rPr>
          <w:rFonts w:ascii="Amiri" w:hAnsi="Amiri" w:eastAsia="Amiri" w:cs="Amiri"/>
          <w:color w:val="111111"/>
          <w:sz w:val="28"/>
          <w:sz w:val="28"/>
          <w:szCs w:val="28"/>
          <w:rtl w:val="true"/>
          <w:lang w:bidi="ar-SA"/>
        </w:rPr>
        <w:t>التي مضت سابقاً، الآمرة في تطهيره بالصبّ فيه وتحريكه وإفراغه منه ثلاثاً ثمّ الحكم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من جهة الأمر بالإفراغ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طهر، حيث إنه يظهر منه أن الإفراغ معتبر في الطهارة، ويمكن أن يكون الأمر بالإفراغ في الأولى والثانية باعتبار أنّ الغسل لا يتحقق مع وجود الماء فيه فلم يدلّ مع الظاهر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بالإفراغ في المرتبة الثانية ومدخليته في الحكم بالطهارة يمكن أن يكون </w:t>
      </w:r>
      <w:bookmarkStart w:id="220" w:name="pg9203_87160"/>
    </w:p>
    <w:p>
      <w:pPr>
        <w:pStyle w:val="BookText"/>
        <w:rPr/>
      </w:pPr>
      <w:bookmarkEnd w:id="220"/>
      <w:r>
        <w:rPr>
          <w:rFonts w:ascii="Amiri" w:hAnsi="Amiri" w:eastAsia="Amiri" w:cs="Amiri"/>
          <w:color w:val="111111"/>
          <w:sz w:val="28"/>
          <w:sz w:val="28"/>
          <w:szCs w:val="28"/>
          <w:rtl w:val="true"/>
          <w:lang w:bidi="ar-SA"/>
        </w:rPr>
        <w:t xml:space="preserve">لنجاسته ولا تتحقق الطهارة إلّا بالإفراغ إلّا أنّه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بالإفراغ للنجاسة بل من باب التعبد، أو لأنّ استعمال الكوز لا يمكن إلّا بإفراغه أو يكون غرضه وان هذا </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فلا يميل له الطبع فلا يثمر، وقال بالإفراغ لمحض الإرشاد والنصيحة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الحكم والإلزام خصوصاً عدم قوله بالإراقة،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الإراقة ظاهرة في أنّ الماء نجس فلا يثمر في وجه دون الإفراغ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ان هذه الرواية لا تدل على المطلب؛ لأنّه يحتمل أن يكون الأمر بالإفراغ لكونه المتعارف في الغسل، وأيضاً يحتمل أن يكون الأمر بالإفراغ في المرتين الأوليين من باب عدم تحقق الغسل مع كونه فيه من باب أنّ الانفصال معتبر في مفهوم الغسل كما يقول به بعض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لأنّ الماء الثاني لا يؤثر مع وجوده؛ بناءً على أنّ ماء الغُسالة لا يرفع حدثاً إجماعاً </w:t>
      </w:r>
      <w:r>
        <w:rPr>
          <w:rStyle w:val="FootnoteAnchor"/>
          <w:rtl w:val="true"/>
        </w:rPr>
        <w:footnoteReference w:id="483"/>
      </w:r>
      <w:r>
        <w:rPr>
          <w:rFonts w:ascii="Amiri" w:hAnsi="Amiri" w:eastAsia="Amiri" w:cs="Amiri"/>
          <w:color w:val="111111"/>
          <w:sz w:val="28"/>
          <w:sz w:val="28"/>
          <w:szCs w:val="28"/>
          <w:rtl w:val="true"/>
          <w:lang w:bidi="ar-SA"/>
        </w:rPr>
        <w:t>حتى عند القائلين بالطهارة، ولا يرفع خبثاً كما يقول به بعض</w:t>
      </w:r>
      <w:r>
        <w:rPr>
          <w:rStyle w:val="FootnoteAnchor"/>
          <w:rtl w:val="true"/>
        </w:rPr>
        <w:footnoteReference w:id="484"/>
      </w:r>
      <w:r>
        <w:rPr>
          <w:rFonts w:ascii="IRNazanin" w:hAnsi="IRNazanin" w:eastAsia="IRNazanin"/>
          <w:color w:val="111111"/>
          <w:sz w:val="28"/>
          <w:sz w:val="28"/>
          <w:szCs w:val="28"/>
          <w:rtl w:val="true"/>
          <w:lang w:bidi="fa-IR"/>
        </w:rPr>
        <w:t>على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لأنّ الأمر بالإفراغ من باب أن المستعمل في التطهير ولو كان طاهراً يستقذره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ظهور في الخبر في أنّ الإفراغ من باب النجاسة حتى يتمسك به ويدفع به الاحتمالات؛ فلا دلالة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أدلة القائلين بالنجاسة</w:t>
      </w:r>
      <w:r>
        <w:rPr>
          <w:rFonts w:eastAsia="Amiri" w:cs="Amiri" w:ascii="Amiri" w:hAnsi="Amiri"/>
          <w:color w:val="111111"/>
          <w:sz w:val="28"/>
          <w:szCs w:val="28"/>
          <w:rtl w:val="true"/>
          <w:lang w:bidi="ar-SA"/>
        </w:rPr>
        <w:t>.</w:t>
      </w:r>
    </w:p>
    <w:p>
      <w:pPr>
        <w:pStyle w:val="Heading2"/>
        <w:numPr>
          <w:ilvl w:val="1"/>
          <w:numId w:val="1"/>
        </w:numPr>
        <w:rPr/>
      </w:pPr>
      <w:bookmarkStart w:id="221" w:name="__RefHeading___Toc3967958_2870459653"/>
      <w:bookmarkStart w:id="222" w:name="_Toc78"/>
      <w:bookmarkEnd w:id="221"/>
      <w:r>
        <w:rPr>
          <w:rtl w:val="true"/>
        </w:rPr>
        <w:t>وأمّا أدلة القائلين بالطهارة</w:t>
      </w:r>
      <w:bookmarkEnd w:id="22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الطهارة في المياه، وأصالة الطهارة في الأشياء، واستصحاب الطهارة بناءً على عدم العموم في قاعدة الانفعال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أدلة القائلين بالطهارة</w:t>
      </w:r>
    </w:p>
    <w:p>
      <w:pPr>
        <w:pStyle w:val="BookText"/>
        <w:rPr/>
      </w:pPr>
      <w:r>
        <w:rPr>
          <w:rFonts w:ascii="Amiri" w:hAnsi="Amiri" w:eastAsia="Amiri" w:cs="Amiri"/>
          <w:color w:val="111111"/>
          <w:sz w:val="28"/>
          <w:sz w:val="28"/>
          <w:szCs w:val="28"/>
          <w:rtl w:val="true"/>
          <w:lang w:bidi="ar-SA"/>
        </w:rPr>
        <w:t xml:space="preserve">ومنها 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الماء طهوراً </w:t>
      </w:r>
      <w:r>
        <w:rPr>
          <w:rStyle w:val="FootnoteAnchor"/>
          <w:rtl w:val="true"/>
        </w:rPr>
        <w:footnoteReference w:id="485"/>
      </w:r>
      <w:r>
        <w:rPr>
          <w:rFonts w:ascii="Amiri" w:hAnsi="Amiri" w:eastAsia="Amiri" w:cs="Amiri"/>
          <w:color w:val="111111"/>
          <w:sz w:val="28"/>
          <w:sz w:val="28"/>
          <w:szCs w:val="28"/>
          <w:rtl w:val="true"/>
          <w:lang w:bidi="ar-SA"/>
        </w:rPr>
        <w:t>حيث دل على أنّ خلقة الماء على الطهارة، والماء بنفسه مقتض للطهارة، حتى يثبت المانع، وفي حال الشك يدفع بالأصل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جملتها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ينجسه شيء إلا ما تغير لونه أو طعمه أو ريحه</w:t>
      </w:r>
      <w:r>
        <w:rPr>
          <w:rFonts w:eastAsia="IRNazanin" w:cs="IRNazanin"/>
          <w:color w:val="111111"/>
          <w:sz w:val="28"/>
          <w:szCs w:val="28"/>
          <w:rtl w:val="true"/>
          <w:lang w:bidi="fa-IR"/>
        </w:rPr>
        <w:t>»</w:t>
      </w:r>
      <w:r>
        <w:rPr>
          <w:rStyle w:val="FootnoteAnchor"/>
          <w:rtl w:val="true"/>
        </w:rPr>
        <w:footnoteReference w:id="486"/>
      </w:r>
      <w:r>
        <w:rPr>
          <w:rFonts w:ascii="Amiri" w:hAnsi="Amiri" w:eastAsia="Amiri" w:cs="Amiri"/>
          <w:color w:val="111111"/>
          <w:sz w:val="28"/>
          <w:sz w:val="28"/>
          <w:szCs w:val="28"/>
          <w:rtl w:val="true"/>
          <w:lang w:bidi="ar-SA"/>
        </w:rPr>
        <w:t>حيث دلت النكرة في سياق النفي على العموم في الأحوال والأفراد؛ لأنه لو نجس في حال الغسل لصدق أنه نجسه شيء، خرج من العموم المتغير وبقي الباقي تحت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غلب على ريحه وطعمه ولونه فلا يتوضأ منه؛ حيث دل بالمفهوم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الثلاث وهي قاعدة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يطهر </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وقاعدة أنّه ينجس ملاقیه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ماء الغُسالة لو كان نجساً لا يفيد طهارة المحل، أو لم يؤثر في تطهير المحل، بناءً على شمولها للغسلة الأولى، فلا بُدَّ أن يكون طاهراً حتى يطهر المحل به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الخدشة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بالنجس الذي لا يكون مطهراً، إما النجس السابق على الاستعمال وأما الأعم من السابق والنجس بالاستعمال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عموم القاعدة مسلَّم ولا يكون لها مورد نقض إلا حجر الاستنجاء والأرض بناءً على عدم اشتراط الطهارة في مطهريته الذين لا يكونان مورد النقض حقيقة؛ لأنّ المقصود فيهما إزالة العين لا ذهاب القذارة بالمرة كما هو المقصود في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العموم ولا يكون لها مورد نقض بالنسبة إلى موارد الغسل بالماء واتمام القليل النجس كراً ينجس من جهة مدخلية الاجتماع لا من جهة تأثير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العموم فلا بُدَّ له من مدرك من لفظ أو عقل، ولا يوجد دليل لفظي له عموم بهذه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فغاية ما يمكن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الفاقد للوصف كيف يكون معطياً لغيره، ونِعمَ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ذات نا یافته هستی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که شود هستی بخش</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والماء إذا كان نجساً ولم يكن طاهراً فكيف يطهر المحل؟</w:t>
      </w:r>
    </w:p>
    <w:p>
      <w:pPr>
        <w:pStyle w:val="BookText"/>
        <w:rPr/>
      </w:pPr>
      <w:r>
        <w:rPr>
          <w:rFonts w:ascii="Amiri" w:hAnsi="Amiri" w:eastAsia="Amiri" w:cs="Amiri"/>
          <w:color w:val="111111"/>
          <w:sz w:val="28"/>
          <w:sz w:val="28"/>
          <w:szCs w:val="28"/>
          <w:rtl w:val="true"/>
          <w:lang w:bidi="ar-SA"/>
        </w:rPr>
        <w:t>ويمكن دفعه بأنه يمكن أن نلتزم بطهارة المحل ونجاسة الماء في أول الملاقاة؛ لأنّ الطهارة في الحقيقة ليست إلّا إزالة النجاسة وليس من الأوصاف المتأصلة حتى يكون الشيء الآخر موجداً له، بل كأن ارتفاع النجاسة بمجرد وصول الماء إلى المحل يحصل قذارته فيه ويرتفع قذارته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النجاسة لم يطهر النجسُ المحلَّ بل طَهره الظاهرُ؛ لأنّ النجاسة بعد الملاقاة بواسطة اكتساب القذارة، فالطهارة حصلت عند الملاقاة إلّا أنّ هذا المطلب الذي ذكر لا يتم إلى المحل </w:t>
      </w:r>
      <w:r>
        <w:rPr>
          <w:rStyle w:val="FootnoteAnchor"/>
          <w:rtl w:val="true"/>
        </w:rPr>
        <w:footnoteReference w:id="491"/>
      </w:r>
      <w:r>
        <w:rPr>
          <w:rFonts w:ascii="Amiri" w:hAnsi="Amiri" w:eastAsia="Amiri" w:cs="Amiri"/>
          <w:color w:val="111111"/>
          <w:sz w:val="28"/>
          <w:sz w:val="28"/>
          <w:szCs w:val="28"/>
          <w:rtl w:val="true"/>
          <w:lang w:bidi="ar-SA"/>
        </w:rPr>
        <w:t>الذي يصل إليه تدريجاً لينجس بالجزء الأول فيلاقي الأجزاء في حال النجاسة</w:t>
      </w:r>
      <w:r>
        <w:rPr>
          <w:rFonts w:eastAsia="Amiri" w:cs="Amiri" w:ascii="Amiri" w:hAnsi="Amiri"/>
          <w:color w:val="111111"/>
          <w:sz w:val="28"/>
          <w:szCs w:val="28"/>
          <w:rtl w:val="true"/>
          <w:lang w:bidi="ar-SA"/>
        </w:rPr>
        <w:t xml:space="preserve">. </w:t>
      </w:r>
      <w:bookmarkStart w:id="223" w:name="pg9203_87163"/>
    </w:p>
    <w:p>
      <w:pPr>
        <w:pStyle w:val="BookText"/>
        <w:rPr/>
      </w:pPr>
      <w:bookmarkEnd w:id="223"/>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القذر الذي استفيد من الأدلة والإجماع هو عدم مطهرية النجس السابق لا النجس في حال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في حال ملاقاته الأجزاء الأخر يكون نجساً سابقاً فلا يكون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العرف يعدّ مثل هذا ملاقاةً واحدة واستعمالاً واحداً، ولا يقيده بواسطة ملاقاة الجزء الأول من النجس السابق</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3967960_2870459653"/>
      <w:bookmarkStart w:id="225" w:name="_Toc79"/>
      <w:bookmarkEnd w:id="224"/>
      <w:r>
        <w:rPr>
          <w:rtl w:val="true"/>
        </w:rPr>
        <w:t>القاعدة الثانية</w:t>
      </w:r>
      <w:r>
        <w:rPr>
          <w:rtl w:val="true"/>
        </w:rPr>
        <w:t>:</w:t>
      </w:r>
      <w:bookmarkEnd w:id="225"/>
    </w:p>
    <w:p>
      <w:pPr>
        <w:pStyle w:val="BookText"/>
        <w:rPr/>
      </w:pP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النجس ينجس ،ملاقيه، وتقريبها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الماء نجساً لنجس المحل به بواسطة الملاقاة فلا يكون طاهراً، ويمكن أن يقال في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فرض كون انفصال الغُسالة معتبراً في طهارة المحل يكون الماء والمحل نجساً بنجاسة واحدة فيكون مجموعها بمنزلة النجس الواحد من سنخ واحد فلا يعقل تأثير بعضها في بعض؛ لأنه من المعلوم عدم تأثير الشيء الواحد بعضه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كذلك فلا بُدَّ إلّا يؤثر البعض المنفصل عنه</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فيه ثانياً، بل لا يؤثر بواسطة ملاقاة النجاسة الخارجية، والحال أنّه يؤثر كل منهما فيه فلو كانت هذه الملاقاة في الغسلة الثانية فلا بُدَّ من الغسل مرتين لو اعتبر المرتان فيهما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القاعدة عدم التأثير إلّا أنّ الإجماع على التأثير الجأنا إلى القول به ولا بالنسبة إلى ملاقاة النجاسة الخارجية ممزجتين فهو خارج عن محل الكلام؛ إذ الكلام في النجاسة الواحدة، وأما على القول بأنّ الغسل حصل أولاً بمجرد الملاقاة كما قلناه برد القاعدة الأولى وانفصال الغُسالة لنجاستها لا لتوقف الغسل عليها فلا بُدَّ إمّا القول بعدم تأثير هذا النجس الذي حصل من المحل في المحل فيلزم تخصيص قاعدة تأثير النجس في ملاقيه</w:t>
      </w:r>
      <w:r>
        <w:rPr>
          <w:rFonts w:eastAsia="Amiri" w:cs="Amiri" w:ascii="Amiri" w:hAnsi="Amiri"/>
          <w:color w:val="111111"/>
          <w:sz w:val="28"/>
          <w:szCs w:val="28"/>
          <w:rtl w:val="true"/>
          <w:lang w:bidi="ar-SA"/>
        </w:rPr>
        <w:t xml:space="preserve">. </w:t>
      </w:r>
      <w:bookmarkStart w:id="226" w:name="pg9203_87164"/>
    </w:p>
    <w:p>
      <w:pPr>
        <w:pStyle w:val="BookText"/>
        <w:rPr/>
      </w:pPr>
      <w:bookmarkEnd w:id="226"/>
      <w:r>
        <w:rPr>
          <w:rFonts w:ascii="Amiri" w:hAnsi="Amiri" w:eastAsia="Amiri" w:cs="Amiri"/>
          <w:color w:val="111111"/>
          <w:sz w:val="28"/>
          <w:sz w:val="28"/>
          <w:szCs w:val="28"/>
          <w:rtl w:val="true"/>
          <w:lang w:bidi="ar-SA"/>
        </w:rPr>
        <w:t xml:space="preserve">ويقربه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المستبعد تأثير النجاسة التي كانت في المحل ثانياً فيه، والظاهر من تنجيس النجس لملاقيه هو التأثير فيه بنجاسة خارجة عن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نفرق بين كون النجاسة من المحل أو غيره في التأثير في الملاقي، فإنّ سبب التأثير هو الملاقاة، أو تخصيص قاعدة الانفعال والقول بالانفعال إلّا في ماء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تخصيص القاعدة الأولى أهون من تخصيص هذه القاعدة؛ لاستنادها إلى الدليل اللفظي الذي يكون ظاهراً في العموم، والقاعدة الأولى مستندة إلى الموارد الجزئية والإجماع والعقل وليس فيها عموم أصلاً؛ ولأنَّ الغُسالة لو كانت طاهرة لجاز رفع الحدث بها كما يستفاد من إطلاق ما دلّ على جواز رفع الحدث بالماء الطاهر، ومع عدم الترجيح يخصص إحدى القاعدتين على الأخرى فالمرجع هو الأصل والعمومات الدالّة على عدم الانفعال</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3967962_2870459653"/>
      <w:bookmarkStart w:id="228" w:name="_Toc80"/>
      <w:bookmarkEnd w:id="227"/>
      <w:r>
        <w:rPr>
          <w:rtl w:val="true"/>
        </w:rPr>
        <w:t>القاعدة الثالثة</w:t>
      </w:r>
      <w:r>
        <w:rPr>
          <w:rtl w:val="true"/>
        </w:rPr>
        <w:t>:</w:t>
      </w:r>
      <w:bookmarkEnd w:id="228"/>
    </w:p>
    <w:p>
      <w:pPr>
        <w:pStyle w:val="BookText"/>
        <w:rPr/>
      </w:pPr>
      <w:r>
        <w:rPr>
          <w:rFonts w:ascii="Amiri" w:hAnsi="Amiri" w:eastAsia="Amiri" w:cs="Amiri"/>
          <w:color w:val="111111"/>
          <w:sz w:val="28"/>
          <w:sz w:val="28"/>
          <w:szCs w:val="28"/>
          <w:rtl w:val="true"/>
          <w:lang w:bidi="ar-SA"/>
        </w:rPr>
        <w:t>قاعدة أنّ النجس لا بُدَّ أنْ يكون له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المتخلف في المحل المغسول على القول بنجاسة الغُسالة، إما أن يكون نجساً مثل المنفصل ويكون عفواً وهو بعيد، ويلزم منه تخصيص كثير من الأدلّة والقواعد وتقييدها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 لا يجوز في الصلاة، والنجس لا يجوز استعماله ولا أكله ولا شربه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يكون طاهراً فيلزم كونه طاهراً بلا مطهر ، ويلزم التفكيك بين الماء الواحد بكون بعضه نجساً وبعضه طاهراً وكلاهما بعيدان غاية البعد ومخالفان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دفعها بأن نقول بطهارته ولا يلزم المحذور، بالقول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ضير في كون الماء المنفصل مطهراً للمتخلف والمحل، وأنه يطهر </w:t>
      </w:r>
      <w:bookmarkStart w:id="229" w:name="pg9203_87165"/>
    </w:p>
    <w:p>
      <w:pPr>
        <w:pStyle w:val="BookText"/>
        <w:rPr/>
      </w:pPr>
      <w:bookmarkEnd w:id="229"/>
      <w:r>
        <w:rPr>
          <w:rFonts w:ascii="Amiri" w:hAnsi="Amiri" w:eastAsia="Amiri" w:cs="Amiri"/>
          <w:color w:val="111111"/>
          <w:sz w:val="28"/>
          <w:sz w:val="28"/>
          <w:szCs w:val="28"/>
          <w:rtl w:val="true"/>
          <w:lang w:bidi="ar-SA"/>
        </w:rPr>
        <w:t>المحل والمتخلف بمجرد انفصال الماء وليس بعادم النظير</w:t>
      </w:r>
      <w:r>
        <w:rPr>
          <w:rStyle w:val="FootnoteAnchor"/>
          <w:rtl w:val="true"/>
        </w:rPr>
        <w:footnoteReference w:id="493"/>
      </w:r>
      <w:r>
        <w:rPr>
          <w:rFonts w:ascii="Amiri" w:hAnsi="Amiri" w:eastAsia="Amiri" w:cs="Amiri"/>
          <w:color w:val="111111"/>
          <w:sz w:val="28"/>
          <w:sz w:val="28"/>
          <w:szCs w:val="28"/>
          <w:rtl w:val="true"/>
          <w:lang w:bidi="ar-SA"/>
        </w:rPr>
        <w:t>في الشرع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ذهاب الدم من رأس الذبيحة مطهراً لها وللدم المتخلف فيها مع اتصال الدم بعضه ببعض، ومثل كون ذهاب الثلثين مطهراً للباقي في العصير، ومثل كون نزح المقدر مطهراً للباقي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النزح لنجاسة البئر لا للتعبد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 أنّ المتخلف يطهر بتبعية المحل وقاعدة التبعية قاعدة مطردة في الفقه في مواردها، ونقول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المتخلف تابع للمحل ويدلّ على طهارته ما دلّ على طهارة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القول بالطهارة</w:t>
      </w:r>
      <w:r>
        <w:rPr>
          <w:rFonts w:eastAsia="Amiri" w:cs="Amiri" w:ascii="Amiri" w:hAnsi="Amiri"/>
          <w:color w:val="111111"/>
          <w:sz w:val="28"/>
          <w:szCs w:val="28"/>
          <w:rtl w:val="true"/>
          <w:lang w:bidi="ar-SA"/>
        </w:rPr>
        <w:t>.</w:t>
      </w:r>
    </w:p>
    <w:p>
      <w:pPr>
        <w:pStyle w:val="Heading2"/>
        <w:numPr>
          <w:ilvl w:val="1"/>
          <w:numId w:val="1"/>
        </w:numPr>
        <w:rPr/>
      </w:pPr>
      <w:bookmarkStart w:id="230" w:name="__RefHeading___Toc3967964_2870459653"/>
      <w:bookmarkStart w:id="231" w:name="_Toc81"/>
      <w:bookmarkEnd w:id="230"/>
      <w:r>
        <w:rPr>
          <w:rtl w:val="true"/>
        </w:rPr>
        <w:t>[</w:t>
      </w:r>
      <w:r>
        <w:rPr>
          <w:rtl w:val="true"/>
        </w:rPr>
        <w:t>من أدلة القول بالنجاسة</w:t>
      </w:r>
      <w:r>
        <w:rPr>
          <w:rtl w:val="true"/>
        </w:rPr>
        <w:t>]</w:t>
      </w:r>
      <w:bookmarkEnd w:id="23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يستند في النجاسة بإطلاق ما دلّ على جواز رفع الحدث بالماء الطاهر، خرج منه المتيقن وهو ماء الاستنجاء بواسطة الإجماع والدليل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الباقي تحت الإطلاق وهو كون الماء طاهراً بناءً على إطلاق الدليل، فجاز رفع الحدث به، والحال أنّه لا يجوز رفع الحدث به إجماعاً فيلزم تقييد الإطلاق لو كان طاهراً فيكون نجساً؛ بل يمكن القول بكون إطلاقات انفعال الماء المتصل واقعاً؛ لأن النزاع هنا مع القائلين بانفعال الماء القليل في غير صورة التطهير فيسلم المقتضي للتنجيس، وهو كون الماء قليلاً؛ لأنّه يقول بانفعاله إذا كان في غير محل التطهير، وبانفعاله إذا كان المحل وارداً عليه، ففي الحقيقة يسلم المقتضي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الماء للتطهير يكون مانعاً من انفعاله كما يشهد به استدلاله بالقواعد المذكورة وهو عدم كون النجس مؤثراً في ملاقيه، فيلزم نجاسة المحل بالماء لو كان الماء نجساً، إذا كان الشك من جهة وجود المانع، أما من جهة عدم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الذي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لا يكون مانعاً من اقتضاء المقتضي أولاً ، كما قلناه في رد القواعد أولاً، وتدفع بالأصل كونه مانعاً على فرض كون مانعيته مشكوكة فيتمسك بالإطلاقات الدالة على الاقتضاء فتكون الإطلاقات مقدّمة على القواعد وعلى العمومات الأولية الدالّة على طهارة الماء أيضاً؛ لأنا وخصمنا سلمنا خروج الماء القليل منها؛ من حيث كونه مقتضياً للتنجيس، غاية ما في الباب أنّ الخصم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لم يؤثر في المقام بواسطة اعتقاده وجود المانع بحيث لو فرض عدم مانعية ما اعتقده مانعا لقال بتأثير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يُدعى في المقام أنّه على فرض تعارض إطلاقات الانفعال والقواعد وتسليم عدم الترجيح للإطلاقات بواسطة كونها من الأدلّة اللفظية والقواعد المستفادة الأدلة اللبية كون المرجع والقاعدة بعد التعارض أيضاً هو الانفعال؛ لأنه من المعلوم أنّ نظر الشارع في أمره بالغسل وحاله من الأمر بالغسل كحال أهل العرف ونظرهم في غسل المستقذرات العرفية بالماء من ارتفاع القذارة من المحل بالماء، وغلب الماء القذارة التي في المحل إلى نفسه، ومن هنا يستقذرون وتتنفر طباعهم عنه في الماء الذي لم يكن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للقذارة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دون الماء الذي يكون غالباً عندهم، ويكون نظر الشارع ودواعيه أكثر إلى الأمر بالغسل بالماء هو جلب الماء القذارة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ترى أنّ الشارع أمر في بعض الموارد بالصب دون الغسل لأجل أنّ قذارة المحل ليست بحيث تؤثر في الماء بواسطة حصولها فيه ويصير مستقذراً، غاية ما في الباب أنّ الشارع حكم في بعض أفراد الماء بعدم انفعاله واستقذاره بواسطة وجود المانع عنده، من تأثير المقتضي مثل الكرية، وكونه جارياً، وباقي أفراد الماء باق على الاقتضاء الأولي يكون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القذارة إليه، فما لم يثبت المانع نحكم بتأثير المقتضي وانفعال الماء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الحقيقة لو فرض شك في هذا القسم من الماء بواسطة الشك في المانع كما يقول به الخصم حيث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مطهراً مانعاً من انفعاله بحيث لو ارتفع هذا </w:t>
      </w:r>
    </w:p>
    <w:p>
      <w:pPr>
        <w:pStyle w:val="BookText"/>
        <w:rPr/>
      </w:pPr>
      <w:r>
        <w:rPr>
          <w:rFonts w:ascii="Amiri" w:hAnsi="Amiri" w:eastAsia="Amiri" w:cs="Amiri"/>
          <w:color w:val="111111"/>
          <w:sz w:val="28"/>
          <w:sz w:val="28"/>
          <w:szCs w:val="28"/>
          <w:rtl w:val="true"/>
          <w:lang w:bidi="ar-SA"/>
        </w:rPr>
        <w:t>الشكّ من البين هو أيضاً يقول بالمقتضي، ونحن قد أثبتنا عدم مانعيته مع قطع النظر عن الأصل فكيف مع وجود الأصل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القاعدة عدم الانفعال لو سلمنا تعارض إطلاقات الانفعال مع القواعد وعدم قولنا بتقديمها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الغُسالة على فرض نجاسته تكون كقذارة المحل بعينها، ولو عرض هذا المطلب على أهل العرف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الغُسالة قذارته تكون كقذارة المحل بعينها بحيث تكون كل قطرة منه مثل قطرة منها، ويقولون بعدم انتقال القذارة إلى الماء وعدم كونه قذراً بهذه المثابة فكيف يمكن التمسك في هذا المطلب بالعرف؟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إن أردت أنّ الغُسالة تكون مثل القذارة التي في المحل في مطلق القذارة فهو مسلّم، والعرف أيضاً يتمسكون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أنها مثل نجاسة المحل في خصوصية القذارة؛ فهو غير مسلّم في الشرع كما أنّه ينكره أهل العرف فيمكن التمسك بطريقة أهل العرف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الأدلّة التي تمسك بها القائلون بطهارة الغُسالة 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رود في ماء الاستنجاء في رواية الأحول المروية عن العيون،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 الرجل يستنجي فيقع ثوبه في الماء الذي يستنجي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لم صار لا بأس به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الماء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بالأكثرية هو الأكثرية المقدارية ولو مع تغير الأوصاف؛ للإجماع على انفعال الماء المتغير حتى من القائلين بعدم انفعال الماء القليل فكيف من القائلين به؟ بل المراد بالأكثرية هو الاستهلاك، فعلى هذا دل التعليل على عدم انفعال الماء انفعال الماء بمجرد </w:t>
      </w:r>
    </w:p>
    <w:p>
      <w:pPr>
        <w:pStyle w:val="BookText"/>
        <w:rPr/>
      </w:pPr>
      <w:r>
        <w:rPr>
          <w:rFonts w:ascii="Amiri" w:hAnsi="Amiri" w:eastAsia="Amiri" w:cs="Amiri"/>
          <w:color w:val="111111"/>
          <w:sz w:val="28"/>
          <w:sz w:val="28"/>
          <w:szCs w:val="28"/>
          <w:rtl w:val="true"/>
          <w:lang w:bidi="ar-SA"/>
        </w:rPr>
        <w:t>استهلاك النجاسة، خرج منه الماء القليل الذي لم يكن في محل التطهير وبقي الباقي تحت عموم التعليل، فدل على عدم انفعال الماء، فدل عموم التعليل على طهارة ماء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التعليل؛ لأنه لا يكفي في عدم تنجيس الماء بالملاقاة مجرد الأكثرية ولو كان الماء مورداً أو وارداً لغير مقام التطهير، ولا يقول بالعموم وكفاية مجرد الأكثرية المستدلُّ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ارتكاب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حمله على العموم أو القول بالتخصيص بقدر المعلوم وبقاء الباقي تحت العموم، وهو يستلزم تخصيص الأكثر على أنّ القول بالتخصيص لا يناسب مقام التعليل؛ لأنّ مقام التعليل يناسب بيان أنّ تمام المناط والعلة في الحكم لا بيان جزء المناط، لأنّ المناط على القول بالتخصيص هو الأكثرية مع عدم التغير، إذ </w:t>
      </w:r>
      <w:r>
        <w:rPr>
          <w:rStyle w:val="FootnoteAnchor"/>
          <w:rtl w:val="true"/>
        </w:rPr>
        <w:footnoteReference w:id="497"/>
      </w:r>
      <w:r>
        <w:rPr>
          <w:rFonts w:ascii="Amiri" w:hAnsi="Amiri" w:eastAsia="Amiri" w:cs="Amiri"/>
          <w:color w:val="111111"/>
          <w:sz w:val="28"/>
          <w:sz w:val="28"/>
          <w:szCs w:val="28"/>
          <w:rtl w:val="true"/>
          <w:lang w:bidi="ar-SA"/>
        </w:rPr>
        <w:t>مع عدم كون الماء موروداً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حمله على التخصيص، بمعنى أنّ المراد من التعليل شيء لا نعلم إلّا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حينئذ الحكم بالإجمال وعدم صحة التمسك به؛ لأنه يحتمل اعتبار خصوصية لا نعلمها، مثل الأكثرية مع كونه ماء الاستنجاء وغير ذلك، وذلك أظهر في مقام بيان التعليل؛ لأنّه بيّن حينئذٍ تمام المناط، إلّا أنا لا نفهم المراد، فلا بُدَّ من الإجمال حتى يظهر المراد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خبر آخر في ماء الاستنجاء وهو رواية محمد بن النعمان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استنجي، ثمّ يقع ثوبي فيه وأنا جُنب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498"/>
      </w:r>
      <w:r>
        <w:rPr>
          <w:rFonts w:ascii="Amiri" w:hAnsi="Amiri" w:eastAsia="Amiri" w:cs="Amiri"/>
          <w:color w:val="111111"/>
          <w:sz w:val="28"/>
          <w:sz w:val="28"/>
          <w:szCs w:val="28"/>
          <w:rtl w:val="true"/>
          <w:lang w:bidi="ar-SA"/>
        </w:rPr>
        <w:t xml:space="preserve">حيث إِنّ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أن يكون السؤال عنه للحالة المعنوية، ويحتمله أنّ هذا مضر، بل الغرض هو بيان أن مخرجه مثلاً ملوث بالبول وبالمني وسأل عنه، بملاحظة كون </w:t>
      </w:r>
    </w:p>
    <w:p>
      <w:pPr>
        <w:pStyle w:val="BookText"/>
        <w:rPr/>
      </w:pPr>
      <w:r>
        <w:rPr>
          <w:rFonts w:ascii="Amiri" w:hAnsi="Amiri" w:eastAsia="Amiri" w:cs="Amiri"/>
          <w:color w:val="111111"/>
          <w:sz w:val="28"/>
          <w:sz w:val="28"/>
          <w:szCs w:val="28"/>
          <w:rtl w:val="true"/>
          <w:lang w:bidi="ar-SA"/>
        </w:rPr>
        <w:t>الغالب في الجنب تلوث مخرج البول بالمني، فَيُضمّن السؤال ماء الاستنجاء، وغير غُسالة الاستنجاء، فجوابه بنفي البأس يؤيد، بل يدلّ على طهارة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طهارة الغُسالة الأخبار الواردة في الصب، حيث حكم فيها بطهارة المحل على الصب مع عدم الاستفصال عن ماء الغُسالة، مع أنّ المحل كثيراً ما يكون فيه ماء الغُسالة كثيراً ومع أنّ الصب بالماء يستلزم جريان الماء المنصب على غير محل النجاسة وعلى فرض نجاسته ينجس العضو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رواية الذنوب مشعرة بها؛ لأنّه على فرض نجاسة الغُسالة ينجس المحل الآخر من المسجد بواسطة جريان الماء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ما يروى عن النبي صلی الله علیه وآله وسلم ، أنه أمر بصب الماء على صدره لأجل وقوع البول على صدره، مع أنه لو كان الماء المنفصل نجساً لم يكتف بمجرد الصب؛ لأنه ينجس المحل الآخر بواسطة جريان الماء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الماء المنصب على المحل إن كان باقياً في محله ولم يقع في محل آخر كان حكمه حكم المتخلف في المحل في غير صورة الصب، وإن كان جارياً عن محله إلى آخر، فإنّ قلنا بعدم الفصل بين الماء المنصب وغيره من الغُسالة يشعر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بالفصل فلم يدلّ على المطلب أصلاً؛ لأنه خرج بالدليل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مقتضى القاعدة نجاسته أيضاً على أنا اخترنا سابقاً لزوم فصل إناء الصب فلا يَردُ هذا علينا؛ لأنّ مناط الاستدلال بها هو عدم لزوم الفصل في الصب والاكتفاء لمجرد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قال بنجاسة الغُسالة يعتبر الفصل في الصب، ومن لا يعتبر الفصل هو القائل بطهارة الغسالة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يمكن القول بخروج الصب بواسطة الدليل، وإلا كان مقتضى القاعدة نجاسته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روايات غُسالة الحمام </w:t>
      </w:r>
      <w:r>
        <w:rPr>
          <w:rStyle w:val="FootnoteAnchor"/>
          <w:rtl w:val="true"/>
        </w:rPr>
        <w:footnoteReference w:id="499"/>
      </w:r>
      <w:r>
        <w:rPr>
          <w:rFonts w:ascii="Amiri" w:hAnsi="Amiri" w:eastAsia="Amiri" w:cs="Amiri"/>
          <w:color w:val="111111"/>
          <w:sz w:val="28"/>
          <w:sz w:val="28"/>
          <w:szCs w:val="28"/>
          <w:rtl w:val="true"/>
          <w:lang w:bidi="ar-SA"/>
        </w:rPr>
        <w:t>، فلا تدل على ذلك؛ لأنها منزّلة على صورة عدم العلم بالنجاسة، وإلّا ففيها غُسالة نجس العين وهي نجسة يقيناً، فلا بُدَّ من تنزيل غُسالة الحمام المنفي البأس عنها على صورة عدم العلم بالنجاسة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الذنوب فتقريبها من حيث إنّ الغُسالة لو كانت نجسة لتنجس ما جرى عليه الماء بعد إلقاء الذنوب على مكان النجس، وهو يستلزم تنجيس المسجد، وهو غير جائز ، فكيف يأمر به النبي صلی الله علیه وآله وسلم فلا بُدَّ من القول بطهارة الغسالة وفيه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الرواية ضعيفة السند كما هي عليه في المعتبر</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قضية في واقعة ولا نعلم كيفيتها، ويحتمل فيها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الذنوب كثيراً فلا ينجس، أو كانت الأرض صلبة بحيث لا يتعدى فيها ماء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محل النجس متصلاً بأرض خارج النص</w:t>
      </w:r>
      <w:r>
        <w:rPr>
          <w:rStyle w:val="FootnoteAnchor"/>
          <w:rtl w:val="true"/>
        </w:rPr>
        <w:footnoteReference w:id="501"/>
      </w:r>
      <w:r>
        <w:rPr>
          <w:rFonts w:ascii="Amiri" w:hAnsi="Amiri" w:eastAsia="Amiri" w:cs="Amiri"/>
          <w:color w:val="111111"/>
          <w:sz w:val="28"/>
          <w:sz w:val="28"/>
          <w:szCs w:val="28"/>
          <w:rtl w:val="true"/>
          <w:lang w:bidi="ar-SA"/>
        </w:rPr>
        <w:t>فلا يلزم جريان ماء الغُسالة على أرض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محل النجس متصلاً ببالوعة المسجد بحيث ينقل الماء النجس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أنّه يحتمل أن يكون هذا الحكم منه صلی الله علیه وآله وسلم بواسطة كيفية وخصوصية لا نعلمها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روايات الفرو والجلود حيث دلت على وجوب غسل موضع أصابه النجس والنضح في صورة عدم العلم، وتقريبها أنّ الغُسالة لو كانت نجسة لم يكن النضح احتياطا حيث استلزم التنجيس بعدم انفصال الغسالة</w:t>
      </w:r>
      <w:r>
        <w:rPr>
          <w:rFonts w:eastAsia="Amiri" w:cs="Amiri" w:ascii="Amiri" w:hAnsi="Amiri"/>
          <w:color w:val="111111"/>
          <w:sz w:val="28"/>
          <w:szCs w:val="28"/>
          <w:rtl w:val="true"/>
          <w:lang w:bidi="ar-SA"/>
        </w:rPr>
        <w:t xml:space="preserve">. </w:t>
      </w:r>
      <w:bookmarkStart w:id="232" w:name="pg9203_87171"/>
    </w:p>
    <w:p>
      <w:pPr>
        <w:pStyle w:val="BookText"/>
        <w:rPr/>
      </w:pPr>
      <w:bookmarkEnd w:id="232"/>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النضح لم يكن بواسطة الاحتياط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في خلافه، بل بواسطة حصول التنظيف الصوري، وهو حاصل بالنضح، كما في رش بيوت المجوس </w:t>
      </w:r>
      <w:r>
        <w:rPr>
          <w:rStyle w:val="FootnoteAnchor"/>
          <w:rtl w:val="true"/>
        </w:rPr>
        <w:footnoteReference w:id="502"/>
      </w:r>
      <w:r>
        <w:rPr>
          <w:rFonts w:ascii="Amiri" w:hAnsi="Amiri" w:eastAsia="Amiri" w:cs="Amiri"/>
          <w:color w:val="111111"/>
          <w:sz w:val="28"/>
          <w:sz w:val="28"/>
          <w:szCs w:val="28"/>
          <w:rtl w:val="true"/>
          <w:lang w:bidi="ar-SA"/>
        </w:rPr>
        <w:t>، حيث إنّ الرش فيها للتنظيف الصوري</w:t>
      </w:r>
      <w:r>
        <w:rPr>
          <w:rFonts w:eastAsia="Amiri" w:cs="Amiri" w:ascii="Amiri" w:hAnsi="Amiri"/>
          <w:color w:val="111111"/>
          <w:sz w:val="28"/>
          <w:szCs w:val="28"/>
          <w:rtl w:val="true"/>
          <w:lang w:bidi="ar-SA"/>
        </w:rPr>
        <w:t>.</w:t>
      </w:r>
    </w:p>
    <w:p>
      <w:pPr>
        <w:pStyle w:val="Heading2"/>
        <w:numPr>
          <w:ilvl w:val="1"/>
          <w:numId w:val="1"/>
        </w:numPr>
        <w:rPr/>
      </w:pPr>
      <w:bookmarkStart w:id="233" w:name="__RefHeading___Toc3967966_2870459653"/>
      <w:bookmarkStart w:id="234" w:name="_Toc82"/>
      <w:bookmarkEnd w:id="233"/>
      <w:r>
        <w:rPr>
          <w:rtl w:val="true"/>
        </w:rPr>
        <w:t>[</w:t>
      </w:r>
      <w:r>
        <w:rPr>
          <w:rtl w:val="true"/>
        </w:rPr>
        <w:t>عدم تمامية أدلة طهارة ماء الغسالة</w:t>
      </w:r>
      <w:r>
        <w:rPr>
          <w:rtl w:val="true"/>
        </w:rPr>
        <w:t>]</w:t>
      </w:r>
      <w:bookmarkEnd w:id="23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جميع ما ذكرناه عدم دليل على طهارة الغُسالة، فتكون الأدلّة التي اقمناها على النجاسة سابقاً ناهضة على إثبات المطلوب وتكون بلا معارض خصوصاً أدلة انفعال القليل بالملاقاة بملاحظة ما ارتكز في الأذهان من تأثير النجس في ملاقيه من غير فرق لهم بين ملاقاة دون ملاقاة، سواء كانت الملاقاة من الفوق أومن التحت أو من أحد جانبيه، وسواءً كانت في مقام التطهير أو غيره، فيحتمل أو من الكلام الصادر عن المعصوم علیه السلام المسند فيه التنجيس إلى النجس على كون المسند إليه هو ما يكون معروفاً سببيته التنجيس وهي الملاقاة،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عَلَيْكُمْ أُمَّهَاتُكُمْ</w:t>
      </w:r>
      <w:r>
        <w:rPr>
          <w:rFonts w:eastAsia="IRNazanin" w:cs="IRNazanin"/>
          <w:color w:val="111111"/>
          <w:sz w:val="28"/>
          <w:szCs w:val="28"/>
          <w:rtl w:val="true"/>
          <w:lang w:bidi="fa-IR"/>
        </w:rPr>
        <w:t>»</w:t>
      </w:r>
      <w:r>
        <w:rPr>
          <w:rStyle w:val="FootnoteAnchor"/>
          <w:rtl w:val="true"/>
        </w:rPr>
        <w:footnoteReference w:id="503"/>
      </w:r>
      <w:r>
        <w:rPr>
          <w:rFonts w:ascii="Amiri" w:hAnsi="Amiri" w:eastAsia="Amiri" w:cs="Amiri"/>
          <w:color w:val="111111"/>
          <w:sz w:val="28"/>
          <w:sz w:val="28"/>
          <w:szCs w:val="28"/>
          <w:rtl w:val="true"/>
          <w:lang w:bidi="ar-SA"/>
        </w:rPr>
        <w:t>حيث يعلم عدم حرمة ذات الأمهات، بل قيل بالنسبة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الوطء </w:t>
      </w:r>
      <w:r>
        <w:rPr>
          <w:rStyle w:val="FootnoteAnchor"/>
          <w:rtl w:val="true"/>
        </w:rPr>
        <w:footnoteReference w:id="504"/>
      </w:r>
      <w:r>
        <w:rPr>
          <w:rFonts w:ascii="Amiri" w:hAnsi="Amiri" w:eastAsia="Amiri" w:cs="Amiri"/>
          <w:color w:val="111111"/>
          <w:sz w:val="28"/>
          <w:sz w:val="28"/>
          <w:szCs w:val="28"/>
          <w:rtl w:val="true"/>
          <w:lang w:bidi="ar-SA"/>
        </w:rPr>
        <w:t>، وههنا اسند التنجس إلى نفس النجس، والحال أنّ المسند إليه هو فعل من الأفعال كالملاقاة والمجاورة، فيؤخذ من العرف أنّه هو الملاقاة بأي نحو كانت، بل يمكن الاستناد في النجاسة إلى رجوع عرف المتشرعة، حيث تراهم بواسطة أنسهم بالشرع وكون ما بيدهم مأخوذاً من صاحب الشرع يداً بيد، يتحرزون عن الغسالة ومتفقون في ذلك، ولو لم يكن مأخوذاً من رئيسهم ما يتفقون</w:t>
      </w:r>
      <w:r>
        <w:rPr>
          <w:rStyle w:val="FootnoteAnchor"/>
          <w:rtl w:val="true"/>
        </w:rPr>
        <w:footnoteReference w:id="505"/>
      </w:r>
      <w:r>
        <w:rPr>
          <w:rFonts w:ascii="Amiri" w:hAnsi="Amiri" w:eastAsia="Amiri" w:cs="Amiri"/>
          <w:color w:val="111111"/>
          <w:sz w:val="28"/>
          <w:sz w:val="28"/>
          <w:szCs w:val="28"/>
          <w:rtl w:val="true"/>
          <w:lang w:bidi="ar-SA"/>
        </w:rPr>
        <w:t xml:space="preserve">في ذلك، وإنكار بعض العلماء له بواسطة خلط أذهانهم بالشبهات؛ ولو خلت أذهانهم من الشبهات العلمية </w:t>
      </w:r>
      <w:bookmarkStart w:id="235" w:name="pg9203_87172"/>
    </w:p>
    <w:p>
      <w:pPr>
        <w:pStyle w:val="BookText"/>
        <w:rPr/>
      </w:pPr>
      <w:bookmarkEnd w:id="235"/>
      <w:r>
        <w:rPr>
          <w:rFonts w:ascii="IRNazanin" w:hAnsi="IRNazanin" w:eastAsia="IRNazanin"/>
          <w:color w:val="111111"/>
          <w:sz w:val="28"/>
          <w:sz w:val="28"/>
          <w:szCs w:val="28"/>
          <w:rtl w:val="true"/>
          <w:lang w:bidi="fa-IR"/>
        </w:rPr>
        <w:t xml:space="preserve">ورجعوا إلى وجدانهم وجدنا </w:t>
      </w:r>
      <w:r>
        <w:rPr>
          <w:rStyle w:val="FootnoteAnchor"/>
          <w:rtl w:val="true"/>
        </w:rPr>
        <w:footnoteReference w:id="506"/>
      </w:r>
      <w:r>
        <w:rPr>
          <w:rFonts w:ascii="Amiri" w:hAnsi="Amiri" w:eastAsia="Amiri" w:cs="Amiri"/>
          <w:color w:val="111111"/>
          <w:sz w:val="28"/>
          <w:sz w:val="28"/>
          <w:szCs w:val="28"/>
          <w:rtl w:val="true"/>
          <w:lang w:bidi="ar-SA"/>
        </w:rPr>
        <w:t>تلك الدعوى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العيص أيضاً لكن الاستناد إليه </w:t>
      </w:r>
      <w:r>
        <w:rPr>
          <w:rStyle w:val="FootnoteAnchor"/>
          <w:rtl w:val="true"/>
        </w:rPr>
        <w:footnoteReference w:id="507"/>
      </w:r>
      <w:r>
        <w:rPr>
          <w:rFonts w:ascii="Amiri" w:hAnsi="Amiri" w:eastAsia="Amiri" w:cs="Amiri"/>
          <w:color w:val="111111"/>
          <w:sz w:val="28"/>
          <w:sz w:val="28"/>
          <w:szCs w:val="28"/>
          <w:rtl w:val="true"/>
          <w:lang w:bidi="ar-SA"/>
        </w:rPr>
        <w:t xml:space="preserve">ورواية عبد الله بن سنان بناءً على المقربات التي ذكرناها يمكن الاستدلال بها خصوصاً مع كون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بين المتأخرين الذين كانوا أدق نظراً من المتقدمين، ولو لم يكن لنا أدلّة سوى ذهاب المتأخرين إليها لما تخطينا عنها وحكمنا على طبقها، فكيف مع قيام الأدلة عليها؟</w:t>
      </w:r>
      <w:r>
        <w:rPr>
          <w:rFonts w:eastAsia="Amiri" w:cs="Amiri" w:ascii="Amiri" w:hAnsi="Amiri"/>
          <w:color w:val="111111"/>
          <w:sz w:val="28"/>
          <w:szCs w:val="28"/>
          <w:rtl w:val="true"/>
          <w:lang w:bidi="ar-SA"/>
        </w:rPr>
        <w:t>!.</w:t>
      </w:r>
    </w:p>
    <w:p>
      <w:pPr>
        <w:pStyle w:val="Heading2"/>
        <w:numPr>
          <w:ilvl w:val="1"/>
          <w:numId w:val="1"/>
        </w:numPr>
        <w:rPr/>
      </w:pPr>
      <w:bookmarkStart w:id="236" w:name="__RefHeading___Toc3967968_2870459653"/>
      <w:bookmarkStart w:id="237" w:name="_Toc83"/>
      <w:bookmarkEnd w:id="236"/>
      <w:r>
        <w:rPr>
          <w:rtl w:val="true"/>
        </w:rPr>
        <w:t>[</w:t>
      </w:r>
      <w:r>
        <w:rPr>
          <w:rtl w:val="true"/>
        </w:rPr>
        <w:t>ماء الغسالة نجس مطلقاً</w:t>
      </w:r>
      <w:r>
        <w:rPr>
          <w:rtl w:val="true"/>
        </w:rPr>
        <w:t>]</w:t>
      </w:r>
      <w:bookmarkEnd w:id="237"/>
    </w:p>
    <w:p>
      <w:pPr>
        <w:pStyle w:val="BookText"/>
        <w:rPr/>
      </w:pPr>
      <w:r>
        <w:rPr>
          <w:rFonts w:ascii="IRNazanin" w:hAnsi="IRNazanin" w:eastAsia="IRNazanin"/>
          <w:color w:val="111111"/>
          <w:sz w:val="28"/>
          <w:sz w:val="28"/>
          <w:szCs w:val="28"/>
          <w:rtl w:val="true"/>
          <w:lang w:bidi="fa-IR"/>
        </w:rPr>
        <w:t xml:space="preserve">فتحصل من جميع ما ذكرناه، نجاسة الغُسالة سواءً كانت في الغسلة الأولى أو الثانية وعدم التفصيل بين الغسلة الأولى والثانية لقيام المقتضي في الغسلة الثانية أيضاً و هی الملاقاة، وعدم صلاحية المانع الذي ذكره المفصل للمانعية، وهو التنافي بين طهر المحل وكون الماء نجساً في مثل نجاسة الثوب بعينها لو عرض هذان على العرف يفهمون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التنافي</w:t>
      </w:r>
      <w:r>
        <w:rPr>
          <w:rFonts w:eastAsia="IRNazanin" w:cs="IRNazanin"/>
          <w:color w:val="111111"/>
          <w:sz w:val="28"/>
          <w:szCs w:val="28"/>
          <w:rtl w:val="true"/>
          <w:lang w:bidi="fa-IR"/>
        </w:rPr>
        <w:t>]</w:t>
      </w:r>
      <w:r>
        <w:rPr>
          <w:rStyle w:val="FootnoteAnchor"/>
          <w:rtl w:val="true"/>
        </w:rPr>
        <w:footnoteReference w:id="509"/>
      </w:r>
      <w:r>
        <w:rPr>
          <w:rFonts w:ascii="Amiri" w:hAnsi="Amiri" w:eastAsia="Amiri" w:cs="Amiri"/>
          <w:color w:val="111111"/>
          <w:sz w:val="28"/>
          <w:sz w:val="28"/>
          <w:szCs w:val="28"/>
          <w:rtl w:val="true"/>
          <w:lang w:bidi="ar-SA"/>
        </w:rPr>
        <w:t xml:space="preserve">بينهما، خصوصاً لو قيل لهم إنّ الماء يكون قذراً بمثل القذارة التي المحل بعينها لأنكروا طهارة المحل به والفرض أنهم مقطوعين </w:t>
      </w:r>
      <w:r>
        <w:rPr>
          <w:rStyle w:val="FootnoteAnchor"/>
          <w:rtl w:val="true"/>
        </w:rPr>
        <w:footnoteReference w:id="510"/>
      </w:r>
      <w:r>
        <w:rPr>
          <w:rFonts w:ascii="Amiri" w:hAnsi="Amiri" w:eastAsia="Amiri" w:cs="Amiri"/>
          <w:color w:val="111111"/>
          <w:sz w:val="28"/>
          <w:sz w:val="28"/>
          <w:szCs w:val="28"/>
          <w:rtl w:val="true"/>
          <w:lang w:bidi="ar-SA"/>
        </w:rPr>
        <w:t>بواسطة الأدلّة على طهارة المحل في الثانية فلا تكون غسالتها نجسة؛ لأنّ نجاسة الغُسالة عمدة مدركها هو الأخذ من طريقة العرف، والعرف لا يساعد على النجاسة في الثانية، بل يقطعون بالطهارة مع ملاحظة طهر المحل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كلامه في أثناء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انفعال القليل لا يشمل ما يكون الملاقاة سبباً لزوال النجاسة كما هو الحال في الغسلة الثانية، بل الظاهر ما يكون نجساً حين </w:t>
      </w:r>
    </w:p>
    <w:p>
      <w:pPr>
        <w:pStyle w:val="BookText"/>
        <w:rPr/>
      </w:pPr>
      <w:r>
        <w:rPr>
          <w:rFonts w:ascii="Amiri" w:hAnsi="Amiri" w:eastAsia="Amiri" w:cs="Amiri"/>
          <w:color w:val="111111"/>
          <w:sz w:val="28"/>
          <w:sz w:val="28"/>
          <w:szCs w:val="28"/>
          <w:rtl w:val="true"/>
          <w:lang w:bidi="ar-SA"/>
        </w:rPr>
        <w:t>الملاقاة وبعد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تقول بنجاسة الغسلة المزيلة والحال أنّ التنافي الذي ذكرت موجود، فما يكون الغسل الواحد فيه كافياً فلا بُدَّ أن لا تحكم بالنجاسة، والحال أنك تحكم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مرادك بالملاقاة التي تكون سبباً 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أهي الملاقاة المقتضية، أو الملاقاة العرفية؟</w:t>
      </w:r>
    </w:p>
    <w:p>
      <w:pPr>
        <w:pStyle w:val="BookText"/>
        <w:rPr/>
      </w:pPr>
      <w:r>
        <w:rPr>
          <w:rFonts w:ascii="Amiri" w:hAnsi="Amiri" w:eastAsia="Amiri" w:cs="Amiri"/>
          <w:color w:val="111111"/>
          <w:sz w:val="28"/>
          <w:sz w:val="28"/>
          <w:szCs w:val="28"/>
          <w:rtl w:val="true"/>
          <w:lang w:bidi="ar-SA"/>
        </w:rPr>
        <w:t xml:space="preserve">ولو كان الأول فهو خلاف مذهبك؛ لأنك ترى العصر معتبراً في زوال النجاسة، وقبل العصر لا تقول بالطهارة،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الملاقاة سبباً لزوال النجاسة؟</w:t>
      </w:r>
    </w:p>
    <w:p>
      <w:pPr>
        <w:pStyle w:val="BookText"/>
        <w:rPr/>
      </w:pPr>
      <w:r>
        <w:rPr>
          <w:rFonts w:ascii="Amiri" w:hAnsi="Amiri" w:eastAsia="Amiri" w:cs="Amiri"/>
          <w:color w:val="111111"/>
          <w:sz w:val="28"/>
          <w:sz w:val="28"/>
          <w:szCs w:val="28"/>
          <w:rtl w:val="true"/>
          <w:lang w:bidi="ar-SA"/>
        </w:rPr>
        <w:t xml:space="preserve">ولو كان الثاني ولو بعد العصر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حينئذ فرض كون الشيء نجساً حين الملاقاة وبعدها أو قبل تحقق العصر لا يبقى ماء ولا تكون الملاقاة، إلّا أن يفرض ذلك في القطرات العالقة على المحل المشرفة على الهبوط والسقوط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 تابعة للمحل ولا يلزم انفصالها حقيقة ونظير ما يتخلف في المحل بل هي بعينها، ولا يجري الكلام في الغُسالة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التنافي</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فإنما هو باعتبار كون نجاسة الماء كنجاسة المحل بعينها ونحن لا نسلمه، بل نقول بمطلق القذارة، ولا يكون التنافي بينه وبين طهر المحل وحال العرف بالنسبة إلى قذارتهم العرفية أيضاً كذلك، حيث يحكمون بنظافة المحل ويستقذرون عن الماء المزيل للقذارة بها، ولو كانت نجاسته هي بعينها نجاسة المحل فلا بُدَّ أن لا يختلفوا في ماء الغُسالة والحال أنّهم مختلفون فيها؛ هذا تمام الكلام في نجاسته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تقدير</w:t>
      </w:r>
      <w:r>
        <w:rPr>
          <w:rStyle w:val="FootnoteAnchor"/>
          <w:rtl w:val="true"/>
        </w:rPr>
        <w:footnoteReference w:id="512"/>
      </w:r>
      <w:r>
        <w:rPr>
          <w:rFonts w:ascii="Amiri" w:hAnsi="Amiri" w:eastAsia="Amiri" w:cs="Amiri"/>
          <w:color w:val="111111"/>
          <w:sz w:val="28"/>
          <w:sz w:val="28"/>
          <w:szCs w:val="28"/>
          <w:rtl w:val="true"/>
          <w:lang w:bidi="ar-SA"/>
        </w:rPr>
        <w:t xml:space="preserve">كونها نجسة أفهل يكون حكمها حكم المحل قبل الغسل </w:t>
      </w:r>
      <w:bookmarkStart w:id="238" w:name="pg9203_87174"/>
    </w:p>
    <w:p>
      <w:pPr>
        <w:pStyle w:val="BookText"/>
        <w:rPr/>
      </w:pPr>
      <w:bookmarkEnd w:id="238"/>
      <w:r>
        <w:rPr>
          <w:rFonts w:ascii="Amiri" w:hAnsi="Amiri" w:eastAsia="Amiri" w:cs="Amiri"/>
          <w:color w:val="111111"/>
          <w:sz w:val="28"/>
          <w:sz w:val="28"/>
          <w:szCs w:val="28"/>
          <w:rtl w:val="true"/>
          <w:lang w:bidi="ar-SA"/>
        </w:rPr>
        <w:t>مطلقاً أو يكون حكمها حكم المحل قبل تلك الغسالة؛ حتى لو كانت من الغسلة الثانية يكفي فيها الغسل الواحد أو المحل بعدها؟ احتمالات بل أقوال ويحتمل أيضاً الاكتفاء بمطلق الغسل فيها بناء على إطلاقات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الغُسالة ليس لها عنوان في الشريعة بحيث يكون في عرض سائر النجاسات، بل هي تابعة لنجاسة المحل، فيكون حكمها حكمه، فإنّ كانت النجاسة نجاسة يكتفى فيها بالغسل الواحد يكفي فيها أيضاً، وإن كانت يلزم فيها مرتين بناءً على الاستصحاب، إذ لا يعتبر أزيد من مرتين فيها إجماعاً، والاستناد فيها إلى أن الغُسالة فرع نجاسة المحل، والفرع لا يزيد على الأصل لا يخلو من ضعف؛ إذ يتم بناءً على كون تعدد الغسل من باب كون نجاسة المحل في مرتبة تزول بواسطة الغسل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الاكتفاء فيها من باب الحرج والعسر فلا يجري في الغُسالة، إذ لا حرج في اعتبار أزيد من المرتين فيه، بل الوجه ما قلناه من عدم القول بالأزيد منهما، والمرتين من باب الاستصحاب</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3967970_2870459653"/>
      <w:bookmarkStart w:id="240" w:name="_Toc84"/>
      <w:bookmarkEnd w:id="239"/>
      <w:r>
        <w:rPr>
          <w:rtl w:val="true"/>
        </w:rPr>
        <w:t>فصل في التيمّم</w:t>
      </w:r>
      <w:bookmarkEnd w:id="240"/>
    </w:p>
    <w:p>
      <w:pPr>
        <w:pStyle w:val="BookText"/>
        <w:rPr/>
      </w:pPr>
      <w:r>
        <w:rPr>
          <w:rFonts w:ascii="Amiri" w:hAnsi="Amiri" w:eastAsia="Amiri" w:cs="Amiri"/>
          <w:color w:val="111111"/>
          <w:sz w:val="28"/>
          <w:sz w:val="28"/>
          <w:szCs w:val="28"/>
          <w:rtl w:val="true"/>
          <w:lang w:bidi="ar-SA"/>
        </w:rPr>
        <w:t>وهو المسمى بالطهارة الترابية، مقابل الطهارة المائية، وهو الوضوء والغسل، وقد يعبر عنه بالطهارة الاضطرارية مقابل الطهارة ،الاختيارية وهي الوضوء والغسل حيث إنّ كلاً منهما طهارة واقعية غاية الأمر كون أحدهما اختيارية ومشروع في حال الاختيار، وهو حال التمكّن من الماء واستعماله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اضطرارية مشروع عند عدم التمكن من الماء والوصلة إليه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والتيمم في اللغة القصد </w:t>
      </w:r>
      <w:r>
        <w:rPr>
          <w:rStyle w:val="FootnoteAnchor"/>
          <w:rtl w:val="true"/>
        </w:rPr>
        <w:footnoteReference w:id="513"/>
      </w:r>
      <w:r>
        <w:rPr>
          <w:rFonts w:ascii="Amiri" w:hAnsi="Amiri" w:eastAsia="Amiri" w:cs="Amiri"/>
          <w:color w:val="111111"/>
          <w:sz w:val="28"/>
          <w:sz w:val="28"/>
          <w:szCs w:val="28"/>
          <w:rtl w:val="true"/>
          <w:lang w:bidi="ar-SA"/>
        </w:rPr>
        <w:t xml:space="preserve">، وفي الشرع هو فرد من أفراد الطهارة التي هي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بالنية</w:t>
      </w:r>
      <w:r>
        <w:rPr>
          <w:rStyle w:val="FootnoteAnchor"/>
          <w:rtl w:val="true"/>
        </w:rPr>
        <w:footnoteReference w:id="514"/>
      </w:r>
      <w:r>
        <w:rPr>
          <w:rFonts w:ascii="Amiri" w:hAnsi="Amiri" w:eastAsia="Amiri" w:cs="Amiri"/>
          <w:color w:val="111111"/>
          <w:sz w:val="28"/>
          <w:sz w:val="28"/>
          <w:szCs w:val="28"/>
          <w:rtl w:val="true"/>
          <w:lang w:bidi="ar-SA"/>
        </w:rPr>
        <w:t>، على التفصيل الذي ذكر في أول الباب</w:t>
      </w:r>
      <w:r>
        <w:rPr>
          <w:rFonts w:eastAsia="Amiri" w:cs="Amiri" w:ascii="Amiri" w:hAnsi="Amiri"/>
          <w:color w:val="111111"/>
          <w:sz w:val="28"/>
          <w:szCs w:val="28"/>
          <w:rtl w:val="true"/>
          <w:lang w:bidi="ar-SA"/>
        </w:rPr>
        <w:t xml:space="preserve">. </w:t>
      </w:r>
      <w:bookmarkStart w:id="241" w:name="pg9203_87175"/>
    </w:p>
    <w:p>
      <w:pPr>
        <w:pStyle w:val="BookText"/>
        <w:rPr/>
      </w:pPr>
      <w:bookmarkEnd w:id="241"/>
      <w:r>
        <w:rPr>
          <w:rFonts w:ascii="Amiri" w:hAnsi="Amiri" w:eastAsia="Amiri" w:cs="Amiri"/>
          <w:color w:val="111111"/>
          <w:sz w:val="28"/>
          <w:sz w:val="28"/>
          <w:szCs w:val="28"/>
          <w:rtl w:val="true"/>
          <w:lang w:bidi="ar-SA"/>
        </w:rPr>
        <w:t xml:space="preserve">والنظر فيه في أركان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المسوغ فيه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به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يستباح به 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أحكامه الآتية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3967972_2870459653"/>
      <w:bookmarkStart w:id="243" w:name="_Toc85"/>
      <w:bookmarkEnd w:id="242"/>
      <w:r>
        <w:rPr>
          <w:rtl w:val="true"/>
        </w:rPr>
        <w:t>[</w:t>
      </w:r>
      <w:r>
        <w:rPr>
          <w:rtl w:val="true"/>
        </w:rPr>
        <w:t xml:space="preserve">الأسباب المسوغة للتيمم </w:t>
      </w:r>
      <w:r>
        <w:rPr>
          <w:rtl w:val="true"/>
        </w:rPr>
        <w:t>]</w:t>
      </w:r>
      <w:bookmarkEnd w:id="243"/>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الحال المسوغ ، فعنوانه العام بحيث يشمل جميع الحالات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بقاء تكليف الصلاة وسقوط الوضوء، إمّا لعدم الماء أو لعدم إمكان التوصل إليه أو لخوف عطش على نفسه أو على رفيقه، أو عدم وجدان ثمن الماء أو ضيق الوقت أو الخوف من استعماله لبرد أو جراحة على محل الوضوء، وله جامع أخص منه، وهو ذكره الفقهاء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الماء أو عدم الوصلة إليه أو المانع من استعماله شرعاً أو عقلاً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نتكلم أولاً في عدم الماء،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إثبات مسوغية هذا الحال للتيمم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وجوب الوضوء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الباب والآية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الوجه الأول فنقول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دلت الأدلّة على اشتراط الوضوء في الصلاة </w:t>
      </w:r>
      <w:r>
        <w:rPr>
          <w:rStyle w:val="FootnoteAnchor"/>
          <w:rtl w:val="true"/>
        </w:rPr>
        <w:footnoteReference w:id="516"/>
      </w:r>
      <w:r>
        <w:rPr>
          <w:rFonts w:ascii="Amiri" w:hAnsi="Amiri" w:eastAsia="Amiri" w:cs="Amiri"/>
          <w:color w:val="111111"/>
          <w:sz w:val="28"/>
          <w:sz w:val="28"/>
          <w:szCs w:val="28"/>
          <w:rtl w:val="true"/>
          <w:lang w:bidi="ar-SA"/>
        </w:rPr>
        <w:t xml:space="preserve">فيكون من مقدمات الواجب المطلق ومقتضى الأدلّة العقلية والنقلية وجوب الوضوء في حال وجوب الصلاة فيلزم </w:t>
      </w:r>
    </w:p>
    <w:p>
      <w:pPr>
        <w:pStyle w:val="BookText"/>
        <w:rPr/>
      </w:pPr>
      <w:r>
        <w:rPr>
          <w:rFonts w:ascii="Amiri" w:hAnsi="Amiri" w:eastAsia="Amiri" w:cs="Amiri"/>
          <w:color w:val="111111"/>
          <w:sz w:val="28"/>
          <w:sz w:val="28"/>
          <w:szCs w:val="28"/>
          <w:rtl w:val="true"/>
          <w:lang w:bidi="ar-SA"/>
        </w:rPr>
        <w:t>الإتيان به ما دام كون المكلف قادراً عليها، ومقتضاه لزوم تحصيل الماء، ولو كان في مائة فرسخ بحيث لا يفوت فعل الصلاة؛ لأنّ مطلوبيته لأجلها وبعد فوتها لا 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بحكم العقل يلزم الطلب بشرط ان لا يكون مانع عقلي أو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القدرة شرط في الوضوء فيلزم تحصيلها بالطلب لو عَلِمَ بالقدرة، فلو شك في قدرته على استعمال الماء وتحصيله، فهل يعتبر الطلب إلى أن يعلم بعدم الماء واليأس عنه بالكلية، أو يكفي الظن به؟</w:t>
      </w:r>
    </w:p>
    <w:p>
      <w:pPr>
        <w:pStyle w:val="BookText"/>
        <w:rPr/>
      </w:pPr>
      <w:r>
        <w:rPr>
          <w:rFonts w:ascii="Amiri" w:hAnsi="Amiri" w:eastAsia="Amiri" w:cs="Amiri"/>
          <w:color w:val="111111"/>
          <w:sz w:val="28"/>
          <w:sz w:val="28"/>
          <w:szCs w:val="28"/>
          <w:rtl w:val="true"/>
          <w:lang w:bidi="ar-SA"/>
        </w:rPr>
        <w:t xml:space="preserve">مقتضى ثبوت التكليف مع القدرة عدم ارتفاعه إلّا بعد عدم القدرة وإحرازه بالعلم لزوم </w:t>
      </w:r>
      <w:r>
        <w:rPr>
          <w:rStyle w:val="FootnoteAnchor"/>
          <w:rtl w:val="true"/>
        </w:rPr>
        <w:footnoteReference w:id="517"/>
      </w:r>
      <w:r>
        <w:rPr>
          <w:rFonts w:ascii="Amiri" w:hAnsi="Amiri" w:eastAsia="Amiri" w:cs="Amiri"/>
          <w:color w:val="111111"/>
          <w:sz w:val="28"/>
          <w:sz w:val="28"/>
          <w:szCs w:val="28"/>
          <w:rtl w:val="true"/>
          <w:lang w:bidi="ar-SA"/>
        </w:rPr>
        <w:t>العلم ، ولكن الظاهر كفاية الظن بعدمه لاكتفاء العقلاء بالظن في عدم القدرة،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بقادر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يمكن التمسك بأصل عدم القدرة في ارتفاع التكليف بالوضوء وثبوت التكليف بالتيمم؟</w:t>
      </w:r>
    </w:p>
    <w:p>
      <w:pPr>
        <w:pStyle w:val="BookText"/>
        <w:rPr/>
      </w:pPr>
      <w:r>
        <w:rPr>
          <w:rFonts w:ascii="Amiri" w:hAnsi="Amiri" w:eastAsia="Amiri" w:cs="Amiri"/>
          <w:color w:val="111111"/>
          <w:sz w:val="28"/>
          <w:sz w:val="28"/>
          <w:szCs w:val="28"/>
          <w:rtl w:val="true"/>
          <w:lang w:bidi="ar-SA"/>
        </w:rPr>
        <w:t xml:space="preserve">الظاهر العدم؛ لتخلّفه غالباً في هذه الموارد عن الواقع كما يعلم من ملاحظة العرف، مثلاً الطبيب لو قال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الدواء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له التمسك بالأصل؛ لأنّ الغالب وجوده فيكون السبب في عدم اعتباره هو غلبة مخالفة الواقع فلو ظن بالعدم فالظاهر جريان الأصل لعدم السبب الذي يكون سبباً في عدم اعتباره من وجود الظن بسبب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 الفحص سامان ثم إذا تعذر العلم أو اجراء الأصل بناءً على اعتباره لو كان في الواقع قادراً لوجود الماء وعدم مدخلية العلم والجهل في القدرة وعدمها؛ لأنّ القدرة دائرة مدار وجود الماء وعدمه، فهل يكون الجهل عذراً رافعاً لتنجز التكليف أو يكون رافعاً لأصل التكليف بناءً على القول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قادراً حقيقة؛ لعدم 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 هو التمكن؟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كون الجهل عذراً ويكون سبباً لعدم تنجز التكليف، وإجزاء تيمّمه عن </w:t>
      </w:r>
    </w:p>
    <w:p>
      <w:pPr>
        <w:pStyle w:val="BookText"/>
        <w:rPr/>
      </w:pPr>
      <w:r>
        <w:rPr>
          <w:rFonts w:ascii="Amiri" w:hAnsi="Amiri" w:eastAsia="Amiri" w:cs="Amiri"/>
          <w:color w:val="111111"/>
          <w:sz w:val="28"/>
          <w:sz w:val="28"/>
          <w:szCs w:val="28"/>
          <w:rtl w:val="true"/>
          <w:lang w:bidi="ar-SA"/>
        </w:rPr>
        <w:t>الواقع مبني على مسألة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شرطية القدرة للوضوء هو وجوب تحصيلها لمقدميتها له وإحرازها، فيجب الطلب إلى أن يثبت له مانع شرعي أو عقلي فيرتفع التكليف بالوضوء ويثبت التكليف بالتيمم ؛ هذا كله في إثبات مسوغية هذا الحال للتيمم من أدلة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ومجمله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عُلقت على الوضوء، فمقتضى الدليل الشرعي والعقلي هو والعقلي هو الإتيان بالوضوء عند وجوب الصلاة عند القدرة عليه وهي وجود الماء مثلاً، ويسقط وجوبه في حال عدم التمكن منه وعدم وجود الماء، ففي حال العلم بوجود الماء لا بُدَّ منه، وعند الشك في وجود الماء والقدرة على الوضوء؛ فالظاهر عدم جواز إجراء الأصل وإثبات التيمم بالأصل؛ لتخلفه غالباً، لا أنَّ عدم جريان الأصل من جهة عدم كون القدرة شرطاً، بل التكليف ثابت به والعجز مانع، وهو وجودي ولا يمكن جريان الأصل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القدرة شرط في التكليف لا أنّ العجز مانع، فيمكن استصحاب 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عدم شرطية القدرة وإنّما يكون العجز مانعاً فإنّما يكون مانعية العجز من حيث جهة نفيه وهو عدم القدرة، أما من جهة ثبوته فيمكن اجراء الأصل فيه، بل المانع هو وقوع التخلف كثيراً، ومقتضى هذا التعليل جواز إجراء الأصل مع ظن العدم بعدم وجود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ذكرنا يلزم الطلب والفحص ، فهل يكون المسقط هو العلم واليأس من وجود الماء، أو يكفي الطلب حتى يحصل الظن؟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القاعدة هو لزوم الطلب حتى يحصل العلم؛ لأنّ التكليف بالوضوء معلق على الواجد وهو لا يعلم بكونه موضوعاً للحكم، فلا بُدَّ من إحرازه حتى يعلم بعدم العقاب</w:t>
      </w:r>
      <w:r>
        <w:rPr>
          <w:rFonts w:eastAsia="Amiri" w:cs="Amiri" w:ascii="Amiri" w:hAnsi="Amiri"/>
          <w:color w:val="111111"/>
          <w:sz w:val="28"/>
          <w:szCs w:val="28"/>
          <w:rtl w:val="true"/>
          <w:lang w:bidi="ar-SA"/>
        </w:rPr>
        <w:t xml:space="preserve">. </w:t>
      </w:r>
      <w:bookmarkStart w:id="244" w:name="pg9203_87178"/>
    </w:p>
    <w:p>
      <w:pPr>
        <w:pStyle w:val="BookText"/>
        <w:rPr/>
      </w:pPr>
      <w:bookmarkEnd w:id="244"/>
      <w:r>
        <w:rPr>
          <w:rFonts w:ascii="Amiri" w:hAnsi="Amiri" w:eastAsia="Amiri" w:cs="Amiri"/>
          <w:color w:val="111111"/>
          <w:sz w:val="28"/>
          <w:sz w:val="28"/>
          <w:szCs w:val="28"/>
          <w:rtl w:val="true"/>
          <w:lang w:bidi="ar-SA"/>
        </w:rPr>
        <w:t xml:space="preserve">ومن هنا ظهر أنه لا يمكن إجراء أصل البراءة بالنسبة إلى تكليف الوضوء؛ لأنّ الشك في الدخول في الموضوع لا الشك في التكليف حتى يدفع بالأصل، إلّا أنّ العقلاء يكتفون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الطلب لإحراز الواقع حتى لو علم بعدم وجود الماء؛ لا يجب الطلب ولا يكون الطلب له موضوعية كي يلزم حتى في صورة العلم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ما ذكرنا من وجوب الوضوء حال القدرة ووجود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يعلم به بعد الطلب وكان في الواقع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التكليف في الوضوء، غايته كون الجهل عذراً رافعاً لتنجز التكليف ؛ فظهر أنّ مقتضى القاعدة ثبوت الطلب حتى يجيء المسقط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أو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حال تسويغ التيمم هو حال العلم أو الظن بعدم وجود الماء</w:t>
      </w:r>
      <w:r>
        <w:rPr>
          <w:rFonts w:eastAsia="Amiri" w:cs="Amiri" w:ascii="Amiri" w:hAnsi="Amiri"/>
          <w:color w:val="111111"/>
          <w:sz w:val="28"/>
          <w:szCs w:val="28"/>
          <w:rtl w:val="true"/>
          <w:lang w:bidi="ar-SA"/>
        </w:rPr>
        <w:t>.</w:t>
      </w:r>
    </w:p>
    <w:p>
      <w:pPr>
        <w:pStyle w:val="Heading2"/>
        <w:numPr>
          <w:ilvl w:val="1"/>
          <w:numId w:val="1"/>
        </w:numPr>
        <w:rPr/>
      </w:pPr>
      <w:bookmarkStart w:id="245" w:name="__RefHeading___Toc3967974_2870459653"/>
      <w:bookmarkStart w:id="246" w:name="_Toc86"/>
      <w:bookmarkEnd w:id="245"/>
      <w:r>
        <w:rPr>
          <w:rtl w:val="true"/>
        </w:rPr>
        <w:t xml:space="preserve">[ </w:t>
      </w:r>
      <w:r>
        <w:rPr>
          <w:rtl w:val="true"/>
        </w:rPr>
        <w:t>الكلام في الوجه الثاني</w:t>
      </w:r>
      <w:r>
        <w:rPr>
          <w:rtl w:val="true"/>
        </w:rPr>
        <w:t>]</w:t>
      </w:r>
      <w:bookmarkEnd w:id="246"/>
    </w:p>
    <w:p>
      <w:pPr>
        <w:pStyle w:val="BookText"/>
        <w:rPr/>
      </w:pPr>
      <w:r>
        <w:rPr>
          <w:rFonts w:ascii="Amiri" w:hAnsi="Amiri" w:eastAsia="Amiri" w:cs="Amiri"/>
          <w:color w:val="111111"/>
          <w:sz w:val="28"/>
          <w:sz w:val="28"/>
          <w:szCs w:val="28"/>
          <w:rtl w:val="true"/>
          <w:lang w:bidi="ar-SA"/>
        </w:rPr>
        <w:t xml:space="preserve">أمّا لو جعلنا ملاك هذا المطلب ومناطه هو أدلّة هذا الباب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علق التيمم في الآية الشريفة على عدم وجدان الماء، فإنّ كان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w:t>
      </w:r>
      <w:r>
        <w:rPr>
          <w:rStyle w:val="FootnoteAnchor"/>
          <w:rtl w:val="true"/>
        </w:rPr>
        <w:footnoteReference w:id="518"/>
      </w:r>
      <w:r>
        <w:rPr>
          <w:rFonts w:ascii="Amiri" w:hAnsi="Amiri" w:eastAsia="Amiri" w:cs="Amiri"/>
          <w:color w:val="111111"/>
          <w:sz w:val="28"/>
          <w:sz w:val="28"/>
          <w:szCs w:val="28"/>
          <w:rtl w:val="true"/>
          <w:lang w:bidi="ar-SA"/>
        </w:rPr>
        <w:t>لم تتمكنوا كما فسّره بعض المفسرين</w:t>
      </w:r>
      <w:r>
        <w:rPr>
          <w:rStyle w:val="FootnoteAnchor"/>
          <w:rtl w:val="true"/>
        </w:rPr>
        <w:footnoteReference w:id="519"/>
      </w:r>
      <w:r>
        <w:rPr>
          <w:rFonts w:ascii="Amiri" w:hAnsi="Amiri" w:eastAsia="Amiri" w:cs="Amiri"/>
          <w:color w:val="111111"/>
          <w:sz w:val="28"/>
          <w:sz w:val="28"/>
          <w:szCs w:val="28"/>
          <w:rtl w:val="true"/>
          <w:lang w:bidi="ar-SA"/>
        </w:rPr>
        <w:t xml:space="preserve">، وإن كان المراد بعدم التمكن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الفعلي؛ يكون مطابقاً للقاعدة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عدم التمكن العرفي؛ فحينئذ يكون مخالفاً؛ لأنّ عدم التمكن العرفي يحصل بأقل منه ، وهو عدم الماء عنده وما حوله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بعدم الوجدان هو ما يستفاد من اللفظ فالظاهر أن مفاد اللفظ هو عدم الدرك لا عدم الوجود كما نص عليه صاحب القاموس</w:t>
      </w:r>
      <w:r>
        <w:rPr>
          <w:rStyle w:val="FootnoteAnchor"/>
          <w:rtl w:val="true"/>
        </w:rPr>
        <w:footnoteReference w:id="520"/>
      </w:r>
      <w:r>
        <w:rPr>
          <w:rFonts w:ascii="Amiri" w:hAnsi="Amiri" w:eastAsia="Amiri" w:cs="Amiri"/>
          <w:color w:val="111111"/>
          <w:sz w:val="28"/>
          <w:sz w:val="28"/>
          <w:szCs w:val="28"/>
          <w:rtl w:val="true"/>
          <w:lang w:bidi="ar-SA"/>
        </w:rPr>
        <w:t xml:space="preserve">ويظهر </w:t>
      </w:r>
    </w:p>
    <w:p>
      <w:pPr>
        <w:pStyle w:val="BookText"/>
        <w:rPr/>
      </w:pPr>
      <w:r>
        <w:rPr>
          <w:rFonts w:ascii="IRNazanin" w:hAnsi="IRNazanin" w:eastAsia="IRNazanin"/>
          <w:color w:val="111111"/>
          <w:sz w:val="28"/>
          <w:sz w:val="28"/>
          <w:szCs w:val="28"/>
          <w:rtl w:val="true"/>
          <w:lang w:bidi="fa-IR"/>
        </w:rPr>
        <w:t>من الصحاح</w:t>
      </w:r>
      <w:r>
        <w:rPr>
          <w:rStyle w:val="FootnoteAnchor"/>
          <w:rtl w:val="true"/>
        </w:rPr>
        <w:footnoteReference w:id="521"/>
      </w:r>
      <w:r>
        <w:rPr>
          <w:rFonts w:ascii="Amiri" w:hAnsi="Amiri" w:eastAsia="Amiri" w:cs="Amiri"/>
          <w:color w:val="111111"/>
          <w:sz w:val="28"/>
          <w:sz w:val="28"/>
          <w:szCs w:val="28"/>
          <w:rtl w:val="true"/>
          <w:lang w:bidi="ar-SA"/>
        </w:rPr>
        <w:t>أيضاً والعرف أيضاً شاهد عليه</w:t>
      </w:r>
      <w:r>
        <w:rPr>
          <w:rStyle w:val="FootnoteAnchor"/>
          <w:rtl w:val="true"/>
        </w:rPr>
        <w:footnoteReference w:id="522"/>
      </w:r>
      <w:r>
        <w:rPr>
          <w:rFonts w:ascii="Amiri" w:hAnsi="Amiri" w:eastAsia="Amiri" w:cs="Amiri"/>
          <w:color w:val="111111"/>
          <w:sz w:val="28"/>
          <w:sz w:val="28"/>
          <w:szCs w:val="28"/>
          <w:rtl w:val="true"/>
          <w:lang w:bidi="ar-SA"/>
        </w:rPr>
        <w:t xml:space="preserve">، فإن كان عدم الوجدان والدرك معتبراً من حيث الطريقية إلى الواقع وهو عدم الوجود، ففي الحقيقة المعتبر في التيمم هو عدم الوجود الواقعي، وعدم الوجدان طريق إليه، ويكون التكليف دائراً مدار وجود الماء في الواقع، فلو طلب الماء ولم يجد وفي الواقع كان الماء موجوداً لم يسقط تكليفه الواقعي، بل يكون معذوراً ، وإن كان معتبراً من حيث الموضوعية، فحينئذ إما أن يكون المراد عدم الدرك والطلب بقدر الإمكان؛ فحينئذٍ يكون مطابقاً لما يستفاد من الأول وتكون أدلة الطلب مخصصة له، ويكون المراد هو عدم الوجدان بحسب العرف فحينئذٍ إن كان عدم الوجدان ظاهراً في قدر يحمل عليه كما ادعاه بعض </w:t>
      </w:r>
      <w:r>
        <w:rPr>
          <w:rStyle w:val="FootnoteAnchor"/>
          <w:rtl w:val="true"/>
        </w:rPr>
        <w:footnoteReference w:id="52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المعنى الظاهر منه بحسب العرف وهو عدم الوجدان عنده وما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الظهور لم نتحققه وحينئذ يكون دائرته أوسع من المستفاد من أدلة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هو الوجه في حمل بعض أدلة الطلب على الاستحباب</w:t>
      </w:r>
      <w:r>
        <w:rPr>
          <w:rStyle w:val="FootnoteAnchor"/>
          <w:rtl w:val="true"/>
        </w:rPr>
        <w:footnoteReference w:id="524"/>
      </w:r>
      <w:r>
        <w:rPr>
          <w:rFonts w:ascii="Amiri" w:hAnsi="Amiri" w:eastAsia="Amiri" w:cs="Amiri"/>
          <w:color w:val="111111"/>
          <w:sz w:val="28"/>
          <w:sz w:val="28"/>
          <w:szCs w:val="28"/>
          <w:rtl w:val="true"/>
          <w:lang w:bidi="ar-SA"/>
        </w:rPr>
        <w:t>، كالأردبيلي قدس سره حيث رأى ضعف سند دليل الطلب بواسطة السكوني فيقصر عن مفاد الآية فيحمل على الاستحباب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العُرف مضطرباً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أدلة الطلب مبيناً للمعنى العرفي المراد، فيلزم حينئذٍ تخصيص أدلة الطلب بما يحكم به العقل، وهو لزوم الطلب حتى يحصل المسقط وهو العلم ، بمعنى ارتفاع أدلة الطلب موضوع الحكم العقلي وهو وجوب الوضوء فإذا ارتفع الوضوء بهذا القدر يرتفع طلبه أيضاً لا </w:t>
      </w:r>
      <w:bookmarkStart w:id="247" w:name="pg9203_87180"/>
    </w:p>
    <w:p>
      <w:pPr>
        <w:pStyle w:val="BookText"/>
        <w:rPr/>
      </w:pPr>
      <w:bookmarkEnd w:id="247"/>
      <w:r>
        <w:rPr>
          <w:rFonts w:ascii="Amiri" w:hAnsi="Amiri" w:eastAsia="Amiri" w:cs="Amiri"/>
          <w:color w:val="111111"/>
          <w:sz w:val="28"/>
          <w:sz w:val="28"/>
          <w:szCs w:val="28"/>
          <w:rtl w:val="true"/>
          <w:lang w:bidi="ar-SA"/>
        </w:rPr>
        <w:t>التخصيص الحقيقي؛ لأنّ الحكم العقلي ليس مقابلاً للتخصيص فافهم</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والمستفاد من هذا كفاية الطلب بهذا المقدار وإن لم يحصل المسقط</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3967976_2870459653"/>
      <w:bookmarkStart w:id="249" w:name="_Toc87"/>
      <w:bookmarkEnd w:id="248"/>
      <w:r>
        <w:rPr>
          <w:rtl w:val="true"/>
        </w:rPr>
        <w:t>[</w:t>
      </w:r>
      <w:r>
        <w:rPr>
          <w:rtl w:val="true"/>
        </w:rPr>
        <w:t>وجوب الطلب تعبدي لا شرطي</w:t>
      </w:r>
      <w:r>
        <w:rPr>
          <w:rtl w:val="true"/>
        </w:rPr>
        <w:t>]</w:t>
      </w:r>
      <w:bookmarkEnd w:id="249"/>
    </w:p>
    <w:p>
      <w:pPr>
        <w:pStyle w:val="BookText"/>
        <w:rPr/>
      </w:pPr>
      <w:r>
        <w:rPr>
          <w:rFonts w:ascii="Amiri" w:hAnsi="Amiri" w:eastAsia="Amiri" w:cs="Amiri"/>
          <w:color w:val="111111"/>
          <w:sz w:val="28"/>
          <w:sz w:val="28"/>
          <w:szCs w:val="28"/>
          <w:rtl w:val="true"/>
          <w:lang w:bidi="ar-SA"/>
        </w:rPr>
        <w:t>ثم إنّ الظاهر أنّ وجوب الطلب ليس وجوباً شرطياً؛ لأنه يستلزم عدم التكليف في الواقع بالوضوء والتيمّم لو ترك الطلب ولم يكن الماء موجوداً في الواقع، وهو مستبعد، بل وجوبه تعبدي لا يلزم لإحراز الواقع</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3967978_2870459653"/>
      <w:bookmarkStart w:id="251" w:name="_Toc88"/>
      <w:bookmarkEnd w:id="250"/>
      <w:r>
        <w:rPr>
          <w:rtl w:val="true"/>
        </w:rPr>
        <w:t xml:space="preserve">[ </w:t>
      </w:r>
      <w:r>
        <w:rPr>
          <w:rtl w:val="true"/>
        </w:rPr>
        <w:t xml:space="preserve">وجوب الطلب بمقدار غلوة سهمين في الأرض السهلة وغلوة سهم في الأرض الحزنة </w:t>
      </w:r>
      <w:r>
        <w:rPr>
          <w:rtl w:val="true"/>
        </w:rPr>
        <w:t>]</w:t>
      </w:r>
      <w:bookmarkEnd w:id="25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القدر الذي يعتبر الطلب فيه هو ما يستفاد من خبر السكوني</w:t>
      </w:r>
      <w:r>
        <w:rPr>
          <w:rStyle w:val="FootnoteAnchor"/>
          <w:rtl w:val="true"/>
        </w:rPr>
        <w:footnoteReference w:id="526"/>
      </w:r>
      <w:r>
        <w:rPr>
          <w:rFonts w:ascii="Amiri" w:hAnsi="Amiri" w:eastAsia="Amiri" w:cs="Amiri"/>
          <w:color w:val="111111"/>
          <w:sz w:val="28"/>
          <w:sz w:val="28"/>
          <w:szCs w:val="28"/>
          <w:rtl w:val="true"/>
          <w:lang w:bidi="ar-SA"/>
        </w:rPr>
        <w:t>لأنه منجبر ضعفه لو كان بعمل الأصحاب</w:t>
      </w:r>
      <w:r>
        <w:rPr>
          <w:rStyle w:val="FootnoteAnchor"/>
          <w:rtl w:val="true"/>
        </w:rPr>
        <w:footnoteReference w:id="527"/>
      </w:r>
      <w:r>
        <w:rPr>
          <w:rFonts w:ascii="Amiri" w:hAnsi="Amiri" w:eastAsia="Amiri" w:cs="Amiri"/>
          <w:color w:val="111111"/>
          <w:sz w:val="28"/>
          <w:sz w:val="28"/>
          <w:szCs w:val="28"/>
          <w:rtl w:val="true"/>
          <w:lang w:bidi="ar-SA"/>
        </w:rPr>
        <w:t>به فيكون حجة ، فما صدر من مثل المحقق</w:t>
      </w:r>
      <w:r>
        <w:rPr>
          <w:rStyle w:val="FootnoteAnchor"/>
          <w:rtl w:val="true"/>
        </w:rPr>
        <w:footnoteReference w:id="528"/>
      </w:r>
      <w:r>
        <w:rPr>
          <w:rFonts w:ascii="Amiri" w:hAnsi="Amiri" w:eastAsia="Amiri" w:cs="Amiri"/>
          <w:color w:val="111111"/>
          <w:sz w:val="28"/>
          <w:sz w:val="28"/>
          <w:szCs w:val="28"/>
          <w:rtl w:val="true"/>
          <w:lang w:bidi="ar-SA"/>
        </w:rPr>
        <w:t xml:space="preserve">من الطعن فيه وطرحه لضعف سنده بواسطة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بانجبار السند بالعمل والفتوى بعيدٌ؛ على أنّه في المسائل العَزية </w:t>
      </w:r>
      <w:r>
        <w:rPr>
          <w:rStyle w:val="FootnoteAnchor"/>
          <w:rtl w:val="true"/>
        </w:rPr>
        <w:footnoteReference w:id="529"/>
      </w:r>
      <w:r>
        <w:rPr>
          <w:rFonts w:ascii="Amiri" w:hAnsi="Amiri" w:eastAsia="Amiri" w:cs="Amiri"/>
          <w:color w:val="111111"/>
          <w:sz w:val="28"/>
          <w:sz w:val="28"/>
          <w:szCs w:val="28"/>
          <w:rtl w:val="true"/>
          <w:lang w:bidi="ar-SA"/>
        </w:rPr>
        <w:t xml:space="preserve">حكم بتوثيقه وإن كان فاسد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نظره قدس سره إلى إطلاق الأمر بالوضوء وإطلاقات أدلة الطلب في هذا الباب، وظاهر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بادعاء ظهوره </w:t>
      </w:r>
      <w:r>
        <w:rPr>
          <w:rFonts w:eastAsia="IRNazanin" w:cs="IRNazanin"/>
          <w:color w:val="111111"/>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 xml:space="preserve">في الطلب بقدر العلم وإلا لم </w:t>
      </w:r>
    </w:p>
    <w:p>
      <w:pPr>
        <w:pStyle w:val="BookText"/>
        <w:rPr/>
      </w:pPr>
      <w:r>
        <w:rPr>
          <w:rFonts w:ascii="IRNazanin" w:hAnsi="IRNazanin" w:eastAsia="IRNazanin"/>
          <w:color w:val="111111"/>
          <w:sz w:val="28"/>
          <w:sz w:val="28"/>
          <w:szCs w:val="28"/>
          <w:rtl w:val="true"/>
          <w:lang w:bidi="fa-IR"/>
        </w:rPr>
        <w:t xml:space="preserve">يصدق عدم الوجدان، وقوله علیه السلام في رواية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فليطلب ما دام في الوقت</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وبعدما عرفت انجبار الرواية بالعمل كما لو كان فيه ضعف، مع أنه حكم بتوثيقه جماعة</w:t>
      </w:r>
      <w:r>
        <w:rPr>
          <w:rStyle w:val="FootnoteAnchor"/>
          <w:rtl w:val="true"/>
        </w:rPr>
        <w:footnoteReference w:id="533"/>
      </w:r>
      <w:r>
        <w:rPr>
          <w:rFonts w:ascii="Amiri" w:hAnsi="Amiri" w:eastAsia="Amiri" w:cs="Amiri"/>
          <w:color w:val="111111"/>
          <w:sz w:val="28"/>
          <w:sz w:val="28"/>
          <w:szCs w:val="28"/>
          <w:rtl w:val="true"/>
          <w:lang w:bidi="ar-SA"/>
        </w:rPr>
        <w:t>فيكون حجّة خصوصاً مع عدم معارض ظاهر له؛ لأنّ إطلاق دليل الوضوء لم يقل به أحد؛ لأنّ مقتضى إطلاقه وجوب الوضوء وطلب الماء في الوقت إلى أن يتصل</w:t>
      </w:r>
      <w:r>
        <w:rPr>
          <w:rStyle w:val="FootnoteAnchor"/>
          <w:rtl w:val="true"/>
        </w:rPr>
        <w:footnoteReference w:id="534"/>
      </w:r>
      <w:r>
        <w:rPr>
          <w:rFonts w:ascii="Amiri" w:hAnsi="Amiri" w:eastAsia="Amiri" w:cs="Amiri"/>
          <w:color w:val="111111"/>
          <w:sz w:val="28"/>
          <w:sz w:val="28"/>
          <w:szCs w:val="28"/>
          <w:rtl w:val="true"/>
          <w:lang w:bidi="ar-SA"/>
        </w:rPr>
        <w:t>بل في خارج الوقت أيضاً، 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فالمراد به عدم الوجدان العرفي، أما عدم الوجدان العقلي فهو مطابق لرواية السكوني أو مقارب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وإطلاقات الطلب واسعة</w:t>
      </w:r>
      <w:r>
        <w:rPr>
          <w:rStyle w:val="FootnoteAnchor"/>
          <w:rtl w:val="true"/>
        </w:rPr>
        <w:footnoteReference w:id="535"/>
      </w:r>
      <w:r>
        <w:rPr>
          <w:rFonts w:ascii="Amiri" w:hAnsi="Amiri" w:eastAsia="Amiri" w:cs="Amiri"/>
          <w:color w:val="111111"/>
          <w:sz w:val="28"/>
          <w:sz w:val="28"/>
          <w:szCs w:val="28"/>
          <w:rtl w:val="true"/>
          <w:lang w:bidi="ar-SA"/>
        </w:rPr>
        <w:t>لإثبات شرعية الطلب ، وروايته</w:t>
      </w:r>
      <w:r>
        <w:rPr>
          <w:rStyle w:val="FootnoteAnchor"/>
          <w:rtl w:val="true"/>
        </w:rPr>
        <w:footnoteReference w:id="536"/>
      </w:r>
      <w:r>
        <w:rPr>
          <w:rFonts w:ascii="Amiri" w:hAnsi="Amiri" w:eastAsia="Amiri" w:cs="Amiri"/>
          <w:color w:val="111111"/>
          <w:sz w:val="28"/>
          <w:sz w:val="28"/>
          <w:szCs w:val="28"/>
          <w:rtl w:val="true"/>
          <w:lang w:bidi="ar-SA"/>
        </w:rPr>
        <w:t>محمول على خلاف ظاهرها؛ لأنه موجب العسر والحرج، إما بأنّ المراد فلينظر ما يكون الوقت باقياً ولم يتضيق، واستعمل فليطلب في الانتظار لمشاركة كل منهما في رجاء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أن الطلب لا بُدَّ أن يكون في الوقت لا خارج الوقت ولا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فالرواية حجّة وكان المقدار المذكور فيها لبيان المعنى العرفي المراد لكون العرف مضطرته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يحصل من الأدلّة كون التيمم مشروطاً بعدم الوجدان المعتبر </w:t>
      </w:r>
      <w:bookmarkStart w:id="252" w:name="pg9203_87182"/>
    </w:p>
    <w:p>
      <w:pPr>
        <w:pStyle w:val="BookText"/>
        <w:rPr/>
      </w:pPr>
      <w:bookmarkEnd w:id="252"/>
      <w:r>
        <w:rPr>
          <w:rFonts w:ascii="Amiri" w:hAnsi="Amiri" w:eastAsia="Amiri" w:cs="Amiri"/>
          <w:color w:val="111111"/>
          <w:sz w:val="28"/>
          <w:sz w:val="28"/>
          <w:szCs w:val="28"/>
          <w:rtl w:val="true"/>
          <w:lang w:bidi="ar-SA"/>
        </w:rPr>
        <w:t xml:space="preserve">هو أيضاً من حيث الطريقية إلى عدم الوجود لا من حيث الموضوعية، فلو تيمم مع رجاء حصول الماء وعدم الطلب يكون التيمم باطلاً لقضاء التعليق بعدم الوجدان به، مضافاً إلى الإجماع </w:t>
      </w:r>
      <w:r>
        <w:rPr>
          <w:rStyle w:val="FootnoteAnchor"/>
          <w:rtl w:val="true"/>
        </w:rPr>
        <w:footnoteReference w:id="538"/>
      </w:r>
      <w:r>
        <w:rPr>
          <w:rFonts w:ascii="Amiri" w:hAnsi="Amiri" w:eastAsia="Amiri" w:cs="Amiri"/>
          <w:color w:val="111111"/>
          <w:sz w:val="28"/>
          <w:sz w:val="28"/>
          <w:szCs w:val="28"/>
          <w:rtl w:val="true"/>
          <w:lang w:bidi="ar-SA"/>
        </w:rPr>
        <w:t xml:space="preserve">على الشرطية </w:t>
      </w:r>
      <w:r>
        <w:rPr>
          <w:rStyle w:val="FootnoteAnchor"/>
          <w:rtl w:val="true"/>
        </w:rPr>
        <w:footnoteReference w:id="539"/>
      </w:r>
      <w:r>
        <w:rPr>
          <w:rFonts w:ascii="Amiri" w:hAnsi="Amiri" w:eastAsia="Amiri" w:cs="Amiri"/>
          <w:color w:val="111111"/>
          <w:sz w:val="28"/>
          <w:sz w:val="28"/>
          <w:szCs w:val="28"/>
          <w:rtl w:val="true"/>
          <w:lang w:bidi="ar-SA"/>
        </w:rPr>
        <w:t xml:space="preserve">وأنّ الطلب أيضاً في صورة احتمال وجود الماء فلا يجب الطلب؛ لأن وجوبه لإحراز الواقع، والحال أنّه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يطلب؛ فما صدر أيضاً من الأردبيلي قدس سره</w:t>
      </w:r>
      <w:r>
        <w:rPr>
          <w:rStyle w:val="FootnoteAnchor"/>
          <w:rtl w:val="true"/>
        </w:rPr>
        <w:footnoteReference w:id="540"/>
      </w:r>
      <w:r>
        <w:rPr>
          <w:rFonts w:ascii="Amiri" w:hAnsi="Amiri" w:eastAsia="Amiri" w:cs="Amiri"/>
          <w:color w:val="111111"/>
          <w:sz w:val="28"/>
          <w:sz w:val="28"/>
          <w:szCs w:val="28"/>
          <w:rtl w:val="true"/>
          <w:lang w:bidi="ar-SA"/>
        </w:rPr>
        <w:t>من حمل أدلة الطلب على الاستحباب ليس في محلّه؛ لعدم ما يوجب الحمل على خلاف الظاهر، وكان نظره إلى إطلاق بدلية التيمم ورواية نافية لوجوب الطلب</w:t>
      </w:r>
      <w:r>
        <w:rPr>
          <w:rStyle w:val="FootnoteAnchor"/>
          <w:rtl w:val="true"/>
        </w:rPr>
        <w:footnoteReference w:id="541"/>
      </w:r>
      <w:r>
        <w:rPr>
          <w:rFonts w:ascii="Amiri" w:hAnsi="Amiri" w:eastAsia="Amiri" w:cs="Amiri"/>
          <w:color w:val="111111"/>
          <w:sz w:val="28"/>
          <w:sz w:val="28"/>
          <w:szCs w:val="28"/>
          <w:rtl w:val="true"/>
          <w:lang w:bidi="ar-SA"/>
        </w:rPr>
        <w:t>، وهو فاسد ؛ لأنّ الإطلاق في مقام شرطية التيمم وهو عدم الوجدان، وقبل الطلب لا يتحقق عدم الوجدان</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3967980_2870459653"/>
      <w:bookmarkStart w:id="254" w:name="_Toc89"/>
      <w:bookmarkEnd w:id="253"/>
      <w:r>
        <w:rPr>
          <w:rtl w:val="true"/>
        </w:rPr>
        <w:t>و</w:t>
      </w:r>
      <w:r>
        <w:rPr>
          <w:rtl w:val="true"/>
        </w:rPr>
        <w:t>[</w:t>
      </w:r>
      <w:r>
        <w:rPr>
          <w:rtl w:val="true"/>
        </w:rPr>
        <w:t>أما</w:t>
      </w:r>
      <w:r>
        <w:rPr>
          <w:rtl w:val="true"/>
        </w:rPr>
        <w:t xml:space="preserve">] </w:t>
      </w:r>
      <w:r>
        <w:rPr>
          <w:rtl w:val="true"/>
        </w:rPr>
        <w:t xml:space="preserve">الرواية </w:t>
      </w:r>
      <w:r>
        <w:rPr>
          <w:rtl w:val="true"/>
        </w:rPr>
        <w:t>[</w:t>
      </w:r>
      <w:r>
        <w:rPr>
          <w:rtl w:val="true"/>
        </w:rPr>
        <w:t>ففيها</w:t>
      </w:r>
      <w:r>
        <w:rPr>
          <w:rtl w:val="true"/>
        </w:rPr>
        <w:t>]:</w:t>
      </w:r>
      <w:bookmarkEnd w:id="254"/>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السند كما صرح به جماعة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منزّلة على صورة الخوف كما هو الظاهر منه، كما يشهد به قوله علیه السلام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أن يأكلك السبع</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5" w:name="__RefHeading___Toc3967982_2870459653"/>
      <w:bookmarkStart w:id="256" w:name="_Toc90"/>
      <w:bookmarkEnd w:id="255"/>
      <w:r>
        <w:rPr>
          <w:rtl w:val="true"/>
        </w:rPr>
        <w:t xml:space="preserve">[ </w:t>
      </w:r>
      <w:r>
        <w:rPr>
          <w:rtl w:val="true"/>
        </w:rPr>
        <w:t>يجب الطلب في جميع الجهات المحتملة</w:t>
      </w:r>
      <w:r>
        <w:rPr>
          <w:rtl w:val="true"/>
        </w:rPr>
        <w:t>]</w:t>
      </w:r>
      <w:bookmarkEnd w:id="25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تقدير وجوب المقدار الذي دل عليه خبر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غلوة سهمين في الأرض السهلة وغلوة سهم في الأرض السهلة وغلوة الحزنة، وهي الرمية المعتدلة </w:t>
      </w:r>
    </w:p>
    <w:p>
      <w:pPr>
        <w:pStyle w:val="BookText"/>
        <w:rPr/>
      </w:pPr>
      <w:r>
        <w:rPr>
          <w:rFonts w:ascii="Amiri" w:hAnsi="Amiri" w:eastAsia="Amiri" w:cs="Amiri"/>
          <w:color w:val="111111"/>
          <w:sz w:val="28"/>
          <w:sz w:val="28"/>
          <w:szCs w:val="28"/>
          <w:rtl w:val="true"/>
          <w:lang w:bidi="ar-SA"/>
        </w:rPr>
        <w:t>رام معتدل بسهم بسهم معتدل في هواء معتدل، كما ذكره جماعة</w:t>
      </w:r>
      <w:r>
        <w:rPr>
          <w:rStyle w:val="FootnoteAnchor"/>
          <w:rtl w:val="true"/>
        </w:rPr>
        <w:footnoteReference w:id="544"/>
      </w:r>
      <w:r>
        <w:rPr>
          <w:rFonts w:ascii="IRNazanin" w:hAnsi="IRNazanin" w:eastAsia="IRNazanin"/>
          <w:color w:val="111111"/>
          <w:sz w:val="28"/>
          <w:sz w:val="28"/>
          <w:szCs w:val="28"/>
          <w:rtl w:val="true"/>
          <w:lang w:bidi="fa-IR"/>
        </w:rPr>
        <w:t>وبعضهم</w:t>
      </w:r>
      <w:r>
        <w:rPr>
          <w:rStyle w:val="FootnoteAnchor"/>
          <w:rtl w:val="true"/>
        </w:rPr>
        <w:footnoteReference w:id="54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عشر ثلث الفرسخ، وبعض</w:t>
      </w:r>
      <w:r>
        <w:rPr>
          <w:rStyle w:val="FootnoteAnchor"/>
          <w:rtl w:val="true"/>
        </w:rPr>
        <w:footnoteReference w:id="546"/>
      </w:r>
      <w:r>
        <w:rPr>
          <w:rFonts w:ascii="Amiri" w:hAnsi="Amiri" w:eastAsia="Amiri" w:cs="Amiri"/>
          <w:color w:val="111111"/>
          <w:sz w:val="28"/>
          <w:sz w:val="28"/>
          <w:szCs w:val="28"/>
          <w:rtl w:val="true"/>
          <w:lang w:bidi="ar-SA"/>
        </w:rPr>
        <w:t>بأنه جزء من خمس وعشرين جزء من الفرسخ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يطلب بهذا المقدار في جميع الجوانب المحتملة، أو يكفي الجهة الواحدة بناءً على إطلاق أدلة الطلب وإطلاق هذه الرواية، فيصدق الطلب بالمقدار بطلبه في جهة واحدة؟</w:t>
      </w:r>
    </w:p>
    <w:p>
      <w:pPr>
        <w:pStyle w:val="BookText"/>
        <w:rPr/>
      </w:pPr>
      <w:r>
        <w:rPr>
          <w:rFonts w:ascii="Amiri" w:hAnsi="Amiri" w:eastAsia="Amiri" w:cs="Amiri"/>
          <w:color w:val="111111"/>
          <w:sz w:val="28"/>
          <w:sz w:val="28"/>
          <w:szCs w:val="28"/>
          <w:rtl w:val="true"/>
          <w:lang w:bidi="ar-SA"/>
        </w:rPr>
        <w:t>الظاهر وجوب الطلب في جميع الجوانب المحتملة من جهة عدم صدق عدم الوجدان مع الطلب في بعض الجهات مع الاحتمال في الجهات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واستفادة القيود</w:t>
      </w:r>
      <w:r>
        <w:rPr>
          <w:rStyle w:val="FootnoteAnchor"/>
          <w:rtl w:val="true"/>
        </w:rPr>
        <w:footnoteReference w:id="547"/>
      </w:r>
      <w:r>
        <w:rPr>
          <w:rFonts w:ascii="Amiri" w:hAnsi="Amiri" w:eastAsia="Amiri" w:cs="Amiri"/>
          <w:color w:val="111111"/>
          <w:sz w:val="28"/>
          <w:sz w:val="28"/>
          <w:szCs w:val="28"/>
          <w:rtl w:val="true"/>
          <w:lang w:bidi="ar-SA"/>
        </w:rPr>
        <w:t>من الرواية؛ إما من جهة الترجيح بلا مرجّح أو دليل الحكمة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يراد الجهة الواحدة المعيّنة لعدم المعيّن، والواحدة غير المعينة أيضاً غير مفيدة؛ لأنّ الغرض من الطلب هو إحراز عدم الماء وهو لا يتحقق مع الطلب في الجهة الواحدة، فلا بُدَّ أن يُحمل على العموم الاستغراقي وجميع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الحكمة في الامتنان، والمقام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استفادة العموم الاستغراقي من دليل الحكمة موقوفة على عدم الحمل على العموم البدلي، لعدم فائدته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 مِنَ السَّمَاءِ مَاءً طَهُورًا </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وفي هذا المقام يمكن الحمل على العموم البدلي والحكم بالتخيير بين الجهات الأربع بناءً على صدق عدم الوجدان بمجرد 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منها تحديد مقدار الطلب في كل موضع يجب الطلب </w:t>
      </w:r>
      <w:bookmarkStart w:id="257" w:name="pg9203_87184"/>
    </w:p>
    <w:p>
      <w:pPr>
        <w:pStyle w:val="BookText"/>
        <w:rPr/>
      </w:pPr>
      <w:bookmarkEnd w:id="257"/>
      <w:r>
        <w:rPr>
          <w:rFonts w:ascii="Amiri" w:hAnsi="Amiri" w:eastAsia="Amiri" w:cs="Amiri"/>
          <w:color w:val="111111"/>
          <w:sz w:val="28"/>
          <w:sz w:val="28"/>
          <w:szCs w:val="28"/>
          <w:rtl w:val="true"/>
          <w:lang w:bidi="ar-SA"/>
        </w:rPr>
        <w:t>فيه، وهو الجانب المحتمل، إن كان الجميع فالجميع، وإن كان البعض فالبعض</w:t>
      </w:r>
      <w:r>
        <w:rPr>
          <w:rFonts w:eastAsia="Amiri" w:cs="Amiri" w:ascii="Amiri" w:hAnsi="Amiri"/>
          <w:color w:val="111111"/>
          <w:sz w:val="28"/>
          <w:szCs w:val="28"/>
          <w:rtl w:val="true"/>
          <w:lang w:bidi="ar-SA"/>
        </w:rPr>
        <w:t>.</w:t>
      </w:r>
    </w:p>
    <w:p>
      <w:pPr>
        <w:pStyle w:val="Heading2"/>
        <w:numPr>
          <w:ilvl w:val="1"/>
          <w:numId w:val="1"/>
        </w:numPr>
        <w:rPr/>
      </w:pPr>
      <w:bookmarkStart w:id="258" w:name="__RefHeading___Toc3967984_2870459653"/>
      <w:bookmarkStart w:id="259" w:name="_Toc91"/>
      <w:bookmarkEnd w:id="258"/>
      <w:r>
        <w:rPr>
          <w:rtl w:val="true"/>
        </w:rPr>
        <w:t xml:space="preserve">[ </w:t>
      </w:r>
      <w:r>
        <w:rPr>
          <w:rtl w:val="true"/>
        </w:rPr>
        <w:t>ما هو المناط في وجوب التيمم ؟</w:t>
      </w:r>
      <w:r>
        <w:rPr>
          <w:rtl w:val="true"/>
        </w:rPr>
        <w:t>]</w:t>
      </w:r>
      <w:bookmarkEnd w:id="259"/>
    </w:p>
    <w:p>
      <w:pPr>
        <w:pStyle w:val="BookText"/>
        <w:rPr/>
      </w:pPr>
      <w:r>
        <w:rPr>
          <w:rFonts w:ascii="Amiri" w:hAnsi="Amiri" w:eastAsia="Amiri" w:cs="Amiri"/>
          <w:color w:val="111111"/>
          <w:sz w:val="28"/>
          <w:sz w:val="28"/>
          <w:szCs w:val="28"/>
          <w:rtl w:val="true"/>
          <w:lang w:bidi="ar-SA"/>
        </w:rPr>
        <w:t xml:space="preserve">ثم إنّ الظاهر أنّ المناط في وجوب التيمم هو عدم وجود الماء مع الطلب بأنّ يكون اعتباره من باب الطريقية إلى عدم الوجود، فلا يختص بحال دون حال سواءً كان ذلك في السفر أو الحضر، فالتقييد بالسفر في الآية باعتبار كون الغالب فيه عدم الماء، لا أنّ التيمّم مشروع في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التحديد الوارد في خبر السكوني في الغَلوة والغلوتين كونه في السفر، لكن لا يختص بالسفر الشرعي الموجب للقصر، بل المراد به مطلق الخروج من البلد، ولو كان في البادية فيكون التحديد المذكور مختصاً بالبر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البلد فطلبه بمقتضى القاعدة من الطلب حتى يحصل اليأس ويتضيق الوقت، والظاهر أنّ الطلب المعتبر في عدم الوجدان لا يكون من باب التعبد المحض</w:t>
      </w:r>
      <w:r>
        <w:rPr>
          <w:rStyle w:val="FootnoteAnchor"/>
          <w:rtl w:val="true"/>
        </w:rPr>
        <w:footnoteReference w:id="550"/>
      </w:r>
      <w:r>
        <w:rPr>
          <w:rFonts w:ascii="Amiri" w:hAnsi="Amiri" w:eastAsia="Amiri" w:cs="Amiri"/>
          <w:color w:val="111111"/>
          <w:sz w:val="28"/>
          <w:sz w:val="28"/>
          <w:szCs w:val="28"/>
          <w:rtl w:val="true"/>
          <w:lang w:bidi="ar-SA"/>
        </w:rPr>
        <w:t xml:space="preserve">حتى يجب حتى في صورة العلم بالعدم، بل من باب إحراز عدم الوجود به وكونه طريقاً إليه، ففي الحقيقة وجوب التيمم معلق على عدم الوجود الواقعي الذي لك إليه طريق سواءً كان الطريق هو الطلب أو العلم أو شهادة العدلين فالتخصيص بالطلب من باب كونه في الغالب طريقاً، فلو علم بعدم وجود الماء لم يلزم عليه الطلب؛ لانتفاء فائدة الطلب، وليس للطلب موضوعية حتى يلزم في صورة العلم أيضاً خلافاً للشهيد رحمه الله </w:t>
      </w:r>
      <w:r>
        <w:rPr>
          <w:rStyle w:val="FootnoteAnchor"/>
          <w:rtl w:val="true"/>
        </w:rPr>
        <w:footnoteReference w:id="551"/>
      </w:r>
      <w:r>
        <w:rPr>
          <w:rFonts w:ascii="Amiri" w:hAnsi="Amiri" w:eastAsia="Amiri" w:cs="Amiri"/>
          <w:color w:val="111111"/>
          <w:sz w:val="28"/>
          <w:sz w:val="28"/>
          <w:szCs w:val="28"/>
          <w:rtl w:val="true"/>
          <w:lang w:bidi="ar-SA"/>
        </w:rPr>
        <w:t xml:space="preserve">حيث زعم كون الطلب تعبّدياً ويلزم في صورة العلم أيضاً، أو لإنتفاء الدليل على الطلب حينئذ، حيث إنّ أدلة الطلب في صورة الاحتمال لا في صورة الجزم بالعدم، فهل يكفي الظنّ بالعدم في سقوط الطلب، إذا لم يستند إلى سبب شرعي ؟ </w:t>
      </w:r>
      <w:bookmarkStart w:id="260" w:name="pg9203_87185"/>
    </w:p>
    <w:p>
      <w:pPr>
        <w:pStyle w:val="BookText"/>
        <w:rPr/>
      </w:pPr>
      <w:bookmarkEnd w:id="260"/>
      <w:r>
        <w:rPr>
          <w:rFonts w:ascii="Amiri" w:hAnsi="Amiri" w:eastAsia="Amiri" w:cs="Amiri"/>
          <w:color w:val="111111"/>
          <w:sz w:val="28"/>
          <w:sz w:val="28"/>
          <w:szCs w:val="28"/>
          <w:rtl w:val="true"/>
          <w:lang w:bidi="ar-SA"/>
        </w:rPr>
        <w:t>الظاهر عدم الكفاية؛ لعدم صدق عدم الوجدان ، ولأنّ الظاهر من اعتبار الطلب أنّه لدفع الاحتمال وإحراز عدم الوجود الواقعي، وهو قائم في صورة الظن، نعم، لو كان الظن بمرتبة يكون متاخماً للعلم بحيث يحصل اليأس فيه لا يبعد اعتباره؛ لأنّ العقل يصير مطمئناً به ولا يحكم بوجوب الطلب ويصدق عدم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استند الظن إلى سبب شرعي يكون معتبراً من جانب الشرع على سبيل العموم فالظاهر كفايته؛ لأنّه حكم بترتيب آثار الواقع عليه، فالحكم معلق على عدم الماء الذي لك إليه طريق، وبعد شهادة العدلين به يثبت عدم الوجود، وقام عليه طريق وهو إخبار العدلين فيكون الحكم مرتباً عليه</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3967986_2870459653"/>
      <w:bookmarkStart w:id="262" w:name="_Toc92"/>
      <w:bookmarkEnd w:id="261"/>
      <w:r>
        <w:rPr>
          <w:rtl w:val="true"/>
        </w:rPr>
        <w:t>[</w:t>
      </w:r>
      <w:r>
        <w:rPr>
          <w:rtl w:val="true"/>
        </w:rPr>
        <w:t xml:space="preserve">فى جريان الاستصحاب </w:t>
      </w:r>
      <w:r>
        <w:rPr>
          <w:rtl w:val="true"/>
        </w:rPr>
        <w:t>]</w:t>
      </w:r>
      <w:bookmarkEnd w:id="262"/>
    </w:p>
    <w:p>
      <w:pPr>
        <w:pStyle w:val="BookText"/>
        <w:rPr/>
      </w:pPr>
      <w:r>
        <w:rPr>
          <w:rFonts w:ascii="Amiri" w:hAnsi="Amiri" w:eastAsia="Amiri" w:cs="Amiri"/>
          <w:color w:val="111111"/>
          <w:sz w:val="28"/>
          <w:sz w:val="28"/>
          <w:szCs w:val="28"/>
          <w:rtl w:val="true"/>
          <w:lang w:bidi="ar-SA"/>
        </w:rPr>
        <w:t>ثم إنّه هل يكفي الاستصحاب هنا لو علم في زمان سابق بعدم وجود الماء واحتمل بعده وجوده أو لا يكفي؟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كلمات بعض</w:t>
      </w:r>
      <w:r>
        <w:rPr>
          <w:rStyle w:val="FootnoteAnchor"/>
          <w:rtl w:val="true"/>
        </w:rPr>
        <w:footnoteReference w:id="552"/>
      </w:r>
      <w:r>
        <w:rPr>
          <w:rFonts w:ascii="Amiri" w:hAnsi="Amiri" w:eastAsia="Amiri" w:cs="Amiri"/>
          <w:color w:val="111111"/>
          <w:sz w:val="28"/>
          <w:sz w:val="28"/>
          <w:szCs w:val="28"/>
          <w:rtl w:val="true"/>
          <w:lang w:bidi="ar-SA"/>
        </w:rPr>
        <w:t>عدم الاعتناء بالاستصحاب ولزوم الطلب لو احتمل وجود الماء، ولعلّ وجهه إما من باب عدم صدق عدم الوجدان إذا احتمل، أو لعدم جريان الاستصحاب حينئذ ؛ لأنّ أدلة الاستصحاب تحكم بترتب آثار الواقع على المشكوك، وههنا ليس للواقع بمجرده حكم، بل الحكم للواقع مع قيام الطريق عليه، ولكنا حققنا في الأصول قيام الأصول مقام العلم</w:t>
      </w:r>
      <w:r>
        <w:rPr>
          <w:rStyle w:val="FootnoteAnchor"/>
          <w:rtl w:val="true"/>
        </w:rPr>
        <w:footnoteReference w:id="553"/>
      </w:r>
      <w:r>
        <w:rPr>
          <w:rFonts w:ascii="Amiri" w:hAnsi="Amiri" w:eastAsia="Amiri" w:cs="Amiri"/>
          <w:color w:val="111111"/>
          <w:sz w:val="28"/>
          <w:sz w:val="28"/>
          <w:szCs w:val="28"/>
          <w:rtl w:val="true"/>
          <w:lang w:bidi="ar-SA"/>
        </w:rPr>
        <w:t xml:space="preserve">فلو كان معتبراً في الموضوع على وجه الطريقية، لأنا قلنا إنّ مفاد أدلة الاستصحاب هو ترتيب آثار المتيقن على المشكوك سواءً كانت الآثار للواقع مع قطع النظر عن اليقين، أو للواقع مع اليقين، والحكم هنا وارد على الواقع الذي قام عليه الطريق، وبعد الاستصحاب ثبت الواقع وقام عليه الطريق وهو الاستصحاب، وبعد هذا ظهر صدق عدم الوجدان حينئذ، فعدم اعتباره </w:t>
      </w:r>
    </w:p>
    <w:p>
      <w:pPr>
        <w:pStyle w:val="BookText"/>
        <w:rPr/>
      </w:pPr>
      <w:r>
        <w:rPr>
          <w:rFonts w:ascii="Amiri" w:hAnsi="Amiri" w:eastAsia="Amiri" w:cs="Amiri"/>
          <w:color w:val="111111"/>
          <w:sz w:val="28"/>
          <w:sz w:val="28"/>
          <w:szCs w:val="28"/>
          <w:rtl w:val="true"/>
          <w:lang w:bidi="ar-SA"/>
        </w:rPr>
        <w:t>من باب استلزامه المخالفة الكثيرة في أمثال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بناءً على هذا التفصيلُ بين مضي زمان كثير من حين العلم بحيث يستلزم اعتباره المخالفة الكثيرة وعدم مضي الزمان الطويل، بل مضي زمان قليل بحيث لم يستلزم إجراؤه المخالفة الكثيرة، فيكون حجّة في الثاني دون الأول،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الذي ذكرنا هو أحد الاحتمالات المتصورة، ويبعده قولهم بصحة تيمم من طلب الماء ولم يجده ، وكان في الواقع موجوداً، وهو لم يظفر عليه، بل ادعى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الإجماع، وهو ينافي الطريقية المحضة؛ لأنه كان في الواقع موجوداً، ومقتضاه عدم صحة التيمم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حكمهم بهذا من باب الإجزاء واعتقادهم به، وليس من باب أنّ الطلب له موضوعية، والحكم على الطلب بشرط التيمم، فيكون صحيحاً، بل لقولهم بالإجزاء، وبعد تسليم الإجزاء يمكن الحكم بالفساد وقيام الإجماع عليه بواسطة مثل الإجزاء ونحوه، وحكم بواسطة هذه الأدلّة لا أنّ الحكم مسلّم عندهم ووصل اليهم يداً بيد، فالمستند حقيقةً هو إرسالهم، وحينئذ لا يمكن الحكم بعدم الحكم بواسطة حال هذه الأدلّة؛ إذ المستند حقيقة هو كونه مسلّماً عند العلماء، وهذه لتقريب المطلب ولا نسلّم أنّ ما نحن فيه من هذا القبيل، إلّا أنّه يصعب القول به مع ذهاب المشهور </w:t>
      </w:r>
      <w:r>
        <w:rPr>
          <w:rStyle w:val="FootnoteAnchor"/>
          <w:rtl w:val="true"/>
        </w:rPr>
        <w:footnoteReference w:id="555"/>
      </w:r>
      <w:r>
        <w:rPr>
          <w:rFonts w:ascii="Amiri" w:hAnsi="Amiri" w:eastAsia="Amiri" w:cs="Amiri"/>
          <w:color w:val="111111"/>
          <w:sz w:val="28"/>
          <w:sz w:val="28"/>
          <w:szCs w:val="28"/>
          <w:rtl w:val="true"/>
          <w:lang w:bidi="ar-SA"/>
        </w:rPr>
        <w:t xml:space="preserve">إلى الصحة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والاحتمال الثاني هو أنّ المسوّغ عدم الإدراك وعدم الظفر عليه، سواءً كان مستحباً كما يقول به الأردبيلي قدس سره</w:t>
      </w:r>
      <w:r>
        <w:rPr>
          <w:rStyle w:val="FootnoteAnchor"/>
          <w:rtl w:val="true"/>
        </w:rPr>
        <w:footnoteReference w:id="556"/>
      </w:r>
      <w:r>
        <w:rPr>
          <w:rFonts w:ascii="Amiri" w:hAnsi="Amiri" w:eastAsia="Amiri" w:cs="Amiri"/>
          <w:color w:val="111111"/>
          <w:sz w:val="28"/>
          <w:sz w:val="28"/>
          <w:szCs w:val="28"/>
          <w:rtl w:val="true"/>
          <w:lang w:bidi="ar-SA"/>
        </w:rPr>
        <w:t xml:space="preserve">أو يكون واجباً آخر بمقتضى أدلة الطلب، لا أن يكون معتبراً على وجه الشرطية، وكونه فاسداً مع الإخلال بالطلب لو فرض تصوّر </w:t>
      </w:r>
    </w:p>
    <w:p>
      <w:pPr>
        <w:pStyle w:val="BookText"/>
        <w:rPr/>
      </w:pP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ويبعده كونه خلاف الظاهر من عدم الوجدان؛ لأنّ الظاهر منه عدم الوجود مع الطلب، فيكون الأمر معلّقاً على الطلب وخلاف الظاهر من كلماتهم لحكمهم بعدم صحة التيمم لو أخل بالطلب ولو فرض تصور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ويبعد الأول أيضاً لزوم تحصيل مقدّمة الواجب المطلق وهو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الطلب مأخوذاً على وجه الموضوعية، فبدونه لا يصح التيمم كما هو الظاهر من الآية، وهذا على إطلاقه أيضاً مشكل؛ إذ يلزم في صورة العلم عدم صحة التيمّم أيضاً، مع أنّ الظاهر أنهم مطبقون</w:t>
      </w:r>
      <w:r>
        <w:rPr>
          <w:rStyle w:val="FootnoteAnchor"/>
          <w:rtl w:val="true"/>
        </w:rPr>
        <w:footnoteReference w:id="557"/>
      </w:r>
      <w:r>
        <w:rPr>
          <w:rFonts w:ascii="Amiri" w:hAnsi="Amiri" w:eastAsia="Amiri" w:cs="Amiri"/>
          <w:color w:val="111111"/>
          <w:sz w:val="28"/>
          <w:sz w:val="28"/>
          <w:szCs w:val="28"/>
          <w:rtl w:val="true"/>
          <w:lang w:bidi="ar-SA"/>
        </w:rPr>
        <w:t>على نفي اعتباره في حال العلم وصحته بدونه مع أنّ الظاهر من المحقق والعلّامة</w:t>
      </w:r>
      <w:r>
        <w:rPr>
          <w:rStyle w:val="FootnoteAnchor"/>
          <w:rtl w:val="true"/>
        </w:rPr>
        <w:footnoteReference w:id="558"/>
      </w:r>
      <w:r>
        <w:rPr>
          <w:rFonts w:ascii="Amiri" w:hAnsi="Amiri" w:eastAsia="Amiri" w:cs="Amiri"/>
          <w:color w:val="111111"/>
          <w:sz w:val="28"/>
          <w:sz w:val="28"/>
          <w:szCs w:val="28"/>
          <w:rtl w:val="true"/>
          <w:lang w:bidi="ar-SA"/>
        </w:rPr>
        <w:t>هو كون الطلب طريقاً والمناط عدم الوجود، كما يشهد به العبارة المنقولة عن محكي المعتبر</w:t>
      </w:r>
      <w:r>
        <w:rPr>
          <w:rStyle w:val="FootnoteAnchor"/>
          <w:rtl w:val="true"/>
        </w:rPr>
        <w:footnoteReference w:id="559"/>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الوجود غير متحقق مع الإمكان فيجب الطلب؛ لأن الطلب وسيلة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الشرط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عدم الوجود واقعاً ولو مع عدم الطلب، إذا لم يحصل الإخلال بالنسبة إلى نية القربة مثلاً في حال الغفلة عن الطلب واعتقد الفحص، والحال أنه لم يتفحص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عدم الإدراك في حال الطلب ويُثمر التعميم في مورد الغفلة وفي حال النسيان مع عدم الوجود في الواقع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إثبات الأول فيمكن من فهم بعض المحققين ذلك كالمحقق والعلّامة، كما يشهد به بعض عباراتهم ، ومن أنّ المناط حقيقةً هو عدم وجود الماء؛ لأنّ التيمم بدل عن الوضوء والوضوء ثابت في حال وجود الماء بحكم العقل، ومع عدمه يسقط التكليف </w:t>
      </w:r>
    </w:p>
    <w:p>
      <w:pPr>
        <w:pStyle w:val="BookText"/>
        <w:rPr/>
      </w:pPr>
      <w:r>
        <w:rPr>
          <w:rFonts w:ascii="Amiri" w:hAnsi="Amiri" w:eastAsia="Amiri" w:cs="Amiri"/>
          <w:color w:val="111111"/>
          <w:sz w:val="28"/>
          <w:sz w:val="28"/>
          <w:szCs w:val="28"/>
          <w:rtl w:val="true"/>
          <w:lang w:bidi="ar-SA"/>
        </w:rPr>
        <w:t>بالوضوء، ولو لم يكن التيمم ثابتاً أيضاً يلزم سقوط التكليف رأساً، وكونه كفاقد الطهورين، ولا يُعلم التزامهم بهذا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والعمدة في ذلك إطلاقات التيمم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التيمم أحد الطهورين</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 في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الماء هو ربُّ الصعيد</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يكفيك الصعيد عشرَ سِنين</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فاتك الماء لم تَفتُكَ الأَرضُ</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وأمثال ذلك مما يدلّ على مشروعية التيمّم على الإطلاق خصوصاً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التيمم أحد الطهورين</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حيث يدلّ على أنّ التراب طهور مثل الماء، والتيمم طهارة مثل طهارة الماء، خصوصاً بملاحظة استشهادات الإمام علیه السلام في الموارد، مثلاً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تطلب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التيمم أحد الطهورين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الماء و رب الصعيد واحد</w:t>
      </w:r>
      <w:r>
        <w:rPr>
          <w:rFonts w:eastAsia="IRNazanin" w:cs="IRNazanin"/>
          <w:color w:val="111111"/>
          <w:sz w:val="28"/>
          <w:szCs w:val="28"/>
          <w:rtl w:val="true"/>
          <w:lang w:bidi="fa-IR"/>
        </w:rPr>
        <w:t>»</w:t>
      </w:r>
      <w:r>
        <w:rPr>
          <w:rStyle w:val="FootnoteAnchor"/>
          <w:rtl w:val="true"/>
        </w:rPr>
        <w:footnoteReference w:id="565"/>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جعل الماء طهوراً جعل التراب أيضاً طهوراً ، فلا فرق بينهما، بل يمكن التمسك بالإطلاقات في صورة عدم اليأس من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والالتفات إلى الطلب ووجود الماء في الواقع، فكيف في صورة عدم وجوده، بل يمكن التمسك بالإطلاقات مطلقاً، خرج منه صورة وجود الماء فعلاً، وبقي الباقي تحت الإطلاق، كما نفى عنه البعد جمال الملة والدين في شرحه على اللّمعة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الأخبار ليست في مقام الإطلاق، وكونه طهوراً مطلقاً، </w:t>
      </w:r>
    </w:p>
    <w:p>
      <w:pPr>
        <w:pStyle w:val="BookText"/>
        <w:rPr/>
      </w:pPr>
      <w:r>
        <w:rPr>
          <w:rFonts w:ascii="Amiri" w:hAnsi="Amiri" w:eastAsia="Amiri" w:cs="Amiri"/>
          <w:color w:val="111111"/>
          <w:sz w:val="28"/>
          <w:sz w:val="28"/>
          <w:szCs w:val="28"/>
          <w:rtl w:val="true"/>
          <w:lang w:bidi="ar-SA"/>
        </w:rPr>
        <w:t>بل في مقام الحكم بطهوريته في حال تسويغه وساكتة عن بيان حال مسوغيته وكيفيته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مطلقةً يفهم الإطلاق من بعضها، بحكم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التيمم أحد الطهورين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ملاحظة استشهادات المعصوم علیه السلام وليس لها مانع إلّا ما يظهر في بادئ الرأي من الآية، حيث علّق فيها الحكم بالتيمم على عدم الوجدان، وهو ظاهر في عدم الوجود مع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التعليق هي السببية المنحصرة ، فيُفهم منها أنّ السبب هو هذا لا غيره فتقيّد الإطلاقات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مدفوع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منها هو صورة احتمال وجود الشخص الماء والتفاته إلى الطلب، فيكون مفادها أنّ الشرط في هذه الحالة هو عدم الوجود بعد الطلب، وأما كونه شرطاً مطلقاًحتى في صورة الغفلة، بمعنى بطلان التيمم لو التفت فلا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وارد مورد الغالب فلا يكون له مفهوم؛ لأنّ عدم الوجود لا يؤثر إلّا مع الطلب غالباً، ولا يتصور الفائدة في الغالب إلا بعد الطلب، وعدم الوجود الواقعي لا تفيد إلا في حال الغفلة والنسيان، وفي غيرهما لا يتميّز </w:t>
      </w:r>
      <w:r>
        <w:rPr>
          <w:rStyle w:val="FootnoteAnchor"/>
          <w:rtl w:val="true"/>
        </w:rPr>
        <w:footnoteReference w:id="567"/>
      </w:r>
      <w:r>
        <w:rPr>
          <w:rFonts w:ascii="Amiri" w:hAnsi="Amiri" w:eastAsia="Amiri" w:cs="Amiri"/>
          <w:color w:val="111111"/>
          <w:sz w:val="28"/>
          <w:sz w:val="28"/>
          <w:szCs w:val="28"/>
          <w:rtl w:val="true"/>
          <w:lang w:bidi="ar-SA"/>
        </w:rPr>
        <w:t xml:space="preserve">بواسطة عدم إمكان قصد القربة؛ لأنّ مقدّمة الواجب المطلق وهي الوضوء واجبة، فيلزم تحصيلها، فلا يكون للشرط مفهوم حتى يقيد به الإطلاقات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عدم وروده مورد الغالب، لكن لا نُسلّم دخول الطلب في عدم الوجدان حتى يكون المفهوم أعمّ من عدم الوجود مع عدم الطلب، فتقيّد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احتمالات في عدم الوجدان بالنسبة إلى الطلب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داخلاً في مفهوم عدم الوجدان ، بمعنى دخول الطلب في هذه </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فيكون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مع الطلب، وعدم الوجدان هو عدم الوجود مع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الطلب قيد مستفاد من التركيب، أي من النفي المضاف إلى عدم</w:t>
      </w:r>
      <w:r>
        <w:rPr>
          <w:rStyle w:val="FootnoteAnchor"/>
          <w:rtl w:val="true"/>
        </w:rPr>
        <w:footnoteReference w:id="569"/>
      </w:r>
      <w:r>
        <w:rPr>
          <w:rFonts w:ascii="Amiri" w:hAnsi="Amiri" w:eastAsia="Amiri" w:cs="Amiri"/>
          <w:color w:val="111111"/>
          <w:sz w:val="28"/>
          <w:sz w:val="28"/>
          <w:szCs w:val="28"/>
          <w:rtl w:val="true"/>
          <w:lang w:bidi="ar-SA"/>
        </w:rPr>
        <w:t>الوجدان، فيكون قيد الطلب من خواص التركيب لا أن يكون مأخوذاً في مادة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هذين الاحتمالين يكون المفهوم من الآية هو عدم التيمم عند عدم الوجدان، فيكون له فردان، بل أفراد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الوجود أو عدم الوجود مع عدم الطلب أو عدم الطلب مع الوجود، فيكون عدم الوجود داخلا في المفهوم، ومقتضى التعليق عدم ثبوت التيمم فيه، فيكون منافياً للإطلاقات؛ فتقيّد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الوُجدان موضوعاً في اللغة لمعنى بسيط، وهو الفرد الخاص من عدم الوجود وهو عدم الوجود بعد الطلب، لا أن يكون التركيب معتبراً فيه كزيد الموضوع للفرد الخاص من الإنسان، وهو أيضاً موضوع للفرد الخاص من عدم</w:t>
      </w:r>
    </w:p>
    <w:p>
      <w:pPr>
        <w:pStyle w:val="BookText"/>
        <w:rPr/>
      </w:pP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عدم الإدراك فقط، فلا يكون الطلب قيداً في هذين الاحتمالين ويكون المعنى شيئاً بسيطاً فيكون المفهوم نفيه على الخصوص؛ لأنه يكون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وجدتم أي إن لم تظفروا، وإن تظفروا، فيكون حال عدم الوجود خارجاً عن المفهوم والمنطوق فلا تُنا في الإطلاقات، لكن ذلك حقيقةً إنّما هو بعد الفراغ عن الطلب ووجوبه بمقتضى وجوب المقدّمة، والقاعدة العقلية المستفادة من الأمر بالوضوء عند إرادة الصلاة وكونه مقدّمة الواجب المطلق، فكان هذا الكلام بعد الفراغ المذكور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الطالب إن لم تُدرك الماء فتيمم، وإن أدركت الماء فتوضأ، وهذا المعنى الآخر هو الظاهر منه بحسب العرف واللغة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ويساعد كون المراد عدم الإدراك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يظهر من بعض الأخبار الواردة في هذا الباب من كون التيمم معلّقاً على الإصابة ولها موضوعية بالنسبة إليه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أصابَ الماءَ بعد ما تيمّم</w:t>
      </w:r>
      <w:r>
        <w:rPr>
          <w:rFonts w:eastAsia="IRNazanin" w:cs="IRNazanin"/>
          <w:color w:val="111111"/>
          <w:sz w:val="28"/>
          <w:szCs w:val="28"/>
          <w:rtl w:val="true"/>
          <w:lang w:bidi="fa-IR"/>
        </w:rPr>
        <w:t xml:space="preserve">» </w:t>
      </w:r>
      <w:r>
        <w:rPr>
          <w:rStyle w:val="FootnoteAnchor"/>
          <w:rtl w:val="true"/>
        </w:rPr>
        <w:footnoteReference w:id="570"/>
      </w:r>
      <w:r>
        <w:rPr>
          <w:rFonts w:ascii="Amiri" w:hAnsi="Amiri" w:eastAsia="Amiri" w:cs="Amiri"/>
          <w:color w:val="111111"/>
          <w:sz w:val="28"/>
          <w:sz w:val="28"/>
          <w:szCs w:val="28"/>
          <w:rtl w:val="true"/>
          <w:lang w:bidi="ar-SA"/>
        </w:rPr>
        <w:t>فعلى هذا لا تنافي بين الآية والإطلاقات؛ لأنّ المفهوم هو الإصابة لا عدم الوجدان، فلا تكون صورة عدم الوجود داخلة أصلاً، فتكون الإطلاقات ناهضة بإثبات موضوعية عدم الوجود للتيمم وليس لها معارض إلّا ما يظهر من بعض الأخبار الدالّة على وجوب الطلب بعد عدم الوجود، مثل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فليطلب حيث إنّ الظاهر منه عدم الاكتفاء بعدم الوجود ووجوب الطلب</w:t>
      </w:r>
    </w:p>
    <w:p>
      <w:pPr>
        <w:pStyle w:val="BookText"/>
        <w:rPr/>
      </w:pPr>
      <w:r>
        <w:rPr>
          <w:rFonts w:ascii="Amiri" w:hAnsi="Amiri" w:eastAsia="Amiri" w:cs="Amiri"/>
          <w:color w:val="111111"/>
          <w:sz w:val="28"/>
          <w:sz w:val="28"/>
          <w:szCs w:val="28"/>
          <w:rtl w:val="true"/>
          <w:lang w:bidi="ar-SA"/>
        </w:rPr>
        <w:t xml:space="preserve">على الإطلاق ،وغيره، ويحتمل فيه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بعدم الوجدان هو عدم الوجدان عنده، ويكون الأمر بالطلب للوجوب، 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في الوقت</w:t>
      </w:r>
      <w:r>
        <w:rPr>
          <w:rStyle w:val="FootnoteAnchor"/>
          <w:rtl w:val="true"/>
        </w:rPr>
        <w:footnoteReference w:id="571"/>
      </w:r>
      <w:r>
        <w:rPr>
          <w:rFonts w:ascii="Amiri" w:hAnsi="Amiri" w:eastAsia="Amiri" w:cs="Amiri"/>
          <w:color w:val="111111"/>
          <w:sz w:val="28"/>
          <w:sz w:val="28"/>
          <w:szCs w:val="28"/>
          <w:rtl w:val="true"/>
          <w:lang w:bidi="ar-SA"/>
        </w:rPr>
        <w:t>بيان لوقت الطلب،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الواجب وهو الغلوة أو الغلوتين في الوقت لا قبله مثلاً؛ لأنّ المراد وجوب الطلب ما دام الوقت باقياً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ظاهر قوله علیه السلام أخيراً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خشي أن يفوته الوقت فليتيمم</w:t>
      </w:r>
      <w:r>
        <w:rPr>
          <w:rFonts w:eastAsia="IRNazanin" w:cs="IRNazanin"/>
          <w:color w:val="111111"/>
          <w:sz w:val="28"/>
          <w:szCs w:val="28"/>
          <w:rtl w:val="true"/>
          <w:lang w:bidi="fa-IR"/>
        </w:rPr>
        <w:t>»</w:t>
      </w:r>
      <w:r>
        <w:rPr>
          <w:rStyle w:val="FootnoteAnchor"/>
          <w:rtl w:val="true"/>
        </w:rPr>
        <w:footnoteReference w:id="572"/>
      </w:r>
      <w:r>
        <w:rPr>
          <w:rFonts w:ascii="Amiri" w:hAnsi="Amiri" w:eastAsia="Amiri" w:cs="Amiri"/>
          <w:color w:val="111111"/>
          <w:sz w:val="28"/>
          <w:sz w:val="28"/>
          <w:szCs w:val="28"/>
          <w:rtl w:val="true"/>
          <w:lang w:bidi="ar-SA"/>
        </w:rPr>
        <w:t>ينافي كون المراد بيان وقت الطلب؛ لأنّ ظاهره أنّه يلزم الطلب حتى إذا خاف فوت الوقت، وحينئذ لا يطلب بل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المراد بيان وقت الطلب مضروب للطلب فيه من أول الوقت إلى أن يضيق الوقت، فحينئذ ليس وقت الطلب بل فات وقته حينئذ</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للإرشاد إلى إحراز عدم الماء،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طريقة الطلب</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بعدم الوجدان هو عدم الوجدان في مقدار الغلوة </w:t>
      </w:r>
    </w:p>
    <w:p>
      <w:pPr>
        <w:pStyle w:val="BookText"/>
        <w:rPr/>
      </w:pPr>
      <w:r>
        <w:rPr>
          <w:rFonts w:ascii="Amiri" w:hAnsi="Amiri" w:eastAsia="Amiri" w:cs="Amiri"/>
          <w:color w:val="111111"/>
          <w:sz w:val="28"/>
          <w:sz w:val="28"/>
          <w:szCs w:val="28"/>
          <w:rtl w:val="true"/>
          <w:lang w:bidi="ar-SA"/>
        </w:rPr>
        <w:t>والغلوتين، وحينئذ يحمل الأمر بالطلب على الاستحباب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الطلب إلى ضيق الوقت يكون </w:t>
      </w:r>
      <w:r>
        <w:rPr>
          <w:rStyle w:val="FootnoteAnchor"/>
          <w:rtl w:val="true"/>
        </w:rPr>
        <w:footnoteReference w:id="574"/>
      </w:r>
      <w:r>
        <w:rPr>
          <w:rFonts w:ascii="Amiri" w:hAnsi="Amiri" w:eastAsia="Amiri" w:cs="Amiri"/>
          <w:color w:val="111111"/>
          <w:sz w:val="28"/>
          <w:sz w:val="28"/>
          <w:szCs w:val="28"/>
          <w:rtl w:val="true"/>
          <w:lang w:bidi="ar-SA"/>
        </w:rPr>
        <w:t>تناف بينه وبين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الشرط أحد الأمرين إما عدم الماء واقعاً أو عدم الظفر به؛ يكون الأول مستفاداً من الإطلاقات والثاني من الآية؛ لكن هذا إنّما يكون بعد الفراغ عن لزوم الطلب بمقتضى لزوم تحصيل مقدّمة الواجب المطلق، فكأنه يكون مدلول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الطالب للماء إن لم تجد الماء فتيمم وإن وجدت الماء فتوضأ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ضعيفاً أنّ المراد بعدم الوجدان هو السبب بانتفاء الموضوع،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الماء ولو بواسطة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فيطابق الشرط الأول، لكن هذا ضعيف جداً مع أنه خلاف الظاهر إلا أنه بعد هذه التكلّفات لإثبات الشرط الأول لا يتم هذا الشرط؛ لأنّه لا يعلم عدم وجود الماء إلّا بعد الطلب، إلّا في حال الغفلة عن الطلب ولم يكن الماء موجوداً في الواقع؛ فيحكم بالصحة بعد الانكشاف، إلّا أنّ هذا الظاهر يمكن كونه من باب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الطلب شرط في التيمم إجماعاً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بمقتضى الأخبار</w:t>
      </w:r>
      <w:r>
        <w:rPr>
          <w:rStyle w:val="FootnoteAnchor"/>
          <w:rtl w:val="true"/>
        </w:rPr>
        <w:footnoteReference w:id="576"/>
      </w:r>
      <w:r>
        <w:rPr>
          <w:rFonts w:ascii="Amiri" w:hAnsi="Amiri" w:eastAsia="Amiri" w:cs="Amiri"/>
          <w:color w:val="111111"/>
          <w:sz w:val="28"/>
          <w:sz w:val="28"/>
          <w:szCs w:val="28"/>
          <w:rtl w:val="true"/>
          <w:lang w:bidi="ar-SA"/>
        </w:rPr>
        <w:t>وبمقتضى وجوب تحصيل الواجب بإتيان مقدمته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شرطيته ليست تعبدية </w:t>
      </w:r>
      <w:r>
        <w:rPr>
          <w:rStyle w:val="FootnoteAnchor"/>
          <w:rtl w:val="true"/>
        </w:rPr>
        <w:footnoteReference w:id="577"/>
      </w:r>
      <w:r>
        <w:rPr>
          <w:rFonts w:ascii="Amiri" w:hAnsi="Amiri" w:eastAsia="Amiri" w:cs="Amiri"/>
          <w:color w:val="111111"/>
          <w:sz w:val="28"/>
          <w:sz w:val="28"/>
          <w:szCs w:val="28"/>
          <w:rtl w:val="true"/>
          <w:lang w:bidi="ar-SA"/>
        </w:rPr>
        <w:t>، بل بواسطة إحراز عدم الماء، ففي حال العلم بعدم وجود الماء يسقط الطلب</w:t>
      </w:r>
      <w:r>
        <w:rPr>
          <w:rFonts w:eastAsia="Amiri" w:cs="Amiri" w:ascii="Amiri" w:hAnsi="Amiri"/>
          <w:color w:val="111111"/>
          <w:sz w:val="28"/>
          <w:szCs w:val="28"/>
          <w:rtl w:val="true"/>
          <w:lang w:bidi="ar-SA"/>
        </w:rPr>
        <w:t xml:space="preserve">. </w:t>
      </w:r>
      <w:bookmarkStart w:id="263" w:name="pg9203_87193"/>
    </w:p>
    <w:p>
      <w:pPr>
        <w:pStyle w:val="Heading2"/>
        <w:numPr>
          <w:ilvl w:val="1"/>
          <w:numId w:val="1"/>
        </w:numPr>
        <w:rPr/>
      </w:pPr>
      <w:bookmarkStart w:id="264" w:name="__RefHeading___Toc3967988_2870459653"/>
      <w:bookmarkStart w:id="265" w:name="_Toc93"/>
      <w:bookmarkEnd w:id="263"/>
      <w:bookmarkEnd w:id="264"/>
      <w:r>
        <w:rPr>
          <w:rtl w:val="true"/>
        </w:rPr>
        <w:t>[</w:t>
      </w:r>
      <w:r>
        <w:rPr>
          <w:rtl w:val="true"/>
        </w:rPr>
        <w:t xml:space="preserve">جواز الاستنابة بالطلب بشرط حصول العلم بقول النائب </w:t>
      </w:r>
      <w:r>
        <w:rPr>
          <w:rtl w:val="true"/>
        </w:rPr>
        <w:t>]</w:t>
      </w:r>
      <w:bookmarkEnd w:id="265"/>
    </w:p>
    <w:p>
      <w:pPr>
        <w:pStyle w:val="BookText"/>
        <w:rPr/>
      </w:pPr>
      <w:r>
        <w:rPr>
          <w:rFonts w:ascii="IRNazanin" w:hAnsi="IRNazanin" w:eastAsia="IRNazanin"/>
          <w:color w:val="111111"/>
          <w:sz w:val="28"/>
          <w:sz w:val="28"/>
          <w:szCs w:val="28"/>
          <w:rtl w:val="true"/>
          <w:lang w:bidi="fa-IR"/>
        </w:rPr>
        <w:t>ثم إنّه هل يجوز الاستنابة في الطلب ويقبل قوله، ويسقط الطلب بقوله أم لا یقبل؟</w:t>
      </w:r>
    </w:p>
    <w:p>
      <w:pPr>
        <w:pStyle w:val="BookText"/>
        <w:rPr/>
      </w:pPr>
      <w:r>
        <w:rPr>
          <w:rFonts w:ascii="IRNazanin" w:hAnsi="IRNazanin" w:eastAsia="IRNazanin"/>
          <w:color w:val="111111"/>
          <w:sz w:val="28"/>
          <w:sz w:val="28"/>
          <w:szCs w:val="28"/>
          <w:rtl w:val="true"/>
          <w:lang w:bidi="fa-IR"/>
        </w:rPr>
        <w:t>فيه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إن حصل العلم بقوله يقبل، وإلا فلا دليل على اعتباره وسقوط الطلب بقوله، وإن كان يظهر قبول قوله ؛ لأنه حجّة شرعية بواسطة عمومات الوكالة ولأنّ النائب أمين، ومقتضى الأخبار عدم التهمة على الأمين،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تتهم من ائتَمَنْتَ</w:t>
      </w:r>
      <w:r>
        <w:rPr>
          <w:rFonts w:eastAsia="IRNazanin" w:cs="IRNazanin"/>
          <w:color w:val="111111"/>
          <w:sz w:val="28"/>
          <w:szCs w:val="28"/>
          <w:rtl w:val="true"/>
          <w:lang w:bidi="fa-IR"/>
        </w:rPr>
        <w:t xml:space="preserve">» </w:t>
      </w:r>
      <w:r>
        <w:rPr>
          <w:rStyle w:val="FootnoteAnchor"/>
          <w:rtl w:val="true"/>
        </w:rPr>
        <w:footnoteReference w:id="578"/>
      </w:r>
      <w:r>
        <w:rPr>
          <w:rFonts w:ascii="Amiri" w:hAnsi="Amiri" w:eastAsia="Amiri" w:cs="Amiri"/>
          <w:color w:val="111111"/>
          <w:sz w:val="28"/>
          <w:sz w:val="28"/>
          <w:szCs w:val="28"/>
          <w:rtl w:val="true"/>
          <w:lang w:bidi="ar-SA"/>
        </w:rPr>
        <w:t>ومقتضى عدم التهمة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مقتضاها عدم تكذيبه، بل لو جعلت له أجرة يلزم إعطائها، بل ترتب الآثار التي بيدك، وأما قبول قوله في التكليف الإلهي فلا يلزم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قبول قول العدلين أيضاً فإنّما يتم بالنسبة إلى الشرط الأول وهو عدم الوجود بواسطة عموم الأدلة الدالة على قبول قولهما وترتب آثار الواقع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الشرط الثاني فالظاهر عدم قبولهما، لأنّ عدم الإدراك فعل من أفعال الشخص نفسه ولا يتحقق بالنسبة إلى غيره وكذا حال الاستصحاب من التفصيل الذي ذكروا مضافاً إلى أن عدم الوجدان لا يكون سابقاً حتى يستصحب إلا أنّ الاستصحاب لا يجري بالنسبة إلى الشرط الأول أيضاً ؛ لاستلزامه المخالفة الكثيرة، وأمّا مع عدم الاستلزام فلا يبعد حُجيّته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إلا أنه لا يثمر إثبات هذا الشرط وهو عدم الوجود واقعاً؛ لأنّ غاية ثمرته في صورة الغفلة وصورة النسيان حتى يمكن قصد القربة فيصح التيمم فيها بناءً عليه لانعقاد الإجماع على الشرطية مطلقاً وعدم صحة التيمم بدون الطلب مطلقاً حتی في صورة الغفلة كما ادعاه جماعة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w:t>
      </w:r>
    </w:p>
    <w:p>
      <w:pPr>
        <w:pStyle w:val="BookText"/>
        <w:rPr/>
      </w:pPr>
      <w:r>
        <w:rPr>
          <w:rFonts w:ascii="Amiri" w:hAnsi="Amiri" w:eastAsia="Amiri" w:cs="Amiri"/>
          <w:color w:val="111111"/>
          <w:sz w:val="28"/>
          <w:sz w:val="28"/>
          <w:szCs w:val="28"/>
          <w:rtl w:val="true"/>
          <w:lang w:bidi="ar-SA"/>
        </w:rPr>
        <w:t>وعلى تقدير ثبوت الإجماع على الشرطية حتى في صورة الغفلة يمكن في كون الحكم بالوجود</w:t>
      </w:r>
      <w:r>
        <w:rPr>
          <w:rStyle w:val="FootnoteAnchor"/>
          <w:rtl w:val="true"/>
        </w:rPr>
        <w:footnoteReference w:id="580"/>
      </w:r>
      <w:r>
        <w:rPr>
          <w:rFonts w:ascii="Amiri" w:hAnsi="Amiri" w:eastAsia="Amiri" w:cs="Amiri"/>
          <w:color w:val="111111"/>
          <w:sz w:val="28"/>
          <w:sz w:val="28"/>
          <w:szCs w:val="28"/>
          <w:rtl w:val="true"/>
          <w:lang w:bidi="ar-SA"/>
        </w:rPr>
        <w:t>من باب الإجزاء لا من باب كون الشرط هو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الإجماع قائم على شرطية الطلب للتيمّم وان لم تكن مستفادة من الآية وغيرها، فيكون التيمم بدون الطلب فاسداً، إلا في صورة العلم بعدم وجود الماء في موضع الطلب فإنّه ساقط حينئذ، لأنّ الطلب على تقدير الشرطية ليس له تعبدية حتى يلزم حينئذ، بل لإحراز عدم الوجود، ومع العلم يكون عدم الوجود حاصلاً وليس للطلب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علم وجود الماء في مكان أزيد من الغلوة والغلوتين فاللازم حينئذ طلبه؛ لقضاء إطلاق الأمر بالوضوء بذلك، ولزوم تحصيل مقدّمة الواجب المطلق وعدم صدق عدم الوجدان حينئذ، وإطلاق حسنة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المسافر الماء فليطلب ما دام في الوقت</w:t>
      </w:r>
      <w:r>
        <w:rPr>
          <w:rStyle w:val="FootnoteAnchor"/>
          <w:rtl w:val="true"/>
        </w:rPr>
        <w:footnoteReference w:id="581"/>
      </w:r>
      <w:r>
        <w:rPr>
          <w:rFonts w:ascii="Amiri" w:hAnsi="Amiri" w:eastAsia="Amiri" w:cs="Amiri"/>
          <w:color w:val="111111"/>
          <w:sz w:val="28"/>
          <w:sz w:val="28"/>
          <w:szCs w:val="28"/>
          <w:rtl w:val="true"/>
          <w:lang w:bidi="ar-SA"/>
        </w:rPr>
        <w:t>ولا ينافيه إلا خبر السكوني حيث نفى الطلب في أزيد من الغلوة والغلوتين، ويمكن دفعه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بأنّ الظاهر منه هو صورة الاحتمال كما يشهد به لفظ الطلب، وصورة العلم خارجة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ضعيف سنداً لا يقاوم الأدلّة العقلية وانجباره بعمل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لزوم الطلب في الغلوة والغلوتين، وأما بالنسبة إلى عدم لزوم الطلب في الأكثر في صورة العلم بوجوده في الأزيد فلا يثبت انجباره، بل العمل على خلافه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صورة الظن بالوجود في الأزيد فالظاهر عدم لزوم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عدم الوجدان وخبر السكوني ولعدم العلم بوجود الماء في الواقع </w:t>
      </w:r>
    </w:p>
    <w:p>
      <w:pPr>
        <w:pStyle w:val="BookText"/>
        <w:rPr/>
      </w:pPr>
      <w:r>
        <w:rPr>
          <w:rFonts w:ascii="Amiri" w:hAnsi="Amiri" w:eastAsia="Amiri" w:cs="Amiri"/>
          <w:color w:val="111111"/>
          <w:sz w:val="28"/>
          <w:sz w:val="28"/>
          <w:szCs w:val="28"/>
          <w:rtl w:val="true"/>
          <w:lang w:bidi="ar-SA"/>
        </w:rPr>
        <w:t xml:space="preserve">حتى يجب عليه الصلاة مع الطهارة المائية فيلزم تحصيل مقدماته، إلا أنه لا يبعد الحكم بالوجوب في صورة حصول الاطمئنان بعدم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الوجدان عرفاً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بناءً على الشرطية لو أخلّ بالطلب حتى ضاق الوقت عن الطلب حصول شرط الطلب وهو الرجاء وعدم المانع من الخوف ونحوه؛ أثم ويكون معاقباً، وصحّ تيممه وصلاته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آثماً بترك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إثبات الأول فمن أحد وجهين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إطلاقات الأمر بالوضوء هو التكليف بالصلاة مع الطهارة المائية ما دام متمكنا منها ، والمكلف بواسطة ترك التكليف</w:t>
      </w:r>
      <w:r>
        <w:rPr>
          <w:rStyle w:val="FootnoteAnchor"/>
          <w:rtl w:val="true"/>
        </w:rPr>
        <w:footnoteReference w:id="583"/>
      </w:r>
      <w:r>
        <w:rPr>
          <w:rFonts w:ascii="Amiri" w:hAnsi="Amiri" w:eastAsia="Amiri" w:cs="Amiri"/>
          <w:color w:val="111111"/>
          <w:sz w:val="28"/>
          <w:sz w:val="28"/>
          <w:szCs w:val="28"/>
          <w:rtl w:val="true"/>
          <w:lang w:bidi="ar-SA"/>
        </w:rPr>
        <w:t xml:space="preserve">يفوت هذا التكليف عن نفسه وإن تعلق عليه التكليف في الطهارة الترابية بعد ترك الطلب حتى يتضيق الوقت نظير ما لو أراق الماء الموجود مع علمه بعدم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بعده إلا أنه يكون الفرق بين ما نحن فيه وبين إراقة الماء الموجود، حيث إنّ التكليف بالصلاة مع المائية منجز عليه في صورة الإراقة ؛ لأنّه كان متمكناً منه فيعادل </w:t>
      </w:r>
      <w:r>
        <w:rPr>
          <w:rStyle w:val="FootnoteAnchor"/>
          <w:rtl w:val="true"/>
        </w:rPr>
        <w:footnoteReference w:id="584"/>
      </w:r>
      <w:r>
        <w:rPr>
          <w:rFonts w:ascii="Amiri" w:hAnsi="Amiri" w:eastAsia="Amiri" w:cs="Amiri"/>
          <w:color w:val="111111"/>
          <w:sz w:val="28"/>
          <w:sz w:val="28"/>
          <w:szCs w:val="28"/>
          <w:rtl w:val="true"/>
          <w:lang w:bidi="ar-SA"/>
        </w:rPr>
        <w:t xml:space="preserve">على ترك هذا التكليف بخلاف ما نحن فيه، حيث إنّه لا يعلم بتكليفه بالصلاة مع المائية لاحتمال عدم الماء، فيكون هذا التكليف دائراً مدار وجود الماء ،وعدمه، إلا أنّه يمكن الحكم بكونه آثماً مع ترك الطلب في الصورتين، أما في صورة وجود الماء في الواقع يكون معاقباً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وأمّا في صورة عدم الماء أيضاً يكون معاقباً بواسطة التجري إن قلنا بكونه معصية أو في حكم المعصية كما هو المشهور </w:t>
      </w:r>
      <w:r>
        <w:rPr>
          <w:rStyle w:val="FootnoteAnchor"/>
          <w:rtl w:val="true"/>
        </w:rPr>
        <w:footnoteReference w:id="585"/>
      </w:r>
      <w:r>
        <w:rPr>
          <w:rFonts w:ascii="Amiri" w:hAnsi="Amiri" w:eastAsia="Amiri" w:cs="Amiri"/>
          <w:color w:val="111111"/>
          <w:sz w:val="28"/>
          <w:sz w:val="28"/>
          <w:szCs w:val="28"/>
          <w:rtl w:val="true"/>
          <w:lang w:bidi="ar-SA"/>
        </w:rPr>
        <w:t xml:space="preserve">لأنه يحتمل وجود الماء، فيلزم عليه </w:t>
      </w:r>
    </w:p>
    <w:p>
      <w:pPr>
        <w:pStyle w:val="BookText"/>
        <w:rPr/>
      </w:pPr>
      <w:r>
        <w:rPr>
          <w:rFonts w:ascii="Amiri" w:hAnsi="Amiri" w:eastAsia="Amiri" w:cs="Amiri"/>
          <w:color w:val="111111"/>
          <w:sz w:val="28"/>
          <w:sz w:val="28"/>
          <w:szCs w:val="28"/>
          <w:rtl w:val="true"/>
          <w:lang w:bidi="ar-SA"/>
        </w:rPr>
        <w:t>الطلب للزوم تحصيل مقدّمة الواجب، فتجرّى ولم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أدلّة التيمم، حيث إنها دالة على وجوب الصلاة مع التيمم المسبوق بالطلب وبواسطة ترك الطلب يسقط هذا التكليف المقيّد، وإن كان التكليف بالطهارة المطلق</w:t>
      </w:r>
      <w:r>
        <w:rPr>
          <w:rStyle w:val="FootnoteAnchor"/>
          <w:rtl w:val="true"/>
        </w:rPr>
        <w:footnoteReference w:id="586"/>
      </w:r>
      <w:r>
        <w:rPr>
          <w:rFonts w:ascii="Amiri" w:hAnsi="Amiri" w:eastAsia="Amiri" w:cs="Amiri"/>
          <w:color w:val="111111"/>
          <w:sz w:val="28"/>
          <w:sz w:val="28"/>
          <w:szCs w:val="28"/>
          <w:rtl w:val="true"/>
          <w:lang w:bidi="ar-SA"/>
        </w:rPr>
        <w:t>حينئذ ثابتاً عليه ففي الحقيقة يكون العقاب بواسطة تركه أحد التكليفين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صحّة التيمم فقد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والمراد به أصل البراءة أو الاستصحاب، وكلاهما ليسا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تقرير أصل البراءة فبأن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 البراءة في الأجزاء والشرائط المشكوكة، وهنا أيضاً يكون الشك في شرطية الطلب في صحة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صورة الضيق وعدمها ، ففي الحقيقة يكون الشك في شرط الصلاة؛ لأنّ التيمم شرط في الصلاة والطلب شرط فيه فيكون شرطاً فيها؛ لكون شرط الشرط شرطاً فالأصل عدم الشرطية حتى في هذه الحالة، ومرجعه إلى كون شرطيته شرطية مقيّدة لا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باستصحاب الشرطية، وهو وارد عليه أو حاكم 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عدم البيان أو من باب الأخبار الدالة على أنّ كل شيء مطلق حتى يرد فيه نهي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 أنّ الأصل في باب الطهارات منعكس، بل الأصل هو بل الأصل الاشتغال؛ لأنّ المطلوب فيها هو رفع حكم الحدث والطهارة وهذا مبين مفهوماً، والشك فيما يتحقق به، فيكون</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مدفوع بأن الشرطية حكم وصنف مستفاد من مقدمية الطلب لتحقق الماء، والمقدمية غير مقيدة بحالة الإمكان فالشرطية ثابتة لها والوجوب أيضاً تابع للشرطية ولا يلزم من عدم إمكان الطلب في حال عدم الإمكان تفيد منشأ الشرطية وأي المقدمية بل الطلب بصورة الإطلاق ومن تصور تعلق الطلب لغير المتمكن غير موجود في المقدمة بل ثابتة في حالة الإمكان وعدمه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المبين المفهوم في المجمل المصداق فيجري الاشتغال؛ لأنّ الوضوء شيء</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بنفسه كما يرشد إليه تعبيرهم عن الوضوء بالتطهير ، وعن الغسل بالأطهار، وإن كان يظهر من بعض الأخبار كون الوضوء شيئاً مستقلاً يكون واجباً بنفسه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الوضوء حد من حدود الله ليعلم الله من يطيعه ومن يعصيه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 لا ينجسه شيء، وإنّما يكفيه مثل الدهن</w:t>
      </w:r>
      <w:r>
        <w:rPr>
          <w:rFonts w:eastAsia="IRNazanin" w:cs="IRNazanin"/>
          <w:color w:val="111111"/>
          <w:sz w:val="28"/>
          <w:szCs w:val="28"/>
          <w:rtl w:val="true"/>
          <w:lang w:bidi="fa-IR"/>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إلا أنه يحتمل أن يكون المراد منه نفي وجوب جريان الماء؛ لأنّ الغرض منه ليس إزالة النجاسة حتى يلزم فيه جريان الماء؛ لأنه شيء واجب </w:t>
      </w:r>
    </w:p>
    <w:p>
      <w:pPr>
        <w:pStyle w:val="BookText"/>
        <w:rPr/>
      </w:pPr>
      <w:r>
        <w:rPr>
          <w:rFonts w:ascii="Amiri" w:hAnsi="Amiri" w:eastAsia="Amiri" w:cs="Amiri"/>
          <w:color w:val="111111"/>
          <w:sz w:val="28"/>
          <w:sz w:val="28"/>
          <w:szCs w:val="28"/>
          <w:rtl w:val="true"/>
          <w:lang w:bidi="ar-SA"/>
        </w:rPr>
        <w:t>في حد ذاته، إما بغرض التطهير ورفع الحدث، فإذا كان المراد والمأمور به هو التطهير وإزالة حكم الحدث وذلك مبين ولو شك فيه يكون الشك إنما يتحقق به محلاً للاشتغال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من قبيل الأصل المثبت، به يثبت أصل التكليف بخلاف سائر الموارد، حيث إنّ التكليف فيها ،محقق، ويكون الشك في المكلف به، وهنا لم يعلم أصل التكليف بواسطة احتمال كون هذا الشرط شرطاً في الواقع؛ والوقت لا يسع الصلاة مع هذا الشرط، فيكون الشك في أصل التكليف، وهذا بخلاف الشك في شرطية الطلب في سعة الوقت فإنّ التكليف هناك محقق ، ولو كان هذا الشرط شرطاً لسعة الوقت للفعل هذا الشرط وهو الطلب فيكون المكلف متمكناً من الفعل، فيكون التكليف ثابتاً، وعلى تقدير كون الشرط شرطاً ففي الحقيقة يكون المقصود إثبات التكليف بالصلاة مع التيمم بغير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بالأصل هو الاستصحاب أي استصحاب وجوب الصلاة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الاستصحاب من إحراز الموضوع، وهنا لم يكن الموضوع محققاً، وأنه أيُّ شيء؛ ء؛ لاحتمال كون الواجب هي الصلاة مع التيمم المقيّدة بالطلب إلى آخر الوقت، فلا يكون الموضوع ثابتاً حتى يستصحب حكمه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على فرض جريان الاستصحاب من جهة تسامح العرف في حكمهم ببقاء الموضوع ولا يعتدون بهذا المقدار من المخالفة فيثبت بالاستصحاب وجوب الصلاة مجملاً، وبواسطة شرطية الطهور في الصلاة نحكم بوجوب الصلاة مع التيمّم الذي فقد شرطه ، فهذا يكون من قبيل الأصل المثبت؛ لأنه إنما يتفرع على نفس الاستصحاب وجوب نفس الصلاة، وأمّا أنّه إذا كانت الصلاة واجباً فلا بُدَّ أن يكون واجباً مع هذا التيمّم فهو أمر آخر يستفاد من شيء آخر، ففي الحقيقة يكون الدليل مركباً من جزئين الاستصحاب،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والثاني من وجوه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العمومات الدالة على عدم سقوط الصلاة بحال </w:t>
      </w:r>
      <w:r>
        <w:rPr>
          <w:rStyle w:val="FootnoteAnchor"/>
          <w:rtl w:val="true"/>
        </w:rPr>
        <w:footnoteReference w:id="591"/>
      </w:r>
      <w:r>
        <w:rPr>
          <w:rFonts w:ascii="Amiri" w:hAnsi="Amiri" w:eastAsia="Amiri" w:cs="Amiri"/>
          <w:color w:val="111111"/>
          <w:sz w:val="28"/>
          <w:sz w:val="28"/>
          <w:szCs w:val="28"/>
          <w:rtl w:val="true"/>
          <w:lang w:bidi="ar-SA"/>
        </w:rPr>
        <w:t>، بناءً على ورودها في الشرائط والأجزاء المتعذرة جميعاً، حيث تدل على عدم سقوط الصلاة في حال من الأحوال، فكلما فقد شيء لا بُدَّ من الإتيان بالباقي، وههنا يكون التكليف بالصلاة المشروطة بالتيمم المشروط بالطلب، فإذا تعذر الشرط وهو الطلب فمقتضى العمومات عدم سقوط الصلاة وثبوت الصلاة، وهذا المقدار لا يكفي في إثبات صحة التيمّم ، بل مقتضاه ثبوت الصلاة بدون التيمم بواسطة فقدان شرطه فلا بُدَّ في إثبات صحة التيمم من أحد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القول بأنا وخصمنا معترفان بأنّه إذا وجبت الصلاة حينئذٍ لا بُدَّ من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باب أنّ مقتضى هذه العمومات وجوب الصلاة حتى على فاقد الطهورين إلا أن العمومات الدالة على شرطية الطهور في الصلاة حقيقتها</w:t>
      </w:r>
      <w:r>
        <w:rPr>
          <w:rStyle w:val="FootnoteAnchor"/>
          <w:rtl w:val="true"/>
        </w:rPr>
        <w:footnoteReference w:id="592"/>
      </w:r>
      <w:r>
        <w:rPr>
          <w:rFonts w:ascii="IRNazanin" w:hAnsi="IRNazanin" w:eastAsia="IRNazanin"/>
          <w:color w:val="111111"/>
          <w:sz w:val="28"/>
          <w:sz w:val="28"/>
          <w:szCs w:val="28"/>
          <w:rtl w:val="true"/>
          <w:lang w:bidi="fa-IR"/>
        </w:rPr>
        <w:t xml:space="preserve">فيكون المراد منها بواسطة هذا التخصيص عدم سقوط الصلاة إلا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الماء والتراب وعدم سقوطها في غيره وههنا يكون التراب موجوداً، فلا بُدَّ من الصلاة مع التيمم إلا أنه يردُ الإشكال حينئذ أنّ العمومات خُصصت بمخصص مبين مفهوماً ومجمل مصداقاً؛ لأنّ الطهور هو ما يحصل به الطهارة والشك في أنّ التيمم الذي فقد شرطه هل هو مصداق لهذا المفهوم أم لا ؟ ففي الشبهة المصداقية لا یصح التمسک بالعمومات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الصلاة بحال؛ عدم سقوطه في الموارد الجزئية أي سواءً طلب أم لم يطلب وسواءً فرّط في الطلب أو لا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في الطلب إلى تضيق الوقت لا يسقط عنه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فيستفاد منه و مما علم يقيناً من الشرع عدم الصلاة مع فقد الطهور أنّ طهوره هو هذا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لا يكون تخصيصاً حتى يكون المخصص مجملاً مصداقياً، بل يستكشف من عدم سقوط الصلاة حتى في حال التفريط وعدم الصلاة مع فقد الطهور أن طهوره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إطلاق الشرطية حتى في صورة الصلاة</w:t>
      </w:r>
      <w:r>
        <w:rPr>
          <w:rStyle w:val="FootnoteAnchor"/>
          <w:rtl w:val="true"/>
        </w:rPr>
        <w:footnoteReference w:id="593"/>
      </w:r>
      <w:r>
        <w:rPr>
          <w:rFonts w:ascii="Amiri" w:hAnsi="Amiri" w:eastAsia="Amiri" w:cs="Amiri"/>
          <w:color w:val="111111"/>
          <w:sz w:val="28"/>
          <w:sz w:val="28"/>
          <w:szCs w:val="28"/>
          <w:rtl w:val="true"/>
          <w:lang w:bidi="ar-SA"/>
        </w:rPr>
        <w:t>مع التفريط بالطلب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إطلاق أدلّة الشرطية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زرارة وخبر السكوني</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حسنة زرارة فهي تدل على أنّ الطلب الذي هو شرط في مورده لا بُدَّ أن يكون في الوقت لا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خبر السكوني فبأنّه مسوق لبيان مقدار الطلب في مقام يجب الطلب ونفي وجوب الزائد ويشهد له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يطلب أكثر من ذلك</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إطلاقها لا بُدَّ من تقييدها بصورة التمكن من الطلب؛ لأنّه لو لم يكن متمكناً من الطلب في الظاهر لا يكون الطلب حينئذ شرطاً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إن كان المقيّد هو الإجماع فيقتصر على مورده ولا يثمر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المقيّد هو ظاهر الآية؛ لأن المعلّق عليه التيمم هو عدم الوجدان وهو صادق مع عدم التمكن من الطلب فعلاً كما يشهد به تمسكهم لصدق عدم الوجدان هنا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صدق عدم الوجدان في المقام أيضاً؛ لأنّ عدم الوجدان مختلف باختلاف الموارد؛ لأنّ الظاهر من الآية عدم الوجدان مع عدم وجوب </w:t>
      </w:r>
      <w:r>
        <w:rPr>
          <w:rStyle w:val="FootnoteAnchor"/>
          <w:rtl w:val="true"/>
        </w:rPr>
        <w:footnoteReference w:id="596"/>
      </w:r>
      <w:r>
        <w:rPr>
          <w:rFonts w:ascii="Amiri" w:hAnsi="Amiri" w:eastAsia="Amiri" w:cs="Amiri"/>
          <w:color w:val="111111"/>
          <w:sz w:val="28"/>
          <w:sz w:val="28"/>
          <w:szCs w:val="28"/>
          <w:rtl w:val="true"/>
          <w:lang w:bidi="ar-SA"/>
        </w:rPr>
        <w:t>الصلاة والتمكن منها لا عدم الوجدان ولو مع فوت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تجدوا ماءً متمكنون من فعل الصلاة معه بقرينة سياق الآية وسابقها فإذا قمتم إلى الصلاة وأردتم الصلاة فاغسلوا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فالوضوء مطلوبٌ في حال التمكن من الصلاة فإذا كان المراد بعدم الوجدان هذا لا عدم وجدان الماء ولو مع فوت الصلاة فالظاهر صدق هذا مع التفريط بالطلب أيضاً ههنا؛ لأنّه بالطلب يحقق عدم الوجدان فلا ينافي تحققه بغيره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يتمسك في منع إطلاق الشرطية هو أنّ الوجوب الشرطي المستفاد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بحالة الإمكان، فما لم يكن فيه الطلب ممكناً لم يكن واجباً فيه، فلم يكن شرطاً حينئذ لأنّ الشرطية مستفادة من الأمر بالطلب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الشرطية حكم وضعي مستفاد من مقدمية الطلب لتحصيل الماء والمقدمية غير مقيدة بحالة الإمكان، فالشرطية تابعة لها والوجوب أيضاً تابع للشرطية، ولا يلزم من عدم امكان الطلب في حال عدم الإمكان تقييد منشأ الشرطية، وهي المقدمية، بل تقييد الطلب بصورة الإمكان، وفي قصور تعلق الطلب بغير المتمكن وهو غير موجود في المقدمية بل ثابتة في حالة الإمكان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من أخبار الطلب هو سياقها مع عدم الوجدان</w:t>
      </w:r>
      <w:r>
        <w:rPr>
          <w:rStyle w:val="FootnoteAnchor"/>
          <w:rtl w:val="true"/>
        </w:rPr>
        <w:footnoteReference w:id="597"/>
      </w:r>
      <w:r>
        <w:rPr>
          <w:rFonts w:ascii="Amiri" w:hAnsi="Amiri" w:eastAsia="Amiri" w:cs="Amiri"/>
          <w:color w:val="111111"/>
          <w:sz w:val="28"/>
          <w:sz w:val="28"/>
          <w:szCs w:val="28"/>
          <w:rtl w:val="true"/>
          <w:lang w:bidi="ar-SA"/>
        </w:rPr>
        <w:t>وبيان ما يتحقق به عدم الوجدان فلا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المراد بها إثبات شيء آخر فيكون بين ظاهر الآية وظاهر الأخبار تنافياً، فلا بُدَّ أن ينظر أنّ التنافي بينها باعتبار الإطلاق والتقييد حتى يلزم تقيد الآية أو يكون التعارض بالعموم من وجه حتى يرجع إلى المرجح</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التعارض من قبيل الأول؛ لأنّ عدم الوجدان مطلق في حال التمكن من الطلب وعدمه إلا أن الأخبار لا تدلّ على عموم الشرطية، وليس لها إطلاق حتى يثبت به الشرطية في زمان عدم التمكن من الطلب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في ذيل حسنة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خاف أن يفوته فليتيمم وليصل</w:t>
      </w:r>
      <w:r>
        <w:rPr>
          <w:rStyle w:val="FootnoteAnchor"/>
          <w:rtl w:val="true"/>
        </w:rPr>
        <w:footnoteReference w:id="598"/>
      </w:r>
      <w:r>
        <w:rPr>
          <w:rFonts w:ascii="Amiri" w:hAnsi="Amiri" w:eastAsia="Amiri" w:cs="Amiri"/>
          <w:color w:val="111111"/>
          <w:sz w:val="28"/>
          <w:sz w:val="28"/>
          <w:szCs w:val="28"/>
          <w:rtl w:val="true"/>
          <w:lang w:bidi="ar-SA"/>
        </w:rPr>
        <w:t>بناءً على أن التفريع ليس للطلب يعني إلى هذا الزمان بل يكون إما جملة مستقلة أو يكون التفريع باعتبار الوقت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الطلب الذي لا بُدَّ منه في محلّه إلى هذا الزمان، فإذا خاف فوت الوقت فقد مضى زمان الطلب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التفريع باعتبار الذكر كما هو متعارف من التفريع في مقام الذكر والاستدلال به يتم على هذه الاحتمالات؛ لأنه على هذه مطلق يعمّ ما نحن فيه، وإطلاقات بدلية التيمم أيضاً شاهدة على صحة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ضعف مستمسك القائلين بعدم الصحة بدون الطلب، وهو الاشتغال واستصحاب الشرطية والأخبار وعدم صدق عدم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الاشتغال فلم يثبت حتى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الشرطية فلعدم إحراز الموضوع وهو الشرطية وكونها مطلقة أو مقيّدة؛ لأنّ ما دلّ على اعتبارها ليس لها إطلاق بل مقيّدة بصورة عدم الضيق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 فقد عرفت حالها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الآية فلما ذكرنا من صدق عدم الوجدان فيما نحن فيه؛ لأنّ المراد عدم وجدان الماء الذي يثمر للصلاة وعدم فوت الصلاة، وهو غير متحقق فيما نحن فيه؛ لأنّ عدم الوجدان يختلف باختلاف الموارد، ففي مورد السعة لا يصدق إلا مع الطلب، وفي مورد الضيق وعدم التمكن معه من فعل الصلاة يصدق بدون الطلب، ولذا قالوا</w:t>
      </w:r>
      <w:r>
        <w:rPr>
          <w:rStyle w:val="FootnoteAnchor"/>
          <w:rtl w:val="true"/>
        </w:rPr>
        <w:footnoteReference w:id="599"/>
      </w:r>
      <w:r>
        <w:rPr>
          <w:rFonts w:ascii="Amiri" w:hAnsi="Amiri" w:eastAsia="Amiri" w:cs="Amiri"/>
          <w:color w:val="111111"/>
          <w:sz w:val="28"/>
          <w:sz w:val="28"/>
          <w:szCs w:val="28"/>
          <w:rtl w:val="true"/>
          <w:lang w:bidi="ar-SA"/>
        </w:rPr>
        <w:t>فيما لو لم يتمكن من الطلب من أول الوقت إلى آخره بصحة التيمم وصدق عدم الوجدان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صورة العلم بعدم وجود الماء في محل الطلب قالوا بعدم وجوب الطلب وصدقه بدونه فثبت صحة التيمّم والصلاة، ومقتضى صحة التيمم والصلاة عدم </w:t>
      </w:r>
    </w:p>
    <w:p>
      <w:pPr>
        <w:pStyle w:val="BookText"/>
        <w:rPr/>
      </w:pPr>
      <w:r>
        <w:rPr>
          <w:rFonts w:ascii="Amiri" w:hAnsi="Amiri" w:eastAsia="Amiri" w:cs="Amiri"/>
          <w:color w:val="111111"/>
          <w:sz w:val="28"/>
          <w:sz w:val="28"/>
          <w:szCs w:val="28"/>
          <w:rtl w:val="true"/>
          <w:lang w:bidi="ar-SA"/>
        </w:rPr>
        <w:t>وجوب الإعادة والقضاء لامتثال التكليف الواقعي الاضطراري، ولا يكون من التكليف الظاهري حتى يجري فيه الكلام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الإجزاء إنّما هو بالنسبة إلى الأوامر الظاهرية إما بالقياس إلى نفسها أو بالقياس إلى الأمر الواقعي، ولا يجري بالنسبة إلى الأوامر الظاهرية، لا بالقياس إلى نفسها أو بالقياس إلى الأمر الواقعي سواءً كان اختيارياً أو اضطرارياً؛ لأنّ احتمال عدم الإجزاء بواسطة حصول خللٍ عَرضَ في الأمر الظاهري وعدم مطابقته للأمر الواقعي المطلوب بنفسه وإن كان يظهر من بعض جريان الكلام بالنسبة إلى الواقعي الاضطراري، بل في الواقعي الاختياري كما قرّر في محلّه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التيمم ليس من التكليف الواقعي البدلي حتى يقوم مقامه واقعاً وتترتب عليه آثاره، بل لمحض عدم إخلاء الزمان من التكليف، بل البدل المحقق هو التيمم مع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شمول إطلاقات بدلية التيمم له فيكون من التكليف البدلي ويترتب عليه آثاره وهو عدم الإعادة والقضاء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يظهر من جماعة من المحققين </w:t>
      </w:r>
      <w:r>
        <w:rPr>
          <w:rStyle w:val="FootnoteAnchor"/>
          <w:rtl w:val="true"/>
        </w:rPr>
        <w:footnoteReference w:id="601"/>
      </w:r>
      <w:r>
        <w:rPr>
          <w:rFonts w:ascii="IRNazanin" w:hAnsi="IRNazanin" w:eastAsia="IRNazanin"/>
          <w:color w:val="111111"/>
          <w:sz w:val="28"/>
          <w:sz w:val="28"/>
          <w:szCs w:val="28"/>
          <w:rtl w:val="true"/>
          <w:lang w:bidi="fa-IR"/>
        </w:rPr>
        <w:t xml:space="preserve">وجوب الإعادة والقضاء وإن كانت أنه بعيد الإعادة لا تتصور؛ لأنا فرضنا في الضيق إلا باعتبار انكشاف الخلاف وهو مع يخرج عن محل الفرض؛ إذ الكلام في الضيق الواقعي واستندوا في ذلك إلى خبر أبي بصير وهو عن رجل كان في سفر ومعه ماء فنسيه وتيمّم وصلّى ثم ذكر الماء بعد خروج الوقت؟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أن يتوضأ ويعيد الصلاة</w:t>
      </w:r>
      <w:r>
        <w:rPr>
          <w:rFonts w:eastAsia="IRNazanin" w:cs="IRNazanin"/>
          <w:color w:val="111111"/>
          <w:sz w:val="28"/>
          <w:szCs w:val="28"/>
          <w:rtl w:val="true"/>
          <w:lang w:bidi="fa-IR"/>
        </w:rPr>
        <w:t>»</w:t>
      </w:r>
      <w:r>
        <w:rPr>
          <w:rStyle w:val="FootnoteAnchor"/>
          <w:rtl w:val="true"/>
        </w:rPr>
        <w:footnoteReference w:id="602"/>
      </w:r>
      <w:r>
        <w:rPr>
          <w:rFonts w:ascii="Amiri" w:hAnsi="Amiri" w:eastAsia="Amiri" w:cs="Amiri"/>
          <w:color w:val="111111"/>
          <w:sz w:val="28"/>
          <w:sz w:val="28"/>
          <w:szCs w:val="28"/>
          <w:rtl w:val="true"/>
          <w:lang w:bidi="ar-SA"/>
        </w:rPr>
        <w:t>وهو مع عدم صحة سنده</w:t>
      </w:r>
      <w:r>
        <w:rPr>
          <w:rStyle w:val="FootnoteAnchor"/>
          <w:rtl w:val="true"/>
        </w:rPr>
        <w:footnoteReference w:id="603"/>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 xml:space="preserve">يعلم خبره أيضاً؛ لاحتمال كون مرادهم ليس فيه دلالة على ما نحن فيه أبداً؛ إذ هو ظاهر في سعة الوقت وكلامنا في الضيق، وكلامنا في صورة الإخلال بالطلب ولم تدلّ عليه الرواية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وجود شرائط التيمم كلاً، إلا أنّ المانع منه نسيان الماء فلم نعلم أنّه كيف استندوا إليه في إثبات الحكم المخالف للقاعدة مع تصريح بعضهم مثل الشهيد</w:t>
      </w:r>
      <w:r>
        <w:rPr>
          <w:rStyle w:val="FootnoteAnchor"/>
          <w:rtl w:val="true"/>
        </w:rPr>
        <w:footnoteReference w:id="604"/>
      </w:r>
      <w:r>
        <w:rPr>
          <w:rFonts w:ascii="Amiri" w:hAnsi="Amiri" w:eastAsia="Amiri" w:cs="Amiri"/>
          <w:color w:val="111111"/>
          <w:sz w:val="28"/>
          <w:sz w:val="28"/>
          <w:szCs w:val="28"/>
          <w:rtl w:val="true"/>
          <w:lang w:bidi="ar-SA"/>
        </w:rPr>
        <w:t>بكون الحكم مخالفاً إلا أنّ الخبر ألجأنا إلى القول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مراده بالخبر غير خبر أبي بصير وإلا فليس فيه دلالة على المدعى، مع أنه ضعيف، ولا يقول الشهيد بانجبار الخبر بالشهرة لو كانت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كان القول بالإعادة لا يخلو من منع ؛ لاقتضاء الإجزاء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الأصل في هذا الفرض مع قطع النظر عن قيام الأدلة هو الاحتياط بالإعادة والقضاء لو تصور الاحتياط؛ لأنّ التكليف ثابت يكون مردداً بين الإعادة والقضاء؛ لأنه يحتمل فوت التكليف عند ضيق الوقت بواسطة كون الطلب شرطاً على الإطلاق، حتى في صورة الضيق، فيكون التكليف بأصل الفعل حتى مع التيمم، غاية الأمركون وقت القضاء موسعاً لا بُدَّ من تحصيل الماء فيه وعدم الاكتفاء بالتيمم، بل لو أمكن تحصيل الماء حينئذ بحيث يمكن له استعماله يصح منه الفعل حينئذ، لكن قلنا إنّ مقتضى الأدلّة كون الفعل مردداً، وعدم شرطية الطلب حتى في الفرض المذكور، وقد عرفت أنّ الطلب شرط إلا في حال الضيق</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والطلب إنّما يتصور مع رجاء وجود الماء، فلو لم يرج وجود الماء في القدر الذي ذكر، وحينئذ بواسطة علمه بعدم الماء اعتقد عدم وجوب الطلب؛ لأنّ الطلب إنّما يكون مع رجاء الماء، فحينئذ إما أن يكون علمه هذا مطابقاً للواقع بأنّ لا يكون الماء في </w:t>
      </w:r>
      <w:bookmarkStart w:id="266" w:name="pg9203_87205"/>
    </w:p>
    <w:p>
      <w:pPr>
        <w:pStyle w:val="BookText"/>
        <w:rPr/>
      </w:pPr>
      <w:bookmarkEnd w:id="266"/>
      <w:r>
        <w:rPr>
          <w:rFonts w:ascii="Amiri" w:hAnsi="Amiri" w:eastAsia="Amiri" w:cs="Amiri"/>
          <w:color w:val="111111"/>
          <w:sz w:val="28"/>
          <w:sz w:val="28"/>
          <w:szCs w:val="28"/>
          <w:rtl w:val="true"/>
          <w:lang w:bidi="ar-SA"/>
        </w:rPr>
        <w:t>الوقت موجوداً، فحينئذ يصح التيمم بدون الطلب؛ لأنّ الطلب ليس تعبدياً محضاً</w:t>
      </w:r>
      <w:r>
        <w:rPr>
          <w:rStyle w:val="FootnoteAnchor"/>
          <w:rtl w:val="true"/>
        </w:rPr>
        <w:footnoteReference w:id="606"/>
      </w:r>
      <w:r>
        <w:rPr>
          <w:rFonts w:ascii="Amiri" w:hAnsi="Amiri" w:eastAsia="Amiri" w:cs="Amiri"/>
          <w:color w:val="111111"/>
          <w:sz w:val="28"/>
          <w:sz w:val="28"/>
          <w:szCs w:val="28"/>
          <w:rtl w:val="true"/>
          <w:lang w:bidi="ar-SA"/>
        </w:rPr>
        <w:t>، بل لتحقق الماء، وحينئذ وإن قلنا بعدم صدق عدم الوجدان إلا أنه وجد شيء هو الغرض من شرطية عدم الوجدان وأعلى منه، وحصل أحد الشرطين اللذين ذكرناهما سابقاً وهو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علمه مطابقاً للواقع بأنّ كان الماء موجوداً في الواقع فالمكلف حينئذٍ بواسطة اعتقاده عدم الماء يعتقد عدم وجوب الطلب لعدم رجاء الماء عنده، فحينئذ فإنّ قلنا إنّ أدلّة وجوب الطلب مقيّدة بصورة الرجاء ويكون تقييداً لفظياً، بمعنى أن مفاد الدليل أنه يشترط الطلب في صورة الرجاء فلا بُدَّ من أنّ يقال بعدم وجوب الطلب وصحة التيمم للأمر بالتيمم حينئذٍ لعدم الشرطية حينئذٍ بمقتضى إطلاقات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إنّ هذا التقييد عقلي بمعنى أنّ أدلّة الطلب مطلقة، غاية الأمر أنّ العقل يحكم بعدم الطلب حين عدم الرجاء، فحينئذٍ يعتقد المكلف الأمر بالتيمم بواسطة اعتقاده عدم الماء وعدم الطلب، وفي الواقع كان الأمر بالطلب موجوداً وهو تخيل عدم الأمر لا وجود الأمر في الواقع، فلا يصح التيمم في الواقع فيجب عليه القضاء حين انكشاف الخلاف ،عليه فتدبر </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3967990_2870459653"/>
      <w:bookmarkStart w:id="268" w:name="_Toc94"/>
      <w:bookmarkEnd w:id="267"/>
      <w:r>
        <w:rPr>
          <w:rtl w:val="true"/>
        </w:rPr>
        <w:t xml:space="preserve">[ </w:t>
      </w:r>
      <w:r>
        <w:rPr>
          <w:rtl w:val="true"/>
        </w:rPr>
        <w:t xml:space="preserve">ا لو نسي الماء وتيمّم وصلّى مع السعة </w:t>
      </w:r>
      <w:r>
        <w:rPr>
          <w:rtl w:val="true"/>
        </w:rPr>
        <w:t>]</w:t>
      </w:r>
      <w:bookmarkEnd w:id="268"/>
    </w:p>
    <w:p>
      <w:pPr>
        <w:pStyle w:val="BookText"/>
        <w:rPr/>
      </w:pPr>
      <w:r>
        <w:rPr>
          <w:rFonts w:ascii="Amiri" w:hAnsi="Amiri" w:eastAsia="Amiri" w:cs="Amiri"/>
          <w:color w:val="111111"/>
          <w:sz w:val="28"/>
          <w:sz w:val="28"/>
          <w:szCs w:val="28"/>
          <w:rtl w:val="true"/>
          <w:lang w:bidi="ar-SA"/>
        </w:rPr>
        <w:t xml:space="preserve">ثم إنّه لو نسي الماء وتيمّم وصلّى مع السعة فالخبر المذكور سابقاً </w:t>
      </w:r>
      <w:r>
        <w:rPr>
          <w:rStyle w:val="FootnoteAnchor"/>
          <w:rtl w:val="true"/>
        </w:rPr>
        <w:footnoteReference w:id="607"/>
      </w:r>
      <w:r>
        <w:rPr>
          <w:rFonts w:ascii="Amiri" w:hAnsi="Amiri" w:eastAsia="Amiri" w:cs="Amiri"/>
          <w:color w:val="111111"/>
          <w:sz w:val="28"/>
          <w:sz w:val="28"/>
          <w:szCs w:val="28"/>
          <w:rtl w:val="true"/>
          <w:lang w:bidi="ar-SA"/>
        </w:rPr>
        <w:t>يدلّ على وجوب الإعادة لو انكشف الخلاف، فلا يخلو إمّا أن يكون وقت التيمم هو ضيق الوقت وهو أتى به في السعة كما هو مقتضى الحكم بالإعادة فيكون الأمر بالإعادة والقضاء متجهاً؛ لعدم وقوع التيمّم فلا يكون الخبر حينئذ مخالفاً للقاعدة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يكون وقته السعة مطلقاً سواءً كان مع عدم الرجاء أو مع الرجاء، حینئذٍ فلاحظ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يشكل الحكم بالإعادة؛ إذ الظاهر من السؤال والجواب أنّ شرائط التيمم كلها موجودة سوى أنه نسي الماء، والمانع لو كان فهو منحصر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القاعدة حينئذٍ صحة التيمّم وعدم الإعادة، فحينئذ لا بُدَّ من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رد الخبر لضعفه وعدم الشهرة لجبره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بمقتضاه لورود الخبر 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فنقتصر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وقت التيمم هو السعة مع عدم رجاء وجود الماء، فحينئذ هذا الشخص أيضاً لم يرجَ في وجود الماء بواسطة ما ذكرناه من انحصار المانع في المذكور، وعدم المانع من جهة أخرى، من جهة الطلب وغيره ويعتقد عدم الماء فيجري الكلام المتقدم سابقاً، فإنّ قلنا إنّ تقييد الطلب بالرجاء يكون لفظياً يصح التيمم؛ لأنه بواسطة نسيانه إنّما</w:t>
      </w:r>
    </w:p>
    <w:p>
      <w:pPr>
        <w:pStyle w:val="BookText"/>
        <w:rPr/>
      </w:pPr>
      <w:r>
        <w:rPr>
          <w:rFonts w:ascii="Amiri" w:hAnsi="Amiri" w:eastAsia="Amiri" w:cs="Amiri"/>
          <w:color w:val="111111"/>
          <w:sz w:val="28"/>
          <w:sz w:val="28"/>
          <w:szCs w:val="28"/>
          <w:rtl w:val="true"/>
          <w:lang w:bidi="ar-SA"/>
        </w:rPr>
        <w:t>اعتقد عدم وجود الماء ولم يرج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الكلام في هذا المقام أنّ الظاهر من العلماء عدم وجوب الطلب في صورة العلم بعدم وجود الماء</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وصحة التيمم بدونه حتى كأنه إجماعي، ولم يخالف فيه أحد إلا ما يحكى عن الشهيد</w:t>
      </w:r>
      <w:r>
        <w:rPr>
          <w:rStyle w:val="FootnoteAnchor"/>
          <w:rtl w:val="true"/>
        </w:rPr>
        <w:footnoteReference w:id="609"/>
      </w:r>
      <w:r>
        <w:rPr>
          <w:rFonts w:ascii="IRNazanin" w:hAnsi="IRNazanin" w:eastAsia="IRNazanin"/>
          <w:color w:val="111111"/>
          <w:sz w:val="28"/>
          <w:sz w:val="28"/>
          <w:szCs w:val="28"/>
          <w:rtl w:val="true"/>
          <w:lang w:bidi="fa-IR"/>
        </w:rPr>
        <w:t xml:space="preserve">وعن بعض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لانتفاء فائدة الطلب حينئذ أو لأن الطلب في صورة الرجاء والاحتمال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وظاهرهم أيضاً الإجزاء في كل مورد يصح فيه التيمّم، فيكون التيمم في صورة العلم صحيحاً مجزياً فلا يكون الطلب شرطاً على الإطلاق في صحّة التيمّم؛ لعدم صدق هذا المفهوم في حقه؛ لما قلناه، حتى لو تفحص أيضاً لم يتحقق هذا المفهوم؛ لأنّه </w:t>
      </w:r>
      <w:bookmarkStart w:id="269" w:name="pg9203_87207"/>
    </w:p>
    <w:p>
      <w:pPr>
        <w:pStyle w:val="BookText"/>
        <w:rPr/>
      </w:pPr>
      <w:bookmarkEnd w:id="269"/>
      <w:r>
        <w:rPr>
          <w:rFonts w:ascii="Amiri" w:hAnsi="Amiri" w:eastAsia="Amiri" w:cs="Amiri"/>
          <w:color w:val="111111"/>
          <w:sz w:val="28"/>
          <w:sz w:val="28"/>
          <w:szCs w:val="28"/>
          <w:rtl w:val="true"/>
          <w:lang w:bidi="ar-SA"/>
        </w:rPr>
        <w:t xml:space="preserve">في صورة الاحتمال يقيناً فلا يتحقق هذا الشرط في صورة العلم فلا بُدَّ أن يكون للتيمم شرط آخر وهو إما العلم بنفيه أو عدم الماء الواقعي، ولازم الثاني عدم إجزاء التيمم في صورة عدم مصادفة العلم للواقع، وظاهرهم الإجزاء فيها بمقتضى ما يظهر منهم من إجزاء التيمم في كل ما يصح فيه التيمم ، فحينئذ نقول إنّ الشرط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الطلب وإمّا العلم من أي سبب حصل مطلقاً أو العلم مع الإحاطة؛ لأنه أقرب من معنى الطلب من غيره إلا أنّ الأصحاب لم يفصلوا بين العلم، ومقتضى عدم التفصيل اعتبار مطلق العلم، فيكون عدم الوجدان المذكور في الآية كناية عن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صورة عدم وجود الماء</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3967992_2870459653"/>
      <w:bookmarkStart w:id="271" w:name="_Toc95"/>
      <w:bookmarkEnd w:id="270"/>
      <w:r>
        <w:rPr>
          <w:rtl w:val="true"/>
        </w:rPr>
        <w:t>[</w:t>
      </w:r>
      <w:r>
        <w:rPr>
          <w:rtl w:val="true"/>
        </w:rPr>
        <w:t xml:space="preserve">عدم جوز إراقة الماء في الوقت </w:t>
      </w:r>
      <w:r>
        <w:rPr>
          <w:rtl w:val="true"/>
        </w:rPr>
        <w:t>]</w:t>
      </w:r>
      <w:bookmarkEnd w:id="271"/>
    </w:p>
    <w:p>
      <w:pPr>
        <w:pStyle w:val="BookText"/>
        <w:rPr/>
      </w:pPr>
      <w:r>
        <w:rPr>
          <w:rFonts w:ascii="Amiri" w:hAnsi="Amiri" w:eastAsia="Amiri" w:cs="Amiri"/>
          <w:color w:val="111111"/>
          <w:sz w:val="28"/>
          <w:sz w:val="28"/>
          <w:szCs w:val="28"/>
          <w:rtl w:val="true"/>
          <w:lang w:bidi="ar-SA"/>
        </w:rPr>
        <w:t>وأما لو كان معه ماء فهل يجوز إراقته أم لا، مع العلم بعدم وجود الماء بعده؟</w:t>
      </w:r>
    </w:p>
    <w:p>
      <w:pPr>
        <w:pStyle w:val="BookText"/>
        <w:rPr/>
      </w:pPr>
      <w:r>
        <w:rPr>
          <w:rFonts w:ascii="Amiri" w:hAnsi="Amiri" w:eastAsia="Amiri" w:cs="Amiri"/>
          <w:color w:val="111111"/>
          <w:sz w:val="28"/>
          <w:sz w:val="28"/>
          <w:szCs w:val="28"/>
          <w:rtl w:val="true"/>
          <w:lang w:bidi="ar-SA"/>
        </w:rPr>
        <w:t>والكلام فيه تارة يكون في الوقت وتارة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ونتكلم أولاً في جواز إراقته في الوقت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الظاهر عدم جواز الإراقة ويكون آثما بواسطة الاراقة؛ لأنّ التكليف بالوضوء مطلق فتجب مقدماته من التحفظ والتحصيل وغير ذلك، فإراقته تفويت لهذا التكليف، وان ترتب على فوته تكليف التيمم إلا أنه مطلق ترتب على عصيان التكليف الأول، وكذا الحال بالنسبة إلى سائر المقدمات، مثلاً يلزم إبقاء الصحة فلا يجوز تمريض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مقتضى إطلاق الأمر وجوبه ما دام التمكن، فيجب تحصيل هذا الواجب ما دام تحقق القدرة عليه، بل مقتضاه لزوم رفع المرض لو كان قادراً على رفعه بأن يتمكن من تداوي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جرحه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يندمل، ولم أر من الأصحاب من صرّح بلزوم التداوي إلا أنّ مقتضى القاعدة هو ذلک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يلزم إيجاد الماء أيضاً بالمزج بأنّ يمزج الماء المطلق الذي لا يكفي الوضوء </w:t>
      </w:r>
    </w:p>
    <w:p>
      <w:pPr>
        <w:pStyle w:val="BookText"/>
        <w:rPr/>
      </w:pPr>
      <w:r>
        <w:rPr>
          <w:rFonts w:ascii="Amiri" w:hAnsi="Amiri" w:eastAsia="Amiri" w:cs="Amiri"/>
          <w:color w:val="111111"/>
          <w:sz w:val="28"/>
          <w:sz w:val="28"/>
          <w:szCs w:val="28"/>
          <w:rtl w:val="true"/>
          <w:lang w:bidi="ar-SA"/>
        </w:rPr>
        <w:t>بالمضاف بحيث لم يخرج عن الإطلاق كما صرح به جمع من الأصحاب</w:t>
      </w:r>
      <w:r>
        <w:rPr>
          <w:rStyle w:val="FootnoteAnchor"/>
          <w:rtl w:val="true"/>
        </w:rPr>
        <w:footnoteReference w:id="611"/>
      </w:r>
      <w:r>
        <w:rPr>
          <w:rFonts w:ascii="Amiri" w:hAnsi="Amiri" w:eastAsia="Amiri" w:cs="Amiri"/>
          <w:color w:val="111111"/>
          <w:sz w:val="28"/>
          <w:sz w:val="28"/>
          <w:szCs w:val="28"/>
          <w:rtl w:val="true"/>
          <w:lang w:bidi="ar-SA"/>
        </w:rPr>
        <w:t>، أو حفر بئر أو بإعمال بعض الأشياء مثل خروج الماء من الحجر، إلا أنه لم يلتزم الأصحاب بالثالث وإنّما قاله بعض بالأولين</w:t>
      </w:r>
      <w:r>
        <w:rPr>
          <w:rStyle w:val="FootnoteAnchor"/>
          <w:rtl w:val="true"/>
        </w:rPr>
        <w:footnoteReference w:id="612"/>
      </w:r>
      <w:r>
        <w:rPr>
          <w:rFonts w:ascii="Amiri" w:hAnsi="Amiri" w:eastAsia="Amiri" w:cs="Amiri"/>
          <w:color w:val="111111"/>
          <w:sz w:val="28"/>
          <w:sz w:val="28"/>
          <w:szCs w:val="28"/>
          <w:rtl w:val="true"/>
          <w:lang w:bidi="ar-SA"/>
        </w:rPr>
        <w:t xml:space="preserve">، ولعلّ نظرهم في ذلك إلى أنّ الشرط في الواجب المطلق هو تحصيل الماء الموجود لا إيجاد الماء، وإنّما يكون الواجب بالنسبة إليه مشروطاً، ومن ذلك نفى بعض </w:t>
      </w:r>
      <w:r>
        <w:rPr>
          <w:rStyle w:val="FootnoteAnchor"/>
          <w:rtl w:val="true"/>
        </w:rPr>
        <w:footnoteReference w:id="613"/>
      </w:r>
      <w:r>
        <w:rPr>
          <w:rFonts w:ascii="Amiri" w:hAnsi="Amiri" w:eastAsia="Amiri" w:cs="Amiri"/>
          <w:color w:val="111111"/>
          <w:sz w:val="28"/>
          <w:sz w:val="28"/>
          <w:szCs w:val="28"/>
          <w:rtl w:val="true"/>
          <w:lang w:bidi="ar-SA"/>
        </w:rPr>
        <w:t>وجوب المزج بالمضاف ، كما أنه يفهم من العرف أيضاً ذلك، ، مثل ما لو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إكرام العالم الموجود لا مطلوبية إكرام العالم ولو بتحصيل الموضوع، بأن يرى شخصاً فيعلمه حتى يصير عالماً ثمّ يكرمه إلّا أنّ هذا المطلب بالنسبة إلى الموارد مختلف، ففي بعض الموارد يفهم المطلوبية حتى بالنسبة إلى الإيجاد وفي بعض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موجود في صورة المزج وإن قلنا بشرطية الوجود، وكذا في حفر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قلنا بكون الخطاب بالغسل مطلقاً شاملاً لجميع المكلفين أولاً ثمّ ورد</w:t>
      </w:r>
    </w:p>
    <w:p>
      <w:pPr>
        <w:pStyle w:val="BookText"/>
        <w:rPr/>
      </w:pPr>
      <w:r>
        <w:rPr>
          <w:rFonts w:ascii="Amiri" w:hAnsi="Amiri" w:eastAsia="Amiri" w:cs="Amiri"/>
          <w:color w:val="111111"/>
          <w:sz w:val="28"/>
          <w:sz w:val="28"/>
          <w:szCs w:val="28"/>
          <w:rtl w:val="true"/>
          <w:lang w:bidi="ar-SA"/>
        </w:rPr>
        <w:t>التقييد بعدم المرض مثلاً ، ولم يلاحظ في الخطاب أحوال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قلنا بأنّ الخطاب ليس فيه إطلاق بل يلاحظ فيه حال المكلفين فيكون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 بالغسل شاملاً للأصحاء من حيث كونهم أصحاء فيكون التشريع </w:t>
      </w:r>
      <w:r>
        <w:rPr>
          <w:rStyle w:val="FootnoteAnchor"/>
          <w:rtl w:val="true"/>
        </w:rPr>
        <w:footnoteReference w:id="614"/>
      </w:r>
      <w:r>
        <w:rPr>
          <w:rFonts w:ascii="Amiri" w:hAnsi="Amiri" w:eastAsia="Amiri" w:cs="Amiri"/>
          <w:color w:val="111111"/>
          <w:sz w:val="28"/>
          <w:sz w:val="28"/>
          <w:szCs w:val="28"/>
          <w:rtl w:val="true"/>
          <w:lang w:bidi="ar-SA"/>
        </w:rPr>
        <w:t xml:space="preserve">في التكليف من أول الأمر، فكأنه قال الأصحاء حكمهم كذا أو المرضى حكمهم كذا، وكذا الواجدون حكمهم كذا ، وغير الواجدين حكمهم كذا فيكون من قبيل الحاضر والمسافر، فيكون كل تكليف في عرض الآخر، فلا تكون الإراقة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w:t>
      </w:r>
      <w:bookmarkStart w:id="272" w:name="pg9203_87209"/>
    </w:p>
    <w:p>
      <w:pPr>
        <w:pStyle w:val="BookText"/>
        <w:rPr/>
      </w:pPr>
      <w:bookmarkEnd w:id="272"/>
      <w:r>
        <w:rPr>
          <w:rFonts w:ascii="Amiri" w:hAnsi="Amiri" w:eastAsia="Amiri" w:cs="Amiri"/>
          <w:color w:val="111111"/>
          <w:sz w:val="28"/>
          <w:sz w:val="28"/>
          <w:szCs w:val="28"/>
          <w:rtl w:val="true"/>
          <w:lang w:bidi="ar-SA"/>
        </w:rPr>
        <w:t>السفر بعد دخول الوقت فيستفاد من الخطاب التخيير بين كونه تحت هذا الموضوع أو ذلك إلا أنّ الظاهر هو استفادة ،الإطلاق، فيتفرع عليه ما فرعناه هذا بالنسبة إلى الوقت</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3967994_2870459653"/>
      <w:bookmarkStart w:id="274" w:name="_Toc96"/>
      <w:bookmarkEnd w:id="273"/>
      <w:r>
        <w:rPr>
          <w:rtl w:val="true"/>
        </w:rPr>
        <w:t>[</w:t>
      </w:r>
      <w:r>
        <w:rPr>
          <w:rtl w:val="true"/>
        </w:rPr>
        <w:t xml:space="preserve">كراهة إراقة الماء قبل الوقت </w:t>
      </w:r>
      <w:r>
        <w:rPr>
          <w:rtl w:val="true"/>
        </w:rPr>
        <w:t>]</w:t>
      </w:r>
      <w:bookmarkEnd w:id="274"/>
    </w:p>
    <w:p>
      <w:pPr>
        <w:pStyle w:val="BookText"/>
        <w:rPr/>
      </w:pPr>
      <w:r>
        <w:rPr>
          <w:rFonts w:ascii="Amiri" w:hAnsi="Amiri" w:eastAsia="Amiri" w:cs="Amiri"/>
          <w:color w:val="111111"/>
          <w:sz w:val="28"/>
          <w:sz w:val="28"/>
          <w:szCs w:val="28"/>
          <w:rtl w:val="true"/>
          <w:lang w:bidi="ar-SA"/>
        </w:rPr>
        <w:t>وأمّا بالنسبة إلى قبل الوقت ففيه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بعدم الجواز مطلقاً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بالجواز مطلقاً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بالتفصيل</w:t>
      </w:r>
      <w:r>
        <w:rPr>
          <w:rStyle w:val="FootnoteAnchor"/>
          <w:rtl w:val="true"/>
        </w:rPr>
        <w:footnoteReference w:id="617"/>
      </w:r>
      <w:r>
        <w:rPr>
          <w:rFonts w:ascii="Amiri" w:hAnsi="Amiri" w:eastAsia="Amiri" w:cs="Amiri"/>
          <w:color w:val="111111"/>
          <w:sz w:val="28"/>
          <w:sz w:val="28"/>
          <w:szCs w:val="28"/>
          <w:rtl w:val="true"/>
          <w:lang w:bidi="ar-SA"/>
        </w:rPr>
        <w:t>بين ما يسع الوقت للفعل ومقدماته كما فيما نحن فيه فعدم الوجوب، وما لا يسع الوقت له ولمقدماته فوجوب تحصيل المقدمات وحفظها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البهبهاني في شرح المفاتيح</w:t>
      </w:r>
      <w:r>
        <w:rPr>
          <w:rStyle w:val="FootnoteAnchor"/>
          <w:rtl w:val="true"/>
        </w:rPr>
        <w:footnoteReference w:id="618"/>
      </w:r>
      <w:r>
        <w:rPr>
          <w:rFonts w:ascii="Amiri" w:hAnsi="Amiri" w:eastAsia="Amiri" w:cs="Amiri"/>
          <w:color w:val="111111"/>
          <w:sz w:val="28"/>
          <w:sz w:val="28"/>
          <w:szCs w:val="28"/>
          <w:rtl w:val="true"/>
          <w:lang w:bidi="ar-SA"/>
        </w:rPr>
        <w:t xml:space="preserve">بعدم جواز الإراقة قبل الوقت إذا علم بعدم وجود الماء بعده وكذا قال مع احتماله وكأن نظره إلى أن الوقت ليس من شرط الوجوب، بل الواجب مطلق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الوقت غايته كونه معلقاً بالنسبة إليه لا ،منجزاً، فيجب حفظ المقدمات وتحصيلها لكونها شرط الواجب المطلق المعلق، وكذا تمسك بوجوه ضعيفة إلا أن الفرق بين الواجب المشروط والمعلق أنّ الوقت يكون ظرفاً للفعل في الثاني وظرفاً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لا محصل له؛ لأنا لم نجد فرقاً بينهما في عالم اللب والواقع من هذه الجهة بل الفرق بينهما إن كان فمن جهة اعتبار القدرة المطلقة في الثاني والقدرة الناقصة في الأول ، ومن المعلوم عدم اعتبار القدرة المطلقة بالنسبة إلى الوقت والصلاة بل المعتبر هي القدرة بالنسبة إلى الوقت، ولو فرضنا كون </w:t>
      </w:r>
    </w:p>
    <w:p>
      <w:pPr>
        <w:pStyle w:val="BookText"/>
        <w:rPr/>
      </w:pPr>
      <w:r>
        <w:rPr>
          <w:rFonts w:ascii="Amiri" w:hAnsi="Amiri" w:eastAsia="Amiri" w:cs="Amiri"/>
          <w:color w:val="111111"/>
          <w:sz w:val="28"/>
          <w:sz w:val="28"/>
          <w:szCs w:val="28"/>
          <w:rtl w:val="true"/>
          <w:lang w:bidi="ar-SA"/>
        </w:rPr>
        <w:t>الواجب مطلقاً يكون تعبدياً</w:t>
      </w:r>
      <w:r>
        <w:rPr>
          <w:rStyle w:val="FootnoteAnchor"/>
          <w:rtl w:val="true"/>
        </w:rPr>
        <w:footnoteReference w:id="619"/>
      </w:r>
      <w:r>
        <w:rPr>
          <w:rFonts w:ascii="Amiri" w:hAnsi="Amiri" w:eastAsia="Amiri" w:cs="Amiri"/>
          <w:color w:val="111111"/>
          <w:sz w:val="28"/>
          <w:sz w:val="28"/>
          <w:szCs w:val="28"/>
          <w:rtl w:val="true"/>
          <w:lang w:bidi="ar-SA"/>
        </w:rPr>
        <w:t>بالنسبة إلى شرط الطهارة بأدلة خاصة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دخل الوقت وجب الطهور والصلاة</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ومقتضاه عدم الوجوب قبل الوقت ولا يلزم مما ذكرنا من كون الوقت شرط الوجوب فلا يلزم تحصيل المقدمات قبله عدم وجوب إتيان المقدمات التي لا يسع الوقت لفعلها كمقدمات الحج كالسير إلى مكة وتعليم مسائله، لذا العقل يحكم بالقبح وبوجوب التحصيل فيه دون ما يسع الوقت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يلزم عدم وجوب التعلم بمعنى الفحص عن التكاليف الواقعية التي لا يعلمها المكلف ؛ إذ الفرق واضح بينها وبين ما نحن فيه؛ إذ التكاليف فيها ثابتة على المكلف في ظرف الواقع إلا أن تنجزها مشروط بالعلم بخلاف ما نحن فيه؛ حيث لا يكون التكليف ثابتاً في الواقع أصلاً فيكون العقل حاكماً بوجوب التعلم كما يشهد به الأخبار الواردة في لزوم التعلم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ذكرناه ظهر جواز الإراقة قبل الوقت فما ورد في بعض الأخبار من النهي عن الإراقة </w:t>
      </w:r>
      <w:r>
        <w:rPr>
          <w:rStyle w:val="FootnoteAnchor"/>
          <w:rtl w:val="true"/>
        </w:rPr>
        <w:footnoteReference w:id="621"/>
      </w:r>
      <w:r>
        <w:rPr>
          <w:rFonts w:ascii="Amiri" w:hAnsi="Amiri" w:eastAsia="Amiri" w:cs="Amiri"/>
          <w:color w:val="111111"/>
          <w:sz w:val="28"/>
          <w:sz w:val="28"/>
          <w:szCs w:val="28"/>
          <w:rtl w:val="true"/>
          <w:lang w:bidi="ar-SA"/>
        </w:rPr>
        <w:t>في أرض لا ماء فيها</w:t>
      </w:r>
      <w:r>
        <w:rPr>
          <w:rStyle w:val="FootnoteAnchor"/>
          <w:rtl w:val="true"/>
        </w:rPr>
        <w:footnoteReference w:id="622"/>
      </w:r>
      <w:r>
        <w:rPr>
          <w:rFonts w:ascii="Amiri" w:hAnsi="Amiri" w:eastAsia="Amiri" w:cs="Amiri"/>
          <w:color w:val="111111"/>
          <w:sz w:val="28"/>
          <w:sz w:val="28"/>
          <w:szCs w:val="28"/>
          <w:rtl w:val="true"/>
          <w:lang w:bidi="ar-SA"/>
        </w:rPr>
        <w:t>محمول على الكراهة كما حمله عليه بعض الأصحاب كالعلّامة قدس سره في المنتهى</w:t>
      </w:r>
      <w:r>
        <w:rPr>
          <w:rStyle w:val="FootnoteAnchor"/>
          <w:rtl w:val="true"/>
        </w:rPr>
        <w:footnoteReference w:id="623"/>
      </w:r>
      <w:r>
        <w:rPr>
          <w:rFonts w:ascii="Amiri" w:hAnsi="Amiri" w:eastAsia="Amiri" w:cs="Amiri"/>
          <w:color w:val="111111"/>
          <w:sz w:val="28"/>
          <w:sz w:val="28"/>
          <w:szCs w:val="28"/>
          <w:rtl w:val="true"/>
          <w:lang w:bidi="ar-SA"/>
        </w:rPr>
        <w:t>ويظهر من المحقق قدس سره</w:t>
      </w:r>
      <w:r>
        <w:rPr>
          <w:rStyle w:val="FootnoteAnchor"/>
          <w:rtl w:val="true"/>
        </w:rPr>
        <w:footnoteReference w:id="624"/>
      </w:r>
      <w:r>
        <w:rPr>
          <w:rFonts w:ascii="Amiri" w:hAnsi="Amiri" w:eastAsia="Amiri" w:cs="Amiri"/>
          <w:color w:val="111111"/>
          <w:sz w:val="28"/>
          <w:sz w:val="28"/>
          <w:szCs w:val="28"/>
          <w:rtl w:val="true"/>
          <w:lang w:bidi="ar-SA"/>
        </w:rPr>
        <w:t xml:space="preserve">جواز الإراقة مطلقاً، لكن لا يخفى ما فيه بعد ما ذكرنا </w:t>
      </w:r>
      <w:r>
        <w:rPr>
          <w:rFonts w:eastAsia="Amiri" w:cs="Amiri" w:ascii="Amiri" w:hAnsi="Amiri"/>
          <w:color w:val="111111"/>
          <w:sz w:val="28"/>
          <w:szCs w:val="28"/>
          <w:rtl w:val="true"/>
          <w:lang w:bidi="ar-SA"/>
        </w:rPr>
        <w:t xml:space="preserve">. </w:t>
      </w:r>
      <w:bookmarkStart w:id="275" w:name="pg9203_87211"/>
    </w:p>
    <w:p>
      <w:pPr>
        <w:pStyle w:val="Heading2"/>
        <w:numPr>
          <w:ilvl w:val="1"/>
          <w:numId w:val="1"/>
        </w:numPr>
        <w:rPr/>
      </w:pPr>
      <w:bookmarkStart w:id="276" w:name="__RefHeading___Toc3967996_2870459653"/>
      <w:bookmarkStart w:id="277" w:name="_Toc97"/>
      <w:bookmarkEnd w:id="275"/>
      <w:bookmarkEnd w:id="276"/>
      <w:r>
        <w:rPr>
          <w:rtl w:val="true"/>
        </w:rPr>
        <w:t xml:space="preserve">[ </w:t>
      </w:r>
      <w:r>
        <w:rPr>
          <w:rtl w:val="true"/>
        </w:rPr>
        <w:t xml:space="preserve">حكم ما لو أخلَّ المكلف باستعمال الماء حتى تضيق الوقت </w:t>
      </w:r>
      <w:r>
        <w:rPr>
          <w:rtl w:val="true"/>
        </w:rPr>
        <w:t>]</w:t>
      </w:r>
      <w:bookmarkEnd w:id="2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الماء موجوداً وأخل باستعماله حتى ضاق الوقت بحيث تقضى الصلاة لو توضأ فهل يكون تكليفه حينئذ هو التيمّم والأداء أو عدم جواز التيمم بل الوضوء والقضاء؟</w:t>
      </w:r>
    </w:p>
    <w:p>
      <w:pPr>
        <w:pStyle w:val="BookText"/>
        <w:rPr/>
      </w:pPr>
      <w:r>
        <w:rPr>
          <w:rFonts w:ascii="Amiri" w:hAnsi="Amiri" w:eastAsia="Amiri" w:cs="Amiri"/>
          <w:color w:val="111111"/>
          <w:sz w:val="28"/>
          <w:sz w:val="28"/>
          <w:szCs w:val="28"/>
          <w:rtl w:val="true"/>
          <w:lang w:bidi="ar-SA"/>
        </w:rPr>
        <w:t xml:space="preserve">فالذي صرح به المحقق قدس سره في المعتبر </w:t>
      </w:r>
      <w:r>
        <w:rPr>
          <w:rStyle w:val="FootnoteAnchor"/>
          <w:rtl w:val="true"/>
        </w:rPr>
        <w:footnoteReference w:id="625"/>
      </w:r>
      <w:r>
        <w:rPr>
          <w:rFonts w:ascii="Amiri" w:hAnsi="Amiri" w:eastAsia="Amiri" w:cs="Amiri"/>
          <w:color w:val="111111"/>
          <w:sz w:val="28"/>
          <w:sz w:val="28"/>
          <w:szCs w:val="28"/>
          <w:rtl w:val="true"/>
          <w:lang w:bidi="ar-SA"/>
        </w:rPr>
        <w:t>هو عدم جواز التيمم، وتبعه المحقق الثاني</w:t>
      </w:r>
      <w:r>
        <w:rPr>
          <w:rStyle w:val="FootnoteAnchor"/>
          <w:rtl w:val="true"/>
        </w:rPr>
        <w:footnoteReference w:id="626"/>
      </w:r>
      <w:r>
        <w:rPr>
          <w:rFonts w:ascii="Amiri" w:hAnsi="Amiri" w:eastAsia="Amiri" w:cs="Amiri"/>
          <w:color w:val="111111"/>
          <w:sz w:val="28"/>
          <w:sz w:val="28"/>
          <w:szCs w:val="28"/>
          <w:rtl w:val="true"/>
          <w:lang w:bidi="ar-SA"/>
        </w:rPr>
        <w:t>فيما لو كان الماء عنده ، وأمّا لو كان الماء قريبا منه فلا يقول بعدم الجواز وان قال به المحقق في المعتبر وتمسك لذلك بأنّ التكليف بالتيمم مشروط بعدم الوجدان وهو واجد ولو مع فوات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فرضنا كون المراد به هو الظاهر منه وهو مطلق عدم الإدراك وعدم الوجود لا عدم الإدراك بحيث يتمكن من الصلاة يفهم من حكمهم بجواز التيمم في صورة عدم الوصلة إلى الماء بأنّ كان الماء في بئر لا يمكن الوصول إليه بواسطة عدم وصول اليد إليه وعدم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ولو كان بعده بمقدار شبر فيحكمون بصحة التيمم هنا أنّ الماء هنا أيضاً يكون موجوداً ، وهذا أيضاً يكون شاهداً على أنّ المراد هو المعنى الأول ويدلّ عليه إطلاقات التيمم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يكفيك التراب عشر سنين</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حيث يدلّ على أنه لا يفوت الصلاة بواسطة التراب في المدة الطويلة، وكذا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التيمّم أحد الطهورين</w:t>
      </w:r>
      <w:r>
        <w:rPr>
          <w:rFonts w:eastAsia="IRNazanin" w:cs="IRNazanin"/>
          <w:color w:val="111111"/>
          <w:sz w:val="28"/>
          <w:szCs w:val="28"/>
          <w:rtl w:val="true"/>
          <w:lang w:bidi="fa-IR"/>
        </w:rPr>
        <w:t>»</w:t>
      </w:r>
      <w:r>
        <w:rPr>
          <w:rStyle w:val="FootnoteAnchor"/>
          <w:rtl w:val="true"/>
        </w:rPr>
        <w:footnoteReference w:id="62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لكن يظهر من الأخبار الواردة في الحائض التي انقطع حيضها في الوقت؛ حيث تدل على وجوب الصلاة عليها لو اتسع الوقت للفعل وإلا فلا تكون </w:t>
      </w:r>
      <w:bookmarkStart w:id="278" w:name="pg9203_87212"/>
    </w:p>
    <w:p>
      <w:pPr>
        <w:pStyle w:val="BookText"/>
        <w:rPr/>
      </w:pPr>
      <w:bookmarkEnd w:id="278"/>
      <w:r>
        <w:rPr>
          <w:rFonts w:ascii="Amiri" w:hAnsi="Amiri" w:eastAsia="Amiri" w:cs="Amiri"/>
          <w:color w:val="111111"/>
          <w:sz w:val="28"/>
          <w:sz w:val="28"/>
          <w:szCs w:val="28"/>
          <w:rtl w:val="true"/>
          <w:lang w:bidi="ar-SA"/>
        </w:rPr>
        <w:t>مكلفةً بالصلاة وتكون ساقطة وإن وسع الوقت للصلاة مع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هنا عدم مسوغية ضيق الوقت للتيمّم باعتبار الحكم فيها بعدم التكليف بالصلاة مع عدم سعة الوقت للفعل وإن وسع للتيمّم إلا أنّه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بكونه خارجاً عن القاعدة بمقتضى الدليل، فلا بُدَّ من تخصيصه بمورده فلا يتعدى منه فلا يكون شاهداً على خلاف المدعى</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3967998_2870459653"/>
      <w:bookmarkStart w:id="280" w:name="_Toc98"/>
      <w:bookmarkEnd w:id="279"/>
      <w:r>
        <w:rPr>
          <w:rtl w:val="true"/>
        </w:rPr>
        <w:t>[</w:t>
      </w:r>
      <w:r>
        <w:rPr>
          <w:rtl w:val="true"/>
        </w:rPr>
        <w:t xml:space="preserve">في المقصود من الضيق المسوغ للتيمم </w:t>
      </w:r>
      <w:r>
        <w:rPr>
          <w:rtl w:val="true"/>
        </w:rPr>
        <w:t>]</w:t>
      </w:r>
      <w:bookmarkEnd w:id="280"/>
    </w:p>
    <w:p>
      <w:pPr>
        <w:pStyle w:val="BookText"/>
        <w:rPr/>
      </w:pPr>
      <w:r>
        <w:rPr>
          <w:rFonts w:ascii="Amiri" w:hAnsi="Amiri" w:eastAsia="Amiri" w:cs="Amiri"/>
          <w:color w:val="111111"/>
          <w:sz w:val="28"/>
          <w:sz w:val="28"/>
          <w:szCs w:val="28"/>
          <w:rtl w:val="true"/>
          <w:lang w:bidi="ar-SA"/>
        </w:rPr>
        <w:t>ثم إنّ الضيق المسوغ للتيمّم هو الضيق عن إدراك تمام الصلاة مع الوضوء حتى لو أمكن إدراك ركعة من الصلاة مع الطهارة المائية أيضاً يكون محلاً للتيمم، أو المعتبر هو الضيق عن إدراك الركعة حتى لو أمكنه إدراك الركوع مع الوضوء يجب ولا يجوز الانتقال إلى التيمم؟ وجهان بل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الصلاة لا بُدَّ أن تكون في الوقت وملاحظة الوقت أهم في نظر الشارع من الشرط </w:t>
      </w:r>
      <w:r>
        <w:rPr>
          <w:rStyle w:val="FootnoteAnchor"/>
          <w:rtl w:val="true"/>
        </w:rPr>
        <w:footnoteReference w:id="629"/>
      </w:r>
      <w:r>
        <w:rPr>
          <w:rFonts w:ascii="Amiri" w:hAnsi="Amiri" w:eastAsia="Amiri" w:cs="Amiri"/>
          <w:color w:val="111111"/>
          <w:sz w:val="28"/>
          <w:sz w:val="28"/>
          <w:szCs w:val="28"/>
          <w:rtl w:val="true"/>
          <w:lang w:bidi="ar-SA"/>
        </w:rPr>
        <w:t xml:space="preserve">حتى انها تسقط عند الضيق فإذا خاف فوت الوقت ولو من بعض الصلاة يكون متعذراً من استعمال الماء فيكون تكليفه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الوضوء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الطهارة شرط فلا بُدَّ من تحققها فيها ومقتضى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 ركعة من الصلاة فقد أدرك الصلاة</w:t>
      </w:r>
      <w:r>
        <w:rPr>
          <w:rFonts w:eastAsia="IRNazanin" w:cs="IRNazanin"/>
          <w:color w:val="111111"/>
          <w:sz w:val="28"/>
          <w:szCs w:val="28"/>
          <w:rtl w:val="true"/>
          <w:lang w:bidi="fa-IR"/>
        </w:rPr>
        <w:t>»</w:t>
      </w:r>
      <w:r>
        <w:rPr>
          <w:rStyle w:val="FootnoteAnchor"/>
          <w:rtl w:val="true"/>
        </w:rPr>
        <w:footnoteReference w:id="630"/>
      </w:r>
      <w:r>
        <w:rPr>
          <w:rFonts w:ascii="Amiri" w:hAnsi="Amiri" w:eastAsia="Amiri" w:cs="Amiri"/>
          <w:color w:val="111111"/>
          <w:sz w:val="28"/>
          <w:sz w:val="28"/>
          <w:szCs w:val="28"/>
          <w:rtl w:val="true"/>
          <w:lang w:bidi="ar-SA"/>
        </w:rPr>
        <w:t>أن إدراك الركعة أيضاً مثل إدراك التمام فلا يفوت الوقت ولا يحصل التعذر حتى تكون ساقطة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هو الأول؛ لأنَّ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وجوهاً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مقام الترخيص ويكون مفاده أنّ الركعة في الوقت مُنَزَّلَة منزلَةَ تمام الصلاة فيكون بدلاً عنها مطلقاً ومقتضاه الرخصة في التأخير إلى بقاء الركعة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مقام دفع توهم الفوت إذا لم يبق من الوقت إلا هذا المقدار </w:t>
      </w:r>
    </w:p>
    <w:p>
      <w:pPr>
        <w:pStyle w:val="BookText"/>
        <w:rPr/>
      </w:pPr>
      <w:r>
        <w:rPr>
          <w:rFonts w:ascii="Amiri" w:hAnsi="Amiri" w:eastAsia="Amiri" w:cs="Amiri"/>
          <w:color w:val="111111"/>
          <w:sz w:val="28"/>
          <w:sz w:val="28"/>
          <w:szCs w:val="28"/>
          <w:rtl w:val="true"/>
          <w:lang w:bidi="ar-SA"/>
        </w:rPr>
        <w:t xml:space="preserve">فكأنه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ترك الصلاة في هذه الحالة ولا بُدَّ من فعلها لكونه بمنزلة إدراك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الترخيص في التأخير، بل يكون نظره فيه إلى الصلاة التي لم يبق من الوقت إلا هذا المقدار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مقام تشريع الوقت بأنّ يكون مراده أنّ الوقت في حق من ضاق وقته عن إدراك تمام الصلاة هو أزيد من المحدود في الشرع، فحينئذ يكون معارضاً مع أدلّة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منه هو الأول فلا يدلّ على جواز التأخير في هذه الصورة، بل نظره إلى مجرد رفع التوهم وعدم جواز الترك، فلا يدلّ على المطلب فيتعارض حينئذٍ فيما نحن فيه بين سقوط شرط الطهارة وسقوط الوقت وإتيان ما سوى الركعة في خارج الوقت ومقتضى التعارض هو الرجوع إلى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والاهم في نظر الشارع هو إدراك الوقت؛ حتى أنه رفع اليد عن كثير من الشرائط عند خروج الوقت وفقدانها، مضافاً إلى أنه لو انتقل إلى التيمم واتى بتمام الصلاة في الوقت معه لانتفى الشرط بالمرة ويكون محصلاً للشرط وهي الطهارة غاية الأمر انتفاء المبدل والإتيان بالبدل بخلاف صورة ترك التيمم والإتيان بها مع الوضوء، فإنّه يفوت الوقت من بعض الصلاة لا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يمكن أن يناقش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ربما يمكن كون المبدل أهم في نظر الشارع حتى لا يتدارك بالبدل فيكون ترك الشرط بالمرة أولى من تبديل الشرط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بعيد، خصوصاً بملاحظة ما فهمناه من طريقة الشارع من اهتمامه بالوقت وكونه أهم عنده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المذكور هل يجري في سائر الشروط والأجزاء أم لا؟</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درك تمام الصلاة مع عدم الساتر ودرك ركعة منها مع الساتر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من يمكنه درك تمام الصلاة مع ترك السورة ودرك ركعة مع السورة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أوامر الشروط والأجزاء هو عدم جواز تركها حتى في ضيق </w:t>
      </w:r>
    </w:p>
    <w:p>
      <w:pPr>
        <w:pStyle w:val="BookText"/>
        <w:rPr/>
      </w:pPr>
      <w:r>
        <w:rPr>
          <w:rFonts w:ascii="Amiri" w:hAnsi="Amiri" w:eastAsia="Amiri" w:cs="Amiri"/>
          <w:color w:val="111111"/>
          <w:sz w:val="28"/>
          <w:sz w:val="28"/>
          <w:szCs w:val="28"/>
          <w:rtl w:val="true"/>
          <w:lang w:bidi="ar-SA"/>
        </w:rPr>
        <w:t>الوقت، وليس للشرائط بدل مثل الصورة السابقة حتى يتدارك به، فيحصل التعارض بينها وبين شرطية الوقت ولزوم إتيانها فيه، فيحصل التزاحم، ومقتضى التزاحم هو الرجوع إلى الأهم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أنه يمكن أن يكون شرطيتها مقيّدة بحال الإمكان، وهو سعة الوقت دون الضيق، لأنّ الطلب لا يمكن إلا في حال الإمكان ومختص بصورة الإمكان فلا يكون طلب الشرائط في صورة الضيق، فلا يكون من باب التزاحم؛ لأنا ذكرنا أنّ الشرطية مطلقة حتى في صورة عدم التمكن؛ لأنها من جهة المقدمية وهي مطلقة، واختصاص طلب الشارع بصورة الإمكان من باب القصور وعدم إمكان الطلب إلا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أنّ المرجع فيما نحن فيه هو باب التزاحم والرجوع إلى الأهم، وقد فهمنا من الشارع الأهمية بالنسبة إلى مقتضى الشرائط مثل طهارة البدن وطهارة اللباس والستر، وكون الوقت منها؛ لأنها تسقط عند فقدانها في الوقت، ولزوم إتيان الصلاة بدونها مثل الصلاة عارياً، والفقدان إنّما يكون بملاحظة الوقت وتعذره في الوقت لا التعذر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قطع النظر عن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فيستكشف من ذلك كون الوقت أهم في نظر الشارع من غيره، حيث رفع اليد في صورة الفقد دون الوقت، ففي هذه الموارد لو تردد الأمر بين تحصيل هذه الشرائط وعدم إدراك الوقت إلا ركعة، وبين تركها وإدراك تمام الصلاة فنقول بأولوية الثاني بمقتضى المذكور، وأما في غيرها من الأجزاء والشرائط فيشكل الأمر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بُدَّ من إحراز الصلاة وأنها أي شيء، ولا يمكن لنا جعل البدل للصلاة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الاختيارية مع الأجزاء والشرائط مقيدة</w:t>
      </w:r>
      <w:r>
        <w:rPr>
          <w:rStyle w:val="FootnoteAnchor"/>
          <w:rtl w:val="true"/>
        </w:rPr>
        <w:footnoteReference w:id="631"/>
      </w:r>
      <w:r>
        <w:rPr>
          <w:rFonts w:ascii="Amiri" w:hAnsi="Amiri" w:eastAsia="Amiri" w:cs="Amiri"/>
          <w:color w:val="111111"/>
          <w:sz w:val="28"/>
          <w:sz w:val="28"/>
          <w:szCs w:val="28"/>
          <w:rtl w:val="true"/>
          <w:lang w:bidi="ar-SA"/>
        </w:rPr>
        <w:t xml:space="preserve">فيقوم مقامها بدلها الاضطراري وهو الصلاة بغير الأجزاء والشرائط المتعذرة فلا يمكن لنا الحكم بمجرد </w:t>
      </w:r>
    </w:p>
    <w:p>
      <w:pPr>
        <w:pStyle w:val="BookText"/>
        <w:rPr/>
      </w:pPr>
      <w:r>
        <w:rPr>
          <w:rFonts w:ascii="Amiri" w:hAnsi="Amiri" w:eastAsia="Amiri" w:cs="Amiri"/>
          <w:color w:val="111111"/>
          <w:sz w:val="28"/>
          <w:sz w:val="28"/>
          <w:szCs w:val="28"/>
          <w:rtl w:val="true"/>
          <w:lang w:bidi="ar-SA"/>
        </w:rPr>
        <w:t xml:space="preserve">ضيق الوقت عن أداء تمام الصلاة مع الأجزاء والشرائط بوجوب الصلاة بغير الأجزاء؛ إذ لعلّ التكليف حينئذ هو إدراك الركعة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التكليف ساقطاً، بل لا بُدَّ من إحراز وجود الصلاة حينئذ وأنّه بغير الأجزاء والشرائط المتعذرة بملاحظة الوقت، فلا بُدَّ من الرجوع إلى الآثار والأخبار لإحراز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أنّ الصلاة تكون ثابتةً حينئذ وأنّ التكليف بالصلاة بغير الأجزاء والشرائط المتعذرة ؛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سقوط الصلاة بحال</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وغيرها مما يدلّ على أنه لا تسقط الصلاة مع تعذر شرط أو جزء، ولا بُدَّ من الإتيان بالباقي وهو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هذه القواعد عامة في أغلب موارد التكاليف والعلماء حالهم مختلف في التمسك بها في الموارد، فقد تراهم يتمسكون بها في بعض الموارد دون بعض مثل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عموم هذه القواعد، ومقتضاه التمسك بها في جميع الموارد فلا يعلم ملاك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بعمومها والتمسك بعمومها حتى يظهر المخصص؛ يحصل فقه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إنّها مخصصة بمخصص ولا نعلمه؛ فيلزم إجمالها وعدم إمكان التمسك بها في الحال، مع أنهم يتمسكون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بُدَّ فيها من وجوه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ضعيفة فالتمسك بها دائر مدار الخبر ففي كل مورد حصل لها جابر من الإجماع أو الشهرة أو غيرها فيتمسك بها فيه وإلا فلا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دلالتها تامة فليست ضعيفة من جهتها، بل لا بُدَّ كون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لا يتم؛ لأنّ أكثر هذه القواعد لا احتياج لها إلى الجبر؛ لأنّ بعضها من الكتاب وبعضها من الأخبار المتواترة وهي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بها ما لم يظهر لها موهن مثل الإجماع والشهرة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أيضاً لتحصيل فقه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نعلم إجمالاً بأنّ لها مخصص، وكذلك نعلم أنّ مخصصها في الغالب ليس الدليل اللفظي، وإلا لعلّمناه، بل هو الدليل اللبي، والعلماء لإحاطتهم بأقوال العلماء ومذاقهم فهموا المخصص في بعض الموارد، ونحن لما قصر باعنا عن تحصیل مذاق العلماء وأقوالهم حتى نطلع على المخصص فنقتصر في التمسك بها على علمنا بتمسك بعض فحول العلماء فيه بها بواسطة خروجه عن أطراف العلم الإجمالي؛ لأنّ تمسك هذا البعض يكشف عن عدم المخصص مثل الإجماع، فإذا كان كذلك فلا بُدَّ لنا من عدم التمسك بها في هذه الموارد لعدم معلومية تمسكهم بها فيها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أن يقال في إثبات هذا المطلب وهو ثبوت الصلاة في حال الضيق عن تحصيل الشرائط والأجزاء وأنها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الوقت سبب في الصلاة بمعنى أنه لا بُدَّ من إتيانها فيه وقد علمنا من أدلّة الاضطرار مثل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وليس شيء مما حرم الله إلا وقد أحله لمن اضطر إليه</w:t>
      </w:r>
      <w:r>
        <w:rPr>
          <w:rFonts w:eastAsia="IRNazanin" w:cs="IRNazanin"/>
          <w:color w:val="111111"/>
          <w:sz w:val="28"/>
          <w:szCs w:val="28"/>
          <w:rtl w:val="true"/>
          <w:lang w:bidi="fa-IR"/>
        </w:rPr>
        <w:t>»</w:t>
      </w:r>
      <w:r>
        <w:rPr>
          <w:rStyle w:val="FootnoteAnchor"/>
          <w:rtl w:val="true"/>
        </w:rPr>
        <w:footnoteReference w:id="637"/>
      </w:r>
      <w:r>
        <w:rPr>
          <w:rFonts w:ascii="Amiri" w:hAnsi="Amiri" w:eastAsia="Amiri" w:cs="Amiri"/>
          <w:color w:val="111111"/>
          <w:sz w:val="28"/>
          <w:sz w:val="28"/>
          <w:szCs w:val="28"/>
          <w:rtl w:val="true"/>
          <w:lang w:bidi="ar-SA"/>
        </w:rPr>
        <w:t xml:space="preserve">وغيره أنّ الاضطرار سبب لإباحة ترك ما كان حراماً قبله، ومن المعلوم أنّ العاجز في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تحصيل الشرط والجزء يكون ساقطاً في حقه ويكون تكليفاً بدونه، وكذلك من كان عاجزاً في آخر الوقت، لا يكون الفرق بين العجز في نفسه أو العجز بالنظر إلى الوقت في سقوط ما يكون عاجزاً عنه، فيكون ضيق الوقت أيضاً موجباً لترك الأجزاء والشرائط المتعذرة في الصلاة مثل العجز النفسي؛ لأنه لا فرق بين الاضطرارين النفسي وبملاحظة الغير، والمناط هو عدم التمكن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العجز هو في نفسه مع قطع النظر عن الوقت والقدرة والعجز إنّما يلاحظان بالنسبة إلى نفس المكلف لا بالوقت؛ لأنّه لا بُدَّ من وجود الموضوع قبل الحكم حتى يحكم عليه، فلا تكون حينئذٍ شاملةً لما نحن فيه بالنسبة إلى الوقت فالمدار في القدرة والعجز على ملاحظة حال نفس المكلف لا غيره، فالعاجز عن الشرط ما لم يتمكن عنه في نفسه بأنّ لا يتمكن من رفع العجز عنه، ومن كان قادرا على رفع العجز عن نفسه يكون قادراً، وفي ما نحن فيه العجز إنّما هو بملاحظة الوقت، فلا يكون مشمولاً لهذه الأخبار، إلا أنّ مقتضى ما ا عدم سقوط الشرط عمّن ، يتمكن فعلاً من تحصيل اللباس، ولكن يكون اللباس في منزله بحيث يخرج الوقت لو ذهب إلى منزله؛ لأنه ليس بمضطر ، لأنّ المدار في الاضطرار هو العجز في نفسه بأنّ لا يكون قادراً على اللباس أبداً، والحال أنّ الفتوى على خلافه، وكذلك يظهر من كلمات العلماء</w:t>
      </w:r>
      <w:r>
        <w:rPr>
          <w:rStyle w:val="FootnoteAnchor"/>
          <w:rtl w:val="true"/>
        </w:rPr>
        <w:footnoteReference w:id="638"/>
      </w:r>
      <w:r>
        <w:rPr>
          <w:rFonts w:ascii="Amiri" w:hAnsi="Amiri" w:eastAsia="Amiri" w:cs="Amiri"/>
          <w:color w:val="111111"/>
          <w:sz w:val="28"/>
          <w:sz w:val="28"/>
          <w:szCs w:val="28"/>
          <w:rtl w:val="true"/>
          <w:lang w:bidi="ar-SA"/>
        </w:rPr>
        <w:t>أيضاً؛ هو كون القدرة والعجز أعمّ في نفسه أو بالنسبة إلى الوقت مثلاً، بل لم يتحقق إلا بالنسبة إلى الوقت وثبوت التكليف فيتحقق العجز والاضطرار بثبوت التكليف وتعيين الوقت وعدم التمكن من تحصيل الشرط فيه؛ لأنه لو لم يكن التكليف فيه ثابتاً لم يكن عاجزاً وكذا لو ثبت ولم يكن موقتاً لهذا الوقت، بل يكون وقته ما دام العمر لم يكن حينئذٍ مضطراً بل يصبر حتى يزول عذره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الحقيقة يتحقق الاضطرار بأن يكون التكليف ثابتاً عليه في هذا الخصوص، فيتحقق أنّ الاضطرار ليس ممتنعاً بالعجز في نفسه، فيشمله الأخبار الاضطرارية بالنسبة إلى الوقت أيضاً وعدم التمكن من تحصيل الشرط فيه، فيكون الشخص الذي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فاقدا للستر مثلاً في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مضطراً بالنسبة إلى ترك الستر، فيكون حلالاً عليه بمقتضى الخبر السابق وغيره، بل ويظهر من بعض الأخبار صريحاً سقوط الشرط عن الفاقد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قطعت عليهم السفينة فخرجوا وهم عراة فحضرت الصلاة؟ فحكم علیه السلام </w:t>
      </w:r>
    </w:p>
    <w:p>
      <w:pPr>
        <w:pStyle w:val="BookText"/>
        <w:rPr/>
      </w:pPr>
      <w:r>
        <w:rPr>
          <w:rFonts w:ascii="Amiri" w:hAnsi="Amiri" w:eastAsia="Amiri" w:cs="Amiri"/>
          <w:color w:val="111111"/>
          <w:sz w:val="28"/>
          <w:sz w:val="28"/>
          <w:szCs w:val="28"/>
          <w:rtl w:val="true"/>
          <w:lang w:bidi="ar-SA"/>
        </w:rPr>
        <w:t>بالصلاة عارياً، والحال أنهم يمكنهم يقيناً تحصيل الشرط مع خروج الوقت، فقدم الوقت على الشرط فحكم بالصلاة، فيظهر من هذا وغيره أن ضيق الوقت يكون مسوغاً لترك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مما ذكرنا قاعدة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سقوط الشرط والأجزاء عند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تكون مثل القواعد السابقة حيث يتمسكون بها بالإجماع وغيره من المخصص فلا ثمرة فيها إذ لا يمكن لنا إثبات الحكم بها مطلقاً بهذه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كله أنّ في المسألة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بعدم السقوط في صورة الضيق غاية الأمر وجوب الإعادة وجواز الفعل مع فقد الشرط، والعمدة في مستند القائلين بعدم السقوط إطلاق أدلّة الشرط حيث تشمل بإطلاقها لما نحن فيه فتكون الشرائط شرطاً حتى في حال الضيق، وانتفاء المشروط بانتفاء الشرط هو قضية الشرطية، وكذلك انتفاء المركب بانتفاء جزئه يدلّ على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مستند القائلين بالسقوط هو تعين الصلاة في حق الفاقد في هذا الحال وعدم تمكنه من تحصيل الشرط وعدم صحة الصلاة بغير الطهورين في خصوص الطهارة، فلا بُدَّ من سقوط الشرط في حقه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تعين الصلاة في حقه فيمكن استفادته من إطلاقات الصلاة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w:t>
      </w:r>
      <w:r>
        <w:rPr>
          <w:rStyle w:val="FootnoteAnchor"/>
          <w:rtl w:val="true"/>
        </w:rPr>
        <w:footnoteReference w:id="639"/>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كَانَتْ عَلَى الْمُؤْمِنِينَ كِتَابًا مَّوْقُونًا</w:t>
      </w:r>
      <w:r>
        <w:rPr>
          <w:rStyle w:val="FootnoteAnchor"/>
          <w:rtl w:val="true"/>
        </w:rPr>
        <w:footnoteReference w:id="640"/>
      </w:r>
      <w:r>
        <w:rPr>
          <w:rFonts w:ascii="Amiri" w:hAnsi="Amiri" w:eastAsia="Amiri" w:cs="Amiri"/>
          <w:color w:val="111111"/>
          <w:sz w:val="28"/>
          <w:sz w:val="28"/>
          <w:szCs w:val="28"/>
          <w:rtl w:val="true"/>
          <w:lang w:bidi="ar-SA"/>
        </w:rPr>
        <w:t>حيث يكون الخطاب فيها لعامة المكلفين وفي جميع الأحوال أيضاً من جهة الإطلاق، ويكون الفاقد داخلاً في المؤمنين فالخطاب متعلق به حتى في هذه الحالة أيضاً بمقتضى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إن كان مكلفاً بالصلاة مع الشرط يكون مكلفاً بالمحال حيث لم يتمكن منه في </w:t>
      </w:r>
    </w:p>
    <w:p>
      <w:pPr>
        <w:pStyle w:val="BookText"/>
        <w:rPr/>
      </w:pPr>
      <w:r>
        <w:rPr>
          <w:rFonts w:ascii="Amiri" w:hAnsi="Amiri" w:eastAsia="Amiri" w:cs="Amiri"/>
          <w:color w:val="111111"/>
          <w:sz w:val="28"/>
          <w:sz w:val="28"/>
          <w:szCs w:val="28"/>
          <w:rtl w:val="true"/>
          <w:lang w:bidi="ar-SA"/>
        </w:rPr>
        <w:t>هذا الحال فلا بُدَّ أن يكون الخطاب بالصلاة مع انتفاء الشرط فثبت المطلوب، فيمكن رفع إجمال الصلاة بالنسبة إلى هذا الشرط بملاحظة تعلق الخطاب بالعاجز عنه في تمام الوقت ولا يمكن رفع الإجمال بملاحظة تعلق الخطاب لمن كان متمكناً من تحصيل الشرط وعدمه؛ إذ لعلّه كان التكليف متعلقاً مع هذا الشرط وكونه معتبراً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يقال في دفع هذا الإطلاق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التكاليف تكون مشروطة فتكون هذه العمومات والإطلاقات مخصصة ومقيّدة بالتمكن ؛ لعدم ثبوت التكليف لغير المتمكن والمكلف الفاقد العاجز عن الشرط لا يعلم كونه مصداقاً لهذا العنوان، ولا لعدم معلومية كون الشرط شرطاً مطلقاً حتى بالنسبة إلى ضيق الوقت، أو يكون الشرطية بملاحظة الوقت حتى يكون داخلاً في غير المتمكن ولا يمكن التمسك بعموم العام في المخصص المجمل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بأنّ التمكن ليس قيداً متصلاً بدليل التكليف معتبراً معه بهذا العنوان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 إلا غير المتمكن، حتى يسري إجماله في عموم العام، بل يكون مأخوذاً مما في نفس المولى من اعتبار الأجزاء والشرائط بمعنى أنّ العقل يحكم بمطلوبية تحصيل هذا الشرط الذي شرطيته في صورة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العقل يحكم بثبوت هذا الشرط على المتمكن، فحكمه بهذا بعد ثبوت كل شرط وجزء من جانب المولى مثلاً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شرط في الصلاة، يحكم العقل أنّ الطهارة مطلوبة ما دام التمكن، وكذا غيره من الشرائط والأجزاء، فلا تكون هذه العمومات مخصصة بالمجمل المصداقي حتى لا يمكن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بُدَّ من ملاحظة أدلّة الشرائط حتى يظهر مفادها من اعتبار الشرطية المطلقة أو الشرطية في حال التمكن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كونها بالنسبة إلى المطلقات من قبيل الظاهر والأظهر والحاكم والمحكوم، حتى يكون المرجع هو أدلّة الشرائط أو يكون بينهما تعارض بالعموم من وجه والرجوع إلى المرجحات؟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الشرائط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يكون من قبيل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6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وغير ذلك مما تنتفي الماهية بدون تلك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يكون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قائماً وغير ذلك مما أمر فيها بتحصيل الشرط واستفيد الشرطية من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حكومتها؛ إذ الظاهر كونها بياناً للمطلوب، وأنّ الصلاة التي تكون مأموراً بها لا بُدَّ أن يكون معها، ولأنّ الظاهر تقديم ظهور المسند على ظهور المسند إليه مثل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w:t>
      </w:r>
      <w:r>
        <w:rPr>
          <w:rStyle w:val="FootnoteAnchor"/>
          <w:rtl w:val="true"/>
        </w:rPr>
        <w:footnoteReference w:id="643"/>
      </w:r>
      <w:r>
        <w:rPr>
          <w:rFonts w:ascii="Amiri" w:hAnsi="Amiri" w:eastAsia="Amiri" w:cs="Amiri"/>
          <w:color w:val="111111"/>
          <w:sz w:val="28"/>
          <w:sz w:val="28"/>
          <w:szCs w:val="28"/>
          <w:rtl w:val="true"/>
          <w:lang w:bidi="ar-SA"/>
        </w:rPr>
        <w:t>حيث إنّ الأمر دائر بين إبقاء اليقين على إطلاقه وعمومه بحيث يشمل القابل للنقض بالمعنى الظاهر منه وتصرف في النقض بحمله على مطلق الرفع أو حمل اليقين على القابل للنقض وإبقاء النقض على ظاهره ولا شك أنّ ظهور المسند مقدم؛ وظهوره يوجب التخصيص في المسند إليه كما في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الضرب قرينة على إرادة الأحياء من لفظ الأحد لا الأموات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فكذا فيما نحن فيه يكون الأمر دائراً بين التخصيص في المسند إليه بأن يكون المتمكن متعلقاً للخطاب ولا يكون غير المتمكن متعلقاً للخطاب حتى يتمسك به على نفي الشرطية أو يكون الخطاب شاملاً للجميع ونتصرف في المسند والمكلّف به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صلاة المتمكن لا تكون إلا مع الطهور دون غير المتمكن فإنّ صلاته تكون بدون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صدق الإكرام بقرص الشعير في حق غير المتمكن من غيره دون </w:t>
      </w:r>
    </w:p>
    <w:p>
      <w:pPr>
        <w:pStyle w:val="BookText"/>
        <w:rPr/>
      </w:pPr>
      <w:r>
        <w:rPr>
          <w:rFonts w:ascii="Amiri" w:hAnsi="Amiri" w:eastAsia="Amiri" w:cs="Amiri"/>
          <w:color w:val="111111"/>
          <w:sz w:val="28"/>
          <w:sz w:val="28"/>
          <w:szCs w:val="28"/>
          <w:rtl w:val="true"/>
          <w:lang w:bidi="ar-SA"/>
        </w:rPr>
        <w:t>غير المتمكن</w:t>
      </w:r>
      <w:r>
        <w:rPr>
          <w:rStyle w:val="FootnoteAnchor"/>
          <w:rtl w:val="true"/>
        </w:rPr>
        <w:footnoteReference w:id="644"/>
      </w:r>
      <w:r>
        <w:rPr>
          <w:rFonts w:ascii="Amiri" w:hAnsi="Amiri" w:eastAsia="Amiri" w:cs="Amiri"/>
          <w:color w:val="111111"/>
          <w:sz w:val="28"/>
          <w:sz w:val="28"/>
          <w:szCs w:val="28"/>
          <w:rtl w:val="true"/>
          <w:lang w:bidi="ar-SA"/>
        </w:rPr>
        <w:t xml:space="preserve">من غيره ويكون غير المتمكن ممتثلاً بإعطاء قرص الشعير للأمر بإكرام من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في هذا القسم حصول التعارض بينه وبين المطلق بالعموم من وجه؛ حيث إنّ المطلقات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الصلاة على المتمكن وغير المتمكن بالنسبة إلى شرط الطهور وغيره من الشرائط، من حصول الصلاة بدونه في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مفاد هذا الدليل عدم تحقق الصلاة بدونه ، ومحل افتراق المطلق هو غير المتمكن من غير هذا الشرط، ومحل افتراق هذا الدليل عن المطلق في المتمكن من هذا الشرط حيث يكون مفاده شرطيته والمطلق ساكت عن كونه شرطاً، وإنما يكون مفاده وجوب الصلاة في حقه، وأمّا أنّه شرط أم لا فيكون ساكتاً عنه فإذا كان بينهما التعارض؛ فلا بُدَّ من الرجوع إلى المرجحات والظاهر ترجيح المطلق بواسطة الشرط حيث إنّ المتشرعة كأنهم متفقون على ثبوت التكليف في صورة التعذر وقاطعون به، وإنّما شكّهم في كيفية أداء هذا التكليف ويسألون عنه وليس هذا إلا بملاحظة الإطلاق ويكون نظرهم إليه دون غيره لثبوت ذلك في صدر الإسلام ولا يكون في ذلك الزمان هذه الأخبار الواردة في بعض صور العجز إلا أنّ الظاهر حكومتها بالنسبة إلى المطلق أو يكون التعارض من قبیل تعارض الظاهر والأظهر فيكون دليل الشرط مقدماً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الأمر فيه للإرشاد أو للوجوب الغيري؛ إذ لا معنى للحمل على الوجوب النفسي، وعلى التقدير الأول يكون مقدماً على دليل الإطلاق؛ إذ الأمر على هذا يكون إرشاداً إلى عدم تحقق الصلاة إلا باستقبال القبلة مثلاً مطلقاً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يحتمل بعيداً أن يكون إرشاداً إلى عدم تحقق المقيد بدونه وهو الصلاة في حق المتمكن لا الصلاة مطلقاً لتحققه بالنسبة إلى غيره مثل المثال الذي ذكرنا، إلا أنّه </w:t>
      </w:r>
    </w:p>
    <w:p>
      <w:pPr>
        <w:pStyle w:val="BookText"/>
        <w:rPr/>
      </w:pPr>
      <w:r>
        <w:rPr>
          <w:rFonts w:ascii="Amiri" w:hAnsi="Amiri" w:eastAsia="Amiri" w:cs="Amiri"/>
          <w:color w:val="111111"/>
          <w:sz w:val="28"/>
          <w:sz w:val="28"/>
          <w:szCs w:val="28"/>
          <w:rtl w:val="true"/>
          <w:lang w:bidi="ar-SA"/>
        </w:rPr>
        <w:t>بعيد غاية البعد لأنّ ظاهره عدم تحقق مطلق الصلاة بدونه، وإن كان الأمر للوجوب الغيري فيكون وجوبه وجوب المقدمي وهو تابع لوجوب ذي المقدمة، ووجوب المقدمة مختص بحال التمكن ففي غير حال التمكن منه لا يثبت وجوبه حتى تثبت الشرطية فيه، ويتمسك به لنفي الوجوب في المطلق على الإطلاق وعدم الصلاة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الكلام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به من جهة الشرطية والمقدمية، وهما ليستا مختصتين بالتمكن وإنّما يكون الأمر به في حق المتمكن لا غير لأجل قصوره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الوجوب تابعاً للشرطية لا أنّ الشرطية تابعة للوجوب حتى يلزم من اختصاصه بصورة التمكن اختصاصها به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أدلّة الشرائط على المطلق، ولا يمكن التمسك به في نفي الشرطية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من جميع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قاعدة أو دليل معتبر يدلّ على لزوم تقديم الوقت وكونه أهم في نظر الشارع؛ لأنها منحصرة في قاعدة الميسور، وما لا يدرك كله، وعدم سقوط الصلاة بحال،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شيء مما حرم</w:t>
      </w:r>
      <w:r>
        <w:rPr>
          <w:rFonts w:eastAsia="IRNazanin" w:cs="IRNazanin"/>
          <w:color w:val="111111"/>
          <w:sz w:val="28"/>
          <w:szCs w:val="28"/>
          <w:rtl w:val="true"/>
          <w:lang w:bidi="fa-IR"/>
        </w:rPr>
        <w:t>»</w:t>
      </w:r>
      <w:r>
        <w:rPr>
          <w:rStyle w:val="FootnoteAnchor"/>
          <w:rtl w:val="true"/>
        </w:rPr>
        <w:footnoteReference w:id="645"/>
      </w:r>
      <w:r>
        <w:rPr>
          <w:rFonts w:ascii="Amiri" w:hAnsi="Amiri" w:eastAsia="Amiri" w:cs="Amiri"/>
          <w:color w:val="111111"/>
          <w:sz w:val="28"/>
          <w:sz w:val="28"/>
          <w:szCs w:val="28"/>
          <w:rtl w:val="true"/>
          <w:lang w:bidi="ar-SA"/>
        </w:rPr>
        <w:t xml:space="preserve">وغير ذلك وقد الاول ذكرنا أن قاعدة الميسور والمعسور ، وما من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وقد أحله الله لمن اضطر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 ذلك يكون ظاهرها المعسور والمضطر في نفسه ولو بملاحظة الوقت بأن يكون فاقداً للستر أصلاً، وإنّما هو بملاحظة الوقت أمّا مع قطع النظر عن الوقت ولو بعد مدة طويلة يمكن له تحصيله، فالظاهر من المعسور بحسب وصف حاصل فيه؛ لأنّ العسر بمجرد ضيق الوقت وما نحن فيه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سقوط الصلاة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خبراً</w:t>
      </w:r>
      <w:r>
        <w:rPr>
          <w:rStyle w:val="FootnoteAnchor"/>
          <w:rtl w:val="true"/>
        </w:rPr>
        <w:footnoteReference w:id="646"/>
      </w:r>
      <w:r>
        <w:rPr>
          <w:rFonts w:ascii="Amiri" w:hAnsi="Amiri" w:eastAsia="Amiri" w:cs="Amiri"/>
          <w:color w:val="111111"/>
          <w:sz w:val="28"/>
          <w:sz w:val="28"/>
          <w:szCs w:val="28"/>
          <w:rtl w:val="true"/>
          <w:lang w:bidi="ar-SA"/>
        </w:rPr>
        <w:t>على هذا الطبق حتى نسريه ونفهم مدلوله ونتكلم في دلالته وإنّما ذكره العلماء وأرسلوه إرسال المسلّمات، ولا يمكن التمسك به بمجرد ذلك بل لعله كان عن اجتهادهم لا من باب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أنهم قالوا في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الضيق مسوغاً للصلاة مع غير الستر ولو كان متمكناً من الستر في حد ذاته بأنّ كان واجداً له ولكن بتحصيله يفوت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فالمانع نفس الوقت ويدلّ عليه الخبر المذكور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قالوا في سائر الموارد فيمكن منها تحصيل المناط في سقوط الشرط وهو ملاحظة الوقت وهو موجود فيما نحن فيه أيضاً من شرط الطهارة فما كان الضيق سبباً لعدم امكان تحصيلها بإمكان إنّما موجودان</w:t>
      </w:r>
      <w:r>
        <w:rPr>
          <w:rStyle w:val="FootnoteAnchor"/>
          <w:rtl w:val="true"/>
        </w:rPr>
        <w:footnoteReference w:id="647"/>
      </w:r>
      <w:r>
        <w:rPr>
          <w:rFonts w:ascii="Amiri" w:hAnsi="Amiri" w:eastAsia="Amiri" w:cs="Amiri"/>
          <w:color w:val="111111"/>
          <w:sz w:val="28"/>
          <w:sz w:val="28"/>
          <w:szCs w:val="28"/>
          <w:rtl w:val="true"/>
          <w:lang w:bidi="ar-SA"/>
        </w:rPr>
        <w:t>ولكن باستعماله يفوت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هو كون الضيق سبباً لسقوط هذا الشرط وقيام التيمم مقامه خصوصاً بملاحظة أخبار التيمم حيث شبه فيها التراب بالماء ومقتضى التشبيه هو كونه مثله في جميع الأحكام إلا ما خرج</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حكمه عدم فوت الصلاة مع التمكن منه فيثبت للتراب أيضاً خصوصاً بملاحظة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يكفيك التراب عشر سنين</w:t>
      </w:r>
      <w:r>
        <w:rPr>
          <w:rFonts w:eastAsia="IRNazanin" w:cs="IRNazanin"/>
          <w:color w:val="111111"/>
          <w:sz w:val="28"/>
          <w:szCs w:val="28"/>
          <w:rtl w:val="true"/>
          <w:lang w:bidi="fa-IR"/>
        </w:rPr>
        <w:t>»</w:t>
      </w:r>
      <w:r>
        <w:rPr>
          <w:rStyle w:val="FootnoteAnchor"/>
          <w:rtl w:val="true"/>
        </w:rPr>
        <w:footnoteReference w:id="648"/>
      </w:r>
      <w:r>
        <w:rPr>
          <w:rFonts w:ascii="Amiri" w:hAnsi="Amiri" w:eastAsia="Amiri" w:cs="Amiri"/>
          <w:color w:val="111111"/>
          <w:sz w:val="28"/>
          <w:sz w:val="28"/>
          <w:szCs w:val="28"/>
          <w:rtl w:val="true"/>
          <w:lang w:bidi="ar-SA"/>
        </w:rPr>
        <w:t xml:space="preserve">، حيث يدلّ على أنّ خاصية التراب هو الكفاية في هذه المدة بمعنى لا يفوت منك شيء مع وجوده لا أن مدلوله هو الكفاية للصلاة المتعددة بعد حصول التيمم بشرائطه؛ لأنه حينئذٍ يكون المناسب أن </w:t>
      </w:r>
      <w:bookmarkStart w:id="281" w:name="pg9203_87224"/>
    </w:p>
    <w:p>
      <w:pPr>
        <w:pStyle w:val="BookText"/>
        <w:rPr/>
      </w:pPr>
      <w:bookmarkEnd w:id="281"/>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التيمم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لها معارض إلا مفهوم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w:t>
      </w:r>
      <w:r>
        <w:rPr>
          <w:rStyle w:val="FootnoteAnchor"/>
          <w:rtl w:val="true"/>
        </w:rPr>
        <w:footnoteReference w:id="649"/>
      </w:r>
      <w:r>
        <w:rPr>
          <w:rFonts w:ascii="Amiri" w:hAnsi="Amiri" w:eastAsia="Amiri" w:cs="Amiri"/>
          <w:color w:val="111111"/>
          <w:sz w:val="28"/>
          <w:sz w:val="28"/>
          <w:szCs w:val="28"/>
          <w:rtl w:val="true"/>
          <w:lang w:bidi="ar-SA"/>
        </w:rPr>
        <w:t>لو كان له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سابقاً بعدم ثبوت المفهوم لوروده مورد الغالب، وكذا إطلاق الغسل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w:t>
      </w:r>
      <w:r>
        <w:rPr>
          <w:rStyle w:val="FootnoteAnchor"/>
          <w:rtl w:val="true"/>
        </w:rPr>
        <w:footnoteReference w:id="650"/>
      </w:r>
      <w:r>
        <w:rPr>
          <w:rFonts w:ascii="IRNazanin" w:hAnsi="IRNazanin" w:eastAsia="IRNazanin"/>
          <w:color w:val="111111"/>
          <w:sz w:val="28"/>
          <w:sz w:val="28"/>
          <w:szCs w:val="28"/>
          <w:rtl w:val="true"/>
          <w:lang w:bidi="fa-IR"/>
        </w:rPr>
        <w:t>إلا أنه مخصص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تَجِدُواْ مَاءً ، ويحتمل أن يكون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تتمكنوا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به التفسير </w:t>
      </w:r>
      <w:r>
        <w:rPr>
          <w:rStyle w:val="FootnoteAnchor"/>
          <w:rtl w:val="true"/>
        </w:rPr>
        <w:footnoteReference w:id="651"/>
      </w:r>
      <w:r>
        <w:rPr>
          <w:rFonts w:ascii="Amiri" w:hAnsi="Amiri" w:eastAsia="Amiri" w:cs="Amiri"/>
          <w:color w:val="111111"/>
          <w:sz w:val="28"/>
          <w:sz w:val="28"/>
          <w:szCs w:val="28"/>
          <w:rtl w:val="true"/>
          <w:lang w:bidi="ar-SA"/>
        </w:rPr>
        <w:t>، وعدم التمكن ثابت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منه هو المعنى الظاهر منه وهو عدم الوجدان إلا أنّه بحيث يدرك معه الصلاة وهو غير موجود فيما نحن فيه، وسيأتي تحقيقه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غير المتمكن من الشرائط من أول الوقت إلى آخره</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3968000_2870459653"/>
      <w:bookmarkStart w:id="283" w:name="_Toc99"/>
      <w:bookmarkEnd w:id="282"/>
      <w:r>
        <w:rPr>
          <w:rtl w:val="true"/>
        </w:rPr>
        <w:t>[</w:t>
      </w:r>
      <w:r>
        <w:rPr>
          <w:rtl w:val="true"/>
        </w:rPr>
        <w:t>حكم المتمكن من الشرائط في أول الوقت، العاجز عنها في آخره</w:t>
      </w:r>
      <w:r>
        <w:rPr>
          <w:rtl w:val="true"/>
        </w:rPr>
        <w:t>]</w:t>
      </w:r>
      <w:bookmarkEnd w:id="28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ذو الحالتين بأنّ كان متمكناً من الشرط في أول الوقت ثم صار غير متمكن منه بالنسبة إلى الباقي، فإنّ كان التكليف بالصلاة في كل الوقت بمعنى تعلق الأمر الواحد بالنسبة إلى هذا الوقت ولم ينحل الأمر إلى أوامر متعددة بالنسبة إلى أجزاء الزمان، فالظاهر ثبوت التكليف مع الشرط ولا يمكن من تعلق التكليف بجعل هذا الغير المتمكن استكشاف كون المكلف به هو الصلاة بغير الشرط لصحة التكليف بالكلي مع التمكن من فرد منه وهو زمان التمكن، ولا يلزم القبح، لعدم التكليف بالمحال ؛ وأمّا لو انحلّ الأمر إلى أوامر متعددة بأنّ تعلق الأمر المتعلق بالصلاة في كل جزء من الوقت؛ فالظاهر جريان الكلام السابق فيه لعدم تأثير القدرة السابقة في الأمر </w:t>
      </w:r>
    </w:p>
    <w:p>
      <w:pPr>
        <w:pStyle w:val="BookText"/>
        <w:rPr/>
      </w:pPr>
      <w:r>
        <w:rPr>
          <w:rFonts w:ascii="Amiri" w:hAnsi="Amiri" w:eastAsia="Amiri" w:cs="Amiri"/>
          <w:color w:val="111111"/>
          <w:sz w:val="28"/>
          <w:sz w:val="28"/>
          <w:szCs w:val="28"/>
          <w:rtl w:val="true"/>
          <w:lang w:bidi="ar-SA"/>
        </w:rPr>
        <w:t>اللاحق، بل لا بُدَّ من التمكّن بالنسبة إليه فحينئذ يستكشف من تعلق الأمر به في زمان عدم التمكن؛ كون التكليف بغير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بعد تمامية هذا الكلام في غير المتمكن في الجميع، إلا أنك قد عرفت حكومة أدلّة الشرائط بالنسبة إلى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إذا بنينا على عدم سقوط التكليف في صورة الضيق بملاحظة استقراء موارد الشروط مثل الشروط العقلية وغير ذلك وعدم تسليم الإطلاق لأدلة الشرائط مطلقاً من باب الاستقراء وتنقيح المناط، فهل يكون التكليف حينئذ هو إتيان الركعة الواحدة مع الشرط أو تمام الصلاة في الوقت مع عدم الشرط؟</w:t>
      </w:r>
    </w:p>
    <w:p>
      <w:pPr>
        <w:pStyle w:val="BookText"/>
        <w:rPr/>
      </w:pPr>
      <w:r>
        <w:rPr>
          <w:rFonts w:ascii="IRNazanin" w:hAnsi="IRNazanin" w:eastAsia="IRNazanin"/>
          <w:color w:val="111111"/>
          <w:sz w:val="28"/>
          <w:sz w:val="28"/>
          <w:szCs w:val="28"/>
          <w:rtl w:val="true"/>
          <w:lang w:bidi="fa-IR"/>
        </w:rPr>
        <w:t>يظهر في بادي النظر التعارض بين أدلّة الشرائط، لخروج صورة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عدم بقاء الوقت إلا لركعة مع غير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فيسقط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الباقي تحت إطلاق ثبوت الشرطية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أدلّة الوقت وحيث يحكم الأول بتعيين الركعة مع الشرط والثاني بتعيين التمام بغير الشرط بناءً على عدم دلالة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 ركعة فقد أدرك الوقت</w:t>
      </w:r>
      <w:r>
        <w:rPr>
          <w:rFonts w:eastAsia="IRNazanin" w:cs="IRNazanin"/>
          <w:color w:val="111111"/>
          <w:sz w:val="28"/>
          <w:szCs w:val="28"/>
          <w:rtl w:val="true"/>
          <w:lang w:bidi="fa-IR"/>
        </w:rPr>
        <w:t>»</w:t>
      </w:r>
      <w:r>
        <w:rPr>
          <w:rStyle w:val="FootnoteAnchor"/>
          <w:rtl w:val="true"/>
        </w:rPr>
        <w:footnoteReference w:id="652"/>
      </w:r>
      <w:r>
        <w:rPr>
          <w:rFonts w:ascii="Amiri" w:hAnsi="Amiri" w:eastAsia="Amiri" w:cs="Amiri"/>
          <w:color w:val="111111"/>
          <w:sz w:val="28"/>
          <w:sz w:val="28"/>
          <w:szCs w:val="28"/>
          <w:rtl w:val="true"/>
          <w:lang w:bidi="ar-SA"/>
        </w:rPr>
        <w:t xml:space="preserve">على بدلية الركعة مطلقاً وجواز التأخير، بل في مقام دفع توهم سقوط الصلاة لو بقي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من دليل الوقت أنّ الوقت له خصوصية بالنسبة إلى الشرائط فكأنه جزء من الفعل وورود الاختيار والاضطرار والعُسر واليسر على الفعل الخاص وهو الواقع في الوقت لا على الفعل ، ولو كان خارج الوقت وكون المقسم في الاختياري والاضطراري هي الصلاة الواقعة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الواقعة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فرضنا عدم استفادتنا هذا المقدار من أدلّة الوقت فهل يكون حال الوقت مع الشرط من قبيل التعارض حتى يرجع إلى المرجّحات مثل ملاحظة سند دليلها وغيره أو من باب التزاحم؟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كون بابها التزاحم ؛ فلا بُدَّ من الرجوع إلى الأهم؛ لأنّ مقتضيهما في حد ذاتهما تامان وإنما المانع من امتثالهما هو عدم قدرة المكلّف كما في إنقاذ الغريقين، فلا بُدَّ </w:t>
      </w:r>
      <w:bookmarkStart w:id="284" w:name="pg9203_87226"/>
    </w:p>
    <w:p>
      <w:pPr>
        <w:pStyle w:val="BookText"/>
        <w:rPr/>
      </w:pPr>
      <w:bookmarkEnd w:id="284"/>
      <w:r>
        <w:rPr>
          <w:rFonts w:ascii="Amiri" w:hAnsi="Amiri" w:eastAsia="Amiri" w:cs="Amiri"/>
          <w:color w:val="111111"/>
          <w:sz w:val="28"/>
          <w:sz w:val="28"/>
          <w:szCs w:val="28"/>
          <w:rtl w:val="true"/>
          <w:lang w:bidi="ar-SA"/>
        </w:rPr>
        <w:t>من ملاحظة في أنّ أيهما أهم، والظاهر أنّ الوقت أهم وتقديم الصلاة مع ترك الشرط</w:t>
      </w:r>
      <w:r>
        <w:rPr>
          <w:rFonts w:eastAsia="Amiri" w:cs="Amiri" w:ascii="Amiri" w:hAnsi="Amiri"/>
          <w:color w:val="111111"/>
          <w:sz w:val="28"/>
          <w:szCs w:val="28"/>
          <w:rtl w:val="true"/>
          <w:lang w:bidi="ar-SA"/>
        </w:rPr>
        <w:t>.</w:t>
      </w:r>
    </w:p>
    <w:p>
      <w:pPr>
        <w:pStyle w:val="Heading2"/>
        <w:numPr>
          <w:ilvl w:val="1"/>
          <w:numId w:val="1"/>
        </w:numPr>
        <w:rPr/>
      </w:pPr>
      <w:bookmarkStart w:id="285" w:name="__RefHeading___Toc3968002_2870459653"/>
      <w:bookmarkStart w:id="286" w:name="_Toc100"/>
      <w:bookmarkEnd w:id="285"/>
      <w:r>
        <w:rPr>
          <w:rtl w:val="true"/>
        </w:rPr>
        <w:t>[</w:t>
      </w:r>
      <w:r>
        <w:rPr>
          <w:rtl w:val="true"/>
        </w:rPr>
        <w:t>مقتضى القاعدة والاحتياط هو تأخير الصلاة</w:t>
      </w:r>
      <w:r>
        <w:rPr>
          <w:rtl w:val="true"/>
        </w:rPr>
        <w:t>]</w:t>
      </w:r>
      <w:bookmarkEnd w:id="286"/>
    </w:p>
    <w:p>
      <w:pPr>
        <w:pStyle w:val="BookText"/>
        <w:rPr/>
      </w:pPr>
      <w:r>
        <w:rPr>
          <w:rFonts w:ascii="Amiri" w:hAnsi="Amiri" w:eastAsia="Amiri" w:cs="Amiri"/>
          <w:color w:val="111111"/>
          <w:sz w:val="28"/>
          <w:sz w:val="28"/>
          <w:szCs w:val="28"/>
          <w:rtl w:val="true"/>
          <w:lang w:bidi="ar-SA"/>
        </w:rPr>
        <w:t>ثم إنه لو لم يكن لهما الترجيح فما هو مقتضى القاعدة والاحتياط، فهل يكون الاحتياط هو التأخير إلى أن يتضيّق الوقت بحيث لا يبقى إلا مقدار ركعة بغير الشرط لعدم تعيين واحد منهما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غير الوضوء من سائر الشرائط لا يبعد تقديم الركعة مع الشرط على التمام لصحته يقيناً دون التمام؛ لأنّ الستر ليس إلا التوصلي ولا يحتاج صحته إلى الأمر بدرك الركعة مع الستر، غاية الأمر حصول المعصية الاحتمالية؛ لاحتمال كون المكلف به هو التام بغير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مثل الوضوء مما يحتاج صحته إلى قصد التقرب والأمر بالصلاة معه فلا تحصل الإطاعة اليقينية بفعله مع درك الركعة لاحتمال عدم الأمر به بل الأمر بالتمام بغيره فيكون باطلا فلا يحصل الإطاعة بفعل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يحصل الإطاعة اليقينية بالتأخير إلى ضيق الوقت بحيث لا يسع الوقت إلا لركعة مع التيمم لكن يحصل المعصية اليقينية للعلم الإجمالي بكون التكليف إما بالركعة مع الوضوء أو أربع ركعات مع التيمّم فتركها يكون معصية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تصوير حصول الإطاعة مع درك الركعة لو قلنا بعدم اقتضاء الأمر بالشيء النهي عن ضده حتى لا يكون فاسداً من جهة احتمال كون التكليف هو التمام، فالوضوء ضد له فيكون منهياً عنه فيكون فاسداً، والوضوء لغاية أخرى غير الصلاة لاحتمال عدم التكليف بالصلاة مع الوضوء فلا يصح لعدم الأمر، فيكون الوضوء صحيحاً بهاتين المقدمتين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مشكل فالقاعدة هو الإتيان بأحدهما ثمّ القضاء بعد الوقت لأصالة عدم إتيان المأمور به فيتعلق الأمر بالقضاء</w:t>
      </w:r>
      <w:r>
        <w:rPr>
          <w:rFonts w:eastAsia="Amiri" w:cs="Amiri" w:ascii="Amiri" w:hAnsi="Amiri"/>
          <w:color w:val="111111"/>
          <w:sz w:val="28"/>
          <w:szCs w:val="28"/>
          <w:rtl w:val="true"/>
          <w:lang w:bidi="ar-SA"/>
        </w:rPr>
        <w:t xml:space="preserve">. </w:t>
      </w:r>
      <w:bookmarkStart w:id="287" w:name="pg9203_87227"/>
    </w:p>
    <w:p>
      <w:pPr>
        <w:pStyle w:val="Heading2"/>
        <w:numPr>
          <w:ilvl w:val="1"/>
          <w:numId w:val="1"/>
        </w:numPr>
        <w:rPr/>
      </w:pPr>
      <w:bookmarkStart w:id="288" w:name="__RefHeading___Toc3968004_2870459653"/>
      <w:bookmarkStart w:id="289" w:name="_Toc101"/>
      <w:bookmarkEnd w:id="287"/>
      <w:bookmarkEnd w:id="288"/>
      <w:r>
        <w:rPr>
          <w:rtl w:val="true"/>
        </w:rPr>
        <w:t>السبب الثاني من أسباب التيمم</w:t>
      </w:r>
      <w:r>
        <w:rPr>
          <w:rtl w:val="true"/>
        </w:rPr>
        <w:t xml:space="preserve">: </w:t>
      </w:r>
      <w:r>
        <w:rPr>
          <w:rtl w:val="true"/>
        </w:rPr>
        <w:t>هو عدم الوصلة إلى الماء</w:t>
      </w:r>
      <w:bookmarkEnd w:id="289"/>
    </w:p>
    <w:p>
      <w:pPr>
        <w:pStyle w:val="BookText"/>
        <w:rPr/>
      </w:pPr>
      <w:r>
        <w:rPr>
          <w:rFonts w:ascii="Amiri" w:hAnsi="Amiri" w:eastAsia="Amiri" w:cs="Amiri"/>
          <w:color w:val="111111"/>
          <w:sz w:val="28"/>
          <w:sz w:val="28"/>
          <w:szCs w:val="28"/>
          <w:rtl w:val="true"/>
          <w:lang w:bidi="ar-SA"/>
        </w:rPr>
        <w:t xml:space="preserve">بأن كان الماء موجوداً ولكن يباع بثمن يكون متعذراً، أو لفقد الآلة التي يحتاج إليها في تحصيل الماء، أو لوجوده في محل يخاف مع السعي إليه من لص أو سبع أو على عرض أو نفس أو ذهاب عقل، وهو في الجملة إجماعي </w:t>
      </w:r>
      <w:r>
        <w:rPr>
          <w:rStyle w:val="FootnoteAnchor"/>
          <w:rtl w:val="true"/>
        </w:rPr>
        <w:footnoteReference w:id="653"/>
      </w:r>
      <w:r>
        <w:rPr>
          <w:rFonts w:ascii="Amiri" w:hAnsi="Amiri" w:eastAsia="Amiri" w:cs="Amiri"/>
          <w:color w:val="111111"/>
          <w:sz w:val="28"/>
          <w:sz w:val="28"/>
          <w:szCs w:val="28"/>
          <w:rtl w:val="true"/>
          <w:lang w:bidi="ar-SA"/>
        </w:rPr>
        <w:t>، ويظهر من بعض</w:t>
      </w:r>
      <w:r>
        <w:rPr>
          <w:rStyle w:val="FootnoteAnchor"/>
          <w:rtl w:val="true"/>
        </w:rPr>
        <w:footnoteReference w:id="654"/>
      </w:r>
      <w:r>
        <w:rPr>
          <w:rFonts w:ascii="Amiri" w:hAnsi="Amiri" w:eastAsia="Amiri" w:cs="Amiri"/>
          <w:color w:val="111111"/>
          <w:sz w:val="28"/>
          <w:sz w:val="28"/>
          <w:szCs w:val="28"/>
          <w:rtl w:val="true"/>
          <w:lang w:bidi="ar-SA"/>
        </w:rPr>
        <w:t xml:space="preserve">كونه مقابلاً لعدم الوجدان إلا أنّ بعضاً منهم </w:t>
      </w:r>
      <w:r>
        <w:rPr>
          <w:rStyle w:val="FootnoteAnchor"/>
          <w:rtl w:val="true"/>
        </w:rPr>
        <w:footnoteReference w:id="655"/>
      </w:r>
      <w:r>
        <w:rPr>
          <w:rFonts w:ascii="Amiri" w:hAnsi="Amiri" w:eastAsia="Amiri" w:cs="Amiri"/>
          <w:color w:val="111111"/>
          <w:sz w:val="28"/>
          <w:sz w:val="28"/>
          <w:szCs w:val="28"/>
          <w:rtl w:val="true"/>
          <w:lang w:bidi="ar-SA"/>
        </w:rPr>
        <w:t>تمسك في بعض مصاديقه بعدم الوجدان فنحن نتكلم في الآية الشريفة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w:t>
      </w:r>
      <w:r>
        <w:rPr>
          <w:rStyle w:val="FootnoteAnchor"/>
          <w:rtl w:val="true"/>
        </w:rPr>
        <w:footnoteReference w:id="656"/>
      </w:r>
      <w:r>
        <w:rPr>
          <w:rFonts w:ascii="Amiri" w:hAnsi="Amiri" w:eastAsia="Amiri" w:cs="Amiri"/>
          <w:color w:val="111111"/>
          <w:sz w:val="28"/>
          <w:sz w:val="28"/>
          <w:szCs w:val="28"/>
          <w:rtl w:val="true"/>
          <w:lang w:bidi="ar-SA"/>
        </w:rPr>
        <w:t>في المراد منه وأنّه يمكن التمسك بها لما نحن فيه بحيث لا يحتاج إلى دليل وإن كان الدليل لإثبات هذا السبب من الإجماع والأخبار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فيه تارة في مدلوله اللفظي هل هو عدم الدرك أو عدم الوجود واقعاً؟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يكون في المراد منه في الآية الشريفة ونحن الآن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فيه وجوه ثلاثة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تتمكنوا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فسّره به جماعة</w:t>
      </w:r>
      <w:r>
        <w:rPr>
          <w:rStyle w:val="FootnoteAnchor"/>
          <w:rtl w:val="true"/>
        </w:rPr>
        <w:footnoteReference w:id="657"/>
      </w:r>
      <w:r>
        <w:rPr>
          <w:rFonts w:ascii="Amiri" w:hAnsi="Amiri" w:eastAsia="Amiri" w:cs="Amiri"/>
          <w:color w:val="111111"/>
          <w:sz w:val="28"/>
          <w:sz w:val="28"/>
          <w:szCs w:val="28"/>
          <w:rtl w:val="true"/>
          <w:lang w:bidi="ar-SA"/>
        </w:rPr>
        <w:t>ووردت الرواية</w:t>
      </w:r>
      <w:r>
        <w:rPr>
          <w:rStyle w:val="FootnoteAnchor"/>
          <w:rtl w:val="true"/>
        </w:rPr>
        <w:footnoteReference w:id="658"/>
      </w:r>
      <w:r>
        <w:rPr>
          <w:rFonts w:ascii="Amiri" w:hAnsi="Amiri" w:eastAsia="Amiri" w:cs="Amiri"/>
          <w:color w:val="111111"/>
          <w:sz w:val="28"/>
          <w:sz w:val="28"/>
          <w:szCs w:val="28"/>
          <w:rtl w:val="true"/>
          <w:lang w:bidi="ar-SA"/>
        </w:rPr>
        <w:t xml:space="preserve">بهذا التفسير ويحمل التمكن أيضاً على الأعم من الشرعي والعقلي فحينئذ يشمل جميع الأسباب فيكون دليلاً لإثبات جميع الأسباب؛ لأنّ بعضها غير متمكن معه معه عقلا من الوضوء لعدم الوجود أو فقد الثمن أو فقد الآلة، وبعضها شرعاً مثل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وغير ذلك</w:t>
      </w:r>
      <w:r>
        <w:rPr>
          <w:rFonts w:eastAsia="Amiri" w:cs="Amiri" w:ascii="Amiri" w:hAnsi="Amiri"/>
          <w:color w:val="111111"/>
          <w:sz w:val="28"/>
          <w:szCs w:val="28"/>
          <w:rtl w:val="true"/>
          <w:lang w:bidi="ar-SA"/>
        </w:rPr>
        <w:t xml:space="preserve">. </w:t>
      </w:r>
      <w:bookmarkStart w:id="290" w:name="pg9203_87228"/>
    </w:p>
    <w:p>
      <w:pPr>
        <w:pStyle w:val="BookText"/>
        <w:rPr/>
      </w:pPr>
      <w:bookmarkEnd w:id="290"/>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نبقي عدم الوجدان على ظاهره ونقيّد الماء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تجدوا ماءً تتمكنون معه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أيضاً يشمل جميع الأسباب وهو بقرينة المقام وأن هذا الشرط للتمكن من الوضوء معه لا مجرد وجود الماء ولو لم يتمكن من الوضوء وبقرينة الآية السابقة يفهم هذا، وأنّ الشرط ليس عدم وجود الماء المطلق بل الماء الذي يحصل معه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يتصرف فيه ولا يتقيّد الماء أيضاً بل يبقى على إطلاقه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لبيان تعداد أسباب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جملتها المرض، حيث يفهم من ذكر المرض أنّ المراد المرض المضر معه استعمال الماء بقرينة المقام كما أنه يستفاد منه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أنّ المراد المرض المضر به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 السفر وقيده بعدم الوجدان لكثرته فيه فذكر سببان، ويستفاد من سياق الآية ومن التعليل في الآية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أَنْ الموجب للتيمم هو العجز وعدم التمكن مطلقاً؛ لأنّ الآية مسوقة لبيان عدم الكلفة على العباد والامتنان عليهم وعدم الحرج عليهم؛ فيفهم من التعليل أنّ التيمم لرفع الحرج وفي مقام عدم التمكن منه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حرج عليكم ان لم تكونوا متمكنين من الوضوء فتيمموا فعلم أنّ السبب المطلق هو العجز وذان فردان منه كونهما غالبيين</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3968006_2870459653"/>
      <w:bookmarkStart w:id="292" w:name="_Toc102"/>
      <w:bookmarkEnd w:id="291"/>
      <w:r>
        <w:rPr>
          <w:rtl w:val="true"/>
        </w:rPr>
        <w:t>ومن جملة أفراد عدم الوصلة هو</w:t>
      </w:r>
      <w:r>
        <w:rPr>
          <w:rtl w:val="true"/>
        </w:rPr>
        <w:t xml:space="preserve">: </w:t>
      </w:r>
      <w:r>
        <w:rPr>
          <w:rtl w:val="true"/>
        </w:rPr>
        <w:t>عدم الثمن</w:t>
      </w:r>
      <w:bookmarkEnd w:id="29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يوجد الثمن أصلاً فلا إشكال في صحة التيمم؛ لعدم التمكن من تحصيل الماء ولو كان واجد الثمن فلا يصح التيمم للتمكن من الماء؛ ولأنه واجد كما قال الشهيد الثاني في الروض في مقام الرد على المحقق الثاني</w:t>
      </w:r>
      <w:r>
        <w:rPr>
          <w:rStyle w:val="FootnoteAnchor"/>
          <w:rtl w:val="true"/>
        </w:rPr>
        <w:footnoteReference w:id="661"/>
      </w:r>
      <w:r>
        <w:rPr>
          <w:rFonts w:ascii="Amiri" w:hAnsi="Amiri" w:eastAsia="Amiri" w:cs="Amiri"/>
          <w:color w:val="111111"/>
          <w:sz w:val="28"/>
          <w:sz w:val="28"/>
          <w:szCs w:val="28"/>
          <w:rtl w:val="true"/>
          <w:lang w:bidi="ar-SA"/>
        </w:rPr>
        <w:t xml:space="preserve">حيث فرق بين كون الماء موجوداً </w:t>
      </w:r>
      <w:bookmarkStart w:id="293" w:name="pg9203_87229"/>
    </w:p>
    <w:p>
      <w:pPr>
        <w:pStyle w:val="BookText"/>
        <w:rPr/>
      </w:pPr>
      <w:bookmarkEnd w:id="293"/>
      <w:r>
        <w:rPr>
          <w:rFonts w:ascii="Amiri" w:hAnsi="Amiri" w:eastAsia="Amiri" w:cs="Amiri"/>
          <w:color w:val="111111"/>
          <w:sz w:val="28"/>
          <w:sz w:val="28"/>
          <w:szCs w:val="28"/>
          <w:rtl w:val="true"/>
          <w:lang w:bidi="ar-SA"/>
        </w:rPr>
        <w:t>ولكن باستعماله يفوت الوقت فقال بعدم صحة التيمّم؛ لأنّه واجدٌ، وبين ما كان الماء قريباً منه ولكن بالسعي إليه يفوت فقال بصحة التيمم وعلّله بكونه غير 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الثاني في مقام الرد عليه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الوجدان هو الأعم من الفعلي والشأني فلو كان الماء قريباً منه يكون واجداً قوةً ولو لم يكن واجداً فعلاً فلا يمكن من هذه الجهة الفرق بين الصورتين كما أنّ في صورة كون الماء موجوداً ولكن يحتاج إلى الثمن ويكون واجداً يقولون بكونه واجد الماء والحال أنّه لم يكن واجداً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الشهيد، ويمكن التعميم في عدم الوجدان بحسب القوة والفعل ببقاء عدم الوجدان على ظاهره وهو الفعلي وعدم حمله على خلاف ظاهره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عدم الوجدان فعلاً فيما يقدرون عليه ويستولون عليه وحينئذ يشمل القوة والفعل مع كونه باقياً على ظاهره ففي صورة كون الماء قريباً منه يكون واجداً فعلاً فيما يقدر عليه هذا</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3968008_2870459653"/>
      <w:bookmarkStart w:id="295" w:name="_Toc103"/>
      <w:bookmarkEnd w:id="294"/>
      <w:r>
        <w:rPr>
          <w:rtl w:val="true"/>
        </w:rPr>
        <w:t xml:space="preserve">[ </w:t>
      </w:r>
      <w:r>
        <w:rPr>
          <w:rtl w:val="true"/>
        </w:rPr>
        <w:t xml:space="preserve">لو وجد الماء وتعذر الثمن لشرائه صح التيمم </w:t>
      </w:r>
      <w:r>
        <w:rPr>
          <w:rtl w:val="true"/>
        </w:rPr>
        <w:t>]</w:t>
      </w:r>
      <w:bookmarkEnd w:id="295"/>
    </w:p>
    <w:p>
      <w:pPr>
        <w:pStyle w:val="BookText"/>
        <w:rPr/>
      </w:pPr>
      <w:r>
        <w:rPr>
          <w:rFonts w:ascii="Amiri" w:hAnsi="Amiri" w:eastAsia="Amiri" w:cs="Amiri"/>
          <w:color w:val="111111"/>
          <w:sz w:val="28"/>
          <w:sz w:val="28"/>
          <w:szCs w:val="28"/>
          <w:rtl w:val="true"/>
          <w:lang w:bidi="ar-SA"/>
        </w:rPr>
        <w:t>وإن كان الماء محتاجاً إلى الثمن ويكون متعذراً فلا شبهة في صحة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واجد الثمن وكان يباع الماء بثمن المثل أو بأزيد منه يسيراً بحيث يتسامح به فلا شبهة في وجوب شرائه؛ لأنه متمكن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يباع بأزيد من ثمن المثل كثيراً فهل يجب شرائه أم لا؟</w:t>
      </w:r>
    </w:p>
    <w:p>
      <w:pPr>
        <w:pStyle w:val="BookText"/>
        <w:rPr/>
      </w:pPr>
      <w:r>
        <w:rPr>
          <w:rFonts w:ascii="Amiri" w:hAnsi="Amiri" w:eastAsia="Amiri" w:cs="Amiri"/>
          <w:color w:val="111111"/>
          <w:sz w:val="28"/>
          <w:sz w:val="28"/>
          <w:szCs w:val="28"/>
          <w:rtl w:val="true"/>
          <w:lang w:bidi="ar-SA"/>
        </w:rPr>
        <w:t>مقتضى وجوب تحصيل مقدّمة الواجب وجوب شرائه مطلقاً وكذلك غيره من سائر المقدمات مثل الستر مثلاً لو لم يكن له ولكن يباع بأزيد من ثمن المثل، لكن مقتضى أدلّة نفي الضرر عدم وجوبه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أنه لو كان الماء موجوداً ويباع بالثمن ولم يكن واجداً له فلا يجب تحصيله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الثمن أنقص من ثمن المثل وكذا لو كان واجداً له ويكون محتاجاً إليه بحيث يضره فوت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بِيعَ بثمن المثل ولكن كان زائداً في حد ذاته مثلاً كان قيمة الماء في الغالب هو الدرهم للصاع منه فاتفق في برية أو غيرها كون الماء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مئة درهم بحيث يتداول بيعها فيها بهذه القيمة فلو كان اشتراؤه بهذه القيمة ضرراً في حد ذاته لكن كان ثمن مثله في مثل هذه المواضع بهذه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يحكم أدلّة نفي الضرر بعدم وجوب شرائه أو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أدلّة نفي الضرر يتصور على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عرض التكاليف بأنّ كانت التكاليف المالية كلها ضررية، ولكن كانت مجعولة في مقابل أدلّة نفي الضرر بأنّ كانت مخصصة لها، فحينئذ يكون إطلاق أدلّة التكاليف يحكم بلزوم الشراء؛ لأنّه لا يعارضه نفي الضرر؛ لأنّ دليل التكليف يكون حاكماً عليه، وإن كان يمكن القول بكون الإطلاق منصرفاً إلى المتعارف</w:t>
      </w:r>
    </w:p>
    <w:p>
      <w:pPr>
        <w:pStyle w:val="BookText"/>
        <w:rPr/>
      </w:pPr>
      <w:r>
        <w:rPr>
          <w:rFonts w:ascii="Amiri" w:hAnsi="Amiri" w:eastAsia="Amiri" w:cs="Amiri"/>
          <w:color w:val="111111"/>
          <w:sz w:val="28"/>
          <w:sz w:val="28"/>
          <w:szCs w:val="28"/>
          <w:rtl w:val="true"/>
          <w:lang w:bidi="ar-SA"/>
        </w:rPr>
        <w:t>لا إلى غير المتعارف فلا يلزم على هذا أيضاً وجوب الشراء بهذا المقدار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دليل نفي الضرر وارداً على أدلّة التكاليف بأن يكون مفاد دليل نفي الضرر هو أنّ التكاليف التي تثبت بادلتها لا ضرر فيها فحينئذ لا يبعد القول بعدم وجوب الشراء بهذا المقدار من ثمن المثل لمعارضة أدلّة نفي الضرر لها في القدر الزائد من طباعها لأنّ مفاد دليل نفي الضرر عدم جعل الضرر في التكاليف التي تثبت في الشرع فما هو ثابت في أصل هذه التكاليف في طبائعها فيلزم به بواسطة الدليل، فما هو زائد لا يؤخذ بمقتضى دليل نفي الضرر، وعلى هذا لا يمكن الحكم بإطلاق الدليل في وجوب تحصيل المقدمات بأي وجه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الكلام في هذه المسألة أنّ ما يمكن كونها ضرراً يحتمل فيها وجوه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يباع الماء بثمن يكون متعارفاً شراؤه به ولم يكن زائداً في حد ذاته، ولكن كان محتاجاً إليه بحيث يضره فوته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يباع بثمن المثل، ولكن كان زائداً في نفسه بحيث يمكن القول بأنّ شراء الماء بهذه القيمة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يباع بأزيد من ثمن المثل ولكن لا يكون مضراً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يباع بثمن يكون مضراً بحسب حال المشتري أو بحسب زمان الحال لاحتمال كل منهما عبارة الفقهاء وهو عدم وجوبه ووجوب شرائه إذا كان مضراً بالحال إلا أن الظاهر أن مرادهم هو الضرر بحسب حال المشتري وجدَتِهِ لا الضرر الحالي مقابل الاستقبال لكون الضرر في الاستقبال أيضاً لا يجب التزامه بحيث يخاف الآن من احتياجه غداً إلى الثمن بحيث يضره فوت حاجته كما يقولون بعدم وجوب الوضوء من الماء الموجود لو خاف العطش</w:t>
      </w:r>
      <w:r>
        <w:rPr>
          <w:rStyle w:val="FootnoteAnchor"/>
          <w:rtl w:val="true"/>
        </w:rPr>
        <w:footnoteReference w:id="663"/>
      </w:r>
      <w:r>
        <w:rPr>
          <w:rFonts w:ascii="Amiri" w:hAnsi="Amiri" w:eastAsia="Amiri" w:cs="Amiri"/>
          <w:color w:val="111111"/>
          <w:sz w:val="28"/>
          <w:sz w:val="28"/>
          <w:szCs w:val="28"/>
          <w:rtl w:val="true"/>
          <w:lang w:bidi="ar-SA"/>
        </w:rPr>
        <w:t>، والحال أنّ هنا أيضاً لم يكن العطش موجوداً بل حصل خوفه وبمجرد ذلك حكموا بعدم وجوب الوضوء، فههنا أيضاً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وبعضهم قال</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مدار الضرر على الضرر في زمان الحال لا مكان تجدد الحال بعده إلا أنّ الظاهر منهم هو الأول ويشهد به أيضاً رواية</w:t>
      </w:r>
      <w:r>
        <w:rPr>
          <w:rStyle w:val="FootnoteAnchor"/>
          <w:rtl w:val="true"/>
        </w:rPr>
        <w:footnoteReference w:id="665"/>
      </w:r>
      <w:r>
        <w:rPr>
          <w:rFonts w:ascii="Amiri" w:hAnsi="Amiri" w:eastAsia="Amiri" w:cs="Amiri"/>
          <w:color w:val="111111"/>
          <w:sz w:val="28"/>
          <w:sz w:val="28"/>
          <w:szCs w:val="28"/>
          <w:rtl w:val="true"/>
          <w:lang w:bidi="ar-SA"/>
        </w:rPr>
        <w:t>دالّة على وجوب الشراء بحسب جدته وأحواله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الأقسام فلا شبهة في عدم وجوب الشراء معه، بل لا يجوز لانتفاء الأمر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العلماء</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الشراء له، ويحتمل بعيداً فيه وجوب الشراء الاحتمال الذي ذكرنا سابقاً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 بين علمائنا هو وجوب الشراء إذا كان زائداً </w:t>
      </w:r>
    </w:p>
    <w:p>
      <w:pPr>
        <w:pStyle w:val="BookText"/>
        <w:rPr/>
      </w:pPr>
      <w:r>
        <w:rPr>
          <w:rFonts w:ascii="Amiri" w:hAnsi="Amiri" w:eastAsia="Amiri" w:cs="Amiri"/>
          <w:color w:val="111111"/>
          <w:sz w:val="28"/>
          <w:sz w:val="28"/>
          <w:szCs w:val="28"/>
          <w:rtl w:val="true"/>
          <w:lang w:bidi="ar-SA"/>
        </w:rPr>
        <w:t>عن ثمن المثل وإن اختلف في الوجوب أيضاً أو في الزيادة اليسيرة</w:t>
      </w:r>
      <w:r>
        <w:rPr>
          <w:rStyle w:val="FootnoteAnchor"/>
          <w:rtl w:val="true"/>
        </w:rPr>
        <w:footnoteReference w:id="667"/>
      </w:r>
      <w:r>
        <w:rPr>
          <w:rFonts w:ascii="Amiri" w:hAnsi="Amiri" w:eastAsia="Amiri" w:cs="Amiri"/>
          <w:color w:val="111111"/>
          <w:sz w:val="28"/>
          <w:sz w:val="28"/>
          <w:szCs w:val="28"/>
          <w:rtl w:val="true"/>
          <w:lang w:bidi="ar-SA"/>
        </w:rPr>
        <w:t>، وخالف فيه الشافعي</w:t>
      </w:r>
      <w:r>
        <w:rPr>
          <w:rStyle w:val="FootnoteAnchor"/>
          <w:rtl w:val="true"/>
        </w:rPr>
        <w:footnoteReference w:id="668"/>
      </w:r>
      <w:r>
        <w:rPr>
          <w:rFonts w:ascii="Amiri" w:hAnsi="Amiri" w:eastAsia="Amiri" w:cs="Amiri"/>
          <w:color w:val="111111"/>
          <w:sz w:val="28"/>
          <w:sz w:val="28"/>
          <w:szCs w:val="28"/>
          <w:rtl w:val="true"/>
          <w:lang w:bidi="ar-SA"/>
        </w:rPr>
        <w:t>، والنصوص أيضاً شاهدة بذلك، فيخرج عما دلّ على عدم الضرر، إلا أنّه يظهر من بعض كالشهيد</w:t>
      </w:r>
      <w:r>
        <w:rPr>
          <w:rStyle w:val="FootnoteAnchor"/>
          <w:rtl w:val="true"/>
        </w:rPr>
        <w:footnoteReference w:id="669"/>
      </w:r>
      <w:r>
        <w:rPr>
          <w:rFonts w:ascii="Amiri" w:hAnsi="Amiri" w:eastAsia="Amiri" w:cs="Amiri"/>
          <w:color w:val="111111"/>
          <w:sz w:val="28"/>
          <w:sz w:val="28"/>
          <w:szCs w:val="28"/>
          <w:rtl w:val="true"/>
          <w:lang w:bidi="ar-SA"/>
        </w:rPr>
        <w:t>كون هذا الحكم على القاعدة؛ لا كونه على خلاف القاعدة لكونه ضرراً والنص ألجأنا إلى القول؛ لأنّ الشهيد علل وجوب الشراء بانتفاء الضرر لكنّ هذا الكلام محل تأمل؛ لأنهم حكموا بعدم وجوب طلب الماء لو خاف على ماله من اللص للأدلة الدالّة على وجوب حفظ المال وصيانتها وكونه ضرراً، فما الفرق بينه وبين ما نحن فيه حيث لا يكون بذل المال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عدم وجوب الطلب هناك أنّ في تعريض المال للصوص غضاضة واستنفار</w:t>
      </w:r>
      <w:r>
        <w:rPr>
          <w:rStyle w:val="FootnoteAnchor"/>
          <w:rtl w:val="true"/>
        </w:rPr>
        <w:footnoteReference w:id="670"/>
      </w:r>
      <w:r>
        <w:rPr>
          <w:rFonts w:ascii="Amiri" w:hAnsi="Amiri" w:eastAsia="Amiri" w:cs="Amiri"/>
          <w:color w:val="111111"/>
          <w:sz w:val="28"/>
          <w:sz w:val="28"/>
          <w:szCs w:val="28"/>
          <w:rtl w:val="true"/>
          <w:lang w:bidi="ar-SA"/>
        </w:rPr>
        <w:t>دون البذل وهو منشأ الحكم بعدم وجوب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فلا يتم في صورة الخوف من ضياع ماله وفساده، لا من جهة أخذ اللص</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فههنا أيضاً حكموا بوجوب الحفظ وعدم جواز الطلب، والبذل ليس إلا الضرر وهو موجود فيما نحن فيه فيكون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يمكن الإلزام في صورة أخرى وهي أنه لو لم يكن يعلم بقيمته فاشترى بالقيمة العالية باعتقاد انه قيمته السوقية ثم تبين بعد البيع أنّ قيمته أقل من هذا وهو مغبون فيحكمون بأنّ له الخيار بواسطة الضرر ولا يفرق بين كون شراءه ضرراً بين العلم به أو لا، فإنّ كانت الزيادة ضرراً كان في الصورتين وإلا فلا ، بل لو فرض عدم الماء غيره، هل يحكم ببطلان بيعه مع عدم العلم ثمّ إلزامه بشرائه بهذه القيمة لعدم كونه ضرراً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يمكن الفرق بين ما نحن فيه وبين باب البيع والخيار بأنّ المقصود تارةً بالبيع والشراء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الشيء لا </w:t>
      </w:r>
    </w:p>
    <w:p>
      <w:pPr>
        <w:pStyle w:val="BookText"/>
        <w:rPr/>
      </w:pP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يكون الغرض بالقيمة ، وإن كان الغرض بنفس الشيء لا يكون الضرر ولو اشترى بأضعاف قيمته بخلاف ما لو قصد القيمة فإنّه يكون ضرراً إن كان زائداً عن ثمن المثل، وما نحن فيه من قبيل الأول يكون المطلوب نفس الماء ووجوده فلا يكون ضرراً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البيع يحكمون بالخيار في مقام يكون الغرض بالقيمة، فلا يكون الحكم بوجوب الشراء موافقاً للقاعدة، بل مخالف للقاعدة وكونه ضرراً، إلا أنّه ألجأنا إلى الحكم بواسطة النصوص الدالة على وجوب الاشتراء ولو كان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الكلام في هذا المقام أنّ الأصحابَ حكموا بوجوب الشراء ولو كان الثمن زائداً عن ثمن المثل بأضعافه ما لم يضر به في الحال ولم يكن مجحفاً أيضاً، خلافاً لابن الجنيد حيث حكم بعدم وجوب الشراء حيث يكون الثمن غالياً، وللشافعي</w:t>
      </w:r>
      <w:r>
        <w:rPr>
          <w:rStyle w:val="FootnoteAnchor"/>
          <w:rtl w:val="true"/>
        </w:rPr>
        <w:footnoteReference w:id="67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 الحكم لا شبهة فيه بواسطة الإجماع والنصوص وغير ذلك، وإنما الكلام في أنّ هذا مخالف لقاعدة الضرر، وإنما أثبته النص والإجماع أو يكون موافقاً للقاعدة ولا يكون ضرراً؟</w:t>
      </w:r>
    </w:p>
    <w:p>
      <w:pPr>
        <w:pStyle w:val="BookText"/>
        <w:rPr/>
      </w:pPr>
      <w:r>
        <w:rPr>
          <w:rFonts w:ascii="Amiri" w:hAnsi="Amiri" w:eastAsia="Amiri" w:cs="Amiri"/>
          <w:color w:val="111111"/>
          <w:sz w:val="28"/>
          <w:sz w:val="28"/>
          <w:szCs w:val="28"/>
          <w:rtl w:val="true"/>
          <w:lang w:bidi="ar-SA"/>
        </w:rPr>
        <w:t xml:space="preserve">ويظهر من المحقّق </w:t>
      </w:r>
      <w:r>
        <w:rPr>
          <w:rStyle w:val="FootnoteAnchor"/>
          <w:rtl w:val="true"/>
        </w:rPr>
        <w:footnoteReference w:id="673"/>
      </w:r>
      <w:r>
        <w:rPr>
          <w:rFonts w:ascii="Amiri" w:hAnsi="Amiri" w:eastAsia="Amiri" w:cs="Amiri"/>
          <w:color w:val="111111"/>
          <w:sz w:val="28"/>
          <w:sz w:val="28"/>
          <w:szCs w:val="28"/>
          <w:rtl w:val="true"/>
          <w:lang w:bidi="ar-SA"/>
        </w:rPr>
        <w:t>وجماعة، الأول في جواب الشافعي، لكن يظهر من الشهيد الثاني</w:t>
      </w:r>
      <w:r>
        <w:rPr>
          <w:rStyle w:val="FootnoteAnchor"/>
          <w:rtl w:val="true"/>
        </w:rPr>
        <w:footnoteReference w:id="674"/>
      </w:r>
      <w:r>
        <w:rPr>
          <w:rFonts w:ascii="Amiri" w:hAnsi="Amiri" w:eastAsia="Amiri" w:cs="Amiri"/>
          <w:color w:val="111111"/>
          <w:sz w:val="28"/>
          <w:sz w:val="28"/>
          <w:szCs w:val="28"/>
          <w:rtl w:val="true"/>
          <w:lang w:bidi="ar-SA"/>
        </w:rPr>
        <w:t>تعليله الوجوب بانتفاء الضرر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الكلام منقوض بصورة حكموا فيها بكون ذهاب هذا المقدار من المال </w:t>
      </w:r>
    </w:p>
    <w:p>
      <w:pPr>
        <w:pStyle w:val="BookText"/>
        <w:rPr/>
      </w:pPr>
      <w:r>
        <w:rPr>
          <w:rFonts w:ascii="Amiri" w:hAnsi="Amiri" w:eastAsia="Amiri" w:cs="Amiri"/>
          <w:color w:val="111111"/>
          <w:sz w:val="28"/>
          <w:sz w:val="28"/>
          <w:szCs w:val="28"/>
          <w:rtl w:val="true"/>
          <w:lang w:bidi="ar-SA"/>
        </w:rPr>
        <w:t>ضرراً فلا فارق بين تلك الصورة وبين هذه الصورة فإنّ كان ذهاب هذا المقدار ضرراً يكون في الجميع وإلا فليس في شيء منها، فالتفرقة ليست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الخوف من اللص حيث حكموا بعدم وجوب تحصيل الماء لو حصل الخوف من ذهاب المال ولو كان قليلاً بحيث يعتنى به على المشهور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وبعضهم </w:t>
      </w:r>
      <w:r>
        <w:rPr>
          <w:rStyle w:val="FootnoteAnchor"/>
          <w:rtl w:val="true"/>
        </w:rPr>
        <w:footnoteReference w:id="676"/>
      </w:r>
      <w:r>
        <w:rPr>
          <w:rFonts w:ascii="Amiri" w:hAnsi="Amiri" w:eastAsia="Amiri" w:cs="Amiri"/>
          <w:color w:val="111111"/>
          <w:sz w:val="28"/>
          <w:sz w:val="28"/>
          <w:szCs w:val="28"/>
          <w:rtl w:val="true"/>
          <w:lang w:bidi="ar-SA"/>
        </w:rPr>
        <w:t>قيّده بالكثير ، وعلى كل حال فالمنشأ فيه يكون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وبعضهم </w:t>
      </w:r>
      <w:r>
        <w:rPr>
          <w:rStyle w:val="FootnoteAnchor"/>
          <w:rtl w:val="true"/>
        </w:rPr>
        <w:footnoteReference w:id="67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المنشأ هو غضاضة النفس واستكراهها من تعريض المال للصوص فلا يصدر الإلزام من الشارع بخلاف ما نحن فيه فإنّ إعطاء المال وبذله ليس فيه غضاضة للنفس فلا يجب في الأول دون ما نحن فيه، لكن ذلك لا يتم في صورة النقض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خاف من ضياع المال لو طلب الماء وهنا أيضاً قالوا بعدم الوجوب وليس هنا غضاضة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w:t>
      </w:r>
      <w:r>
        <w:rPr>
          <w:rStyle w:val="FootnoteAnchor"/>
          <w:rtl w:val="true"/>
        </w:rPr>
        <w:footnoteReference w:id="678"/>
      </w:r>
      <w:r>
        <w:rPr>
          <w:rFonts w:ascii="Amiri" w:hAnsi="Amiri" w:eastAsia="Amiri" w:cs="Amiri"/>
          <w:color w:val="111111"/>
          <w:sz w:val="28"/>
          <w:sz w:val="28"/>
          <w:szCs w:val="28"/>
          <w:rtl w:val="true"/>
          <w:lang w:bidi="ar-SA"/>
        </w:rPr>
        <w:t>في مقام بيان الفارق أنه ليس الفارق الغضاضة بل الفارق هي الأدلّة الدالّة على وجوب حفظ المال وصيانته وحرمة إضاعته وليس فيما نحن فيه إضاعة، وهذا الفرق يتم بالنسبة إلى هذين الموردين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صورة أخرى وهو النقض بصورة عدم العلم بقيمة الماء واعتقاده أنّ قيمته هذا المقدار ثم تبين أن قيمته أنقص من هذا، فحكمه بمقتضى أدلّة نفي الضرر بالخيار وهذا يشكل؛ لأنّه إن كان هذا المقدار ضرراً لا يفرق فيه بين العلم وغيره ولا يتم الفرق المذكور هنا؛ لأنّ عدم الأخذ بمقتضى الخيار ليس إضاعة للمال بل إحسان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دليل الوضوء يقتضي الوجوب ولو كان شراء </w:t>
      </w:r>
    </w:p>
    <w:p>
      <w:pPr>
        <w:pStyle w:val="BookText"/>
        <w:rPr/>
      </w:pPr>
      <w:r>
        <w:rPr>
          <w:rFonts w:ascii="Amiri" w:hAnsi="Amiri" w:eastAsia="Amiri" w:cs="Amiri"/>
          <w:color w:val="111111"/>
          <w:sz w:val="28"/>
          <w:sz w:val="28"/>
          <w:szCs w:val="28"/>
          <w:rtl w:val="true"/>
          <w:lang w:bidi="ar-SA"/>
        </w:rPr>
        <w:t>الماء بألف ألف بقدر التمكن ولا يتم أيضاً ما قلنا من الانصراف إلى المتعارف؛ لأنّ المتعارف الذي يكون منشأ للظهور المطلق فيه غير موجود بل ذلك الانصراف مثل انصراف الإنسان إلى انسان ذي رأس واحد بحيث يكون ظاهراً في عدم إرادة غيره وذلك غير موجود، بل الانصراف إنّما يحصل لو علمنا بعدم الاهتمام في تكليف الوضوء مثل الاهتمام في عدم صرف المال، هذا 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شمول الإطلاق لمراتب التحصيل متعارفة</w:t>
      </w:r>
      <w:r>
        <w:rPr>
          <w:rStyle w:val="FootnoteAnchor"/>
          <w:rtl w:val="true"/>
        </w:rPr>
        <w:footnoteReference w:id="679"/>
      </w:r>
      <w:r>
        <w:rPr>
          <w:rFonts w:ascii="Amiri" w:hAnsi="Amiri" w:eastAsia="Amiri" w:cs="Amiri"/>
          <w:color w:val="111111"/>
          <w:sz w:val="28"/>
          <w:sz w:val="28"/>
          <w:szCs w:val="28"/>
          <w:rtl w:val="true"/>
          <w:lang w:bidi="ar-SA"/>
        </w:rPr>
        <w:t xml:space="preserve">ففي بعضها بطريق النصوصية وفي بعضها بطريق الظهور وفي بعضها في غاية الخفاء، لكن مقتضى أدلّة الضرر نفي الظهور مطلقاً في جميع المراتب لكنّ مراتبه أيضاً مختلفة شمولها للمرتبة الأولى من الإطلاق بطريق الخفاء وعدم الأظهرية فلا بُدَّ من تقديم الإطلاق في المرتبة التي يكون فيها من قبيل النص؛ لأنه لا بُدَّ من تقديم الأظهر فكانت هذه المرتبة داخلة في طبع أصل التكليف، ولا يعارضه أدلّة الضرر في الضرر الطبعي؛ لأنّ دليل التكليف مخصص له بخلاف سائر المراتب؛ فإنّ أدلّة الضرر واردة عليها لأنّ شمول أدلّة الضرر لها أظهر من شمول الإطلاق، وحينئذ فالضرر الذي لا يكون مضراً بالحال من هذا القبيل فلا يكون مشمولاً لأدلة الضرر وإن كان ضرراً في نفسه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هذا كونه موجباً للخيار في صورة عدم العلم للضرر؛ لأنه لا ملازمة بين أن يقول المولى اعمل هذا العمل ولو صرفت فيه ألف دينار، وعدم ثبوت الخيار لك لو صرت مغبوناً في هذا المبلغ بأنّ اشتريت فرساً بألف وكانت قيمته خمسين، بل مدلول الإطلاق هو الصرف فيه لا الغبن فثبت أنّ صرف هذا المقدار يمكن عدم كونه ضرراً في صورة العلم لعدم شمول أدلته وضرراً في صورة عدم العلم، ويمكن الفرق أيضاً بين صرف المال مثلاً في شرائه وعدم وجوب تحصيل الماء لو ترتب على التحصيل فوات هذا المقدار من المال بذهابه للص أو إضاعته، وإن كان الإطلاق يشمل الصورتين </w:t>
      </w:r>
    </w:p>
    <w:p>
      <w:pPr>
        <w:pStyle w:val="BookText"/>
        <w:rPr/>
      </w:pPr>
      <w:r>
        <w:rPr>
          <w:rFonts w:ascii="Amiri" w:hAnsi="Amiri" w:eastAsia="Amiri" w:cs="Amiri"/>
          <w:color w:val="111111"/>
          <w:sz w:val="28"/>
          <w:sz w:val="28"/>
          <w:szCs w:val="28"/>
          <w:rtl w:val="true"/>
          <w:lang w:bidi="ar-SA"/>
        </w:rPr>
        <w:t>بمعنى قضاء الإطلاق بوجوب تحصيل الماء ولو صرفت فيه الف دينار أو لا، وسواءً ترتب على تحصيله فوات المال أم لا، لكنّ شموله لصرف المال في التحصيل أظهر؛ لأنّه حقيقة مدلول الإطلاق والدليل؛ لأنّ مدلوله هو التحصيل وهو صرف في التحصيل دون ما يترتب على التحصيل ويلحق به ؛ فإنّه ليس شموله لهذا الظهور كما أشار إلى هذه الدقيقة المحقق الثانى</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ولكن الإنصاف أنّ الحكم مخالف للقاعدة وثبت بالنص وغيره كما أشار إليه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الضرر الحالي فلا يجوز معه الشراء، بل يتيمم لشمول أدلّة الضرر والأصل والإجماع</w:t>
      </w:r>
      <w:r>
        <w:rPr>
          <w:rStyle w:val="FootnoteAnchor"/>
          <w:rtl w:val="true"/>
        </w:rPr>
        <w:footnoteReference w:id="681"/>
      </w:r>
      <w:r>
        <w:rPr>
          <w:rFonts w:ascii="Amiri" w:hAnsi="Amiri" w:eastAsia="Amiri" w:cs="Amiri"/>
          <w:color w:val="111111"/>
          <w:sz w:val="28"/>
          <w:sz w:val="28"/>
          <w:szCs w:val="28"/>
          <w:rtl w:val="true"/>
          <w:lang w:bidi="ar-SA"/>
        </w:rPr>
        <w:t>المنقول، بل المحصل وكونه عسراً منفياً في الشريعة وغير ذلك، فيلاحظ في هذا الضرر حال كل شخص فربما كان شيء في حق شخص ضرراً بحسب حالته ولا يكون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بالغنى والفقر، وقسم من الضرر وهو الضرر المجحف وهو ذهاب معظم مال الشخص، وبهذه الجهة يفترق عن الضرر المالي، فإنّه ربّما يكون مال الشخص في درهم ويباع الماء أيضاً بهذه القيمة، وهذا يكون ضرراً مالياً ولكن في كونه ضرراً مجحفاً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وكلمات الأصحاب </w:t>
      </w:r>
      <w:r>
        <w:rPr>
          <w:rStyle w:val="FootnoteAnchor"/>
          <w:rtl w:val="true"/>
        </w:rPr>
        <w:footnoteReference w:id="682"/>
      </w:r>
      <w:r>
        <w:rPr>
          <w:rFonts w:ascii="Amiri" w:hAnsi="Amiri" w:eastAsia="Amiri" w:cs="Amiri"/>
          <w:color w:val="111111"/>
          <w:sz w:val="28"/>
          <w:sz w:val="28"/>
          <w:szCs w:val="28"/>
          <w:rtl w:val="true"/>
          <w:lang w:bidi="ar-SA"/>
        </w:rPr>
        <w:t>فيه مختلفة، فبعضهم سوغ فيه التيمم، وبعض الأصحاب</w:t>
      </w:r>
      <w:r>
        <w:rPr>
          <w:rStyle w:val="FootnoteAnchor"/>
          <w:rtl w:val="true"/>
        </w:rPr>
        <w:footnoteReference w:id="683"/>
      </w:r>
      <w:r>
        <w:rPr>
          <w:rFonts w:ascii="Amiri" w:hAnsi="Amiri" w:eastAsia="Amiri" w:cs="Amiri"/>
          <w:color w:val="111111"/>
          <w:sz w:val="28"/>
          <w:sz w:val="28"/>
          <w:szCs w:val="28"/>
          <w:rtl w:val="true"/>
          <w:lang w:bidi="ar-SA"/>
        </w:rPr>
        <w:t xml:space="preserve">استشكل فيه للإطلاق وقضائه بوجوب الشراء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الوجوب لأدلة الضرر والعسر والحرج</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بعضاً من هذه الأقسام لها مراتب ، مثلاً ضرر فوت الحاجة له مراتب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 تكون الحاجة بحيث لو لم يصرف في الحاجة يؤدي إلى هلاك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لا يؤدي إلى ذلك فبعض صوره لا كلام في مسوغيته، وإنّما الإشكال في بعضها الآخر، مثلاً الحطاب لو خرج من البلد فجمع الحطب وليس معه ماء فلو رجع إلى البلد يفوت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 رحمه الله</w:t>
      </w:r>
      <w:r>
        <w:rPr>
          <w:rStyle w:val="FootnoteAnchor"/>
          <w:rtl w:val="true"/>
        </w:rPr>
        <w:footnoteReference w:id="684"/>
      </w:r>
      <w:r>
        <w:rPr>
          <w:rFonts w:ascii="Amiri" w:hAnsi="Amiri" w:eastAsia="Amiri" w:cs="Amiri"/>
          <w:color w:val="111111"/>
          <w:sz w:val="28"/>
          <w:sz w:val="28"/>
          <w:szCs w:val="28"/>
          <w:rtl w:val="true"/>
          <w:lang w:bidi="ar-SA"/>
        </w:rPr>
        <w:t>أنه يتيمّم لكونه ضرراً، وأنكر جماعة</w:t>
      </w:r>
      <w:r>
        <w:rPr>
          <w:rStyle w:val="FootnoteAnchor"/>
          <w:rtl w:val="true"/>
        </w:rPr>
        <w:footnoteReference w:id="685"/>
      </w:r>
      <w:r>
        <w:rPr>
          <w:rFonts w:ascii="Amiri" w:hAnsi="Amiri" w:eastAsia="Amiri" w:cs="Amiri"/>
          <w:color w:val="111111"/>
          <w:sz w:val="28"/>
          <w:sz w:val="28"/>
          <w:szCs w:val="28"/>
          <w:rtl w:val="true"/>
          <w:lang w:bidi="ar-SA"/>
        </w:rPr>
        <w:t>عليه، وكأنَّ نظره إلى جمع الحطب عليه واجب لكون مؤنته منه، ولا يجب قبل الوقت تحصيل الشرط حتى يلزم عليه حمل الماء فيذهب بغير ماء فيكون بغير ماء فيتيمم؛ لكون رجوعه مفوتاً لحاجته التي مؤنته منه ، وهذا الخيال ضعيف غاية الضعف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عدم صحة التيمم بل المدار في اختلاف المراتب على تفاوت ظهور الإطلاق، وبالنسبة إلى مرتبة يكون الإطلاق قوياً ظاهراً غاية الظهور، فيكون شمول أدلّة الضرر لها ضعيفاً بحيث لا يعتبر بها في مقابل هذا الظهور مثل ثمن المثل، ، مثلاً لو كان كثيراً أو أزيد من ثمن المثل يسيراً، وبالنسبة إلى مرتبة يكون ظهور أدلّة الضرر قوياً ويكون الإطلاق ضعيفاً، فحينئذ فالإطلاق وإن كان يحكم بوجوب التحصيل إلا أنه ليس له ظهور بحيث يعارض أدلّة الضرر ويرفعها فتكون واردة عليه، فيحكم بعدم الوجوب بمقتضاها كالضرر المجحف أو الضرر الحالي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كانا متساويين في الظهور بحيث لم يكن ظهور أحدهما أقوى في النظر من الآخر وحصل الشك في التكليف فيكون التعارض بين دليل الوضوء وبين دليل نفي الضرر من باب تعارض الظاهرين فلا بُدَّ من الرجوع إلى المرجح لو كان، فإن لم يكن فيحكم بإجمالها والرجوع إلى القواعد ومقتضاها، فالقاعدة الجارية هي الاحتياط بأنّ يتوضأ ويتيمم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الحكم بالإجمال يرجع إلى الإطلاقات الدالة على التيمم 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يكفيك التراب عشر سنين</w:t>
      </w:r>
      <w:r>
        <w:rPr>
          <w:rFonts w:eastAsia="IRNazanin" w:cs="IRNazanin"/>
          <w:color w:val="111111"/>
          <w:sz w:val="28"/>
          <w:szCs w:val="28"/>
          <w:rtl w:val="true"/>
          <w:lang w:bidi="fa-IR"/>
        </w:rPr>
        <w:t xml:space="preserve">» </w:t>
      </w:r>
      <w:r>
        <w:rPr>
          <w:rStyle w:val="FootnoteAnchor"/>
          <w:rtl w:val="true"/>
        </w:rPr>
        <w:footnoteReference w:id="686"/>
      </w:r>
      <w:r>
        <w:rPr>
          <w:rFonts w:ascii="Amiri" w:hAnsi="Amiri" w:eastAsia="Amiri" w:cs="Amiri"/>
          <w:color w:val="111111"/>
          <w:sz w:val="28"/>
          <w:sz w:val="28"/>
          <w:szCs w:val="28"/>
          <w:rtl w:val="true"/>
          <w:lang w:bidi="ar-SA"/>
        </w:rPr>
        <w:t>وغيره مما يدلّ على أنّ التيمم أيضاً مثل الا الوضوء لكن فيه إشكال من شمول إطلاقها لهذا المورد ومن كون التيمم عند عدم التمكن من الوضوء وسقوط الوضوء وهنا يكون متمكنا منه بهذه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فروعاً لا بأس بذكرها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متمكناً من تحصيل الماء بالاكتساب فهل يلزم عليه الاكتساب أم لا؟</w:t>
      </w:r>
    </w:p>
    <w:p>
      <w:pPr>
        <w:pStyle w:val="BookText"/>
        <w:rPr/>
      </w:pPr>
      <w:r>
        <w:rPr>
          <w:rFonts w:ascii="Amiri" w:hAnsi="Amiri" w:eastAsia="Amiri" w:cs="Amiri"/>
          <w:color w:val="111111"/>
          <w:sz w:val="28"/>
          <w:sz w:val="28"/>
          <w:szCs w:val="28"/>
          <w:rtl w:val="true"/>
          <w:lang w:bidi="ar-SA"/>
        </w:rPr>
        <w:t>يظهر من جماعة</w:t>
      </w:r>
      <w:r>
        <w:rPr>
          <w:rStyle w:val="FootnoteAnchor"/>
          <w:rtl w:val="true"/>
        </w:rPr>
        <w:footnoteReference w:id="687"/>
      </w:r>
      <w:r>
        <w:rPr>
          <w:rFonts w:ascii="Amiri" w:hAnsi="Amiri" w:eastAsia="Amiri" w:cs="Amiri"/>
          <w:color w:val="111111"/>
          <w:sz w:val="28"/>
          <w:sz w:val="28"/>
          <w:szCs w:val="28"/>
          <w:rtl w:val="true"/>
          <w:lang w:bidi="ar-SA"/>
        </w:rPr>
        <w:t>عدم الوجوب حتى أنه يظهر من بعض المحققين</w:t>
      </w:r>
      <w:r>
        <w:rPr>
          <w:rStyle w:val="FootnoteAnchor"/>
          <w:rtl w:val="true"/>
        </w:rPr>
        <w:footnoteReference w:id="688"/>
      </w:r>
      <w:r>
        <w:rPr>
          <w:rFonts w:ascii="Amiri" w:hAnsi="Amiri" w:eastAsia="Amiri" w:cs="Amiri"/>
          <w:color w:val="111111"/>
          <w:sz w:val="28"/>
          <w:sz w:val="28"/>
          <w:szCs w:val="28"/>
          <w:rtl w:val="true"/>
          <w:lang w:bidi="ar-SA"/>
        </w:rPr>
        <w:t>أنّ عدم وجوبه مسلم، مثلاً يقول في مسألة الهبة والبذل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القبول؛ لأنه نوع من الاكتساب وهو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يظهر من بعض </w:t>
      </w:r>
      <w:r>
        <w:rPr>
          <w:rStyle w:val="FootnoteAnchor"/>
          <w:rtl w:val="true"/>
        </w:rPr>
        <w:footnoteReference w:id="689"/>
      </w:r>
      <w:r>
        <w:rPr>
          <w:rFonts w:ascii="Amiri" w:hAnsi="Amiri" w:eastAsia="Amiri" w:cs="Amiri"/>
          <w:color w:val="111111"/>
          <w:sz w:val="28"/>
          <w:sz w:val="28"/>
          <w:szCs w:val="28"/>
          <w:rtl w:val="true"/>
          <w:lang w:bidi="ar-SA"/>
        </w:rPr>
        <w:t>في مسألة الدين أنّه لا يجب الاكتساب في أداء الدين وإن كان إطلاق التكليف ووجوب المقدمة يقتضي الوجوب فيه وفيما نحن فيه، لأنهما من باب واحد، فوجه عدم الوجوب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مستندهم في باب الدين على عدم الوجوب بعض الأخبار الواردة فيه وحكموا أيضاً بعدم الوجوب فيما نحن فيه بواسطة الأولوية؛ لأنّه إذا لم يكن الاكتساب واجباً في أداء الدين مع أنه حق الناس فلا يجب فيما نحن فيه؛ لأنه 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المطلب في أصل أداء الدين غير تام؛ لعدم نهوض الأخبار لإثبات المطلب، وعلى فرض الثبوت يمكن منع الأولوية، فالاكتساب واجب إن لم يكن فيه مشقة وعسر شديد وأما معها فيسقط</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بذل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بذل الماء له باذل فهل يجب القبول أم لا، وكذا لو بذل له </w:t>
      </w:r>
    </w:p>
    <w:p>
      <w:pPr>
        <w:pStyle w:val="BookText"/>
        <w:rPr/>
      </w:pPr>
      <w:r>
        <w:rPr>
          <w:rFonts w:ascii="IRNazanin" w:hAnsi="IRNazanin" w:eastAsia="IRNazanin"/>
          <w:color w:val="111111"/>
          <w:sz w:val="28"/>
          <w:sz w:val="28"/>
          <w:szCs w:val="28"/>
          <w:rtl w:val="true"/>
          <w:lang w:bidi="fa-IR"/>
        </w:rPr>
        <w:t>ثمنه؟</w:t>
      </w:r>
    </w:p>
    <w:p>
      <w:pPr>
        <w:pStyle w:val="BookText"/>
        <w:rPr/>
      </w:pPr>
      <w:r>
        <w:rPr>
          <w:rFonts w:ascii="Amiri" w:hAnsi="Amiri" w:eastAsia="Amiri" w:cs="Amiri"/>
          <w:color w:val="111111"/>
          <w:sz w:val="28"/>
          <w:sz w:val="28"/>
          <w:szCs w:val="28"/>
          <w:rtl w:val="true"/>
          <w:lang w:bidi="ar-SA"/>
        </w:rPr>
        <w:t>يظهر من بعض المحققين</w:t>
      </w:r>
      <w:r>
        <w:rPr>
          <w:rStyle w:val="FootnoteAnchor"/>
          <w:rtl w:val="true"/>
        </w:rPr>
        <w:footnoteReference w:id="690"/>
      </w:r>
      <w:r>
        <w:rPr>
          <w:rFonts w:ascii="Amiri" w:hAnsi="Amiri" w:eastAsia="Amiri" w:cs="Amiri"/>
          <w:color w:val="111111"/>
          <w:sz w:val="28"/>
          <w:sz w:val="28"/>
          <w:szCs w:val="28"/>
          <w:rtl w:val="true"/>
          <w:lang w:bidi="ar-SA"/>
        </w:rPr>
        <w:t>الفرق بين صورة بذل الماء وبذل الثمن فيجب القبول في الأول دون الثاني، وعلّل بأنّ قبول الماء ليس فيه مِنّة وضرر فيجب القبول، بخلاف بذل الثمن فإنّ قبوله تحمّل مِنّة ؛ لأنّ جنسه من هذا القبيل فلا يجب القبول؛ لأنه تحمّل منة وإذلال للنفس وهو من أعظم الضرر على الاحرار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الفرق بين الصورتين والحكم مطلقاً في الأول وعدمه في الثاني مشكل، لأنَّ بذل الماء قد يكون فيه مِنّة في بعض الأحيان وقبول المنّة ضرر منفي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في بذل الثمن منة أصلاً فالفرق بالجنس ليس في محله بل الحكم دائر مدار حصول المنّة والضرر والإذلال فلا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لأدلة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حصوله فتجب، سواءً كان في الماء أو في الثمن كما صرح به جماعة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الماء موجوداً ولكن وجب إنفاقه على من يجب نفقته على الشخص فهل يجب الوضوء حينئذٍ وعدم وجوب الإنفاق أم لا بل يجب الإنفاق؟</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واجب النفقة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حقه مالي، بمعنى تعلّقه بالمال، بمعنى أنه يستحق هذا المقدار من المال كالزوجة فإنّها تستحق النفقة بمعنى استحقاقها هذا المقدار من المال، فحينئذ فلو كان الماء موجوداً ولكن تطلبه مع وجوده عندها أيضاً فالظاهر تقديمها على الوضوء؛ لأنّ ذاك حق الناس فيكون مقدماً ، لكنّ هذا مع فرض مطالبتها بعينه وعدم وجود ماء آخر أيضاً بالقيمة التي لا بُدَّ من الاشتراء معها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واجب النفقة مثل الأقارب حيث يكون وجوب الإنفاق عليهم تكليفياً بحيث يسقط لو قام به شخص، وليس من باب حق الناس، فيشكل </w:t>
      </w:r>
    </w:p>
    <w:p>
      <w:pPr>
        <w:pStyle w:val="BookText"/>
        <w:rPr/>
      </w:pPr>
      <w:r>
        <w:rPr>
          <w:rFonts w:ascii="Amiri" w:hAnsi="Amiri" w:eastAsia="Amiri" w:cs="Amiri"/>
          <w:color w:val="111111"/>
          <w:sz w:val="28"/>
          <w:sz w:val="28"/>
          <w:szCs w:val="28"/>
          <w:rtl w:val="true"/>
          <w:lang w:bidi="ar-SA"/>
        </w:rPr>
        <w:t>الأمر لتعارض الواجبين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w:t>
      </w:r>
      <w:r>
        <w:rPr>
          <w:rStyle w:val="FootnoteAnchor"/>
          <w:rtl w:val="true"/>
        </w:rPr>
        <w:footnoteReference w:id="692"/>
      </w:r>
      <w:r>
        <w:rPr>
          <w:rFonts w:ascii="Amiri" w:hAnsi="Amiri" w:eastAsia="Amiri" w:cs="Amiri"/>
          <w:color w:val="111111"/>
          <w:sz w:val="28"/>
          <w:sz w:val="28"/>
          <w:szCs w:val="28"/>
          <w:rtl w:val="true"/>
          <w:lang w:bidi="ar-SA"/>
        </w:rPr>
        <w:t>في مسألة الفَلَس أنه بعد الحجر أيضاً ينفق عليهم من ماله إلى زمان القسمة وظاهره أنّ الإنفاق هنا أيضاً متعلق بالمال إلا أنّه ذهب إليه قليل بحيث لا يمكن الاعتماد عليهم، فيصير من باب التعارض، فالرجوع إلى المرجح إن كان وإلا فالتخيير، بمعنى التخيير في العمل لعدم إمكان الاحتياط؛ لكون الواجب أحدهما حينئذ فلا يعلم، ولا يمكن الاحتياط فيكون مخيراً فيختار أيهما شاء من الوضوء به أو التيمم والانفاق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من جهة أنّ صحة الوضوء كانت مشروطة بالأمر ولا يعلم حينئذ الأمر بالوضوء وكذلك التيمم بأصالة عدم وجوب الوضوء حينئذ فيجب التيمم؛ لأنه معارض بأصالة عدم صحة التيمم ومطهريته؛ ولأنّ وجوب الوضوء كما قلناه سابقاً ناشئ من المقدمية والتوقف فلا يمكن نفيه بالأصل؛ لأنه دائر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الأظهر أنّ ما نحن فيه من باب تزاحم الواجبين فيرجع إلى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الأهم هو الإنفاق لأنَّ الله تعالى أوجب الإنفاق بواسطة النسبة والقرابة التي بينه وبينهم فكأنهم بمنزلته ، فإذا دار الأمر بين الشرب منه والوضوء فالشرب مقدم فيكون الإنفاق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غفل ولم يعلم الأهم فمقتضى أصل عدم الأهم التخيير الواقعي ولا ينافي وجود الأهم في الواقع؛ لأنّ المناط في وجوب الأخذ</w:t>
      </w:r>
    </w:p>
    <w:p>
      <w:pPr>
        <w:pStyle w:val="BookText"/>
        <w:rPr/>
      </w:pPr>
      <w:r>
        <w:rPr>
          <w:rFonts w:ascii="Amiri" w:hAnsi="Amiri" w:eastAsia="Amiri" w:cs="Amiri"/>
          <w:color w:val="111111"/>
          <w:sz w:val="28"/>
          <w:sz w:val="28"/>
          <w:szCs w:val="28"/>
          <w:rtl w:val="true"/>
          <w:lang w:bidi="ar-SA"/>
        </w:rPr>
        <w:t>هو العلم بالأهم لا الأهم الواقعي وإن كان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الثالث من أسباب التيمّم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على النفس</w:t>
      </w:r>
      <w:r>
        <w:rPr>
          <w:rStyle w:val="FootnoteAnchor"/>
          <w:rtl w:val="true"/>
        </w:rPr>
        <w:footnoteReference w:id="693"/>
      </w:r>
      <w:r>
        <w:rPr>
          <w:rFonts w:ascii="Amiri" w:hAnsi="Amiri" w:eastAsia="Amiri" w:cs="Amiri"/>
          <w:color w:val="111111"/>
          <w:sz w:val="28"/>
          <w:sz w:val="28"/>
          <w:szCs w:val="28"/>
          <w:rtl w:val="true"/>
          <w:lang w:bidi="ar-SA"/>
        </w:rPr>
        <w:t>أو العرض أو المالمن اللص والسبع أو خوف المرض الحاصل وغير ذلك من الخوف على نفس محترمة</w:t>
      </w:r>
      <w:r>
        <w:rPr>
          <w:rFonts w:eastAsia="Amiri" w:cs="Amiri" w:ascii="Amiri" w:hAnsi="Amiri"/>
          <w:color w:val="111111"/>
          <w:sz w:val="28"/>
          <w:szCs w:val="28"/>
          <w:rtl w:val="true"/>
          <w:lang w:bidi="ar-SA"/>
        </w:rPr>
        <w:t xml:space="preserve">. </w:t>
      </w:r>
      <w:bookmarkStart w:id="296" w:name="pg9203_87241"/>
    </w:p>
    <w:p>
      <w:pPr>
        <w:pStyle w:val="Heading2"/>
        <w:numPr>
          <w:ilvl w:val="1"/>
          <w:numId w:val="1"/>
        </w:numPr>
        <w:rPr/>
      </w:pPr>
      <w:bookmarkStart w:id="297" w:name="__RefHeading___Toc3968010_2870459653"/>
      <w:bookmarkStart w:id="298" w:name="_Toc104"/>
      <w:bookmarkEnd w:id="296"/>
      <w:bookmarkEnd w:id="297"/>
      <w:r>
        <w:rPr>
          <w:rtl w:val="true"/>
        </w:rPr>
        <w:t>أما الخوف على المال من اللص</w:t>
      </w:r>
      <w:bookmarkEnd w:id="298"/>
    </w:p>
    <w:p>
      <w:pPr>
        <w:pStyle w:val="BookText"/>
        <w:rPr/>
      </w:pPr>
      <w:r>
        <w:rPr>
          <w:rFonts w:ascii="Amiri" w:hAnsi="Amiri" w:eastAsia="Amiri" w:cs="Amiri"/>
          <w:color w:val="111111"/>
          <w:sz w:val="28"/>
          <w:sz w:val="28"/>
          <w:szCs w:val="28"/>
          <w:rtl w:val="true"/>
          <w:lang w:bidi="ar-SA"/>
        </w:rPr>
        <w:t xml:space="preserve">فلا إشكال فيه من حيث الفتوى بل يمكن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عليه، وإنما الكلام في مدركه هل هو النصُّ أو الإجماع أو أدلّة الضرر ؟</w:t>
      </w:r>
    </w:p>
    <w:p>
      <w:pPr>
        <w:pStyle w:val="BookText"/>
        <w:rPr/>
      </w:pPr>
      <w:r>
        <w:rPr>
          <w:rFonts w:ascii="Amiri" w:hAnsi="Amiri" w:eastAsia="Amiri" w:cs="Amiri"/>
          <w:color w:val="111111"/>
          <w:sz w:val="28"/>
          <w:sz w:val="28"/>
          <w:szCs w:val="28"/>
          <w:rtl w:val="true"/>
          <w:lang w:bidi="ar-SA"/>
        </w:rPr>
        <w:t>تمسك بعض</w:t>
      </w:r>
      <w:r>
        <w:rPr>
          <w:rStyle w:val="FootnoteAnchor"/>
          <w:rtl w:val="true"/>
        </w:rPr>
        <w:footnoteReference w:id="695"/>
      </w:r>
      <w:r>
        <w:rPr>
          <w:rFonts w:ascii="IRNazanin" w:hAnsi="IRNazanin" w:eastAsia="IRNazanin"/>
          <w:color w:val="111111"/>
          <w:sz w:val="28"/>
          <w:sz w:val="28"/>
          <w:szCs w:val="28"/>
          <w:rtl w:val="true"/>
          <w:lang w:bidi="fa-IR"/>
        </w:rPr>
        <w:t>بالنصوص الواردة في هذا الباب، والظاهر عدم دلالة النصوص عليه إلا خبر يعقوب وهو أيضاً غير دال لعدم ذكر اللصّ فيها إلا فيه، وهو أيضاً بقرينة سابقة ظاهر في الخوف من اللص على النفس؛ لأنّ قوله الا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آمره فيغرر بنفسه</w:t>
      </w:r>
      <w:r>
        <w:rPr>
          <w:rFonts w:eastAsia="IRNazanin" w:cs="IRNazanin"/>
          <w:color w:val="111111"/>
          <w:sz w:val="28"/>
          <w:szCs w:val="28"/>
          <w:rtl w:val="true"/>
          <w:lang w:bidi="fa-IR"/>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يشهد بأنَّ الخوف من اللص أيضاً على النفس ويؤيده ظهور كون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المخوف عليه والمغرور به وكذا تعقيبه بالسبع أيضاً يشهد بأنَّ الخوف من اللص أيضاً على النفس كما في السبع فلا دلالة في الأخبار على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أن المدرك هي أدلّة نفي الضرر والفارق بين ما نحن فيه ووجوب الشراء بالثمن الزائد عن ثمن المثل شيئان </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3968012_2870459653"/>
      <w:bookmarkStart w:id="300" w:name="_Toc105"/>
      <w:bookmarkEnd w:id="299"/>
      <w:r>
        <w:rPr>
          <w:rtl w:val="true"/>
        </w:rPr>
        <w:t>الأول</w:t>
      </w:r>
      <w:r>
        <w:rPr>
          <w:rtl w:val="true"/>
        </w:rPr>
        <w:t xml:space="preserve">: </w:t>
      </w:r>
      <w:r>
        <w:rPr>
          <w:rtl w:val="true"/>
        </w:rPr>
        <w:t>فهم الأصحاب وقولهم بعدم الوجوب</w:t>
      </w:r>
      <w:r>
        <w:rPr>
          <w:rtl w:val="true"/>
        </w:rPr>
        <w:t>.</w:t>
      </w:r>
      <w:bookmarkEnd w:id="300"/>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سابقاً من ظهور الإطلاق بالنسبة إلى ما يصرف في تحصيل الماء وعدم ظهوره فيما يترتب على التحصيل فيما نحن فيه، حيث إنّ المال هنا مترتب على ذهاب الشخص لتحصيل الماء فكأنه خارج عن الإطلاق؛ لأنّ الإطلاق بالنسبة إلى التحصيل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بين المال المخوف عليه بين الكثير المضر بحال الشخص وبين القليل المعتد به بحيث لا يعد ضرراً في هذا المقام وفاقاً للمشهور</w:t>
      </w:r>
      <w:r>
        <w:rPr>
          <w:rStyle w:val="FootnoteAnchor"/>
          <w:rtl w:val="true"/>
        </w:rPr>
        <w:footnoteReference w:id="697"/>
      </w:r>
      <w:r>
        <w:rPr>
          <w:rFonts w:ascii="Amiri" w:hAnsi="Amiri" w:eastAsia="Amiri" w:cs="Amiri"/>
          <w:color w:val="111111"/>
          <w:sz w:val="28"/>
          <w:sz w:val="28"/>
          <w:szCs w:val="28"/>
          <w:rtl w:val="true"/>
          <w:lang w:bidi="ar-SA"/>
        </w:rPr>
        <w:t xml:space="preserve">، حتى ادعي عليه </w:t>
      </w:r>
      <w:bookmarkStart w:id="301" w:name="pg9203_87242"/>
    </w:p>
    <w:p>
      <w:pPr>
        <w:pStyle w:val="BookText"/>
        <w:rPr/>
      </w:pPr>
      <w:bookmarkEnd w:id="301"/>
      <w:r>
        <w:rPr>
          <w:rFonts w:ascii="IRNazanin" w:hAnsi="IRNazanin" w:eastAsia="IRNazanin"/>
          <w:color w:val="111111"/>
          <w:sz w:val="28"/>
          <w:sz w:val="28"/>
          <w:szCs w:val="28"/>
          <w:rtl w:val="true"/>
          <w:lang w:bidi="fa-IR"/>
        </w:rPr>
        <w:t>الإجماع</w:t>
      </w:r>
      <w:r>
        <w:rPr>
          <w:rStyle w:val="FootnoteAnchor"/>
          <w:rtl w:val="true"/>
        </w:rPr>
        <w:footnoteReference w:id="698"/>
      </w:r>
      <w:r>
        <w:rPr>
          <w:rFonts w:ascii="Amiri" w:hAnsi="Amiri" w:eastAsia="Amiri" w:cs="Amiri"/>
          <w:color w:val="111111"/>
          <w:sz w:val="28"/>
          <w:sz w:val="28"/>
          <w:szCs w:val="28"/>
          <w:rtl w:val="true"/>
          <w:lang w:bidi="ar-SA"/>
        </w:rPr>
        <w:t>، خلافاً لجماعة حيث خصوه بصورة الخوف من المال المجحف المتضرر، والظاهر عدم الفرق؛ لأدلة الضرر ووجوب حفظ المال</w:t>
      </w:r>
      <w:r>
        <w:rPr>
          <w:rStyle w:val="FootnoteAnchor"/>
          <w:rtl w:val="true"/>
        </w:rPr>
        <w:footnoteReference w:id="699"/>
      </w:r>
      <w:r>
        <w:rPr>
          <w:rFonts w:ascii="Amiri" w:hAnsi="Amiri" w:eastAsia="Amiri" w:cs="Amiri"/>
          <w:color w:val="111111"/>
          <w:sz w:val="28"/>
          <w:sz w:val="28"/>
          <w:szCs w:val="28"/>
          <w:rtl w:val="true"/>
          <w:lang w:bidi="ar-SA"/>
        </w:rPr>
        <w:t>حيث إنّها شاملة للقليل أيضاً لكونه ضرراً فالمدرك في التعميم هي الأدلة والإجماع المنقول والشهرة المحصلة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الضرر قليلا بحيث لا يعتد به في هذا الباب وإن كان في باب الخيار ضرراً موجباً للخيار فالظاهر وجوب تحمله لعدم كونه ضرراً في هذا المقام لاختلاف الضرر بالنسبة إلى الموارد بل بالنسبة إلى الأشخاص أيضاً فربما لا يكون مقدار قليل من المال موجباً للضرر في مقام دون مقام آخر، مثلاً في باب الخيار الغرض المعاملة والمالية فلو بيع شيء يكون قيمته در هم بدرهمين يوجب الخيار ويكون ضرراً، بخلافه مثلاً في مسألة الحج لو ذهب إلى الحج يتضرر بدرهم أو درهمين ولم يقل أحد بكونه ضرراً وموجباً للسقوط، بل الضرر مختلف بالنسبة إلى الموارد، فلو خاف على ذهاب المال القليل غير المعتد به يلزم تحصيل الماء لإطلاق دليل الوضوء وظهوره بالنسبة إليه هذا كله في المال المخوف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العرض والاعتبار لو ذهب إلى تحصيل الماء يذهب عرضه واعتباره فالظاهر عدم وجوب الذهاب ؛ لأنّ ذهاب الاعتبار والعرض من أعظم المضار</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3968014_2870459653"/>
      <w:bookmarkStart w:id="303" w:name="_Toc106"/>
      <w:bookmarkEnd w:id="302"/>
      <w:r>
        <w:rPr>
          <w:rtl w:val="true"/>
        </w:rPr>
        <w:t>وأما الخوف على نفس محترمة</w:t>
      </w:r>
      <w:bookmarkEnd w:id="303"/>
    </w:p>
    <w:p>
      <w:pPr>
        <w:pStyle w:val="BookText"/>
        <w:rPr/>
      </w:pPr>
      <w:r>
        <w:rPr>
          <w:rFonts w:ascii="Amiri" w:hAnsi="Amiri" w:eastAsia="Amiri" w:cs="Amiri"/>
          <w:color w:val="111111"/>
          <w:sz w:val="28"/>
          <w:sz w:val="28"/>
          <w:szCs w:val="28"/>
          <w:rtl w:val="true"/>
          <w:lang w:bidi="ar-SA"/>
        </w:rPr>
        <w:t>فهل يكون المراد بالمحترمة ما لا يكون دمه مهدوراً فيخرج الكافر الحربي ويدخل ما سواه ولو كان الكافر المعاهد ، أو يكون المراد بها النفس التي يجب حفظها دون ما لا يجب؟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هو الثاني دون الأول؛ لأنّ الكافر الذمي والمعاهد لا يكون دمهما هدراً ولا يسقط الوضوء لو خاف عليها </w:t>
      </w:r>
      <w:r>
        <w:rPr>
          <w:rFonts w:eastAsia="Amiri" w:cs="Amiri" w:ascii="Amiri" w:hAnsi="Amiri"/>
          <w:color w:val="111111"/>
          <w:sz w:val="28"/>
          <w:szCs w:val="28"/>
          <w:rtl w:val="true"/>
          <w:lang w:bidi="ar-SA"/>
        </w:rPr>
        <w:t xml:space="preserve">. </w:t>
      </w:r>
      <w:bookmarkStart w:id="304" w:name="pg9203_87243"/>
    </w:p>
    <w:p>
      <w:pPr>
        <w:pStyle w:val="BookText"/>
        <w:rPr/>
      </w:pPr>
      <w:bookmarkEnd w:id="304"/>
      <w:r>
        <w:rPr>
          <w:rFonts w:ascii="IRNazanin" w:hAnsi="IRNazanin" w:eastAsia="IRNazanin"/>
          <w:color w:val="111111"/>
          <w:sz w:val="28"/>
          <w:sz w:val="28"/>
          <w:szCs w:val="28"/>
          <w:rtl w:val="true"/>
          <w:lang w:bidi="fa-IR"/>
        </w:rPr>
        <w:t>نعم المعاهد المشروط لا يبعد كون حكمه حكم المسلم فيجب حفظ المسلم لو خاف عليه، وسقوط الوضوء؛ لثبوت وجوب حفظه من الشرع من الأخبار الواردة مثل قوله علیه السلام حرمة أخيك المسلم كحرمتك</w:t>
      </w:r>
      <w:r>
        <w:rPr>
          <w:rStyle w:val="FootnoteAnchor"/>
          <w:rtl w:val="true"/>
        </w:rPr>
        <w:footnoteReference w:id="700"/>
      </w:r>
      <w:r>
        <w:rPr>
          <w:rFonts w:ascii="Amiri" w:hAnsi="Amiri" w:eastAsia="Amiri" w:cs="Amiri"/>
          <w:color w:val="111111"/>
          <w:sz w:val="28"/>
          <w:sz w:val="28"/>
          <w:szCs w:val="28"/>
          <w:rtl w:val="true"/>
          <w:lang w:bidi="ar-SA"/>
        </w:rPr>
        <w:t>ومن حق المسلم على المسلم أن يحفظه في غيبته</w:t>
      </w:r>
      <w:r>
        <w:rPr>
          <w:rStyle w:val="FootnoteAnchor"/>
          <w:rtl w:val="true"/>
        </w:rPr>
        <w:footnoteReference w:id="701"/>
      </w:r>
      <w:r>
        <w:rPr>
          <w:rFonts w:ascii="Amiri" w:hAnsi="Amiri" w:eastAsia="Amiri" w:cs="Amiri"/>
          <w:color w:val="111111"/>
          <w:sz w:val="28"/>
          <w:sz w:val="28"/>
          <w:szCs w:val="28"/>
          <w:rtl w:val="true"/>
          <w:lang w:bidi="ar-SA"/>
        </w:rPr>
        <w:t>وغير ذلك مما ورد في باب المسلم لا بُدَّ أن يراعي فيه ما يراعي في النفس، لكنه مختص بالمسلم المؤمن وإلا فالمخالف لا حرمة له وليس بالأخ، ويظهر من بعض الأخبار أنه أسوء حالاً من الكافر</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الخوف على طرف المسلم</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3968016_2870459653"/>
      <w:bookmarkStart w:id="306" w:name="_Toc107"/>
      <w:bookmarkEnd w:id="305"/>
      <w:r>
        <w:rPr>
          <w:rtl w:val="true"/>
        </w:rPr>
        <w:t>وأمّا الحيوان</w:t>
      </w:r>
      <w:bookmarkEnd w:id="306"/>
    </w:p>
    <w:p>
      <w:pPr>
        <w:pStyle w:val="BookText"/>
        <w:rPr/>
      </w:pPr>
      <w:r>
        <w:rPr>
          <w:rFonts w:ascii="Amiri" w:hAnsi="Amiri" w:eastAsia="Amiri" w:cs="Amiri"/>
          <w:color w:val="111111"/>
          <w:sz w:val="28"/>
          <w:sz w:val="28"/>
          <w:szCs w:val="28"/>
          <w:rtl w:val="true"/>
          <w:lang w:bidi="ar-SA"/>
        </w:rPr>
        <w:t>فيظهر من بعض</w:t>
      </w:r>
      <w:r>
        <w:rPr>
          <w:rStyle w:val="FootnoteAnchor"/>
          <w:rtl w:val="true"/>
        </w:rPr>
        <w:footnoteReference w:id="703"/>
      </w:r>
      <w:r>
        <w:rPr>
          <w:rFonts w:ascii="Amiri" w:hAnsi="Amiri" w:eastAsia="Amiri" w:cs="Amiri"/>
          <w:color w:val="111111"/>
          <w:sz w:val="28"/>
          <w:sz w:val="28"/>
          <w:szCs w:val="28"/>
          <w:rtl w:val="true"/>
          <w:lang w:bidi="ar-SA"/>
        </w:rPr>
        <w:t xml:space="preserve">وجوب حفظه إلا الفواسق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كالكلب العقور والحية والعقرب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w:t>
      </w:r>
      <w:r>
        <w:rPr>
          <w:rStyle w:val="FootnoteAnchor"/>
          <w:rtl w:val="true"/>
        </w:rPr>
        <w:footnoteReference w:id="704"/>
      </w:r>
      <w:r>
        <w:rPr>
          <w:rFonts w:ascii="Amiri" w:hAnsi="Amiri" w:eastAsia="Amiri" w:cs="Amiri"/>
          <w:color w:val="111111"/>
          <w:sz w:val="28"/>
          <w:sz w:val="28"/>
          <w:szCs w:val="28"/>
          <w:rtl w:val="true"/>
          <w:lang w:bidi="ar-SA"/>
        </w:rPr>
        <w:t>عدم الوجوب إلا المملوك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أيضاً وجوب الحفظ إلا مثل السباع والحشرات والفواسق الخمس بملاحظة ما ورد في بعض الأخبار ، مثلاً ورد بإلقاء عابد في النار بواسطة عدم استخلاصه الديك من يد الصبي الذي يؤذيه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حرمة زيادة الحمل في الدواب الأربع، ولزوم ردع من آذاها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لكل كبد حرّاء أجر</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وغير ذلك مما يقف المتتبع عليه الذي يمكن حصول المظنة بل القطع باحترامها ووجوب حفظها سواءً كان ملوكاً للشخص أو لغيره؛ لأنّ كلامنا الآن ليس فيه من حيث كونه مملوكاً؛ لأنه قد مرَّ، </w:t>
      </w:r>
      <w:bookmarkStart w:id="307" w:name="pg9203_87244"/>
    </w:p>
    <w:p>
      <w:pPr>
        <w:pStyle w:val="BookText"/>
        <w:rPr/>
      </w:pPr>
      <w:bookmarkEnd w:id="307"/>
      <w:r>
        <w:rPr>
          <w:rFonts w:ascii="Amiri" w:hAnsi="Amiri" w:eastAsia="Amiri" w:cs="Amiri"/>
          <w:color w:val="111111"/>
          <w:sz w:val="28"/>
          <w:sz w:val="28"/>
          <w:szCs w:val="28"/>
          <w:rtl w:val="true"/>
          <w:lang w:bidi="ar-SA"/>
        </w:rPr>
        <w:t>والآن الكلام في الحيوان من حيث كونه نفساً من النفوس، فالظاهر وجوب حفظها وترك الوضوء معها</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3968018_2870459653"/>
      <w:bookmarkStart w:id="309" w:name="_Toc108"/>
      <w:bookmarkEnd w:id="308"/>
      <w:r>
        <w:rPr>
          <w:rtl w:val="true"/>
        </w:rPr>
        <w:t xml:space="preserve">[ </w:t>
      </w:r>
      <w:r>
        <w:rPr>
          <w:rtl w:val="true"/>
        </w:rPr>
        <w:t xml:space="preserve">وجوب حفظ مال الغير </w:t>
      </w:r>
      <w:r>
        <w:rPr>
          <w:rtl w:val="true"/>
        </w:rPr>
        <w:t>]</w:t>
      </w:r>
      <w:bookmarkEnd w:id="309"/>
    </w:p>
    <w:p>
      <w:pPr>
        <w:pStyle w:val="BookText"/>
        <w:rPr/>
      </w:pPr>
      <w:r>
        <w:rPr>
          <w:rFonts w:ascii="Amiri" w:hAnsi="Amiri" w:eastAsia="Amiri" w:cs="Amiri"/>
          <w:color w:val="111111"/>
          <w:sz w:val="28"/>
          <w:sz w:val="28"/>
          <w:szCs w:val="28"/>
          <w:rtl w:val="true"/>
          <w:lang w:bidi="ar-SA"/>
        </w:rPr>
        <w:t>وأمّا الخوف على المال فإن كان ماله فقد مرَّ ، وأما مال غيره فالظاهر أنّه أيضاً يجب حفظه؛ لأنّ حرمة المسلم كحرمة النفس ، فكما أنّ مال الشخص واجب الحفظ فكذا مال المسلم، فلو مات المسلم ولم يكن وارثه حاضراً يجب على الحاكم حفظ ماله حتى يجيء الوارث وإن لم يكن فيجب على العدول من المؤمنين وإن لم يكونوا فعلى الفسّاق منهم، ويظهر من هذا ونحوه أنّ مال المسلم محترم فيسقط الوضوء لأجله</w:t>
      </w:r>
      <w:r>
        <w:rPr>
          <w:rFonts w:eastAsia="Amiri" w:cs="Amiri" w:ascii="Amiri" w:hAnsi="Amiri"/>
          <w:color w:val="111111"/>
          <w:sz w:val="28"/>
          <w:szCs w:val="28"/>
          <w:rtl w:val="true"/>
          <w:lang w:bidi="ar-SA"/>
        </w:rPr>
        <w:t>.</w:t>
      </w:r>
    </w:p>
    <w:p>
      <w:pPr>
        <w:pStyle w:val="Heading2"/>
        <w:numPr>
          <w:ilvl w:val="1"/>
          <w:numId w:val="1"/>
        </w:numPr>
        <w:rPr/>
      </w:pPr>
      <w:bookmarkStart w:id="310" w:name="__RefHeading___Toc3968020_2870459653"/>
      <w:bookmarkStart w:id="311" w:name="_Toc109"/>
      <w:bookmarkEnd w:id="310"/>
      <w:r>
        <w:rPr>
          <w:rtl w:val="true"/>
        </w:rPr>
        <w:t>ومن جملة الموانع لاستعمال الماء المرض</w:t>
      </w:r>
      <w:bookmarkEnd w:id="311"/>
    </w:p>
    <w:p>
      <w:pPr>
        <w:pStyle w:val="BookText"/>
        <w:rPr/>
      </w:pPr>
      <w:r>
        <w:rPr>
          <w:rFonts w:ascii="Amiri" w:hAnsi="Amiri" w:eastAsia="Amiri" w:cs="Amiri"/>
          <w:color w:val="111111"/>
          <w:sz w:val="28"/>
          <w:sz w:val="28"/>
          <w:szCs w:val="28"/>
          <w:rtl w:val="true"/>
          <w:lang w:bidi="ar-SA"/>
        </w:rPr>
        <w:t>تارة يكون الكلام في المرض الحاصل ولكن يخاف من زيادة المرض أو بطء برئه وعسر علاجه بواسطة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يكون في المرض غير الحاصل بل المتوقع باستعمال الماء فنتكلم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مسوغيته في الجملة إجماعي</w:t>
      </w:r>
      <w:r>
        <w:rPr>
          <w:rStyle w:val="FootnoteAnchor"/>
          <w:rtl w:val="true"/>
        </w:rPr>
        <w:footnoteReference w:id="706"/>
      </w:r>
      <w:r>
        <w:rPr>
          <w:rFonts w:ascii="Amiri" w:hAnsi="Amiri" w:eastAsia="Amiri" w:cs="Amiri"/>
          <w:color w:val="111111"/>
          <w:sz w:val="28"/>
          <w:sz w:val="28"/>
          <w:szCs w:val="28"/>
          <w:rtl w:val="true"/>
          <w:lang w:bidi="ar-SA"/>
        </w:rPr>
        <w:t>، ومستفاد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مَّرْضَى أَوْ عَلَى سَفَرِ</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و من المعلوم ضرورةً أنّ المرض الذي لا يضر به الماء لا يسوغ التيمم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يخالف فيه أحد إلا من العامة</w:t>
      </w:r>
      <w:r>
        <w:rPr>
          <w:rStyle w:val="FootnoteAnchor"/>
          <w:rtl w:val="true"/>
        </w:rPr>
        <w:footnoteReference w:id="708"/>
      </w:r>
      <w:r>
        <w:rPr>
          <w:rFonts w:ascii="IRNazanin" w:hAnsi="IRNazanin" w:eastAsia="IRNazanin"/>
          <w:color w:val="111111"/>
          <w:sz w:val="28"/>
          <w:sz w:val="28"/>
          <w:szCs w:val="28"/>
          <w:rtl w:val="true"/>
          <w:lang w:bidi="fa-IR"/>
        </w:rPr>
        <w:t>، بل المسوغ هو المرضالمضربه الماء</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لفظ المرض مطلقاً أنّ المراد المرض المضر، لعدم الفرق بديهة بين هذا اللفظ المذكور في هذه الآية والمرض المذكور في آية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وفي هذه يكون مقيداً بذلك لملاحظة الأخبار الواردة </w:t>
      </w:r>
      <w:bookmarkStart w:id="312" w:name="pg9203_87245"/>
    </w:p>
    <w:p>
      <w:pPr>
        <w:pStyle w:val="BookText"/>
        <w:rPr/>
      </w:pPr>
      <w:bookmarkEnd w:id="312"/>
      <w:r>
        <w:rPr>
          <w:rFonts w:ascii="Amiri" w:hAnsi="Amiri" w:eastAsia="Amiri" w:cs="Amiri"/>
          <w:color w:val="111111"/>
          <w:sz w:val="28"/>
          <w:sz w:val="28"/>
          <w:szCs w:val="28"/>
          <w:rtl w:val="true"/>
          <w:lang w:bidi="ar-SA"/>
        </w:rPr>
        <w:t xml:space="preserve">فيه، فيكون المرض هو المرض المضر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فإذا كان كذلك فالمرض الذي يكون مضراً به الماء ضرراً معتداً به فلا شبهة في سقوط الوضوء معه</w:t>
      </w:r>
      <w:r>
        <w:rPr>
          <w:rFonts w:eastAsia="Amiri" w:cs="Amiri" w:ascii="Amiri" w:hAnsi="Amiri"/>
          <w:color w:val="111111"/>
          <w:sz w:val="28"/>
          <w:szCs w:val="28"/>
          <w:rtl w:val="true"/>
          <w:lang w:bidi="ar-SA"/>
        </w:rPr>
        <w:t>.</w:t>
      </w:r>
    </w:p>
    <w:p>
      <w:pPr>
        <w:pStyle w:val="Heading2"/>
        <w:numPr>
          <w:ilvl w:val="1"/>
          <w:numId w:val="1"/>
        </w:numPr>
        <w:rPr/>
      </w:pPr>
      <w:bookmarkStart w:id="313" w:name="__RefHeading___Toc3968022_2870459653"/>
      <w:bookmarkStart w:id="314" w:name="_Toc110"/>
      <w:bookmarkEnd w:id="313"/>
      <w:r>
        <w:rPr>
          <w:rtl w:val="true"/>
        </w:rPr>
        <w:t>وأما المرض المضر يسيراً بحيث لم يكن معتداً به</w:t>
      </w:r>
      <w:bookmarkEnd w:id="314"/>
    </w:p>
    <w:p>
      <w:pPr>
        <w:pStyle w:val="BookText"/>
        <w:rPr/>
      </w:pPr>
      <w:r>
        <w:rPr>
          <w:rFonts w:ascii="Amiri" w:hAnsi="Amiri" w:eastAsia="Amiri" w:cs="Amiri"/>
          <w:color w:val="111111"/>
          <w:sz w:val="28"/>
          <w:sz w:val="28"/>
          <w:szCs w:val="28"/>
          <w:rtl w:val="true"/>
          <w:lang w:bidi="ar-SA"/>
        </w:rPr>
        <w:t>يظهرُ من بعض</w:t>
      </w:r>
      <w:r>
        <w:rPr>
          <w:rStyle w:val="FootnoteAnchor"/>
          <w:rtl w:val="true"/>
        </w:rPr>
        <w:footnoteReference w:id="710"/>
      </w:r>
      <w:r>
        <w:rPr>
          <w:rFonts w:ascii="Amiri" w:hAnsi="Amiri" w:eastAsia="Amiri" w:cs="Amiri"/>
          <w:color w:val="111111"/>
          <w:sz w:val="28"/>
          <w:sz w:val="28"/>
          <w:szCs w:val="28"/>
          <w:rtl w:val="true"/>
          <w:lang w:bidi="ar-SA"/>
        </w:rPr>
        <w:t>مسوغيته أيضاً، لكنّ الإنصاف عدمه؛ لثبوت دليل الوضوء ولم يثبت مسوغية هذا القسم لعدم كونه عسراً وحرجاً ودليل الضرر يشمل المعتد به لا غير المعتد به فيكون إطلاق دليل الوضوء سليماً عن المعارض بخلاف ما لو كان الضرر معتدا به، ولو جعلنا عدم الوجدان المذكور في الآية بمعنى عدم التمكن وجعلناه قيداً للجميع فالأمر أوضح</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3968024_2870459653"/>
      <w:bookmarkStart w:id="316" w:name="_Toc111"/>
      <w:bookmarkEnd w:id="315"/>
      <w:r>
        <w:rPr>
          <w:rtl w:val="true"/>
        </w:rPr>
        <w:t>وأما المرض المتوقع باستعمال الماء</w:t>
      </w:r>
      <w:bookmarkEnd w:id="316"/>
    </w:p>
    <w:p>
      <w:pPr>
        <w:pStyle w:val="BookText"/>
        <w:rPr/>
      </w:pPr>
      <w:r>
        <w:rPr>
          <w:rFonts w:ascii="Amiri" w:hAnsi="Amiri" w:eastAsia="Amiri" w:cs="Amiri"/>
          <w:color w:val="111111"/>
          <w:sz w:val="28"/>
          <w:sz w:val="28"/>
          <w:szCs w:val="28"/>
          <w:rtl w:val="true"/>
          <w:lang w:bidi="ar-SA"/>
        </w:rPr>
        <w:t>فالذي صرّح به جماعة</w:t>
      </w:r>
      <w:r>
        <w:rPr>
          <w:rStyle w:val="FootnoteAnchor"/>
          <w:rtl w:val="true"/>
        </w:rPr>
        <w:footnoteReference w:id="711"/>
      </w:r>
      <w:r>
        <w:rPr>
          <w:rFonts w:ascii="Amiri" w:hAnsi="Amiri" w:eastAsia="Amiri" w:cs="Amiri"/>
          <w:color w:val="111111"/>
          <w:sz w:val="28"/>
          <w:sz w:val="28"/>
          <w:szCs w:val="28"/>
          <w:rtl w:val="true"/>
          <w:lang w:bidi="ar-SA"/>
        </w:rPr>
        <w:t>، هو كفاية مطلق المرض الحاصل مطلقاً واستدلوا بالعسر والحرج وأدلّة نفي الضرر والقياس بالشين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الخشونة التي تعلو البشرة، على ما صرّح به جماعة</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الشين مسوغ للتيمم في المشهور </w:t>
      </w:r>
      <w:r>
        <w:rPr>
          <w:rStyle w:val="FootnoteAnchor"/>
          <w:rtl w:val="true"/>
        </w:rPr>
        <w:footnoteReference w:id="713"/>
      </w:r>
      <w:r>
        <w:rPr>
          <w:rFonts w:ascii="Amiri" w:hAnsi="Amiri" w:eastAsia="Amiri" w:cs="Amiri"/>
          <w:color w:val="111111"/>
          <w:sz w:val="28"/>
          <w:sz w:val="28"/>
          <w:szCs w:val="28"/>
          <w:rtl w:val="true"/>
          <w:lang w:bidi="ar-SA"/>
        </w:rPr>
        <w:t>، بل ادعي عليه الإجماع</w:t>
      </w:r>
      <w:r>
        <w:rPr>
          <w:rStyle w:val="FootnoteAnchor"/>
          <w:rtl w:val="true"/>
        </w:rPr>
        <w:footnoteReference w:id="714"/>
      </w:r>
      <w:r>
        <w:rPr>
          <w:rFonts w:ascii="Amiri" w:hAnsi="Amiri" w:eastAsia="Amiri" w:cs="Amiri"/>
          <w:color w:val="111111"/>
          <w:sz w:val="28"/>
          <w:sz w:val="28"/>
          <w:szCs w:val="28"/>
          <w:rtl w:val="true"/>
          <w:lang w:bidi="ar-SA"/>
        </w:rPr>
        <w:t>مع عدم كونه مرضاً أو مرض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بضعف هذه الأدلة لعدم كون مطلق المرض المتوقع والوضوء معه عسراً أو لا يكون ضرراً </w:t>
      </w:r>
      <w:r>
        <w:rPr>
          <w:rStyle w:val="FootnoteAnchor"/>
          <w:rtl w:val="true"/>
        </w:rPr>
        <w:footnoteReference w:id="715"/>
      </w:r>
      <w:r>
        <w:rPr>
          <w:rFonts w:ascii="Amiri" w:hAnsi="Amiri" w:eastAsia="Amiri" w:cs="Amiri"/>
          <w:color w:val="111111"/>
          <w:sz w:val="28"/>
          <w:sz w:val="28"/>
          <w:szCs w:val="28"/>
          <w:rtl w:val="true"/>
          <w:lang w:bidi="ar-SA"/>
        </w:rPr>
        <w:t xml:space="preserve">لانصراف دليله إلى المتعارف والقياس على الشين فاسد؛ لأنا لا نسلم الحكم في المقيس عليه مطلقاً، بل المعتبر منه هو الخشونة </w:t>
      </w:r>
      <w:bookmarkStart w:id="317" w:name="pg9203_87246"/>
    </w:p>
    <w:p>
      <w:pPr>
        <w:pStyle w:val="BookText"/>
        <w:rPr/>
      </w:pPr>
      <w:bookmarkEnd w:id="317"/>
      <w:r>
        <w:rPr>
          <w:rFonts w:ascii="Amiri" w:hAnsi="Amiri" w:eastAsia="Amiri" w:cs="Amiri"/>
          <w:color w:val="111111"/>
          <w:sz w:val="28"/>
          <w:sz w:val="28"/>
          <w:szCs w:val="28"/>
          <w:rtl w:val="true"/>
          <w:lang w:bidi="ar-SA"/>
        </w:rPr>
        <w:t>التي توجب شقاق الجلد وخروج الدم لا مطلق الخشونة، لكون مستنده ليس شيئاً آخر غير الضرر وان ادعي عليه الإجماع، إلا أنا نعلم أنّ مدرك المجمعين ليس إلا هذا الدليل، وهو لا يكون دليلا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فالمرض المتوقع إن كان معتدّاً به في العرف بحيث يعد ضرراً وحرجاً يوجب التيمم وإلا فلا، فكذا الشين، مضافاً إلى أنّ مسوغية الشين لا يوجب مسوغية مطلق المرض المتوقع؛ لأنّ الوضوء مع الشين يكون عسراً بخلافه هنا</w:t>
      </w:r>
      <w:r>
        <w:rPr>
          <w:rFonts w:eastAsia="Amiri" w:cs="Amiri" w:ascii="Amiri" w:hAnsi="Amiri"/>
          <w:color w:val="111111"/>
          <w:sz w:val="28"/>
          <w:szCs w:val="28"/>
          <w:rtl w:val="true"/>
          <w:lang w:bidi="ar-SA"/>
        </w:rPr>
        <w:t>.</w:t>
      </w:r>
    </w:p>
    <w:p>
      <w:pPr>
        <w:pStyle w:val="Heading2"/>
        <w:numPr>
          <w:ilvl w:val="1"/>
          <w:numId w:val="1"/>
        </w:numPr>
        <w:rPr/>
      </w:pPr>
      <w:bookmarkStart w:id="318" w:name="__RefHeading___Toc3968026_2870459653"/>
      <w:bookmarkStart w:id="319" w:name="_Toc112"/>
      <w:bookmarkEnd w:id="318"/>
      <w:r>
        <w:rPr>
          <w:rtl w:val="true"/>
        </w:rPr>
        <w:t>[</w:t>
      </w:r>
      <w:r>
        <w:rPr>
          <w:rtl w:val="true"/>
        </w:rPr>
        <w:t>لا فرق في المرض المسوغ بين كونه في جميع البدن أو في بعضه</w:t>
      </w:r>
      <w:r>
        <w:rPr>
          <w:rtl w:val="true"/>
        </w:rPr>
        <w:t>]</w:t>
      </w:r>
      <w:bookmarkEnd w:id="31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الظاهر لا فرق في المرض المسوغ بين كونه في جميع البدن أو في بعض الأعضاء مثل أعضاء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مضراً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موجباً للتيمم، لكن كلام الأصحاب والأخبار هنا مختلفة، ففي باب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بالتيمم في المرض سواءً كان في البعض أو في الجميع، وفي باب الوضوء</w:t>
      </w:r>
      <w:r>
        <w:rPr>
          <w:rStyle w:val="FootnoteAnchor"/>
          <w:rtl w:val="true"/>
        </w:rPr>
        <w:footnoteReference w:id="716"/>
      </w:r>
      <w:r>
        <w:rPr>
          <w:rFonts w:ascii="Amiri" w:hAnsi="Amiri" w:eastAsia="Amiri" w:cs="Amiri"/>
          <w:color w:val="111111"/>
          <w:sz w:val="28"/>
          <w:sz w:val="28"/>
          <w:szCs w:val="28"/>
          <w:rtl w:val="true"/>
          <w:lang w:bidi="ar-SA"/>
        </w:rPr>
        <w:t>فإنّه لو كان بعض الأعضاء به قرح أو جرح أو كسر بحيث لا يمكن غسلها لضرر فإنّ أمكن غسل الموضع غسل وإن لم يمكن غسله يغسل ما دونه ويمسح عليه مع وضع الخرقة، ولم يحكموا بالتيمم، فبين كلامهم هناك وفي هذا الموضع تهافت وتناقض، بل الأخبار أيضاً متعارضة، ففي بعضها</w:t>
      </w:r>
      <w:r>
        <w:rPr>
          <w:rStyle w:val="FootnoteAnchor"/>
          <w:rtl w:val="true"/>
        </w:rPr>
        <w:footnoteReference w:id="717"/>
      </w:r>
      <w:r>
        <w:rPr>
          <w:rFonts w:ascii="Amiri" w:hAnsi="Amiri" w:eastAsia="Amiri" w:cs="Amiri"/>
          <w:color w:val="111111"/>
          <w:sz w:val="28"/>
          <w:sz w:val="28"/>
          <w:szCs w:val="28"/>
          <w:rtl w:val="true"/>
          <w:lang w:bidi="ar-SA"/>
        </w:rPr>
        <w:t>حكم بالتيمم في الجرح والكسر ، ومن به قروح وجروح في بعض أعضاء الوضوء وفي بعضها</w:t>
      </w:r>
      <w:r>
        <w:rPr>
          <w:rStyle w:val="FootnoteAnchor"/>
          <w:rtl w:val="true"/>
        </w:rPr>
        <w:footnoteReference w:id="718"/>
      </w:r>
      <w:r>
        <w:rPr>
          <w:rFonts w:ascii="Amiri" w:hAnsi="Amiri" w:eastAsia="Amiri" w:cs="Amiri"/>
          <w:color w:val="111111"/>
          <w:sz w:val="28"/>
          <w:sz w:val="28"/>
          <w:szCs w:val="28"/>
          <w:rtl w:val="true"/>
          <w:lang w:bidi="ar-SA"/>
        </w:rPr>
        <w:t xml:space="preserve">حكم بالوضوء، في هذه المقامات وغسل العضو الذي به مرض إن أمكن وإلا يمسح على خرقة؛ ونحن نتكلم الآن في العمومات التي تدل على الحكم </w:t>
      </w:r>
    </w:p>
    <w:p>
      <w:pPr>
        <w:pStyle w:val="BookText"/>
        <w:rPr/>
      </w:pPr>
      <w:r>
        <w:rPr>
          <w:rFonts w:ascii="Amiri" w:hAnsi="Amiri" w:eastAsia="Amiri" w:cs="Amiri"/>
          <w:color w:val="111111"/>
          <w:sz w:val="28"/>
          <w:sz w:val="28"/>
          <w:szCs w:val="28"/>
          <w:rtl w:val="true"/>
          <w:lang w:bidi="ar-SA"/>
        </w:rPr>
        <w:t>في هذه الموارد ومن جملتها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مَّرْضَى أَوْ عَلَى سَفَرٍ أَوْ جَاءَ أَحَدٌ مِّنكُم مِّنَ الْغَائِطِ أَوْ لامَسْتُمُ النِّسَاء 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ويمكن استفادة الحكم منها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المرض عاماً يشمل المرض المزاجي بحيث يكون الشخص مريضا مزاجاً وطبيعة كما هو المتبادر من لفظ المرض ويشمل المرض العضوي، بحيث يشمل مثل الكسر والجرح ومن به قروح أو 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فَلَمْ تَجِدُوا مَاءً قيداً للمرض أيضاً وبمعنى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يتمكنوا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مرضى ولم تتمكنوا بالنحو الذي قرّر في صدر الآية من غسل جميع الأعضاء أي الوضوء الكامل، فتيمموا، ويكون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للسفر فقط ويستفاد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كُنتُم مَّرْضَى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 المقيد أي المضر به استعمال الماء كما يستفاد منه بقرينة المقام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في الصوم المرض المضرّ به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الحكم من التعليل الوارد في عجز الآية،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حيث يستفاد منه عدم إرادة الله تعالى الحرج والمشقة وكون سبب شرعية التيمّم الحرج والمشقة وإن كل مورد يكون في الوضوء حرج ومشقة يكون التكليف هو التيمّم لا الوضوء فيشمل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الانصاف أنّه لا يتم كل من الوجهين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فلابتنائه على عموم المرض بحيث يشمل الكسر والجرح وغيرهما وهو ممنوع، ولو كان عاماً بحسب أصل اللغة يكون منصرفاً إلى غير المذكورات بحسب </w:t>
      </w:r>
    </w:p>
    <w:p>
      <w:pPr>
        <w:pStyle w:val="BookText"/>
        <w:rPr/>
      </w:pP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فلأن المستفاد من التعليل هو عدم إرادته تعالى الحرج والمشقة وهو لا يثبت التيمم؛ لأنّ عدم الحرج والمشقة كما يحصل بالتيمم يحصل أيضاً بالوضوء مع عدم غسل الموضع الذي به مرض بل المسح عليه بخرقة، فعدم إرادته الحرج لا يستلزم التيمم، هذا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العمومات التي في المقام هي العمومات الدالة على عدم سقوط الميسور بتعذر المعسور، وعلى عدم سقوط الكل بواسطة عدم إدراك البعض وغيرهما، وهي بعد الغض عن سندها وضعفها من جهة جبرها بالشهرة بين العلماء لو كان فيها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بظاهرها على عدم ثبوت التيمم بمجرد الجرح والقرح في العضو وعدم سقوط الميسور في الأعضاء بواسطة انتفاء المعسور منها وثبوت الوضوء غاية ما في الباب عدم غسل الموضع المقروح وأنّ هذا الوضوء بهذه الكيفية بدل من الوضوء الكامل،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بينها وبين ما دلّ على بدلية التيمم من الوضوء، ونعلم قطعاً عدم التكليف بهما جميعاً، وحينئذ يقع التعارض بينهما فلا بد من الرجوع إلى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يدعى حكومة هذه العمومات على أدلّة التكاليف وبيان المراد بأحد وجهين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يدَّعى أنّ مفادها ان تلك التكاليف لا ترتفع بواسطة سقوط البعض وأنّ البعض منها والميسور منها عين الجميع لا مجرد استفادة البدلية منها، وأنّ البعض منها بدل عن الجميع؛ لأنه حينئذٍ يقع التعارض بينها وبين ما دلّ على بدلية التيمم، ومن المعلوم عدم ثبوت بدلين للشيء في حال الاجتماع ، فلا بُدَّ من ثبوت أحدهما، بل يدعى أنّ المستفاد منها أنّ المراد من التكاليف والمطلوب منها ليس المجموع من حيث هو على الاجتماع، بل المطلوب غسل هذه الأعضاء ولو كان على الأنفراد وأنّ البعض الذي ثبت في هذه الحالة هو عين ما ثبت أولاً مع قطع النظر عن هذه الحالة، وحينئذ لا يعارضها أدلّة التيمّم لكون مفادها كون التيمم بدلاً عن الوضوء، ومن المعلوم عدم </w:t>
      </w:r>
    </w:p>
    <w:p>
      <w:pPr>
        <w:pStyle w:val="BookText"/>
        <w:rPr/>
      </w:pPr>
      <w:r>
        <w:rPr>
          <w:rFonts w:ascii="Amiri" w:hAnsi="Amiri" w:eastAsia="Amiri" w:cs="Amiri"/>
          <w:color w:val="111111"/>
          <w:sz w:val="28"/>
          <w:sz w:val="28"/>
          <w:szCs w:val="28"/>
          <w:rtl w:val="true"/>
          <w:lang w:bidi="ar-SA"/>
        </w:rPr>
        <w:t>ثبوت البدل مع قيام المبدل وثبوته، والمفروض استفادة العينية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 من وجهي تقرير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أنّ ظاهر أدلّة التكليف بالمركب هو مطلوبية المجموع على الاجتماع دون الانفراد والاستقلال حتى لو انتفى غسل بعض الأجزاء انتفى الوضوء مثلاً، إلا أن أدلّة الميسور دلت على أنّ المطلوب من التكاليف</w:t>
      </w:r>
    </w:p>
    <w:p>
      <w:pPr>
        <w:pStyle w:val="BookText"/>
        <w:rPr/>
      </w:pPr>
      <w:r>
        <w:rPr>
          <w:rFonts w:ascii="Amiri" w:hAnsi="Amiri" w:eastAsia="Amiri" w:cs="Amiri"/>
          <w:color w:val="111111"/>
          <w:sz w:val="28"/>
          <w:sz w:val="28"/>
          <w:szCs w:val="28"/>
          <w:rtl w:val="true"/>
          <w:lang w:bidi="ar-SA"/>
        </w:rPr>
        <w:t>ليس هو ظاهر ظاهر الأدلّة من مطلوبية الاجتماع ،والانضمام بل يكون غسل الأعضاء مطلوباً ولو كانت منفردة، وحينئذ بملاحظة أدلّة الميسور فهمنا كون المراد من الدليل هو وجوب غسل الأعضاء ولو انتفى بعضها، وحينئذ 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على أنه إذا لم يتمكنوا من استعمال الماء بهذه الكيفية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التمكن من الغسل ولو في بعض الأعضاء وفي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التيمم دون غيره من الموارد التي يتمكن منها من غسل الجميع أو تمكن من غسل البعض فليس فيها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على ما ذكر أنّ هذا الكشف لا يكون من جهة مطلوبية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المعسور فيستكشف منه أنّ المطلوب ليس شيئاً واحداً وهو المركب المجتمع، بل كل من الأعضاء مطلوب، أو من جهة لفظ الاسقاط هذا بناءً على أنّ لفظ الاسقاط إنّما يستعمل في مورد يكون له شأنية الثبوت والدوام، وإلا لو لم يكن له شأنية الثبوت أصلاً لا يتوهم الثبوت أصلاً ، فكيف يحكم بعدم السقوط وكلاهما غير مفيدين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مطلوبية الميسور لا يدلّ على تعدد المطلوب، كيف ولو كان كذلك؛ لكان الأمر بالقضاء كاشفاً عن تعدد المطلوب وأنّ المطلوب شيئان، شيء هو الفعل مطلقاً ومطلوباً إيجاده في الوقت كما نقل عن شريف العلماء</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ورد دليل على القضاء نستكشف من ذلك الدليل أنّ المطلوب متعددٌ لا متحد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خلاف الأدلّة؛ لأنه لا يفوت الفعل حينئذ أبداً، بل الفائت هو الإيجاد </w:t>
      </w:r>
    </w:p>
    <w:p>
      <w:pPr>
        <w:pStyle w:val="BookText"/>
        <w:rPr/>
      </w:pPr>
      <w:r>
        <w:rPr>
          <w:rFonts w:ascii="Amiri" w:hAnsi="Amiri" w:eastAsia="Amiri" w:cs="Amiri"/>
          <w:color w:val="111111"/>
          <w:sz w:val="28"/>
          <w:sz w:val="28"/>
          <w:szCs w:val="28"/>
          <w:rtl w:val="true"/>
          <w:lang w:bidi="ar-SA"/>
        </w:rPr>
        <w:t>في الوقت، والحال أنّ الأمر بالقضاء معلق على الفوت ويلزم أن يكون القضاء بالأمر الأول ومخالف لظاهر القضاء، حيث إنّه التدارك لا الأصل، فثبت أنّ مجرد المطلوبية لا يدلّ على تعدد المطلوب لعدم دلالة مطلوبية عنوان عند فقد عنوان آخر لا يدلّ على ثبوته في الأول، ولو سلمنا فإنما يدلّ على كون المطلوب في عالم اللب ونفس المولى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اللفظ والمستفاد من لفظ الإسقاط على تقدير التسليم هو شأنية الثبوت وهو لا يدلّ على الثبوت حتى استقلالاً لأنّ ثبوت البعض كان غيرياً وفي ضمن الباقي فلا يدلّ على الثبوت حتى استقلالاً وبدون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يتم هذا التقرير لحكومة أدلّة الميسور على دليل التيمم و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التقرير الأول فهو لا يبتني على كشفه عن عدم كون المطلوب من الدليل هو المجموع باعتبار الانضمام بل لو كان المطلوب هو المجموع من حيث هو، لكن فهمنا بأدلة الميسور أنّ الباقي عين المجموع بحيث يكون جميع خاصياته فيه، ومن جملة خواصه عدم الانتقال مع إمكانه إلى التيمم وهو ثابت فيه، ودليل التيمم إنّما يحكم بكونه بدلاً عن هذا الشيء وهو يتوقف على انتفاء المبدل، وقد فرضنا كون البعض هو المبدل فلا بُدَّ من انتفائه، لكنّ هذا الادعاء إنّما يتم بدفع منعين يردان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أنّ المستفاد من أدلّة الميسور ذلك، بل إنّما يدلّ على ثبوت الميسور، وأمّا أنّ الميسور عين المعسور فلا يدلّ عليه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تسليم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التيمم معلق على عدم التمكن من الوضوء الكامل بشهادة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تتمكنوا مما ذكر في صدر الآية وهي الغسلتان والمسحتان، وهو الوضوء الكامل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دفع المنع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يستفاد منه حقيقة أنّ الميسور والمعسور من شيء واحد وأنّ للوضوء فردين فرد اختياري وفرد اضطراري والميسور ليس عنوان آخر غير الوضوء بل هو الوضوء وهو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فلأن دليل التيمم وارد على تعذر الوضوء لا على الكامل بل على الوضوء وما في حكمه ؛ لكنّ الدعويين مشكلان فالحكومة مشكل، بل يكون بينهما وبين دليل التيمم تعارض من قبيل العموم من وجه، ولا بُدَّ من الرجوع إلى المرجح وإلا فإلى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يُدّعى أنّ المرجح لدليل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العمومات الدالة على التيمم؛ حيث تدل على كفاية التيمم للشخص وعدم احتياجه إلى شيء آخر عند فقد الوضوء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أيضاً مشكل لدلالتها على الكفاية في مقام ثبوتها وهو التعذر عن الوضوء وبعد ثبوت الوضوء لا مورد لدليل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هل يكون لنا عمومات يستفاد منها الحكم أعم من أنّ يكون الوضوء الناقص أو التيمم في الأعذار والأمراض التي تكون في بعض أعضاء الوضوء مما لم يرد عليه نص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الوضوء فيه أو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التكليف هو الوضوء مع عدم غسل موضع المرض أو التيمم مع قيام الإجماع على عدم ثبوتهما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ثبوت الوضوء مع المسح بالخرقة أو غسل الموضع بدون وضع شيء مما هو مذكور في مسألة الجبيرة فخارج عن محل كلامنا الآن، بل الكلام في مجرد دوران الأمر بين الوضوء بدون غسل الموضع والتيمم؟</w:t>
      </w:r>
    </w:p>
    <w:p>
      <w:pPr>
        <w:pStyle w:val="BookText"/>
        <w:rPr/>
      </w:pPr>
      <w:r>
        <w:rPr>
          <w:rFonts w:ascii="Amiri" w:hAnsi="Amiri" w:eastAsia="Amiri" w:cs="Amiri"/>
          <w:color w:val="111111"/>
          <w:sz w:val="28"/>
          <w:sz w:val="28"/>
          <w:szCs w:val="28"/>
          <w:rtl w:val="true"/>
          <w:lang w:bidi="ar-SA"/>
        </w:rPr>
        <w:t xml:space="preserve">والظاهر إجمال الآية وعدم دلالتها على التيمم لكونه موقوفاً على ثبوت الإطلاق للمرض وهو محل تأمل، وعلى تقدير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إما للجميع وكونه كناية عن عدم التمكن من الاستعمال أو يكون بمعناه ولا يكون كناية ويكون قيداً للسفر مجردا وكلاهما بعيدان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فلأنّه وإن كان يقرّبه كون المجموع المذكور في الآية على نسق واحد والقيد الوارد ظاهر في رجوعه إلى الجميع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الوجدان لا يكون </w:t>
      </w:r>
    </w:p>
    <w:p>
      <w:pPr>
        <w:pStyle w:val="BookText"/>
        <w:rPr/>
      </w:pPr>
      <w:r>
        <w:rPr>
          <w:rFonts w:ascii="Amiri" w:hAnsi="Amiri" w:eastAsia="Amiri" w:cs="Amiri"/>
          <w:color w:val="111111"/>
          <w:sz w:val="28"/>
          <w:sz w:val="28"/>
          <w:szCs w:val="28"/>
          <w:rtl w:val="true"/>
          <w:lang w:bidi="ar-SA"/>
        </w:rPr>
        <w:t xml:space="preserve">غالباً في حق المريض كما أنّه في السفر كذلك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عدم التمكن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الوجدان لكونه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يبعده ما ذكرناه من كون الظاهر رجوعه إلى الجميع، فالظاهر كون عدم الوجدان بمعناه، وقيداً للجميع، فلا يكون حينئذٍ دليلاً لإثبات التيمم في صورة تضرر الاستعمال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 الكلام أنّ أدلّة الميسور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أمرتكم بشيء فاتوا منه ما استطعتم</w:t>
      </w:r>
      <w:r>
        <w:rPr>
          <w:rFonts w:eastAsia="IRNazanin" w:cs="IRNazanin"/>
          <w:color w:val="111111"/>
          <w:sz w:val="28"/>
          <w:szCs w:val="28"/>
          <w:rtl w:val="true"/>
          <w:lang w:bidi="fa-IR"/>
        </w:rPr>
        <w:t>»</w:t>
      </w:r>
      <w:r>
        <w:rPr>
          <w:rStyle w:val="FootnoteAnchor"/>
          <w:rtl w:val="true"/>
        </w:rPr>
        <w:footnoteReference w:id="724"/>
      </w:r>
      <w:r>
        <w:rPr>
          <w:rFonts w:ascii="Amiri" w:hAnsi="Amiri" w:eastAsia="Amiri" w:cs="Amiri"/>
          <w:color w:val="111111"/>
          <w:sz w:val="28"/>
          <w:sz w:val="28"/>
          <w:szCs w:val="28"/>
          <w:rtl w:val="true"/>
          <w:lang w:bidi="ar-SA"/>
        </w:rPr>
        <w:t xml:space="preserve">وغيرها ليس فيها حكومة بشرح الآية؛ لأنّ قاعدة الميسور غاية ما يستفاد منها مطلوبية الميسور عند تعذر المعسور وهو لا يستلزم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الغسل غير المقيد بعدم تعسر البعض الآخر؛ لأنه لا امتناع في أن يكون المطلوب هو البعض أيضاً مع تعسر البعض الآخر لكن أدي المجموع بعبارة وهي الآية، وأدي هذا المطلوب بمثل قاعدة الميسور مثلاً لا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إخباراً في مقام الإنشاء حتى يكون الزام البعض بهذا اللفظ أو يكون إخباراً عن المطلوبية الواقعية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على تقدير كون مفادها هذا لا الحكومة بشرح الدليل وبيان أنّ مراد الأمر منه هو التقييد والارتباط في صورة تعسر الكل وعدم التقييد في صورة تعسر البعض، فيشكل حينئذٍ تعين تقديم البعض أو التيمّم؛ حيث إنّ دليل التيمم وهو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ظاهره ترتبه على المجموع بمعنى أنه إذا لم يتمكن من العمل الذي ذكر وهو الوضوء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التكليف هو التيمم ومقتضى التيمم ومقتضى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الميسور لا يسقط بالمعسور هو قيام البعض مقام الكل عند تعذر الكل، ولكن لا يبعد تقديم الميسور وقيام البعض مقام الكل؛ لأنّ التيمم حقيقة مرتب على انتفاء المطلوب الأول وعدم التمكن من الوضوء ودليل الميسور يقول ببقاء المطلوب الأول وثبوت الوضوء مع تعذر الكل، مضافاً إلى أنّ أدلّة الميسور مفادها أنّ الميسور ميسور </w:t>
      </w:r>
    </w:p>
    <w:p>
      <w:pPr>
        <w:pStyle w:val="BookText"/>
        <w:rPr/>
      </w:pPr>
      <w:r>
        <w:rPr>
          <w:rFonts w:ascii="Amiri" w:hAnsi="Amiri" w:eastAsia="Amiri" w:cs="Amiri"/>
          <w:color w:val="111111"/>
          <w:sz w:val="28"/>
          <w:sz w:val="28"/>
          <w:szCs w:val="28"/>
          <w:rtl w:val="true"/>
          <w:lang w:bidi="ar-SA"/>
        </w:rPr>
        <w:t>من التكليف الأول وجزؤه، فكأن البعض جزؤه فيكون مقدماً على شيء آخر لا ربط له بالمطلوب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أمرتكم بشيء فاتوا منه ما استطعتم</w:t>
      </w:r>
      <w:r>
        <w:rPr>
          <w:rFonts w:eastAsia="IRNazanin" w:cs="IRNazanin"/>
          <w:color w:val="111111"/>
          <w:sz w:val="28"/>
          <w:szCs w:val="28"/>
          <w:rtl w:val="true"/>
          <w:lang w:bidi="fa-IR"/>
        </w:rPr>
        <w:t>»</w:t>
      </w:r>
      <w:r>
        <w:rPr>
          <w:rStyle w:val="FootnoteAnchor"/>
          <w:rtl w:val="true"/>
        </w:rPr>
        <w:footnoteReference w:id="725"/>
      </w:r>
      <w:r>
        <w:rPr>
          <w:rFonts w:ascii="Amiri" w:hAnsi="Amiri" w:eastAsia="Amiri" w:cs="Amiri"/>
          <w:color w:val="111111"/>
          <w:sz w:val="28"/>
          <w:sz w:val="28"/>
          <w:szCs w:val="28"/>
          <w:rtl w:val="true"/>
          <w:lang w:bidi="ar-SA"/>
        </w:rPr>
        <w:t xml:space="preserve">وإن كان 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إلى أوامر المركبات وشرحها وأنّ المراد منها الإتيان بالمستطاع لا الكل مطلقاً وبيان طريق امتثالها إلا أنّه يحتمل فيه وجوه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الأمر وهو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المراد به الإلزام والإيجاب حتى يكون إيجاب البعض بواسطة هذا الأمر والأمر بالمركبات يكون المراد به هو المجموع ويكون مفاد هذا الدليل تنزيل المستطاع منزلة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الأمر فيه للإرشاد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إرشاداً إلى المطلوب من الأوامر بالمركبات وهذا هو إطاعة الحكومة المصطلح ويكون المراد منه الإعلام بأنّ المطلوب بالأوامر ليس ظاهرها، وهو الارتباط والتقييد، بل يكون ارتباطها في حال الاستطاعة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بأنّ يكون إرشاداً إلى المطلوبية الواقعية وأنّ المراد في الواقع وعالم النفس كما أنه يكون مدلول الأوامر وهو المجموع على سبيل الانضمام، فكذلك البعض أيضاً يكون مطلوباً على تقدير انتفاء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بأنّ يكون إرشاداً إلى لزوم الانقياد والاطاعة في مقام الأمر، بمعنى أنه إذا أمرتكم بشيء فلا بُدَّ من الحرص في انقياده وإظهار النفس في مقام الانقياد بأي قدر ممكن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الوجه يمكن إثبات الفروع التي ذكرها بعض الأصحاب</w:t>
      </w:r>
      <w:r>
        <w:rPr>
          <w:rStyle w:val="FootnoteAnchor"/>
          <w:rtl w:val="true"/>
        </w:rPr>
        <w:footnoteReference w:id="726"/>
      </w:r>
      <w:r>
        <w:rPr>
          <w:rFonts w:ascii="Amiri" w:hAnsi="Amiri" w:eastAsia="Amiri" w:cs="Amiri"/>
          <w:color w:val="111111"/>
          <w:sz w:val="28"/>
          <w:sz w:val="28"/>
          <w:szCs w:val="28"/>
          <w:rtl w:val="true"/>
          <w:lang w:bidi="ar-SA"/>
        </w:rPr>
        <w:t xml:space="preserve">من جلوس الحائض في مصلاها والاشتغال بالمقدمات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يتمكن من إتيان الواجب، فيكون </w:t>
      </w:r>
    </w:p>
    <w:p>
      <w:pPr>
        <w:pStyle w:val="BookText"/>
        <w:rPr/>
      </w:pPr>
      <w:r>
        <w:rPr>
          <w:rFonts w:ascii="Amiri" w:hAnsi="Amiri" w:eastAsia="Amiri" w:cs="Amiri"/>
          <w:color w:val="111111"/>
          <w:sz w:val="28"/>
          <w:sz w:val="28"/>
          <w:szCs w:val="28"/>
          <w:rtl w:val="true"/>
          <w:lang w:bidi="ar-SA"/>
        </w:rPr>
        <w:t>المراد أنّ المطلوب إظهار الانقياد ولو لم يكن في نفس فعل البعض مطلوبية، بل المطلوبية في الكل إلا أنّ الانقياد مطلوب بالقدر الذي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خلاف الظاهر منه والاظهر من الاحتمالات هو الاحتمال الأول، وهو كون الأمر للإيجاب أو يكون للإرشاد إلى المطلوبية الواقعية، لأن غاية ما يستفاد منه كون المستطاع مطلوباً، ولا بُدَّ من إتيانه ولا يسقط بعدم الاستطاعة من البعض، فلا يكون فيها حكومة بشرح الدليل حتى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في الآية هو عدم التقييد في حال عدم الاستطاعة، ويفهم منه أنّ البعض يكون مطلوباً مع عدم الاستطاعة من البعض الآخر، فيجيء الكلام الذي ذكر سابقاً من تقديم التيمم أو البعض وسيجيئ أيضاً الكلام الذي ذكرنا سابقاً في مقام دفعه وتقديم البعض؛ لأنّ ظاهره أنّ البعض بعض منه والمستطاع منه لا أمر خارجي، والتيمم ميسور على تقدير انتفائه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تقدير الحكومة وتقديم هذه الأدلة على دليل التيمم وهي الآية يكون العمل بهذه القاعدة من قاعدة الميسور وأمثالها وإن لم نقل بثبوت الضعف فيها من جهة السند والدلالة بواسطة عمل الأصحاب بها حتى صارت من المتواترات، وصراحتها في الدلالة على العموم حتى بالنسبة إلى الأجزاء والقيود إلا أنا قد أشرنا سابقاً أنّ العمل بها دائر مدار عمل بعض العلماء به في الفرع الذي يكون محل الكلام ونظائره حتى يستكشف فيه عدم المخصص حتى يخرج المورد من أطراف العلم الإجمالي؛ لأنا نعلم إجمإلا أن هذه القواعد ورد عليها مخصص مثل الإجماع وأمثال الإجماع في بعض الموارد بمعنى أنّه لا يمكن التمسك بها في بعض الموارد بواسطة ثبوت الإجماع على خلافها، فلا بُدَّ حينئذٍ من إخراج المورد من أطراف العلم الإجمالي حتى تكون الشبهة بدوية، والخروج موقوف على عمل البعض من العلماء الذي يكون من المحققين والمطلعين </w:t>
      </w:r>
    </w:p>
    <w:p>
      <w:pPr>
        <w:pStyle w:val="BookText"/>
        <w:rPr/>
      </w:pPr>
      <w:r>
        <w:rPr>
          <w:rFonts w:ascii="Amiri" w:hAnsi="Amiri" w:eastAsia="Amiri" w:cs="Amiri"/>
          <w:color w:val="111111"/>
          <w:sz w:val="28"/>
          <w:sz w:val="28"/>
          <w:szCs w:val="28"/>
          <w:rtl w:val="true"/>
          <w:lang w:bidi="ar-SA"/>
        </w:rPr>
        <w:t xml:space="preserve">على كلمات الأصحاب، والعمل أيضاً لا بُدَّ أن يكون في الفرع وما يضاهيه لا في كل الباب مثل التمسك بها في باب التيمم ولو في فرع لا يكون له مناسبة في المقام؛ لأنه يلزم حينئذ خلاف الإجماع؛ لأنا نعلم إجماعاً وضرورة سقوط الوضوء بالمرة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لا يكفي الماء لغسل جميع الأجزاء، وهنا يكون الوضوء ساقطاً ومقتضى القاعدة عدم السقوط، فحينئذ يدور الأمر مدار العمل في الفرع وما يضاهيه ولم يعلم استدلالهم بها فيما نحن فيه ونظائره، فلا يمكن العمل بهذه القاعدة، فلا بد من الرجوع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هذا الباب من الطرفين ويفهم أنها هل تكون متعارضة أو لا؟ وعلى فرض التعارض ونظائره فلا يمكن العمل بهذه القاعدة ما يكون</w:t>
      </w:r>
      <w:r>
        <w:rPr>
          <w:rStyle w:val="FootnoteAnchor"/>
          <w:rtl w:val="true"/>
        </w:rPr>
        <w:footnoteReference w:id="729"/>
      </w:r>
      <w:r>
        <w:rPr>
          <w:rFonts w:ascii="Amiri" w:hAnsi="Amiri" w:eastAsia="Amiri" w:cs="Amiri"/>
          <w:color w:val="111111"/>
          <w:sz w:val="28"/>
          <w:sz w:val="28"/>
          <w:szCs w:val="28"/>
          <w:rtl w:val="true"/>
          <w:lang w:bidi="ar-SA"/>
        </w:rPr>
        <w:t>تعارضها على أي قسم هل يكون بنحو العموم المطلق أو العموم من وجه أو بنحو التباين بالمرة فنقول وبالله</w:t>
      </w:r>
    </w:p>
    <w:p>
      <w:pPr>
        <w:pStyle w:val="BookText"/>
        <w:rPr/>
      </w:pPr>
      <w:r>
        <w:rPr>
          <w:rFonts w:ascii="IRNazanin" w:hAnsi="IRNazanin" w:eastAsia="IRNazanin"/>
          <w:color w:val="111111"/>
          <w:sz w:val="28"/>
          <w:sz w:val="28"/>
          <w:szCs w:val="28"/>
          <w:rtl w:val="true"/>
          <w:lang w:bidi="fa-IR"/>
        </w:rPr>
        <w:t xml:space="preserve">المستعان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هنا ثلاثة أقسام من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يختص بذي الجبيرة وقد حكم فيه بالوضوء مع المسح على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وقسمان منها مطلقّان يكون أعم من ذي الجبيرة وغيرها بحيث يشمل الجرح والقرح المكشوفين ومع الجبيرة فيكون القسم الأول خاصاً بالنسبة اليهما بواسطة اتفاق الأصحاب على الوضوء مع المسح في صورة الجبيرة وكلامهم مختلف في القرح والجرح والكسر المجردات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هذان القسمان في أحدهما حكم بالوضوء والاكتفاء بغسل ما دون القرح والجرح، وبه خبران ظاهرا الدلالة وخبر يشعر به، وقسم منها حكم فيه بالتيمم ، لكنّ أخبار التيمم كلها مختصة بالجنب والغسل إلا واحد منها يعم الغسل والوضوء، حيث يكون السؤال فيه عن الغسل والوضوء وغسل الجمعة فأجاب بالتيمم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والقسم الأول من هذه الأقسام يكون خاصاً بالنسبة إليهما ويكون حكمهما خارجاً بالاتفاق فلا يكون تعارض بينه وبينها، فالكلام حقيقة في المجرد عن الجبيرة ويكون التعارض بين القسمين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أخبار التيمم على الغسل والأخبار الدالّة على الاكتفاء بغسل ما دون القرح بالوضوء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الجنب الذي يكون به القرح والجرح المجردان يتيمم، وغير الجنب تمن به قرح أو جرح يتوضأ، ويكتفي بغسل ما دونها، وهذا الجمع وإن كان يقربه كون أخبار التيمم مختص بالجنب إلّا أنّه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أخبار التيمم ما يعم الغسل والوضوء وغسل الجمعة، وهذا قرينة على أنها ليست مختصة بالغسل فلا يكون خاصة بالنسبة إلى الأخبار الدالّة على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السؤال في هذه الأخبار من حيث الجنابة والغسل بل السؤال حقيقة يكون عن حكم القرح والجرح وأنّه كيف يصنع بهما صاحبهما؟ فليست حيثية الجنابة منظورة في السؤال، بل جعل السؤال عن حكم القرح والجرح، فمناط السؤال في كل واحد من الخبرين متحد، وإنّما التخصيص بالجنابة والغسل من باب أحد الأفراد لا من باب الخصوصية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أخبار التيمّم على المستوعب وحمل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على غير المستوعب ويشهد له بعض أخبار التيمم أيضاً؛ لأنّ السؤال فيه عن الذي يكون القروح والجروح في جسده ، وهذا ظاهر في المستوعب وأخبار الوضوء نص في غير المستوعب ؛ لحكمه فيها بالغسل، ومن المعلوم عدم إمكان الغسل مع الاستيعاب فيكون أخبار الوضوء خاصة بغير المستوعب وأخبار التيمم عامة بالنسبة إلى المستوعب وغيره فيكونان من قبيل العام والخاص المطلقين، فلا بُدَّ من حمل العام على الخاص؛ لكون الخاص أظهر بالنسبة إليه، فيكون مقدماً فيقدم الوضوء على التيمم في غير المستوعب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اولو كان الجرح في بعض الأعضاء مستوعباً بحيث يكون مستوعباً للبعض، وهو وإن كان خلاف الظاهر من أخبار الوضوء؛ حيث تدل على الاكتفاء بغسل ما حول الجراحة وهو ظاهر</w:t>
      </w:r>
      <w:r>
        <w:rPr>
          <w:rStyle w:val="FootnoteAnchor"/>
          <w:rtl w:val="true"/>
        </w:rPr>
        <w:footnoteReference w:id="730"/>
      </w:r>
      <w:r>
        <w:rPr>
          <w:rFonts w:ascii="Amiri" w:hAnsi="Amiri" w:eastAsia="Amiri" w:cs="Amiri"/>
          <w:color w:val="111111"/>
          <w:sz w:val="28"/>
          <w:sz w:val="28"/>
          <w:szCs w:val="28"/>
          <w:rtl w:val="true"/>
          <w:lang w:bidi="ar-SA"/>
        </w:rPr>
        <w:t xml:space="preserve">في عدم استيعاب العضو بل صريح فيه؛ لعدم إمكان غسل ما حوله مع الاستيعاب لعدم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لكن بقرينة فتوى المشهور </w:t>
      </w:r>
      <w:r>
        <w:rPr>
          <w:rStyle w:val="FootnoteAnchor"/>
          <w:rtl w:val="true"/>
        </w:rPr>
        <w:footnoteReference w:id="731"/>
      </w:r>
      <w:r>
        <w:rPr>
          <w:rFonts w:ascii="Amiri" w:hAnsi="Amiri" w:eastAsia="Amiri" w:cs="Amiri"/>
          <w:color w:val="111111"/>
          <w:sz w:val="28"/>
          <w:sz w:val="28"/>
          <w:szCs w:val="28"/>
          <w:rtl w:val="true"/>
          <w:lang w:bidi="ar-SA"/>
        </w:rPr>
        <w:t xml:space="preserve">بل عدم الخلاف في ثبوت الوضوء هنا، وظهور بعض أخبار التيمم في استيعاب الجميع كالسؤال عن الكسر، والكسر ظاهر في كسر جميع الأعضاء كالمتردي من السطح وغيره وكلها قرينة على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حول والاكتفاء به من باب الفرد الغالب وأنّ الغالب كون القرح والجرح في بعض العضو لا لخصوصية فيه بحيث يكون الحكم مختصاً به وعدم ثبوته في استيعاب العضو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لا ضير فيه إلّا أنه يستلزم تخصيص الأخبار الكثيرة الواردة في التيمم بصورة الفرد النادر وهو المستوعب لجميع أعضاء الوضوء في الوضوء واستيعاب جميع الجسد في الغسل وفيه بعد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إدخال صورة تضرر أعضاء الصحيح بواسطة الغسل، مثلاً في بعض الأعضاء يكون القرح وبعض الآخر صحيحاً لكن بحيث لو غسل لكان الغسل مضراً أما بالقرح أو بسبب مرض آخر، ومن المعلوم عدم ثبوت الغسل هنا للضرر وعدم ثبوت المسح حينئذ، لعدم القول بالمسح في الجرح والقرح المجردين في بعض العضو عند بعض</w:t>
      </w:r>
      <w:r>
        <w:rPr>
          <w:rStyle w:val="FootnoteAnchor"/>
          <w:rtl w:val="true"/>
        </w:rPr>
        <w:footnoteReference w:id="732"/>
      </w:r>
      <w:r>
        <w:rPr>
          <w:rFonts w:ascii="Amiri" w:hAnsi="Amiri" w:eastAsia="Amiri" w:cs="Amiri"/>
          <w:color w:val="111111"/>
          <w:sz w:val="28"/>
          <w:sz w:val="28"/>
          <w:szCs w:val="28"/>
          <w:rtl w:val="true"/>
          <w:lang w:bidi="ar-SA"/>
        </w:rPr>
        <w:t>فكيف بالمسح في جميع الأعضاء ولا يكون فيه مخالفاً فيكون التكليف هو التيمم بمقتضى هذا، هذه الأخبار وغيرها من أخبار التيمم، فيكون أخبار التيمم شاملة لصورتين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تضرر الأعضاء الصحيحة فلا يكون في هذا الجمع من هذه الجهة بعد، وهذا يكون من أحد الجموع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بعض المحققين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أخبار التيمم على صورة تضرر الأعضاء الصحيحة وحمل أخبار الوضوء على صورة عدم التضرر، ويشهد لهذا الجمع أيضاً بعضُ أخبار التيمم، حيث قال النبي صلی الله علیه وآله وسلم في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قتلوه قتلهم الله</w:t>
      </w:r>
      <w:r>
        <w:rPr>
          <w:rFonts w:eastAsia="IRNazanin" w:cs="IRNazanin"/>
          <w:color w:val="111111"/>
          <w:sz w:val="28"/>
          <w:szCs w:val="28"/>
          <w:rtl w:val="true"/>
          <w:lang w:bidi="fa-IR"/>
        </w:rPr>
        <w:t xml:space="preserve">» </w:t>
      </w:r>
      <w:r>
        <w:rPr>
          <w:rStyle w:val="FootnoteAnchor"/>
          <w:rtl w:val="true"/>
        </w:rPr>
        <w:footnoteReference w:id="73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بينها بحمل أخبار التيمم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الجبيرة وأخبار الوضوء على ذي الجبيرة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الدالّة على الجبيرة خاصة بالنسبة إلى هذين المطلقين وهما عامان بالنسبة إليه، فلا بُدَّ من حمل العام على الخاص، فيخصص بها أولاً أخبار التيمم على غير ذي الجبيرة فيكون أخبار التيمم خاصة بالنسبة إلى ما دلّ على الوضوء والاكتفاء بغسل ما حول وهو مطلق عام بالنسبة إلى ذي الجبيرة وغيره، فيخصص بها فيكون مطابقاً لأخبار الجبيرة، ولا يمكن القول بعدم إمكان التخصيص بأخبار التيمم بعدم كونها خاصة ذاتاً، بل بواسطة تخصيصها، وهو ليس بمعتبر؛ لأنّ المناط في التخصيص هي أقليته، فكل ما يكون أقل الأفراد يكون أظهر بالنسبة إلى أكثرها كما حقق في محلّه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العكس بأنّ تخصص أولاً أخبار الوضوء والاكتفاء بغسل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أخبار بالأخبار الدالّة على الجبيرة، ثمّ يخصص أخبار التيمم بها بأن يحمل أولاً الأخبار الدالة على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ذي الجبيرة ثم حمل أخبار التيمم على الجبيرة، فخروج ذي الجبيرة قطعي فلا يكون التعارض فيه، وإنّما الكلام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ومقتضى العكس، إما بقاء أخبار التيمم بلا مورد أو تخصيص أخبار ذي الجبيرة بها فيلزم تخصيص الخاص بالعام فيلزم بقائها بلا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لم نقل بدلالة الأخبار الدالّة على الغسل في ما حول القرح على الاكتفاء به من دون المسح على القرح وإن كان لها ظهور فيه ، ولكن ليس بحدّ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بالدلالة فتكون مخالفة لأخبار الجبيرة وتكون خاصة لخروج ذي الجبيرة قطعاً لثبوت المسح فيها، فلا بد من حملها على غير ذي الجبيرة فتكون خاصة فيكون ذو الجبيرة خارجاً، فيبقى هذان القسمان متعارضان في مورد واحد وهو غير ذي الجبيرة فيكونان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حمل أخبار الغسل بذي الجبيرة وتخصيصها به ونرتكب خلاف الظاهر فيها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تدل على مجرد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الدلالة على الاكتفاء به فنرتكب فيها خلاف ظاهرين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الاكتفاء به بل هو مع المسح على الموضع المقروح والمجروح ويكون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من سائره </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للزوم قلة المورد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w:t>
      </w:r>
      <w:r>
        <w:rPr>
          <w:rStyle w:val="FootnoteAnchor"/>
          <w:rtl w:val="true"/>
        </w:rPr>
        <w:footnoteReference w:id="737"/>
      </w:r>
      <w:r>
        <w:rPr>
          <w:rFonts w:ascii="Amiri" w:hAnsi="Amiri" w:eastAsia="Amiri" w:cs="Amiri"/>
          <w:color w:val="111111"/>
          <w:sz w:val="28"/>
          <w:sz w:val="28"/>
          <w:szCs w:val="28"/>
          <w:rtl w:val="true"/>
          <w:lang w:bidi="ar-SA"/>
        </w:rPr>
        <w:t>بالتخيير، لكنّ هذا التخيير هل التخيير بين الدليلين أو يكون تخييراً في مقام الجمع؟</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كل من الدليلين هو الوجوب معيناً ورفع اليد عن التعيين في كلّ منها لكنّ هذا الجمع بعيد ؛ لأنه رفع اليد عن كلّ من الدليلين وليس هذا من الجمع العرفي بل الأظهر في مقام الجمع هذا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أخبار الجبيرة خاصة فيخصص بها أخبار التيمم؛ فينحصر موردها في غير الجبيرة فيخصص بها الأخبار الأخر الواردة </w:t>
      </w:r>
    </w:p>
    <w:p>
      <w:pPr>
        <w:pStyle w:val="BookText"/>
        <w:rPr/>
      </w:pPr>
      <w:r>
        <w:rPr>
          <w:rFonts w:ascii="Amiri" w:hAnsi="Amiri" w:eastAsia="Amiri" w:cs="Amiri"/>
          <w:color w:val="111111"/>
          <w:sz w:val="28"/>
          <w:sz w:val="28"/>
          <w:szCs w:val="28"/>
          <w:rtl w:val="true"/>
          <w:lang w:bidi="ar-SA"/>
        </w:rPr>
        <w:t xml:space="preserve">في لزوم غسل ما حول الجرح بأنّ يحملها على الغسل مع المسح فيكون مورد أخبار التيمم هو الجرح والقرح المكشوفان اللذان لا يمكن المسح عليهما، وهذا الجمع أقرب ؛ لكون أخبار التيمّم نصاً بالنسبة إلى الآخر ولو من حيث الحكم؛ لعدم الاحتمال فيها بخلاف مقابلها فإنّها تحتمل الغسل فقط والغسل مع المسح، خصوصاً بقرينة الخبر الآخر الدال على غسل ما يستطيع غسله وترك غسل ما لا يستطيع غسله، حيث إنّ الظاهر منه ترك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دلالته على أنّ العلة في ترك الغسل هو عدم استطاعة الغسل ولو كان في بيان مطلق الواجب، بل يقول بما لا يستطيع غسله ولا مسحه، وبقرينة أنّ مشهور العلماء </w:t>
      </w:r>
      <w:r>
        <w:rPr>
          <w:rStyle w:val="FootnoteAnchor"/>
          <w:rtl w:val="true"/>
        </w:rPr>
        <w:footnoteReference w:id="738"/>
      </w:r>
      <w:r>
        <w:rPr>
          <w:rFonts w:ascii="Amiri" w:hAnsi="Amiri" w:eastAsia="Amiri" w:cs="Amiri"/>
          <w:color w:val="111111"/>
          <w:sz w:val="28"/>
          <w:sz w:val="28"/>
          <w:szCs w:val="28"/>
          <w:rtl w:val="true"/>
          <w:lang w:bidi="ar-SA"/>
        </w:rPr>
        <w:t>لم يقولوا بالتيمم مع إمكان المسح فيحمل أيضاً على النصّ ونصوصيتها ولو بالنسبة إلى الحكم والموضوع يكفي في صرف الظاهر وحمله عليه فحينئذ يدخل في أخبار التيمم ما لا يمكن المسح على الخرقة في التيمم وكذا الجرح المستوعب وكذا تضرر الأعضاء الصحيحة بالغسل فلا يكون مورد التيمم نادراً، وهذا الجمع أجود الجموع؛ لكون الشاهد اللفظي عليه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كلمات العلماء في هذا المقام مختلفة</w:t>
      </w:r>
      <w:r>
        <w:rPr>
          <w:rStyle w:val="FootnoteAnchor"/>
          <w:rtl w:val="true"/>
        </w:rPr>
        <w:footnoteReference w:id="739"/>
      </w:r>
      <w:r>
        <w:rPr>
          <w:rFonts w:ascii="Amiri" w:hAnsi="Amiri" w:eastAsia="Amiri" w:cs="Amiri"/>
          <w:color w:val="111111"/>
          <w:sz w:val="28"/>
          <w:sz w:val="28"/>
          <w:szCs w:val="28"/>
          <w:rtl w:val="true"/>
          <w:lang w:bidi="ar-SA"/>
        </w:rPr>
        <w:t>ربما يكتفي بعضهم بالغسل فقط دون المسح، وبعضهم يلزم المسح، وبعضهم يلزم المسح على الخرقة، ويظهر من بعضهم ثبوت التيمّم</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يظهر أنّ هذا الحكم بعد عدم إمكان المسح أو قبله لكنّ المشهور</w:t>
      </w:r>
      <w:r>
        <w:rPr>
          <w:rStyle w:val="FootnoteAnchor"/>
          <w:rtl w:val="true"/>
        </w:rPr>
        <w:footnoteReference w:id="741"/>
      </w:r>
      <w:r>
        <w:rPr>
          <w:rFonts w:ascii="Amiri" w:hAnsi="Amiri" w:eastAsia="Amiri" w:cs="Amiri"/>
          <w:color w:val="111111"/>
          <w:sz w:val="28"/>
          <w:sz w:val="28"/>
          <w:szCs w:val="28"/>
          <w:rtl w:val="true"/>
          <w:lang w:bidi="ar-SA"/>
        </w:rPr>
        <w:t xml:space="preserve">عدم الحكم بالتيمم مع إمكان المسح وكذا يدخل في أخبار التيمم صورة عدم إمكان المسح على الجبيرة في مورد الخرقة، ولكن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اضطراب كلمات الفقهاء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القرح والجرح والكسر منصوصة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إلى غير المنصوص مما يكون في بعض أعضاء الوضوء مثل الرمد ووجع الضرس ووجع المفاصل مما يتضرر بغسلها فهل يكون الحكم فيها التيمم أو يكون الحكم غسل ما حول الموضع أو الوضع على الموضع خرقة فيمسح عليها؟ يظهر من جماعة</w:t>
      </w:r>
      <w:r>
        <w:rPr>
          <w:rStyle w:val="FootnoteAnchor"/>
          <w:rtl w:val="true"/>
        </w:rPr>
        <w:footnoteReference w:id="742"/>
      </w:r>
      <w:r>
        <w:rPr>
          <w:rFonts w:ascii="Amiri" w:hAnsi="Amiri" w:eastAsia="Amiri" w:cs="Amiri"/>
          <w:color w:val="111111"/>
          <w:sz w:val="28"/>
          <w:sz w:val="28"/>
          <w:szCs w:val="28"/>
          <w:rtl w:val="true"/>
          <w:lang w:bidi="ar-SA"/>
        </w:rPr>
        <w:t>الحكم بالتيمم بواسطة الضرر وبواسطة دخولها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مَّرْضَى</w:t>
      </w:r>
      <w:r>
        <w:rPr>
          <w:rStyle w:val="FootnoteAnchor"/>
          <w:rtl w:val="true"/>
        </w:rPr>
        <w:footnoteReference w:id="743"/>
      </w:r>
      <w:r>
        <w:rPr>
          <w:rFonts w:ascii="Amiri" w:hAnsi="Amiri" w:eastAsia="Amiri" w:cs="Amiri"/>
          <w:color w:val="111111"/>
          <w:sz w:val="28"/>
          <w:sz w:val="28"/>
          <w:szCs w:val="28"/>
          <w:rtl w:val="true"/>
          <w:lang w:bidi="ar-SA"/>
        </w:rPr>
        <w:t>بناءً على شمول المرض لمثلها أو يكون من باب التعليل الوارد في الآية وهو الحرج عن الوضوء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الانصاف الحكم بالتيمم دون الغسل مطلقاً مع التضرر به؛ لاختصاص الأخبار بموردها وهو القرح والجرح والكسر ، ودلالة أدلّة نفي الضرر والعسر والحرج مع الآية الشريفة إما من باب دخولها في المرض وأما من باب التعليل؛ ولفحوى ثبوته في الشين المحكوم به فيه بين الأصحاب وكون الحكم مشهوراً بين الأصحاب خصوصاً بالنسبة إلى بعض أفرادها مثل الرمد مثلاً مع عدم ثبوت نص خاص فيه فيكون المدرك فيها متحداً وعدم التمسك بقاعدة الميسور والمعسور في هذه الموارد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الكلام في هذا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هنا قاعدة يرجع إليها عند الشك سوى الاحتياط </w:t>
      </w:r>
      <w:r>
        <w:rPr>
          <w:rStyle w:val="FootnoteAnchor"/>
          <w:rtl w:val="true"/>
        </w:rPr>
        <w:footnoteReference w:id="744"/>
      </w:r>
      <w:r>
        <w:rPr>
          <w:rFonts w:ascii="Amiri" w:hAnsi="Amiri" w:eastAsia="Amiri" w:cs="Amiri"/>
          <w:color w:val="111111"/>
          <w:sz w:val="28"/>
          <w:sz w:val="28"/>
          <w:szCs w:val="28"/>
          <w:rtl w:val="true"/>
          <w:lang w:bidi="ar-SA"/>
        </w:rPr>
        <w:t>لعدم إمكان التمسك بقاعدة الميسور ضرورة؛ لما عرفت غير مرة؛ لأنّ العلم الإجمالي ثابت بورود مخصصات عليها غالباً في غالب الموارد فلا بُدَّ من البحث عنها حتى يمكن التمسك بها حتى يخرج عن أطراف العلم الإجمالي فنقتصر في مورد التمسك بها على مورد تمسك فيه بها بعض العلماء؛ لخروج المورد بواسطته عن أطراف العلم الإجمالي، لأنّ العلم كان في الأول بحيث لو كان المخصص لكان من قبيل الأشياء التي يعرفها الاجلاء كالإجماع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الآية أيضاً لا يتمسك بها؛ لأنّ التمسك بها إما من جهة لفظ المرض وعمومه وقد قلنا سابقاً إنّ لشمولها لمرض العضو من القرح والجرح محل تأمل؛ بل الظاهر منها هو مرض تمام البدن ولا يبعد شمولها لبعض ما نحن فيه مثل المجدور أو المقروح الذي تعم القرحة جميع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التعليل الوارد في الآية حيث يمكن الاستفادة منه أنّ الحرج موجب للتيمم ومسوع له وأن أصل شرعية التيمم لإسقاط الحرج، فيثبت في كلّ موضع يكون الحرج في الطهارة المائية لكن ذكرنا سابقاً أن مفاده مجرد رفع الحرج لا إثبات التيمم أيضاً، إذ الواسطة موجودة في الوضوء الناقص،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تكون المرجع عند الشك إلّا قاعدة الاحتياط لكن يكون بعض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فتفصيل الكلام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الكسر مع الجبيرة يكون خارجاً عنه ويكون حكمه حكم الوضوء مع المسح على الجبيرة وكذا القرحة والجرح المعصبان؛ لأنّ التعصيب بحكم الجبيرة وإن لم يدخل فيه موضوعاً كما ادعاه بعضُ</w:t>
      </w:r>
      <w:r>
        <w:rPr>
          <w:rStyle w:val="FootnoteAnchor"/>
          <w:rtl w:val="true"/>
        </w:rPr>
        <w:footnoteReference w:id="745"/>
      </w:r>
      <w:r>
        <w:rPr>
          <w:rFonts w:ascii="IRNazanin" w:hAnsi="IRNazanin" w:eastAsia="IRNazanin"/>
          <w:color w:val="111111"/>
          <w:sz w:val="28"/>
          <w:sz w:val="28"/>
          <w:szCs w:val="28"/>
          <w:rtl w:val="true"/>
          <w:lang w:bidi="fa-IR"/>
        </w:rPr>
        <w:t>، وادعى الإجماع</w:t>
      </w:r>
      <w:r>
        <w:rPr>
          <w:rStyle w:val="FootnoteAnchor"/>
          <w:rtl w:val="true"/>
        </w:rPr>
        <w:footnoteReference w:id="746"/>
      </w:r>
      <w:r>
        <w:rPr>
          <w:rFonts w:ascii="Amiri" w:hAnsi="Amiri" w:eastAsia="Amiri" w:cs="Amiri"/>
          <w:color w:val="111111"/>
          <w:sz w:val="28"/>
          <w:sz w:val="28"/>
          <w:szCs w:val="28"/>
          <w:rtl w:val="true"/>
          <w:lang w:bidi="ar-SA"/>
        </w:rPr>
        <w:t xml:space="preserve">على كونه بحكمها لكون أخبارها خاصة وأخبار التيمم والاكتفاء بغسل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عامتان، ومقتضى القاعدة تخصيصها بها فتكون خارجة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الكسر المجرد عن الجبيرة فالظاهر كون حكمه التيمم بمقتضى أخبار التيمّم مثل الكسير يتیمّم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320" w:name="pg9203_87263"/>
    </w:p>
    <w:p>
      <w:pPr>
        <w:pStyle w:val="Heading2"/>
        <w:numPr>
          <w:ilvl w:val="1"/>
          <w:numId w:val="1"/>
        </w:numPr>
        <w:rPr/>
      </w:pPr>
      <w:bookmarkStart w:id="321" w:name="__RefHeading___Toc3968028_2870459653"/>
      <w:bookmarkStart w:id="322" w:name="_Toc113"/>
      <w:bookmarkEnd w:id="320"/>
      <w:bookmarkEnd w:id="321"/>
      <w:r>
        <w:rPr>
          <w:rtl w:val="true"/>
        </w:rPr>
        <w:t>[</w:t>
      </w:r>
      <w:r>
        <w:rPr>
          <w:rtl w:val="true"/>
        </w:rPr>
        <w:t>حكم الجبيرة النجسة</w:t>
      </w:r>
      <w:r>
        <w:rPr>
          <w:rtl w:val="true"/>
        </w:rPr>
        <w:t>]</w:t>
      </w:r>
      <w:bookmarkEnd w:id="322"/>
    </w:p>
    <w:p>
      <w:pPr>
        <w:pStyle w:val="BookText"/>
        <w:rPr/>
      </w:pPr>
      <w:r>
        <w:rPr>
          <w:rFonts w:ascii="Amiri" w:hAnsi="Amiri" w:eastAsia="Amiri" w:cs="Amiri"/>
          <w:color w:val="111111"/>
          <w:sz w:val="28"/>
          <w:sz w:val="28"/>
          <w:szCs w:val="28"/>
          <w:rtl w:val="true"/>
          <w:lang w:bidi="ar-SA"/>
        </w:rPr>
        <w:t xml:space="preserve">وأمّا الجبيرة النجسة فاختلفت كلمات الأصحاب فيها، بعضٌ </w:t>
      </w:r>
      <w:r>
        <w:rPr>
          <w:rStyle w:val="FootnoteAnchor"/>
          <w:rtl w:val="true"/>
        </w:rPr>
        <w:footnoteReference w:id="748"/>
      </w:r>
      <w:r>
        <w:rPr>
          <w:rFonts w:ascii="Amiri" w:hAnsi="Amiri" w:eastAsia="Amiri" w:cs="Amiri"/>
          <w:color w:val="111111"/>
          <w:sz w:val="28"/>
          <w:sz w:val="28"/>
          <w:szCs w:val="28"/>
          <w:rtl w:val="true"/>
          <w:lang w:bidi="ar-SA"/>
        </w:rPr>
        <w:t xml:space="preserve">حكم بالوضوء مع وضع خرقة طاهرة عليها والمسح عليها لظهور أخبار الجبيرة في المسح عليها فإذا لم يمكن المسح على نفس الجبيرة يمسح على الخرقة لصدق المسح على الجبيرة؛ ولأنّه أقرب إليه من عدم المسح بالمرة؛ لعدم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نفسها لنجاستها وشرطية الطهارة في محل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وبعضهم</w:t>
      </w:r>
      <w:r>
        <w:rPr>
          <w:rStyle w:val="FootnoteAnchor"/>
          <w:rtl w:val="true"/>
        </w:rPr>
        <w:footnoteReference w:id="749"/>
      </w:r>
      <w:r>
        <w:rPr>
          <w:rFonts w:ascii="Amiri" w:hAnsi="Amiri" w:eastAsia="Amiri" w:cs="Amiri"/>
          <w:color w:val="111111"/>
          <w:sz w:val="28"/>
          <w:sz w:val="28"/>
          <w:szCs w:val="28"/>
          <w:rtl w:val="true"/>
          <w:lang w:bidi="ar-SA"/>
        </w:rPr>
        <w:t>حكم بالوضوء مع المسح على نفس الجبيرة النجسة لسقوط الشرطية عند التعذر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وبعضهم</w:t>
      </w:r>
      <w:r>
        <w:rPr>
          <w:rStyle w:val="FootnoteAnchor"/>
          <w:rtl w:val="true"/>
        </w:rPr>
        <w:footnoteReference w:id="750"/>
      </w:r>
      <w:r>
        <w:rPr>
          <w:rFonts w:ascii="Amiri" w:hAnsi="Amiri" w:eastAsia="Amiri" w:cs="Amiri"/>
          <w:color w:val="111111"/>
          <w:sz w:val="28"/>
          <w:sz w:val="28"/>
          <w:szCs w:val="28"/>
          <w:rtl w:val="true"/>
          <w:lang w:bidi="ar-SA"/>
        </w:rPr>
        <w:t>حكم بالاكتفاء بغسل ما حولها بمقتضى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القائل لم يُعْرَف إلّا أن العلامة</w:t>
      </w:r>
      <w:r>
        <w:rPr>
          <w:rStyle w:val="FootnoteAnchor"/>
          <w:rtl w:val="true"/>
        </w:rPr>
        <w:footnoteReference w:id="751"/>
      </w:r>
      <w:r>
        <w:rPr>
          <w:rFonts w:ascii="Amiri" w:hAnsi="Amiri" w:eastAsia="Amiri" w:cs="Amiri"/>
          <w:color w:val="111111"/>
          <w:sz w:val="28"/>
          <w:sz w:val="28"/>
          <w:szCs w:val="28"/>
          <w:rtl w:val="true"/>
          <w:lang w:bidi="ar-SA"/>
        </w:rPr>
        <w:t>حكم في البشرة النجسة بالتيمم ومقتضاه حكمه هنا أيضاً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القول بالتيمم إن لم يكن مخالفاً بالإجماع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وضع خرقة طاهرة والمسح عليها؛ لأنها حينئذٍ تكون في حكم الجبيرة ومن أجزائها، ولظاهر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فيعصبها فيمسح عليها</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حيث إنّه ظاهر في أنّ التعصيب لإرادة الوضوء لا للضرورة في نفسه</w:t>
      </w:r>
      <w:r>
        <w:rPr>
          <w:rFonts w:eastAsia="Amiri" w:cs="Amiri" w:ascii="Amiri" w:hAnsi="Amiri"/>
          <w:color w:val="111111"/>
          <w:sz w:val="28"/>
          <w:szCs w:val="28"/>
          <w:rtl w:val="true"/>
          <w:lang w:bidi="ar-SA"/>
        </w:rPr>
        <w:t xml:space="preserve">. </w:t>
      </w:r>
      <w:bookmarkStart w:id="323" w:name="pg9203_87264"/>
    </w:p>
    <w:p>
      <w:pPr>
        <w:pStyle w:val="Heading2"/>
        <w:numPr>
          <w:ilvl w:val="1"/>
          <w:numId w:val="1"/>
        </w:numPr>
        <w:rPr/>
      </w:pPr>
      <w:bookmarkStart w:id="324" w:name="__RefHeading___Toc3968030_2870459653"/>
      <w:bookmarkStart w:id="325" w:name="_Toc114"/>
      <w:bookmarkEnd w:id="323"/>
      <w:bookmarkEnd w:id="324"/>
      <w:r>
        <w:rPr>
          <w:rtl w:val="true"/>
        </w:rPr>
        <w:t>[</w:t>
      </w:r>
      <w:r>
        <w:rPr>
          <w:rtl w:val="true"/>
        </w:rPr>
        <w:t>حكم الجرح والقرح المكشوفين</w:t>
      </w:r>
      <w:r>
        <w:rPr>
          <w:rtl w:val="true"/>
        </w:rPr>
        <w:t>]</w:t>
      </w:r>
      <w:bookmarkEnd w:id="325"/>
    </w:p>
    <w:p>
      <w:pPr>
        <w:pStyle w:val="BookText"/>
        <w:rPr/>
      </w:pPr>
      <w:r>
        <w:rPr>
          <w:rFonts w:ascii="IRNazanin" w:hAnsi="IRNazanin" w:eastAsia="IRNazanin"/>
          <w:color w:val="111111"/>
          <w:sz w:val="28"/>
          <w:sz w:val="28"/>
          <w:szCs w:val="28"/>
          <w:rtl w:val="true"/>
          <w:lang w:bidi="fa-IR"/>
        </w:rPr>
        <w:t>وأما الجرح والقرح المكشوفان، فالظاهر فيها عدم وجوب التيمم بل الغسل ثابت بمقتضى الخبرين اللذين يدلان على غسل ما حول القرح والجرح؛ لحملهما المشهور على القرح والجرح المكشوفين وإن حملناهما سابقاً على ذي الجبيرة بمقتضى جمعنا السابق بينها وبين أخبار التيمم إلّا أن المشهور لمّا حملوها على المكشوف بقرينة أمره بغسل ما حول القرح والجرح ، وغسل الماحول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في المشدود وبقرينة السؤال عن الجرح في الخبر الآخر بعد بيان القرحة وهو ظاهر في السؤال عن الجرح المكشوف لا المشدود ولوضوح كون حكم الجرح والقرح المشدودين متحداً، ومع ذلك سأل عن الجرح بعد بيان حكم القرحة، فيعلم أن سؤاله عن الجرح المكشوف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فبملاحظة قول المشهور بحملها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المكشوف فيكون الحكم فيها هو الغسل وأما كون الحكم مجرد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الماحول دون المسح لظهورها في الاكتفاء بغسل الماحول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شيء آخر أو يكون الحكم هو الغسل مع المسح لكون المقصود مجرد نفي الغسل عن محل الجرح لا عدم شيء ء آخر أصلاً خصوصاً بقرينة الخبر الآخر حيث إنّه ظاهر في عدم لزوم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عدم المسح حيث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 ما سوى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يستطيع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في المنصوص</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مرض العضو الذي لا يكون منصوصاً؛ فالمشهور</w:t>
      </w:r>
      <w:r>
        <w:rPr>
          <w:rStyle w:val="FootnoteAnchor"/>
          <w:rtl w:val="true"/>
        </w:rPr>
        <w:footnoteReference w:id="754"/>
      </w:r>
      <w:r>
        <w:rPr>
          <w:rFonts w:ascii="IRNazanin" w:hAnsi="IRNazanin" w:eastAsia="IRNazanin"/>
          <w:color w:val="111111"/>
          <w:sz w:val="28"/>
          <w:sz w:val="28"/>
          <w:szCs w:val="28"/>
          <w:rtl w:val="true"/>
          <w:lang w:bidi="fa-IR"/>
        </w:rPr>
        <w:t>حكموا فيه بالتيمم، خصوصاً في مثل الرمد حيث صُرّح فيه بالتيمم ، لكنّه مشكل لعدم دليل عليه؛ لما أشكلنا من شمول الآية الشريفة لمثل هذا القبيل من الأمراض ، لكن يمكن الحكم بالتيمم من باب تنقيح المناط؛ لعدم خصوصية في القروح والجروح في 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وبمقتضى قوله علیه السلام بالتيمم في المجدور</w:t>
      </w:r>
      <w:r>
        <w:rPr>
          <w:rStyle w:val="FootnoteAnchor"/>
          <w:rtl w:val="true"/>
        </w:rPr>
        <w:footnoteReference w:id="755"/>
      </w:r>
      <w:r>
        <w:rPr>
          <w:rFonts w:ascii="Amiri" w:hAnsi="Amiri" w:eastAsia="Amiri" w:cs="Amiri"/>
          <w:color w:val="111111"/>
          <w:sz w:val="28"/>
          <w:sz w:val="28"/>
          <w:szCs w:val="28"/>
          <w:rtl w:val="true"/>
          <w:lang w:bidi="ar-SA"/>
        </w:rPr>
        <w:t xml:space="preserve">، والمجدور له فردان فرد يعمّ جميع البدن وفرد يختص بالعضو لكنّ الحكم بأمثال ذلك لا يخلو </w:t>
      </w:r>
    </w:p>
    <w:p>
      <w:pPr>
        <w:pStyle w:val="BookText"/>
        <w:rPr/>
      </w:pPr>
      <w:r>
        <w:rPr>
          <w:rFonts w:ascii="Amiri" w:hAnsi="Amiri" w:eastAsia="Amiri" w:cs="Amiri"/>
          <w:color w:val="111111"/>
          <w:sz w:val="28"/>
          <w:sz w:val="28"/>
          <w:szCs w:val="28"/>
          <w:rtl w:val="true"/>
          <w:lang w:bidi="ar-SA"/>
        </w:rPr>
        <w:t>عن إشكال فمقتضى القاعدة هو الاحتياط بالجمع بين الوضوء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المشهور ذهبوا إلى التيمم بملاحظة أدلّة الحرج ونفي العسر ولا ضرر ولا ضرار، وبملاحظة سقوط الصلاة والصوم بمقتضى الأخبار في الأمراض والضرر الذي لا يتحمل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ذو العطاش حكم بسقوط الصوم عنه، وليس المراد بذي العطاش من كان عطشه بحيث يهلك لو ترك شرب الماء، بل المراد به من لا يتحمل عادة ترك الشرب ويكون فيه مشقة عليه مع كون الطهارة لها بدل شرعاً بخلاف الصوم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كون الإجماع على التيمم ولا فرق فيه بين كون الضرر الحاصل شديداً من جنس ما فيه من المرض أو غيره، إلّا المرض اليسير فإنّه لا يكون مسوغاً للتيمم؛ لانتفاء الأدلّة وعدم شمول الآية له بناءً على شمولها لمرض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انضمامه للمرض الحاصل شديداً لا يتحمل عادة لا يبعد الحكم بالتيمم، هذا فيما إذا خاف حصول الضرر بحيث لا يتحمل عادة، وأما إذا حصل باستعمال الماء مجرد التألم مع أمن العاقبة بحيث لا يتحمل عادة مثل البرد الشديد؟</w:t>
      </w:r>
    </w:p>
    <w:p>
      <w:pPr>
        <w:pStyle w:val="BookText"/>
        <w:rPr/>
      </w:pPr>
      <w:r>
        <w:rPr>
          <w:rFonts w:ascii="Amiri" w:hAnsi="Amiri" w:eastAsia="Amiri" w:cs="Amiri"/>
          <w:color w:val="111111"/>
          <w:sz w:val="28"/>
          <w:sz w:val="28"/>
          <w:szCs w:val="28"/>
          <w:rtl w:val="true"/>
          <w:lang w:bidi="ar-SA"/>
        </w:rPr>
        <w:t>فالظاهر فيه أيضاً الحكم بالتيمم؛ للأدلة المذكورة ولفحوى حكمهم في الشين وترك الاستفصال في أخبار القروح والجروح والحكاية الإجماع عليه من الغنية</w:t>
      </w:r>
      <w:r>
        <w:rPr>
          <w:rStyle w:val="FootnoteAnchor"/>
          <w:rtl w:val="true"/>
        </w:rPr>
        <w:footnoteReference w:id="756"/>
      </w:r>
      <w:r>
        <w:rPr>
          <w:rFonts w:ascii="Amiri" w:hAnsi="Amiri" w:eastAsia="Amiri" w:cs="Amiri"/>
          <w:color w:val="111111"/>
          <w:sz w:val="28"/>
          <w:sz w:val="28"/>
          <w:szCs w:val="28"/>
          <w:rtl w:val="true"/>
          <w:lang w:bidi="ar-SA"/>
        </w:rPr>
        <w:t>خلافاً لبعض مثل العلّامة في القواعد</w:t>
      </w:r>
      <w:r>
        <w:rPr>
          <w:rStyle w:val="FootnoteAnchor"/>
          <w:rtl w:val="true"/>
        </w:rPr>
        <w:footnoteReference w:id="757"/>
      </w:r>
      <w:r>
        <w:rPr>
          <w:rFonts w:ascii="Amiri" w:hAnsi="Amiri" w:eastAsia="Amiri" w:cs="Amiri"/>
          <w:color w:val="111111"/>
          <w:sz w:val="28"/>
          <w:sz w:val="28"/>
          <w:szCs w:val="28"/>
          <w:rtl w:val="true"/>
          <w:lang w:bidi="ar-SA"/>
        </w:rPr>
        <w:t>والشهيد في الذكرى</w:t>
      </w:r>
      <w:r>
        <w:rPr>
          <w:rStyle w:val="FootnoteAnchor"/>
          <w:rtl w:val="true"/>
        </w:rPr>
        <w:footnoteReference w:id="758"/>
      </w:r>
      <w:r>
        <w:rPr>
          <w:rFonts w:ascii="Amiri" w:hAnsi="Amiri" w:eastAsia="Amiri" w:cs="Amiri"/>
          <w:color w:val="111111"/>
          <w:sz w:val="28"/>
          <w:sz w:val="28"/>
          <w:szCs w:val="28"/>
          <w:rtl w:val="true"/>
          <w:lang w:bidi="ar-SA"/>
        </w:rPr>
        <w:t>وغيرهما، لكن في المنتهى</w:t>
      </w:r>
      <w:r>
        <w:rPr>
          <w:rStyle w:val="FootnoteAnchor"/>
          <w:rtl w:val="true"/>
        </w:rPr>
        <w:footnoteReference w:id="759"/>
      </w:r>
      <w:r>
        <w:rPr>
          <w:rFonts w:ascii="Amiri" w:hAnsi="Amiri" w:eastAsia="Amiri" w:cs="Amiri"/>
          <w:color w:val="111111"/>
          <w:sz w:val="28"/>
          <w:sz w:val="28"/>
          <w:szCs w:val="28"/>
          <w:rtl w:val="true"/>
          <w:lang w:bidi="ar-SA"/>
        </w:rPr>
        <w:t>حكم بالتيمم وإن أوهم خلافه أيضاً إلّا أنّه احتمال مرجوح</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خصوص خبر البزنطي وابن سرحان في خصوص البرد على احتمال فيهما، وأمّا خبر داوود بن سرحان، وهو روي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يصيبه الجنابة وبه </w:t>
      </w:r>
    </w:p>
    <w:p>
      <w:pPr>
        <w:pStyle w:val="BookText"/>
        <w:rPr/>
      </w:pPr>
      <w:r>
        <w:rPr>
          <w:rFonts w:ascii="Amiri" w:hAnsi="Amiri" w:eastAsia="Amiri" w:cs="Amiri"/>
          <w:color w:val="111111"/>
          <w:sz w:val="28"/>
          <w:sz w:val="28"/>
          <w:szCs w:val="28"/>
          <w:rtl w:val="true"/>
          <w:lang w:bidi="ar-SA"/>
        </w:rPr>
        <w:t>قروح وجروح أو يخاف على نفسه من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ويتيمم</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أبي نصر في الصحيح عن مولانا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يصيبه الجنابة وبه قروح وجروح أو يخاف على نفسه البرد؟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يغتسل يتيمم</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الخبران ظاهران في التيمم لو كان الخوف من مجرد البرد مع أمن العاقبة، حيث إنّه فرقٌ بين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فيكون ظاهراً في ذهاب النفس وتضررها به وبين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على نفسه من البرد، حيث إنّه ظاهر في كون المخوف عليه هو مجرد البرد، خصوصا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على نفسه البرد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فيه كمال الظهور في أنّ المخوف منه هو مجرد البرد دون شيء آخر من ضرر أو غيره فليس في المسألة مخالف إلّا بعض </w:t>
      </w:r>
      <w:r>
        <w:rPr>
          <w:rStyle w:val="FootnoteAnchor"/>
          <w:rtl w:val="true"/>
        </w:rPr>
        <w:footnoteReference w:id="762"/>
      </w:r>
      <w:r>
        <w:rPr>
          <w:rFonts w:ascii="Amiri" w:hAnsi="Amiri" w:eastAsia="Amiri" w:cs="Amiri"/>
          <w:color w:val="111111"/>
          <w:sz w:val="28"/>
          <w:sz w:val="28"/>
          <w:szCs w:val="28"/>
          <w:rtl w:val="true"/>
          <w:lang w:bidi="ar-SA"/>
        </w:rPr>
        <w:t>، وكلامهم أيضاً ليس صريحاً في المخالفة لاحتمال كون مرادهم هو التألم الذي يتحمل عادةً لا ما لا يتحمل عادةً، خصوصاً مع دعوى العلّامة الإجماع عليه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 أخبار أخر بعضها صحاح يدلّ على الغسل مطلقاً وبعضها غير صحاح بل مرفوعة يفصل بين المتعمد على الجنابة فالغسل وغيره فالتيمّم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فروايتان أحداهما في الصحيح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رجل كان في أرض باردة فيخاف إن هو اغتسل أن يصيبه عنتُ من الغسل كيف يصنع هو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يغتسل وان أصابه ما أصابه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وجعاً شديد الوجع فأصابه جنابة وكان في مكان بارد فی ليلة شديدة الريح باردة، فدعوت الغلمة، فقلت لهم احملوني فاغسلوني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عليك،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بد فحملوني ووضعوني على خشبات ثمّ صبوا عليَّ الماء </w:t>
      </w:r>
    </w:p>
    <w:p>
      <w:pPr>
        <w:pStyle w:val="BookText"/>
        <w:rPr/>
      </w:pPr>
      <w:r>
        <w:rPr>
          <w:rFonts w:ascii="Amiri" w:hAnsi="Amiri" w:eastAsia="Amiri" w:cs="Amiri"/>
          <w:color w:val="111111"/>
          <w:sz w:val="28"/>
          <w:sz w:val="28"/>
          <w:szCs w:val="28"/>
          <w:rtl w:val="true"/>
          <w:lang w:bidi="ar-SA"/>
        </w:rPr>
        <w:t>فغسلوني</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تصيبه الجنابة في أرض باردة ولا يجد الماء، وعسى أن يكون الماء جامداً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يغتسل على ما كان حدثه انه فعل ذلك فمرض شهراً من البرد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على ما كان فإنّه لا بُدَّ من ،الغسل، وذكر أبو عبد الله علیه السلام أنه اضطر إليه وهو مريض فأتوه به مسخناً فاغتسل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الغسل</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الخبران بظاهر هما يدلان على الغسل مطلقاً حتى إذا خيف على النفس ولم يقل به أحد على الإطلاق حتى في غير المتعمد، نعم، نقل في المتعمد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بالغسل مطلقاً وهو المنقول عن المفيد</w:t>
      </w:r>
      <w:r>
        <w:rPr>
          <w:rStyle w:val="FootnoteAnchor"/>
          <w:rtl w:val="true"/>
        </w:rPr>
        <w:footnoteReference w:id="765"/>
      </w:r>
      <w:r>
        <w:rPr>
          <w:rFonts w:ascii="Amiri" w:hAnsi="Amiri" w:eastAsia="Amiri" w:cs="Amiri"/>
          <w:color w:val="111111"/>
          <w:sz w:val="28"/>
          <w:sz w:val="28"/>
          <w:szCs w:val="28"/>
          <w:rtl w:val="true"/>
          <w:lang w:bidi="ar-SA"/>
        </w:rPr>
        <w:t>، وربما نسب إلى الشيخ</w:t>
      </w:r>
      <w:r>
        <w:rPr>
          <w:rStyle w:val="FootnoteAnchor"/>
          <w:rtl w:val="true"/>
        </w:rPr>
        <w:footnoteReference w:id="766"/>
      </w:r>
      <w:r>
        <w:rPr>
          <w:rFonts w:ascii="Amiri" w:hAnsi="Amiri" w:eastAsia="Amiri" w:cs="Amiri"/>
          <w:color w:val="111111"/>
          <w:sz w:val="28"/>
          <w:sz w:val="28"/>
          <w:szCs w:val="28"/>
          <w:rtl w:val="true"/>
          <w:lang w:bidi="ar-SA"/>
        </w:rPr>
        <w:t>أيضاً القول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بالعدم مطلقا وهو المشهور</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بالتفصيل بين الضرر ومجرد البرد بالتيمم في الأول دون الثاني، وهو الظاهر من كلام صاحب الحدائق رحمه الله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المتعمد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والمرفوعتان اللتان وردتا شاهدتان على التفصيل بين المتعمد وغيره، إلّا أنّ </w:t>
      </w:r>
    </w:p>
    <w:p>
      <w:pPr>
        <w:pStyle w:val="BookText"/>
        <w:rPr/>
      </w:pPr>
      <w:r>
        <w:rPr>
          <w:rFonts w:ascii="Amiri" w:hAnsi="Amiri" w:eastAsia="Amiri" w:cs="Amiri"/>
          <w:color w:val="111111"/>
          <w:sz w:val="28"/>
          <w:sz w:val="28"/>
          <w:szCs w:val="28"/>
          <w:rtl w:val="true"/>
          <w:lang w:bidi="ar-SA"/>
        </w:rPr>
        <w:t>المرفوعتين ليستا بمعتبرتين خصوصاً في مثل هذه المسألة، فلا يمكن الاستناد اليهما في مثل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الصحيحتان فهما لا يمكن التمسك بهما بواسطة قاعدة نفي الحرج المستندة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بواسطة تأييدها بالعقل والنقل والإجماع وبناء العلماء على عدم تخصيصها ولورودها في مقام الامتنان، والتخصيص ينافيه، ويؤيدها قواعد أخر وأخبار أخر حتى صارت كأنها ناصة على الحكم في كلّ مورد ولا يعارضها هذه الأخبار وإن كانت صحاحاً، بل على تقدير كونها 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ربما يطرح النصوص بواسطة مخالفتها القواعد المتيقنة حتى صار 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مخالف للقاعدة فمطروح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في الجمع والترجيح هو تقديم الترجيح بحسب الدلالة على المرجّح المعنوي وهذه القاعدة يكون مضمونها مرجّحاً بواسطة هذه المؤيدات لكن تكون الصحاح أرجح منها بحسب الدلالة؛ لأنها تكون نصوصاً بالنسبة إلى مدرك القاعدة، لكونها عامةً ولا أقل من كونها أظهر من هذا، ومقتضى القاعدة حمل الظاهر على الأظهر وعلى النصّ إذا صارا متعارضين، وإن كان مضمون الظاهر أرجح</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وإن كانت عامة إلّا أنها تكون في بعض الأفراد كالنص؛ لإمكان كون العام نصاً في بعض الأفراد وظاهراً في البعض الآخر وهذه القاعدة كأنها ناصة بالنسبة إلى كلّ مورد بواسطة المؤيدات المذكورة خصوصاً في هذا المورد بالنسبة إلى التلف، بل لا يبعد دعوى القطع مع أنّه لو كان الحكم كذا لا بُدَّ من تحريم جنابة النفس؛ لأن تلف النفس حرام وسبب الحرام حرام، مع دعوى الإجماع على الجواز والأخبار شاهدة على هذا من عمومات إتيان الحرث متى شاء</w:t>
      </w:r>
      <w:r>
        <w:rPr>
          <w:rStyle w:val="FootnoteAnchor"/>
          <w:rtl w:val="true"/>
        </w:rPr>
        <w:footnoteReference w:id="770"/>
      </w:r>
      <w:r>
        <w:rPr>
          <w:rFonts w:ascii="Amiri" w:hAnsi="Amiri" w:eastAsia="Amiri" w:cs="Amiri"/>
          <w:color w:val="111111"/>
          <w:sz w:val="28"/>
          <w:sz w:val="28"/>
          <w:szCs w:val="28"/>
          <w:rtl w:val="true"/>
          <w:lang w:bidi="ar-SA"/>
        </w:rPr>
        <w:t xml:space="preserve">، قاضية به مع أنّه لم </w:t>
      </w:r>
      <w:bookmarkStart w:id="326" w:name="pg9203_87269"/>
    </w:p>
    <w:p>
      <w:pPr>
        <w:pStyle w:val="BookText"/>
        <w:rPr/>
      </w:pPr>
      <w:bookmarkEnd w:id="326"/>
      <w:r>
        <w:rPr>
          <w:rFonts w:ascii="Amiri" w:hAnsi="Amiri" w:eastAsia="Amiri" w:cs="Amiri"/>
          <w:color w:val="111111"/>
          <w:sz w:val="28"/>
          <w:sz w:val="28"/>
          <w:szCs w:val="28"/>
          <w:rtl w:val="true"/>
          <w:lang w:bidi="ar-SA"/>
        </w:rPr>
        <w:t>يقل أحد بالحرمة حتى القائل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هذا العمل جائزاً لِمَ يوجب العقوبة لمثل هذا؛ لأنه في الحقيقة عقوبة لهذا العمل وإلا يكون النفس محترماً على كل حال، مع أنّ الصحيحين لا بُدَّ فيهما من التأويل حتى على مذهب هذا القائل؛ لإطلاقهما في المتعمّد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به فلا بُدَّ من حملها أو تخصيصهما ، وليس التخصيص أولى من الحمل، فيحمل على صورة المشقة التي تتحمل عادة، فيكون الحكم في غير المتحمل سليماً عن المعارض حتى في صورة مجرد البرد الذي لا يتحمل عادة بواسطة الحرج وبواسطة فحوى أخبار القروح والجروح وفحوى الحكم في الشَين والأخبار الخاصة، وإن كان الاحتياط في هذا المورد في محلّه بواسطة الصحيحين المذكورين</w:t>
      </w:r>
      <w:r>
        <w:rPr>
          <w:rFonts w:eastAsia="Amiri" w:cs="Amiri" w:ascii="Amiri" w:hAnsi="Amiri"/>
          <w:color w:val="111111"/>
          <w:sz w:val="28"/>
          <w:szCs w:val="28"/>
          <w:rtl w:val="true"/>
          <w:lang w:bidi="ar-SA"/>
        </w:rPr>
        <w:t>.</w:t>
      </w:r>
    </w:p>
    <w:p>
      <w:pPr>
        <w:pStyle w:val="Heading2"/>
        <w:numPr>
          <w:ilvl w:val="1"/>
          <w:numId w:val="1"/>
        </w:numPr>
        <w:rPr/>
      </w:pPr>
      <w:bookmarkStart w:id="327" w:name="__RefHeading___Toc3968032_2870459653"/>
      <w:bookmarkStart w:id="328" w:name="_Toc115"/>
      <w:bookmarkEnd w:id="327"/>
      <w:r>
        <w:rPr>
          <w:rtl w:val="true"/>
        </w:rPr>
        <w:t xml:space="preserve">[ </w:t>
      </w:r>
      <w:r>
        <w:rPr>
          <w:rtl w:val="true"/>
        </w:rPr>
        <w:t xml:space="preserve">خوف فوت الحاجة التي لا يتضرر بها </w:t>
      </w:r>
      <w:r>
        <w:rPr>
          <w:rtl w:val="true"/>
        </w:rPr>
        <w:t>]</w:t>
      </w:r>
      <w:bookmarkEnd w:id="328"/>
    </w:p>
    <w:p>
      <w:pPr>
        <w:pStyle w:val="BookText"/>
        <w:rPr/>
      </w:pPr>
      <w:r>
        <w:rPr>
          <w:rFonts w:ascii="Amiri" w:hAnsi="Amiri" w:eastAsia="Amiri" w:cs="Amiri"/>
          <w:color w:val="111111"/>
          <w:sz w:val="28"/>
          <w:sz w:val="28"/>
          <w:szCs w:val="28"/>
          <w:rtl w:val="true"/>
          <w:lang w:bidi="ar-SA"/>
        </w:rPr>
        <w:t>هذا كله وأما لو كان في تحصيل الوضوء خوف فوت الحاجة التي لا يتضرر بها فالمحقق في المعتبر</w:t>
      </w:r>
      <w:r>
        <w:rPr>
          <w:rStyle w:val="FootnoteAnchor"/>
          <w:rtl w:val="true"/>
        </w:rPr>
        <w:footnoteReference w:id="771"/>
      </w:r>
      <w:r>
        <w:rPr>
          <w:rFonts w:ascii="Amiri" w:hAnsi="Amiri" w:eastAsia="Amiri" w:cs="Amiri"/>
          <w:color w:val="111111"/>
          <w:sz w:val="28"/>
          <w:sz w:val="28"/>
          <w:szCs w:val="28"/>
          <w:rtl w:val="true"/>
          <w:lang w:bidi="ar-SA"/>
        </w:rPr>
        <w:t>حكم بمسوغية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إثبات هذا الحكم مشكل؛ لعدم دليل عليه ومن هنا أعرض عنه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ولم يتأملوا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الحكم في موارد الضرر هو التيمم</w:t>
      </w:r>
      <w:r>
        <w:rPr>
          <w:rFonts w:eastAsia="Amiri" w:cs="Amiri" w:ascii="Amiri" w:hAnsi="Amiri"/>
          <w:color w:val="111111"/>
          <w:sz w:val="28"/>
          <w:szCs w:val="28"/>
          <w:rtl w:val="true"/>
          <w:lang w:bidi="ar-SA"/>
        </w:rPr>
        <w:t>.</w:t>
      </w:r>
    </w:p>
    <w:p>
      <w:pPr>
        <w:pStyle w:val="Heading2"/>
        <w:numPr>
          <w:ilvl w:val="1"/>
          <w:numId w:val="1"/>
        </w:numPr>
        <w:rPr/>
      </w:pPr>
      <w:bookmarkStart w:id="329" w:name="__RefHeading___Toc3968034_2870459653"/>
      <w:bookmarkStart w:id="330" w:name="_Toc116"/>
      <w:bookmarkEnd w:id="329"/>
      <w:r>
        <w:rPr>
          <w:rtl w:val="true"/>
        </w:rPr>
        <w:t>[</w:t>
      </w:r>
      <w:r>
        <w:rPr>
          <w:rtl w:val="true"/>
        </w:rPr>
        <w:t>ما هو المدار في كون الوضوء ضرياً ؟</w:t>
      </w:r>
      <w:r>
        <w:rPr>
          <w:rtl w:val="true"/>
        </w:rPr>
        <w:t>]</w:t>
      </w:r>
      <w:bookmarkEnd w:id="330"/>
    </w:p>
    <w:p>
      <w:pPr>
        <w:pStyle w:val="BookText"/>
        <w:rPr/>
      </w:pPr>
      <w:r>
        <w:rPr>
          <w:rFonts w:ascii="Amiri" w:hAnsi="Amiri" w:eastAsia="Amiri" w:cs="Amiri"/>
          <w:color w:val="111111"/>
          <w:sz w:val="28"/>
          <w:sz w:val="28"/>
          <w:szCs w:val="28"/>
          <w:rtl w:val="true"/>
          <w:lang w:bidi="ar-SA"/>
        </w:rPr>
        <w:t>ثم إنّ المدار في ثبوت الضرر وكون الوضوء ضرراً هل يكون على العلم فقط أو الظن أو على مجرد الخوف ولو حصل من أي سبب ولو بواسطة الشك أو الوهم لتعليق الحكم في الأخبار غالباً على الخوف فلا بُدَّ من ملاحظة إنه في أي مورد حصل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أنه حاصل مع العلم وكذا الظن ولو كان الظن حاصلاً من قول الفاسق وغيره بل في صورة الشك أيضاً، بل مع الاحتمال المرجوح الذي يكون احتمالاً عقلائياً </w:t>
      </w:r>
    </w:p>
    <w:p>
      <w:pPr>
        <w:pStyle w:val="BookText"/>
        <w:rPr/>
      </w:pPr>
      <w:r>
        <w:rPr>
          <w:rFonts w:ascii="Amiri" w:hAnsi="Amiri" w:eastAsia="Amiri" w:cs="Amiri"/>
          <w:color w:val="111111"/>
          <w:sz w:val="28"/>
          <w:sz w:val="28"/>
          <w:szCs w:val="28"/>
          <w:rtl w:val="true"/>
          <w:lang w:bidi="ar-SA"/>
        </w:rPr>
        <w:t>لا الاحتمال غير العقلائي، فهذا على تقدير كون الحكم بالتيمم معلّقاً على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كونه معلّقاً على الضرر الواقعي لا الضرر المعلوم فيجري في صورة العلم بل في صورة الظن أيضاً؛ لأنّ الظاهر شمول الدليل له؛ لكونه بحكم العلم في كثير من الأحكام ولوجوب دفع الضرر المظنون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يمكن الخدشة في الأمر بأنّ حكم العقل بالوجوب تعليقي حتى في صورة العلم بالضرر ويكون معلّقاً على عدم ورود دليل عليه من الشارع فكيف في المظنون لثبوت الضرر المتيقن في الجهاد</w:t>
      </w:r>
    </w:p>
    <w:p>
      <w:pPr>
        <w:pStyle w:val="BookText"/>
        <w:rPr/>
      </w:pPr>
      <w:r>
        <w:rPr>
          <w:rFonts w:ascii="IRNazanin" w:hAnsi="IRNazanin" w:eastAsia="IRNazanin"/>
          <w:color w:val="111111"/>
          <w:sz w:val="28"/>
          <w:sz w:val="28"/>
          <w:szCs w:val="28"/>
          <w:rtl w:val="true"/>
          <w:lang w:bidi="fa-IR"/>
        </w:rPr>
        <w:t>وأمثاله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في صورة الشك يمكن المنع بواسطة إجراء أصل عدم الضرر وإحرازه عدم الضرر فيكون الوضوء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بالمنع بواسطة ملاحظة الأدلة الواردة في وجوب الحفظ من التلف، حيث إنّ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w:t>
      </w:r>
      <w:r>
        <w:rPr>
          <w:rStyle w:val="FootnoteAnchor"/>
          <w:rtl w:val="true"/>
        </w:rPr>
        <w:footnoteReference w:id="772"/>
      </w:r>
      <w:r>
        <w:rPr>
          <w:rFonts w:ascii="IRNazanin" w:hAnsi="IRNazanin" w:eastAsia="IRNazanin"/>
          <w:color w:val="111111"/>
          <w:sz w:val="28"/>
          <w:sz w:val="28"/>
          <w:szCs w:val="28"/>
          <w:rtl w:val="true"/>
          <w:lang w:bidi="fa-IR"/>
        </w:rPr>
        <w:t>حفظ النفس عن التلف بحسب اللغة، لكن مفادها بحسب العرف هو الاحتياط في حفظها بأنّ يتحرز عن الموارد المتخيلة والمشكوكة وعدم إلقائها في مقام احتمال التلف، حتى لو احتمل في مورد كون الوضوء أو غيره موجباً لإتلافه والضرر عليه لا بُدَّ من عدم وقوعها فيه، مثلاً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آمره أن يُغرّر بنفسه</w:t>
      </w:r>
      <w:r>
        <w:rPr>
          <w:rFonts w:eastAsia="IRNazanin" w:cs="IRNazanin"/>
          <w:color w:val="111111"/>
          <w:sz w:val="28"/>
          <w:szCs w:val="28"/>
          <w:rtl w:val="true"/>
          <w:lang w:bidi="fa-IR"/>
        </w:rPr>
        <w:t>»</w:t>
      </w:r>
      <w:r>
        <w:rPr>
          <w:rStyle w:val="FootnoteAnchor"/>
          <w:rtl w:val="true"/>
        </w:rPr>
        <w:footnoteReference w:id="773"/>
      </w:r>
      <w:r>
        <w:rPr>
          <w:rFonts w:ascii="Amiri" w:hAnsi="Amiri" w:eastAsia="Amiri" w:cs="Amiri"/>
          <w:color w:val="111111"/>
          <w:sz w:val="28"/>
          <w:sz w:val="28"/>
          <w:szCs w:val="28"/>
          <w:rtl w:val="true"/>
          <w:lang w:bidi="ar-SA"/>
        </w:rPr>
        <w:t>، ظاهر في احتمال الضرر والهلاكة، 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يمكن دعوى ظهورها في عدم الإلقاء في مظان الهلاكة ومواردها فيصدق مع الشك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مقتضاها الاحتياط فيها بالتجنب عن الموارد المشكوكة والمتخيلة، فإذا كان مفادها ذلك لا يمكن إجراء أصل السلامة ولا ينفع جريانه؛ لأنه لا يرفع </w:t>
      </w:r>
    </w:p>
    <w:p>
      <w:pPr>
        <w:pStyle w:val="BookText"/>
        <w:rPr/>
      </w:pPr>
      <w:r>
        <w:rPr>
          <w:rFonts w:ascii="Amiri" w:hAnsi="Amiri" w:eastAsia="Amiri" w:cs="Amiri"/>
          <w:color w:val="111111"/>
          <w:sz w:val="28"/>
          <w:sz w:val="28"/>
          <w:szCs w:val="28"/>
          <w:rtl w:val="true"/>
          <w:lang w:bidi="ar-SA"/>
        </w:rPr>
        <w:t>الاحتمال ومقتضى الاحتياط سد باب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يقع التعارض بينها وبين أدلّة الوضوء حيث إنّه يُحكم بعدم الوضوء، في صورة الاحتمال والشك بمقتضى الاحتياط، ومفاد أدلّة الوضوء هو وجوبه مطلقاً إلّا في صورة الضرر وأنّ الضرر مانع عن الوضوء بناءً على كون المانع هو الضرر الواقعي لا المعلوم وإلا يكون أدلّة الوضوء</w:t>
      </w:r>
      <w:r>
        <w:rPr>
          <w:rStyle w:val="FootnoteAnchor"/>
          <w:rtl w:val="true"/>
        </w:rPr>
        <w:footnoteReference w:id="775"/>
      </w:r>
      <w:r>
        <w:rPr>
          <w:rFonts w:ascii="Amiri" w:hAnsi="Amiri" w:eastAsia="Amiri" w:cs="Amiri"/>
          <w:color w:val="111111"/>
          <w:sz w:val="28"/>
          <w:sz w:val="28"/>
          <w:szCs w:val="28"/>
          <w:rtl w:val="true"/>
          <w:lang w:bidi="ar-SA"/>
        </w:rPr>
        <w:t xml:space="preserve">فحينئذ في صورة العلم بعدم الضرر يكون الوضوء ثابتاً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الشك فلا يمكن إحراز عدم الضرر بواسطة إجراء أصل عدم الضرر ، لأنّ مفاد أدلّة حفظ النفس هو الاحتياط وعدم إجراء الأصول، وحينئذ يكون الشكّ في ثبوت المانع وعدمه، ولا يمكن إحراز عدمه أيضاً فلا يجزي الوضوء، بل يكون الحكم هو التيمم، لكن هذا بناءً على ما قلنا وكون مفادها الاحتياط وعدم إمكان إجراء الأصل وعدم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جريان الأصل ونفعه وعدم كون مفادها الاحتياط يمكن الحكم بالوضوء في صورة الشك، ونظير هذا الكلام من كون مفاد الأدلّة هو الاحتياط يجري في مسألة وجوب حفظ الوقت عن الخروج، ويكون مفاده أيضاً الاحتياط فيه وعدم جريان الأصل فيه، هذا على تقدير كون الحكم معلّقاً على الضرر لا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تقديره فالأمر سهل كما ذكرناه من ثبوت الخوف مع الشك بل مع الوهم أيضاً ، فحينئذ يكون التيمم ثابتاً في جميع الصور ولا يختص بصورة العلم أو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بقي هنا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الحالة السابقة ضرراً، والآن يظن في ثبوت الضرر، فهل يمكن جريان الأصل والحكم بثبوت الضرر والتيمم أم لا لعدم ثبوت الخوف؟</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الحكم معلقاً على نفس الضرر من حيث هو، فلا يبعد ثبوت الحكم، وإن كان التعليق على الضرر ليس من حيث نفسه بل من حيث إنّه ملازم لحالة الخوف </w:t>
      </w:r>
      <w:bookmarkStart w:id="331" w:name="pg9203_87272"/>
    </w:p>
    <w:p>
      <w:pPr>
        <w:pStyle w:val="BookText"/>
        <w:rPr/>
      </w:pPr>
      <w:bookmarkEnd w:id="331"/>
      <w:r>
        <w:rPr>
          <w:rFonts w:ascii="Amiri" w:hAnsi="Amiri" w:eastAsia="Amiri" w:cs="Amiri"/>
          <w:color w:val="111111"/>
          <w:sz w:val="28"/>
          <w:sz w:val="28"/>
          <w:szCs w:val="28"/>
          <w:rtl w:val="true"/>
          <w:lang w:bidi="ar-SA"/>
        </w:rPr>
        <w:t>غالباً ففي الحقيقة يكون الحكم معلقاً على الخوف، فليس هنا خوف، فلا يثبت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شاكاً فلا ريب في ثبوت التيمم لوجود المسوغين وهما الضرر والخوف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كانت الحالة السابقة هي عدم الضرر ، والآن يشك فيه فهل يمكن القول بثبوت عدم التيمّم بواسطة إجراء أصالة السلامة وظنها، بمعنى أنه وإن كان شاكاً بحسب ذاته ومقتضاه ثبوت الخوف المسوّغ إلّا أنّه يرتفع خوفه بواسطة أصالة السلامة، بحيث لم يكن خائفاً، فالظاهر عدمه؛ لأنّ أصالة السلامة حجيتها واعتبارها من باب الظن النوعي، وكذلك كل الأصول فلا يرتفع الشك بسببه فيحصل الخوف؛ لأنّه ملازم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المدار في الخوف وعدمه على الأسباب التي يحصل الخوف عندها لمتعارف الناس والعقلاء دون المجانين والأشخاص الذين يكونون خارجين عن المتعارف بحيث يحصل الخوف له بمجرد احتمال لا يعتنى به أبداً عند العقلاء إلّا أن يحصل لهم الجبن وهو أيضاً ضررٌ ومسوّج ويكون غير الخوف من الضرر ولا يلازم الخوف الجبن وكذلك لو لم يحصل الخوف من الأسباب المتعارفة للخوف، لشخص منها بحيث لا يبالي أبداً والظاهر ثبوت الحكم له أيضاً ولو لم يكن خائفاً؛ لأنّ ثبوت الحكم عند الخوف من باب مطلوبية حفظ النفس وعدم إيقاعها في موارد احتمال الهلكة </w:t>
      </w:r>
      <w:r>
        <w:rPr>
          <w:rFonts w:eastAsia="Amiri" w:cs="Amiri" w:ascii="Amiri" w:hAnsi="Amiri"/>
          <w:color w:val="111111"/>
          <w:sz w:val="28"/>
          <w:szCs w:val="28"/>
          <w:rtl w:val="true"/>
          <w:lang w:bidi="ar-SA"/>
        </w:rPr>
        <w:t>.</w:t>
      </w:r>
    </w:p>
    <w:p>
      <w:pPr>
        <w:pStyle w:val="Heading2"/>
        <w:numPr>
          <w:ilvl w:val="1"/>
          <w:numId w:val="1"/>
        </w:numPr>
        <w:rPr/>
      </w:pPr>
      <w:bookmarkStart w:id="332" w:name="__RefHeading___Toc3968036_2870459653"/>
      <w:bookmarkStart w:id="333" w:name="_Toc117"/>
      <w:bookmarkEnd w:id="332"/>
      <w:r>
        <w:rPr>
          <w:rtl w:val="true"/>
        </w:rPr>
        <w:t xml:space="preserve">[ </w:t>
      </w:r>
      <w:r>
        <w:rPr>
          <w:rtl w:val="true"/>
        </w:rPr>
        <w:t xml:space="preserve">لو خالف وتطهر مع سقوط الطهارة بحقه </w:t>
      </w:r>
      <w:r>
        <w:rPr>
          <w:rtl w:val="true"/>
        </w:rPr>
        <w:t>]</w:t>
      </w:r>
      <w:bookmarkEnd w:id="333"/>
    </w:p>
    <w:p>
      <w:pPr>
        <w:pStyle w:val="BookText"/>
        <w:rPr/>
      </w:pP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خالف في مقام يكون الطهارة ساقطة وتطهر فهل تكون الطهارة باطلة أم لا؟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إن كان النهي متعلقاً بمقدمات الوضوء مثل شراء الماء وتحصيله بالتكسب وتحمل المنّة والذهاب إلى الماء مع خوف اللص؛ فالظاهر صحّة الوضوء بعد المخالفة وتحصيل الماء لصدق الوجدان حينئذ وكون سقوط الوضوء </w:t>
      </w:r>
    </w:p>
    <w:p>
      <w:pPr>
        <w:pStyle w:val="BookText"/>
        <w:rPr/>
      </w:pPr>
      <w:r>
        <w:rPr>
          <w:rFonts w:ascii="Amiri" w:hAnsi="Amiri" w:eastAsia="Amiri" w:cs="Amiri"/>
          <w:color w:val="111111"/>
          <w:sz w:val="28"/>
          <w:sz w:val="28"/>
          <w:szCs w:val="28"/>
          <w:rtl w:val="true"/>
          <w:lang w:bidi="ar-SA"/>
        </w:rPr>
        <w:t>لأجل عدم الماء بواسطة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الماء حاصلاً فلا يكون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تعلّق النهي بنفس العمل كموارد الضرر بالنفس بالاستعمال بأنّ كان استعمال الماء نفسه ضرراً ولو لمجرد التألم فيكون على قسمين بواسطة اختلاف مفاد الدليل قسم يكون مفاده المنع والحرمة عند حصول الضرر كما في موارد حصول الضرر وقسم يكون مفاده مجرد الرخصة كما في مورد التألم الذي لا يتحمل عادة مع عدم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الذي يكون مفاده المنع والحرمة، وهو أيضاً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أدلّة نفي الضرر مما يكون مفادها الحكومة على أدلّة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يكون بالنسبة إلى أدلّة الوضوء من قبيل المعارض لا من قبيل الحاكم، مثل أدلّة حفظ النفس،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صورة التعمد بفعل الوضوء في صورة الضرر بالاستعمال يكون الوضوء باطلاً لوجود النهي عن الاستعمال أما بناءً على أدلّة نفي الضرر والنهي عنه؛ فلكونها حاكمة بالنسبة إلى أدلّة التكاليف ومبينة للمراد منها؛ لأنّ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هو أنّ في التكاليف التي ثبتت في الشريعة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زائد على طباعها فتكون مقدّمة على دليل الوضوء فيثبت النهي دون الأمر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غيرها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لم يكن مفادها الحكومة فلاجتماع الأمر والنهي، وهو غير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صورة الخطأ والغفلة وجهل الموضوع بأنّ اعتقد عدم الضرر وكان في الواقع ضرر فيمكن الحكم بالصحة؛ لأنّ مفاد أدلّة نفي الضرر هو ارتفاع الضرر بسبب الامتنان، فَعِلَّةُ نفى الضرر هو الامتنان على العباد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في مورد يكون عدم الضرر امتناناً، وعدم الوضوء امتنان وفي حق الجاهل والغافل ليس عدم الوضوء امتناناً؛ لأنه بجهله يحصل الوضوء فيكون الضرر حينئذ امتناناً عليه لاستلزام رفع الضرر منه تكليفه ثانياً بالتيمم بخلاف العامد غير الجاهل بالموضوع؛ فإنّه لما كان عَالِمَاً بثبوت الضرر ويمكنه ترك الوضوء وتعمد في فعله له ان ترك </w:t>
      </w:r>
      <w:r>
        <w:rPr>
          <w:rStyle w:val="FootnoteAnchor"/>
          <w:rtl w:val="true"/>
        </w:rPr>
        <w:footnoteReference w:id="779"/>
      </w:r>
      <w:r>
        <w:rPr>
          <w:rFonts w:ascii="Amiri" w:hAnsi="Amiri" w:eastAsia="Amiri" w:cs="Amiri"/>
          <w:color w:val="111111"/>
          <w:sz w:val="28"/>
          <w:sz w:val="28"/>
          <w:szCs w:val="28"/>
          <w:rtl w:val="true"/>
          <w:lang w:bidi="ar-SA"/>
        </w:rPr>
        <w:t>الضرر بنفسه فيكون عدم ثبوت الوضوء عليه امتناناً عليه؛ لعدم حصول الضرر عليه بخلاف الجاهل فإنّه يحصل الضرر عليه بواسطة غفلته، فمقتضى الامتنان هو الاكتفاء به والحكم بصحته فتكون أدلّة نفي الضرر مقيّدة بقيد عقلي؛ وهو كون عدم الضرر امتناناً، ففي صورة عدم كون الضرر امتناناً يثبت أمر الوضوء بحاله فيصح</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صحة وضوء الغافل وغيره بناءً على كون أدلة نفي الضرر وهي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متعارضاً مع أدلة الوضوء فلجواز اجتماع الأمر والنهي في حق الغافل والناسي، وإن لم يكن جائزاً في صورة التعمّد؛ لأنّ المانع من الاجتماع كما حققناه في الأصول</w:t>
      </w:r>
      <w:r>
        <w:rPr>
          <w:rStyle w:val="FootnoteAnchor"/>
          <w:rtl w:val="true"/>
        </w:rPr>
        <w:footnoteReference w:id="780"/>
      </w:r>
      <w:r>
        <w:rPr>
          <w:rFonts w:ascii="Amiri" w:hAnsi="Amiri" w:eastAsia="Amiri" w:cs="Amiri"/>
          <w:color w:val="111111"/>
          <w:sz w:val="28"/>
          <w:sz w:val="28"/>
          <w:szCs w:val="28"/>
          <w:rtl w:val="true"/>
          <w:lang w:bidi="ar-SA"/>
        </w:rPr>
        <w:t>ليس إلّا التحريكين الفعليين من الأمر لقبحه عنه لاجتماع المصلحة والمفسدة والمحبوبية والمبغوضية في شيء واحد من جهتين؛ مثلاً شرب الدواء يكون فيه المحبوبية باعتبار دفعه المرض والمحبوبية</w:t>
      </w:r>
      <w:r>
        <w:rPr>
          <w:rStyle w:val="FootnoteAnchor"/>
          <w:rtl w:val="true"/>
        </w:rPr>
        <w:footnoteReference w:id="781"/>
      </w:r>
      <w:r>
        <w:rPr>
          <w:rFonts w:ascii="Amiri" w:hAnsi="Amiri" w:eastAsia="Amiri" w:cs="Amiri"/>
          <w:color w:val="111111"/>
          <w:sz w:val="28"/>
          <w:sz w:val="28"/>
          <w:szCs w:val="28"/>
          <w:rtl w:val="true"/>
          <w:lang w:bidi="ar-SA"/>
        </w:rPr>
        <w:t>لعدم قبوله طبعاً، فالمانع من الاجتماع هو التحريك الفعلي، والتحريك الفعلي غير موجود في حق الجاهل والناسي فيصح الاجتماع فتصح عبادتهم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القسم الثاني مما يكون مفادها مجرد الرخصة في ترك الوضوء مثل دليل نفي الحرج والعسر في مورد التألم، الذي لا يتحقق</w:t>
      </w:r>
      <w:r>
        <w:rPr>
          <w:rStyle w:val="FootnoteAnchor"/>
          <w:rtl w:val="true"/>
        </w:rPr>
        <w:footnoteReference w:id="782"/>
      </w:r>
      <w:r>
        <w:rPr>
          <w:rFonts w:ascii="Amiri" w:hAnsi="Amiri" w:eastAsia="Amiri" w:cs="Amiri"/>
          <w:color w:val="111111"/>
          <w:sz w:val="28"/>
          <w:sz w:val="28"/>
          <w:szCs w:val="28"/>
          <w:rtl w:val="true"/>
          <w:lang w:bidi="ar-SA"/>
        </w:rPr>
        <w:t>عادة فيمكن الحكم بصحة الوضوء في مورد مثل التألم لأنّ مفاد الدليل مجرد رفع الإلزام بناءً على عدم جريانه في المندوبات كما هو الظاهر؛ لأنّ مفادها رفع الحرج والعسر ؛ والعسر والحرج يكونان في الوجوب دون الندب الجواز تركه ولا يتحقق العسر ، فرفع الإلزام لا ينا في الصحة لبقاء المطلوبية والحسن فيه من جهة استفادتها من الأخبار، ومن الأوامر الواردة في مقام استحبابه في نفسه فحينئذ يمكن القول بصحته واستحبابه، فهل يكون حينئذ مستحباً محضاً مسقطاً للواجب وهو التيمم أو يكون واجباً مخيراً بينه وبين التيمم لعدم منافاة الوجوب التخييري أيضاً مع عدم الحرج لعدم الحرج فيه لمكان المندوحة فيه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يكون التيمم أصلاً والوضوء مستحباً مسقطاً عنه أو يكونان في عرض واحد؟ ولا يبعد القول بالوجوب التخييري لكونه أقرب إلى مفاد الأمر بحسب الظاهر من الاستحباب؛ ولأنّ مفاد أدلة نفي الحرج هو مجرد رفع الحرج، والحرج ليس إلّا في الوجوب التعييني دون التخييري، لكن يشكل أنّ الوجوب التخييري أيضاً قد يرجع إلى الوجوب التعييني بالعرض بواسطة الانحصار فهو أيضاً يوجب العسر لكن يمكن دفعه بأنّ مفاد الدليل إذا كان نفي الحرج الحاصل بسبب التعيين فيرفع التعيين في كل موضع حصل سواءً كان التعيين بالذات أو بالعرض ولو بواسطة الانحصار؛ لأن الحكم الفعلي ثابت في كل مورد ، لكن يمكن منع تحقق التعيين فيما نحن فيه لعدم الانحصار، لثبوت البدل إلا مع عدم وجود البدل وعدم إمكانه، لعدم وجود التراب مثلاً، ويمكن القول بثبوت الاستحباب الشرعي للوضوء لثبوت الرجحان الذاتي له مطلقاً؛ لكونه أفضل الطهورين وثبوت الأمر به أيضاً في الواقع لكونه راجحاً وللأوامر الدالّة على استحبابه في نفسه، ولا يدفعه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التيمم بعد الوضوء </w:t>
      </w:r>
      <w:bookmarkStart w:id="334" w:name="pg9203_87276"/>
    </w:p>
    <w:p>
      <w:pPr>
        <w:pStyle w:val="BookText"/>
        <w:rPr/>
      </w:pPr>
      <w:bookmarkEnd w:id="334"/>
      <w:r>
        <w:rPr>
          <w:rFonts w:ascii="Amiri" w:hAnsi="Amiri" w:eastAsia="Amiri" w:cs="Amiri"/>
          <w:color w:val="111111"/>
          <w:sz w:val="28"/>
          <w:sz w:val="28"/>
          <w:szCs w:val="28"/>
          <w:rtl w:val="true"/>
          <w:lang w:bidi="ar-SA"/>
        </w:rPr>
        <w:t xml:space="preserve">لحصول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التيمم مقيّد بعدم إتيان الوضوء؛ لأنه مسقط له والتكاليف المطلقة التي يكون لها مسقط كلها مقيدة بعدم حصول المسقط، فالتيمم أيضاً مقيد بعدم حصول المسقط له وهو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وتقرير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التيمم هو المحدث،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يتيمّم فإذا حصل الوضوء ارتفع الحدث فارتفع موضوعه فيرتفع التيمم بواسطة ارتفاع موضوعه، فلا يلزم ثبوت التيمم بعد الوضوء بخلاف العكس، فإنّ الحدث لا يرتفع بالتيمم فموضوع الوضوء باق فيثبت الوضوء بعد التيمم مستحباً بواسطة رجحانه الذاتي ومطلوبيته على كل حال </w:t>
      </w:r>
      <w:r>
        <w:rPr>
          <w:rFonts w:eastAsia="Amiri" w:cs="Amiri" w:ascii="Amiri" w:hAnsi="Amiri"/>
          <w:color w:val="111111"/>
          <w:sz w:val="28"/>
          <w:szCs w:val="28"/>
          <w:rtl w:val="true"/>
          <w:lang w:bidi="ar-SA"/>
        </w:rPr>
        <w:t>.</w:t>
      </w:r>
    </w:p>
    <w:p>
      <w:pPr>
        <w:pStyle w:val="Heading2"/>
        <w:numPr>
          <w:ilvl w:val="1"/>
          <w:numId w:val="1"/>
        </w:numPr>
        <w:rPr/>
      </w:pPr>
      <w:bookmarkStart w:id="335" w:name="__RefHeading___Toc3968038_2870459653"/>
      <w:bookmarkStart w:id="336" w:name="_Toc118"/>
      <w:bookmarkEnd w:id="335"/>
      <w:r>
        <w:rPr>
          <w:rtl w:val="true"/>
        </w:rPr>
        <w:t xml:space="preserve">[ </w:t>
      </w:r>
      <w:r>
        <w:rPr>
          <w:rtl w:val="true"/>
        </w:rPr>
        <w:t xml:space="preserve">ضيق الوقت عن إدراك ركعة </w:t>
      </w:r>
      <w:r>
        <w:rPr>
          <w:rtl w:val="true"/>
        </w:rPr>
        <w:t>]</w:t>
      </w:r>
      <w:bookmarkEnd w:id="336"/>
    </w:p>
    <w:p>
      <w:pPr>
        <w:pStyle w:val="BookText"/>
        <w:rPr/>
      </w:pPr>
      <w:r>
        <w:rPr>
          <w:rFonts w:ascii="Amiri" w:hAnsi="Amiri" w:eastAsia="Amiri" w:cs="Amiri"/>
          <w:color w:val="111111"/>
          <w:sz w:val="28"/>
          <w:sz w:val="28"/>
          <w:szCs w:val="28"/>
          <w:rtl w:val="true"/>
          <w:lang w:bidi="ar-SA"/>
        </w:rPr>
        <w:t>ثم إنه قد ذكرنا سابقاً أن ضيق الوقت عن درك الركعة مع الوضوء بخلافه مع التيمم أنّه مسوغ للتيمم ولا يثبت الوضوء حينئذ، فلو خالف وتوضأ مع هذا الحال هل يكون وضوؤه صحيحاً فيمكن الدخول معه في عبادة مشروطة بالطهارة أو لا؟</w:t>
      </w:r>
    </w:p>
    <w:p>
      <w:pPr>
        <w:pStyle w:val="BookText"/>
        <w:rPr/>
      </w:pPr>
      <w:r>
        <w:rPr>
          <w:rFonts w:ascii="Amiri" w:hAnsi="Amiri" w:eastAsia="Amiri" w:cs="Amiri"/>
          <w:color w:val="111111"/>
          <w:sz w:val="28"/>
          <w:sz w:val="28"/>
          <w:szCs w:val="28"/>
          <w:rtl w:val="true"/>
          <w:lang w:bidi="ar-SA"/>
        </w:rPr>
        <w:t>فالكلام فيه تارة في العالم بالضيق المذكور وتارة يكون في الشاك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إنّ الأمر بالشيء يقتضي النهي عن ضده، يكون الوضوء حينئذ ضداً للصلاة ويكون الوضوء فاسداً لتعلق النهي به سواءً أتى به لهذه الصلاة أو لغيرها، وكذا إن قلنا إنّ الأمر بالشيء يقتضي عدم الأمر بضده لامتناع الأمر بالمتضادين لأنّ الصحة موقوفة على الأمر وهو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لم نقل بها بل قلنا بأنّ الأمر بالشيء لا يقتضي النهي عن ضده ولا عدم الأمر بضده فحينئذ إن أتى به لغير هذه الغاية من الغايات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مشروطة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بالطهارة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فيمكن الحكم بصحته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أتى به لهذه الصلاة يشكل حينئذ ؛ لأنّه إما أن يقصد الأداء أو القضاء أو أحد الأمرين؟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لعلمه بعدم إمكان تحصيله لفوت الوقت، وقصد القضاء أيضاً لا يمكن لعدم الأمر به حينئذ ؛ لأنه معلق على الفوت ولم يفت الآن، وقصد أحد الأمرين أيضاً لا يمكن لعدم إمكان كل منهما جميعاً فلا يمكن الحكم بالصحة حينئذٍ إلّا أن يأتي به لأجل استحبابه في نفسه للكون على الطهارة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وهو الشاك في ضيق الوقت بمعنى أنه يكون شاكاً في إدراك الركعة مع هذا الوضوء أم لا؟ فهل يكون الوضوء حينئذ صحيحاً بناءً على استصحاب الوقت بناءً على عدم الفهم من دليل حفظ الوقت الاحتياط ؟ أو أنّ مفاده هو الوجوب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الوضعي وهو كون الوضوء فاسداً، وعدم صحته بناءً على عدم القول بالضد، فحينئذ، إن كان الوقت باقياً في الواقع وانكشف بقائه يكون الوضوء صحيحاً لوجود الأمر حينئذ وكذا لو لم ينكشف ثبوت الأمر بواسطة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انكشاف عدم بقاء الوقت والقول بعدم الإجزاء في الطريق الظاهري مع الانكشاف؛ فحينئذ إما أن يقصد الأمر الواقعي فيكون باطلاً؛ لعدم الأمر لعدم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يقصد الأمر الظاهري فكذلك؛ لعدم الإجزاء فيه مع انكشاف الخلاف مضافاً إلى أنّ الأمر الظاهري هو طريق إلى الأمر الواقعي فليس الأمر به شيء آخر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نقول بكفاية قصد القربة في الوضوء إذا وقع في المحل، بمعنى أنّه إذا أوقعه المحدث يكون صحيحاً ولو لم يطابق الأمر أصلاً، نظير ما يقال في الوضوء التجديدي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يرفع الحدث لو كان الشخص في الواقع محدثاً ولكن استصحب الطهارة فأوقع الوضوء ،التجديدي، والأمر التجديدي أيضاً لم يكن في الواقع والأمر الواقعي برفع الحدث لم يقصد، وفي ذلك يقولون برفع الحدث لوقوعه في محلّه ولو لم يطابق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وكلامهم في تصحيح هذا المطلب مختلف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w:t>
      </w:r>
      <w:r>
        <w:rPr>
          <w:rStyle w:val="FootnoteAnchor"/>
          <w:rtl w:val="true"/>
        </w:rPr>
        <w:footnoteReference w:id="783"/>
      </w:r>
      <w:r>
        <w:rPr>
          <w:rFonts w:ascii="Amiri" w:hAnsi="Amiri" w:eastAsia="Amiri" w:cs="Amiri"/>
          <w:color w:val="111111"/>
          <w:sz w:val="28"/>
          <w:sz w:val="28"/>
          <w:szCs w:val="28"/>
          <w:rtl w:val="true"/>
          <w:lang w:bidi="ar-SA"/>
        </w:rPr>
        <w:t>يقول بوقوع القصد التقديري، بمعنى القصد التقديري، بمعنى أن المتوضيء يقصد رفع الحدث لو كان في الواقع موجوداً مع قصد التجديد، فوقع الوضوء مع قصد رفع الحدث فيرتفع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التجديدي والوضوء الرافع نور، غايته أنّ الوضوء التجديدي نور على نور، فوقع الخطأ في قصده لأنّ قصده واقعاً إيقاع الوضوء لكونه نوراً على نور والنور حصل ولم يحصل نور فوق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 </w:t>
      </w:r>
      <w:r>
        <w:rPr>
          <w:rStyle w:val="FootnoteAnchor"/>
          <w:rtl w:val="true"/>
        </w:rPr>
        <w:footnoteReference w:id="785"/>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الوضوء التجديدي احتياط من الشارع في حق المكلف لإحراز الوضوء الواقعي له، فالأمر التجديدي يكون ناظراً إلى رفع الحدث، فيكون مقصود المكلف أيضاً بالتبع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التجديدي احتياط من المكلف لإحراز الطهارة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ما قلنا من كفاية قصد القربة مع الإيقاع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بالصحة أيضاً فيما نحن فيه بواسطة قصده الأوامر الدالّة على استحبابه النفسي، فيكون حينئذ صحيحاً، ويصح معه إتيان الأفعال التي تكون مشروطة بالطهارة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إنّ الوضوء في صحته يكفي مجرد رجحانه ذاتاً بأن تكون هذه الأفعال راجحة ومطلوبة، فمجرد الرجحان كافٍ في صحة الوضوء ومن دون حاجة إلى ورود الأمر المقدم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أيضاً يدفع الإشكال الوارد في باب الوضوء وهو ان الوضوء إنّما يتعلق به الأمر ويكون واجباً بعد تعلق الأمر المقدمي به من باب الأمر بالصلاة، والأمر المقدمي لا يتعلق إلا بعد إحراز موضوعه، وهو ثبوت كون الشيء مقدّمة قبل </w:t>
      </w:r>
    </w:p>
    <w:p>
      <w:pPr>
        <w:pStyle w:val="BookText"/>
        <w:rPr/>
      </w:pPr>
      <w:r>
        <w:rPr>
          <w:rFonts w:ascii="Amiri" w:hAnsi="Amiri" w:eastAsia="Amiri" w:cs="Amiri"/>
          <w:color w:val="111111"/>
          <w:sz w:val="28"/>
          <w:sz w:val="28"/>
          <w:szCs w:val="28"/>
          <w:rtl w:val="true"/>
          <w:lang w:bidi="ar-SA"/>
        </w:rPr>
        <w:t xml:space="preserve">تعلق الأمر ؛ لأنّ الوجوب إنّما يتعلق بالمقدمة من حيث كونها مقدّمة للفعل، ومقدمية الوضوء للصلاة لا تكون إلّا برفعه الحدث، فالمطلوب حقيقة هو رفع الحدث، ورفع الحدث لا يحصل إلا بقصد القربة إجماعاً </w:t>
      </w:r>
      <w:r>
        <w:rPr>
          <w:rStyle w:val="FootnoteAnchor"/>
          <w:rtl w:val="true"/>
        </w:rPr>
        <w:footnoteReference w:id="787"/>
      </w:r>
      <w:r>
        <w:rPr>
          <w:rFonts w:ascii="Amiri" w:hAnsi="Amiri" w:eastAsia="Amiri" w:cs="Amiri"/>
          <w:color w:val="111111"/>
          <w:sz w:val="28"/>
          <w:sz w:val="28"/>
          <w:szCs w:val="28"/>
          <w:rtl w:val="true"/>
          <w:lang w:bidi="ar-SA"/>
        </w:rPr>
        <w:t>، وقصد القربة لا يمكن إلّا بالأمر، فلو كان قصد القربة متوقفاً على الأمر المقدمي يلزم الدور لتوقف تعلق ذلك الأمر على قصد القربة، وقصد التقرب موقوف على هذا الأمر؛ إذ لا أمر غيره، ويرد هذا الإشكال في التيمم وقد ذكر في رفعه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فيه رجحان ذاتي ومطلوبية ذاتية كما يعلم من الأخبار </w:t>
      </w:r>
      <w:r>
        <w:rPr>
          <w:rStyle w:val="FootnoteAnchor"/>
          <w:rtl w:val="true"/>
        </w:rPr>
        <w:footnoteReference w:id="788"/>
      </w:r>
      <w:r>
        <w:rPr>
          <w:rFonts w:ascii="Amiri" w:hAnsi="Amiri" w:eastAsia="Amiri" w:cs="Amiri"/>
          <w:color w:val="111111"/>
          <w:sz w:val="28"/>
          <w:sz w:val="28"/>
          <w:szCs w:val="28"/>
          <w:rtl w:val="true"/>
          <w:lang w:bidi="ar-SA"/>
        </w:rPr>
        <w:t xml:space="preserve">، وكونه أفضل الطهورين </w:t>
      </w:r>
      <w:r>
        <w:rPr>
          <w:rStyle w:val="FootnoteAnchor"/>
          <w:rtl w:val="true"/>
        </w:rPr>
        <w:footnoteReference w:id="789"/>
      </w:r>
      <w:r>
        <w:rPr>
          <w:rFonts w:ascii="IRNazanin" w:hAnsi="IRNazanin" w:eastAsia="IRNazanin"/>
          <w:color w:val="111111"/>
          <w:sz w:val="28"/>
          <w:sz w:val="28"/>
          <w:szCs w:val="28"/>
          <w:rtl w:val="true"/>
          <w:lang w:bidi="fa-IR"/>
        </w:rPr>
        <w:t>، والأمر بوضوء الحائض</w:t>
      </w:r>
      <w:r>
        <w:rPr>
          <w:rStyle w:val="FootnoteAnchor"/>
          <w:rtl w:val="true"/>
        </w:rPr>
        <w:footnoteReference w:id="790"/>
      </w:r>
      <w:r>
        <w:rPr>
          <w:rFonts w:ascii="Amiri" w:hAnsi="Amiri" w:eastAsia="Amiri" w:cs="Amiri"/>
          <w:color w:val="111111"/>
          <w:sz w:val="28"/>
          <w:sz w:val="28"/>
          <w:szCs w:val="28"/>
          <w:rtl w:val="true"/>
          <w:lang w:bidi="ar-SA"/>
        </w:rPr>
        <w:t xml:space="preserve">وغير ذلك، مما يفهم منها أنّ للوضوء محبوبية ذاتية ورجحان ذاتي يكفي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 ولا يتوقف على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له عناوين وله عنوان وهو ملازم لقصد القربة، بمعنى أنّه علّة لإمكان التقرب كلما قصد هذا العنوان يحصل القرب، فحينئذ لا يتوقف قصد القربة فيه على الأمر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يكفي قصد ذلك العنوان ولو كان مجهولاً بأن يقصد التوضؤ لأجل ذلك العنوان الذي ثبت في الوضوء وحصول التقرب معه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والحال أنهم لا يقولون بكفاية قصد العنوان المجهول ولو لم يقصد أمراً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الوضوء له مطلوبية ورجحان لا لنفس هذه الأفعال، بل هي من قبيل الأسباب، فالمطلوب حقيقة هو رفع الحدث، كما يستفاد من الأخبار </w:t>
      </w:r>
    </w:p>
    <w:p>
      <w:pPr>
        <w:pStyle w:val="BookText"/>
        <w:rPr/>
      </w:pPr>
      <w:r>
        <w:rPr>
          <w:rFonts w:ascii="IRNazanin" w:hAnsi="IRNazanin" w:eastAsia="IRNazanin"/>
          <w:color w:val="111111"/>
          <w:sz w:val="28"/>
          <w:sz w:val="28"/>
          <w:szCs w:val="28"/>
          <w:rtl w:val="true"/>
          <w:lang w:bidi="fa-IR"/>
        </w:rPr>
        <w:t>الكثيرة أنّ الغرض من الوضوء هو حصول النظافة المعنوية مثل الغسل حيث يقصد به الطهارة الظاهرية، كقوله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أو إذا فعلت كذا تحصل الطهارة، ومن قبيل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أصحاب رسول الله صلی الله علیه و آله وسلم إذا بالوا توضأ وا أو تيمموا مخافة أن تدركهم الساعة</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الأمر بوضوء النائم</w:t>
      </w:r>
      <w:r>
        <w:rPr>
          <w:rStyle w:val="FootnoteAnchor"/>
          <w:rtl w:val="true"/>
        </w:rPr>
        <w:footnoteReference w:id="792"/>
      </w:r>
      <w:r>
        <w:rPr>
          <w:rFonts w:ascii="Amiri" w:hAnsi="Amiri" w:eastAsia="Amiri" w:cs="Amiri"/>
          <w:color w:val="111111"/>
          <w:sz w:val="28"/>
          <w:sz w:val="28"/>
          <w:szCs w:val="28"/>
          <w:rtl w:val="true"/>
          <w:lang w:bidi="ar-SA"/>
        </w:rPr>
        <w:t xml:space="preserve">والميت </w:t>
      </w:r>
      <w:r>
        <w:rPr>
          <w:rStyle w:val="FootnoteAnchor"/>
          <w:rtl w:val="true"/>
        </w:rPr>
        <w:footnoteReference w:id="793"/>
      </w:r>
      <w:r>
        <w:rPr>
          <w:rFonts w:ascii="Amiri" w:hAnsi="Amiri" w:eastAsia="Amiri" w:cs="Amiri"/>
          <w:color w:val="111111"/>
          <w:sz w:val="28"/>
          <w:sz w:val="28"/>
          <w:szCs w:val="28"/>
          <w:rtl w:val="true"/>
          <w:lang w:bidi="ar-SA"/>
        </w:rPr>
        <w:t>وغيرها مما يدلّ على أنّ المطلوب بالأفعال رفع الحدث وليس لها مطلوبية، بل الرجحان الذاتي ثابت لنفس تلك الحالة، وهذه الأفعال سبب لها لها ومقدمة لها، فتكون تلك الحالة نفسها مطلوبة والأمر بنفسها، فيلزم حينئذ الأمر بالأفعال لتحصيلها، فتكون مقدّمة لهذه الحالة النفسانية، فيكون مأموراً به من باب الأمر المقدمي وكونه مقدّمة لتحصيل تلك الحالة، فلا يتوقف قصد القربة فيه على تعلق الأمر المقدمي به من الصلاة؛ لكون الحالة مطلوبة والوضوء مطلوب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 أصل الإشكال؛ لأنّ هذا الأمر المقدمي أيضاً لا يتعلق به إلّا بعد إحراز ،مقدميته، وهو يتوقف على صحة قصد القربة وهو يتوقف على هذا الأمر، فيكون دوراً باطلاً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نستكشف من أمر الشارع بالصلاة على الإطلاق لا مشروطاً بحصول المقدمة بل مطلقاً، والحال أنا لم نكن متمكنين منها إلّا بالأمر، وليس الأمر باختيارنا بل بيده ولم يكن موجوداً فيلزم في الواقع التكليف المحال، فيلزم عليه من أمر به لنتمكن من إتيان مقدّمة الصلاة وهو الوضوء مع قصد القربة، وقصد الأمر، فيكون الأمر بالصلاة معرفاً وكاشفاً عنه، فيلزم منه كونه واجباً نفسياً عند إرادة الصلاة لا غيرها، لعدم الداعي إلى الالتزام بأزيد من هذا، بل هذا القدر كافٍ لنا، فيكون أمره </w:t>
      </w:r>
    </w:p>
    <w:p>
      <w:pPr>
        <w:pStyle w:val="BookText"/>
        <w:rPr/>
      </w:pPr>
      <w:r>
        <w:rPr>
          <w:rFonts w:ascii="Amiri" w:hAnsi="Amiri" w:eastAsia="Amiri" w:cs="Amiri"/>
          <w:color w:val="111111"/>
          <w:sz w:val="28"/>
          <w:sz w:val="28"/>
          <w:szCs w:val="28"/>
          <w:rtl w:val="true"/>
          <w:lang w:bidi="ar-SA"/>
        </w:rPr>
        <w:t>الواقعي مقصوراً على مورد ثبوت الكاشف عنه، وهو الأمر بالصلاة ولا يرد حينئذ عدم قصده واللازم قصده في القربة ، بل المقصود في الوضوء هو قصد الأمر بالصلاة؛ لأنّ القصد الإجمالي بذلك الأمر كافٍ في قصد القربة، ولو لم يحصل قصد تفصيلي به؛ لأنّه قصد المقدمة للصلاة، والمقدمة ليست إلّا بواسطة الأمر فقصد هذا العنوان قصد له نظير قصدِ عنوان المأمور به، فإنّه قصد للأمر، وههنا أيضاً قصد المقدمة قصد للأمر ؛ العدم كونه مقدّمة إلّا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قصد القربة قصد للأمر مطلقاً ولو قصد الأمر المقدمي؛ لعدم لزوم قصد الأمر الذي به صار مقدّمة، بل يقصد الأمر الوارد عليها، وبما قلنا يدفع الإشكال عن التيمم؛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أمر الشارع بالصلاة ولا يمكن الوضوء فحينئذ نستكشف من تعلق الأمر بالصلاة تعلق أمر بالتيمم ؛ ليمكننا الشارع من تحصيل المقدمة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مطلوبية الوضوء لتحصيل حالة معنوية يكون الشخص بها قابلاً لمناجاة الرب وحضوره عنده، وفي الوضوء يقصد إلى تلك الحالة وقصد حصول تلك الحالة الموجبة لحصول القابلية للعبد معها كاف في قصد القربة؛ لأنه قصد للتقرب إلى المولى، لأنه قصد حقيقة حصول حالة القرب معها إلى الرب، ولا يلزم قصد الأمر في القربة بل قصد حصول تلك الحالة هو قصد إلى قرب المولى، نظير بعض العبادات التي تكون نفسها عبادة من غير ملاحظة للأمر أصلاً مثل الذكر، إذ لا يلزم كونه بقصد الأمر بالذكر بل نقول بكفاية هذا العنوان في الصلاة والصوم، مثلاً يقصد في الصلاة العنوان الذي أمر الشارع بها بسبب العنوان مثلاً، كعنوان كونه ناهياً عن الفحشاء والمنكر، وهذا تقرب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حصول الحالة التي يكون العبد قابلاً لحضور مجلس الرب تقرب إليه ولا يكون مخالفاً للإجماع أيضاً؛ لوقوع الإجماع</w:t>
      </w:r>
      <w:r>
        <w:rPr>
          <w:rStyle w:val="FootnoteAnchor"/>
          <w:rtl w:val="true"/>
        </w:rPr>
        <w:footnoteReference w:id="794"/>
      </w:r>
      <w:r>
        <w:rPr>
          <w:rFonts w:ascii="Amiri" w:hAnsi="Amiri" w:eastAsia="Amiri" w:cs="Amiri"/>
          <w:color w:val="111111"/>
          <w:sz w:val="28"/>
          <w:sz w:val="28"/>
          <w:szCs w:val="28"/>
          <w:rtl w:val="true"/>
          <w:lang w:bidi="ar-SA"/>
        </w:rPr>
        <w:t>على لزوم قصد القربة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قصد الأمر فلم يقم عليه إجماع، ولو ثبت إجماع على </w:t>
      </w:r>
    </w:p>
    <w:p>
      <w:pPr>
        <w:pStyle w:val="BookText"/>
        <w:rPr/>
      </w:pPr>
      <w:r>
        <w:rPr>
          <w:rFonts w:ascii="Amiri" w:hAnsi="Amiri" w:eastAsia="Amiri" w:cs="Amiri"/>
          <w:color w:val="111111"/>
          <w:sz w:val="28"/>
          <w:sz w:val="28"/>
          <w:szCs w:val="28"/>
          <w:rtl w:val="true"/>
          <w:lang w:bidi="ar-SA"/>
        </w:rPr>
        <w:t>لزوم قصد الأمر في الوضوء فلا يضر لأنّ غرضنا تصحيح المقدمة بدون الأمر ودفع الدور، وهو مرتفع به؛ لعدم توقف كونه مقدّمة على الأمر بل قصد العنوان كافٍ في إمكان التقرب الثابت في المقدمة، غاية ما في الباب أنّه يلزم في العمل قصد آخر على فرض لزومه، وإلا نقول بعدم لزومه لكنّ هذا لا يتم في التيمم، لأنّ التيمم لا يرفع الحدث إجماعاً</w:t>
      </w:r>
      <w:r>
        <w:rPr>
          <w:rStyle w:val="FootnoteAnchor"/>
          <w:rtl w:val="true"/>
        </w:rPr>
        <w:footnoteReference w:id="795"/>
      </w:r>
      <w:r>
        <w:rPr>
          <w:rFonts w:ascii="IRNazanin" w:hAnsi="IRNazanin" w:eastAsia="IRNazanin"/>
          <w:color w:val="111111"/>
          <w:sz w:val="28"/>
          <w:sz w:val="28"/>
          <w:szCs w:val="28"/>
          <w:rtl w:val="true"/>
          <w:lang w:bidi="fa-IR"/>
        </w:rPr>
        <w:t>فلا يمكن فيه قصد حصول تلك الحالة،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وإن لم يحصل عه رفع الحدث، لكن يحصل به أيضاً حالة معنوية ما دون رفع الحدث، كما يشهد به الخبر المذكور في محلّه، وهو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أصحاب رسول الله صلی الله علیه وآله وسلم إذا بالوا توضأوا أو تيمموا مخافة أن تدركهم الساعة </w:t>
      </w:r>
      <w:r>
        <w:rPr>
          <w:rStyle w:val="FootnoteAnchor"/>
          <w:rtl w:val="true"/>
        </w:rPr>
        <w:footnoteReference w:id="796"/>
      </w:r>
      <w:r>
        <w:rPr>
          <w:rFonts w:ascii="Amiri" w:hAnsi="Amiri" w:eastAsia="Amiri" w:cs="Amiri"/>
          <w:color w:val="111111"/>
          <w:sz w:val="28"/>
          <w:sz w:val="28"/>
          <w:szCs w:val="28"/>
          <w:rtl w:val="true"/>
          <w:lang w:bidi="ar-SA"/>
        </w:rPr>
        <w:t>ويظهر منه أنّ بالتيمم أيضاً يحصل حالة نظافة، ولو لم تبلغ رفع الحدث، بل رفع الحدث لو جعلنا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لِيُطَهِّرَكُمْ </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علّة غائية للتيمم والوضوء كما هو المناسب لسياق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يتعلق أمرٌ غيري بذات الوضوء وهو يكون مصححاً للقربة وأمر آخر غيري بإتيانه بداعي القربة، فحينئذ يمكن إحراز مقدمية الوضوء من دون توقف على الأمر الغيري المتعلق بإتيانه للتوصل إلى ذي المقدمة لصحة مقدميته بالأمر المتعلق بنفس الوضوء، والأمر الثاني لأجل لزوم إتيان هذه العبادات بداعي</w:t>
      </w:r>
    </w:p>
    <w:p>
      <w:pPr>
        <w:pStyle w:val="BookText"/>
        <w:rPr/>
      </w:pP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 عليه إشكال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الأمرين يكونان متساويين في المرتبة لانتزاعهما من الأمر بذي المقدمة من باب كونهما مقدّمة، والحال أنّ الأمر الأول لا بُدَّ من قيد فيه</w:t>
      </w:r>
      <w:r>
        <w:rPr>
          <w:rStyle w:val="FootnoteAnchor"/>
          <w:rtl w:val="true"/>
        </w:rPr>
        <w:footnoteReference w:id="798"/>
      </w:r>
      <w:r>
        <w:rPr>
          <w:rFonts w:ascii="Amiri" w:hAnsi="Amiri" w:eastAsia="Amiri" w:cs="Amiri"/>
          <w:color w:val="111111"/>
          <w:sz w:val="28"/>
          <w:sz w:val="28"/>
          <w:szCs w:val="28"/>
          <w:rtl w:val="true"/>
          <w:lang w:bidi="ar-SA"/>
        </w:rPr>
        <w:t>لأنّ به يتحقق موضوع الأمر الثاني وهو الإتيان بداعي القربة، فلا بد من إحراز القربة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دفعه بأنه يمكن أن يكون المراد بإتيانه بداعي القربة المطلقة لا بالقربة الحاصلة من الأمر بنفس الوضوء حتى يلزم تقدمه، وإنّما يكون الأمر الأول محققاً لهذا الموضوع في الخارج ومصداقاً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تصحيح هذين الأمرين؛ لأنّ الأمر الغيري لا يتعلق إلّا بذي</w:t>
      </w:r>
      <w:r>
        <w:rPr>
          <w:rStyle w:val="FootnoteAnchor"/>
          <w:rtl w:val="true"/>
        </w:rPr>
        <w:footnoteReference w:id="799"/>
      </w:r>
      <w:r>
        <w:rPr>
          <w:rFonts w:ascii="Amiri" w:hAnsi="Amiri" w:eastAsia="Amiri" w:cs="Amiri"/>
          <w:color w:val="111111"/>
          <w:sz w:val="28"/>
          <w:sz w:val="28"/>
          <w:szCs w:val="28"/>
          <w:rtl w:val="true"/>
          <w:lang w:bidi="ar-SA"/>
        </w:rPr>
        <w:t>المقدمة والمقدمة الفعلية هي المجموع المركب من إتيانه بداعي القربة وهو الفعل مع قصد القربة، وليست الأجزاء مقدّمة حتى يتعلق الأمر بها، فلا يمكن تعلق الأمر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بأنها لا أقل من كونها مقدّمة شأنية بحيث لو انضم إلى باقي الأجزاء لكان مقدّمة فعلية، وهذا القدر يكفي على أنّ المقدمة ليست إلّا المتوقف عليه ذو المقدمة، وهذا المعنى موجود في أجزاء المركب فعلاً لا شأناً غاية الأمر عدم كونها العلة التامة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يرد إشكال يدفع هذا الجواب وغيره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ذو المقدمة يتوقف على التمكن من مقدمته والتمكن من المقدمة في هذا المقام غير حاصل إلا بتوسط الأمر بها والأمر ليس باختيار المكلف بل بيد الشارع فتكون غير مقدورة فلا يكون ذو المقدمة مقدوراً، والأوامر كلها مشروطة بالقدرة ، فيكون الأمر مشروطاً لا مطلقاً حتى تجب مقدمته، ويتعلق الأمر بالمقدمة من جهة الأمر بذي المقدمة، فلا يمكن تصحيح المقدمة إلّا بالأمر الغيري؛ لكونه موقوفاً على إطلاق ذي المقدمة، والمفروض عدمه، ولا الأمر النفسي من جهة الاستكشاف؛ لأنّه أيضاً موقوف على إطلاق الأمر، فلا يمكن دفع الإشكال الوارد على أصل المسألة إلّا بناءً على ما ذكرناه سابقاً من الاستحباب النفسي والرجحان الذاتي للوضوء؛ لكنّ هذا إنّما يمكن في الوضوء ولا يمكن في التيمم لعدم ثبوت الاستحباب النفسي له</w:t>
      </w:r>
      <w:r>
        <w:rPr>
          <w:rFonts w:eastAsia="Amiri" w:cs="Amiri" w:ascii="Amiri" w:hAnsi="Amiri"/>
          <w:color w:val="111111"/>
          <w:sz w:val="28"/>
          <w:szCs w:val="28"/>
          <w:rtl w:val="true"/>
          <w:lang w:bidi="ar-SA"/>
        </w:rPr>
        <w:t xml:space="preserve">. </w:t>
      </w:r>
      <w:bookmarkStart w:id="337" w:name="pg9203_87284"/>
    </w:p>
    <w:p>
      <w:pPr>
        <w:pStyle w:val="BookText"/>
        <w:rPr/>
      </w:pPr>
      <w:bookmarkEnd w:id="337"/>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يتوقف قصد القربة على الأمر، بل الإتيان بالفعل بقصد الإتيان بالواجب وبمطلوب المولى نوع من التقرب إليه، فحينئذ لا تتوقف مقدميته على أمر حتى يلزم الدور المذكور، وهو جار في الوضوء والتيمم جميعاً، وحاصله عدم تسليم لزوم تعلق الأمر بالمقدمة أولاً حتى يصير مقدمته، ثمّ يتعلق الأمر الغيري بها</w:t>
      </w:r>
      <w:r>
        <w:rPr>
          <w:rFonts w:eastAsia="Amiri" w:cs="Amiri" w:ascii="Amiri" w:hAnsi="Amiri"/>
          <w:color w:val="111111"/>
          <w:sz w:val="28"/>
          <w:szCs w:val="28"/>
          <w:rtl w:val="true"/>
          <w:lang w:bidi="ar-SA"/>
        </w:rPr>
        <w:t>.</w:t>
      </w:r>
    </w:p>
    <w:p>
      <w:pPr>
        <w:pStyle w:val="Heading2"/>
        <w:numPr>
          <w:ilvl w:val="1"/>
          <w:numId w:val="1"/>
        </w:numPr>
        <w:rPr/>
      </w:pPr>
      <w:bookmarkStart w:id="338" w:name="__RefHeading___Toc3968040_2870459653"/>
      <w:bookmarkStart w:id="339" w:name="_Toc119"/>
      <w:bookmarkEnd w:id="338"/>
      <w:r>
        <w:rPr>
          <w:rtl w:val="true"/>
        </w:rPr>
        <w:t>الكلام فيما يتيمّم به</w:t>
      </w:r>
      <w:bookmarkEnd w:id="339"/>
    </w:p>
    <w:p>
      <w:pPr>
        <w:pStyle w:val="BookText"/>
        <w:rPr/>
      </w:pPr>
      <w:r>
        <w:rPr>
          <w:rFonts w:ascii="Amiri" w:hAnsi="Amiri" w:eastAsia="Amiri" w:cs="Amiri"/>
          <w:color w:val="111111"/>
          <w:sz w:val="28"/>
          <w:sz w:val="28"/>
          <w:szCs w:val="28"/>
          <w:rtl w:val="true"/>
          <w:lang w:bidi="ar-SA"/>
        </w:rPr>
        <w:t>ثم إنّ الكلام في بيان ما يتيمم به وهو الصعيد بمقتضى الآية الشريفة</w:t>
      </w:r>
      <w:r>
        <w:rPr>
          <w:rStyle w:val="FootnoteAnchor"/>
          <w:rtl w:val="true"/>
        </w:rPr>
        <w:footnoteReference w:id="800"/>
      </w:r>
      <w:r>
        <w:rPr>
          <w:rFonts w:ascii="Amiri" w:hAnsi="Amiri" w:eastAsia="Amiri" w:cs="Amiri"/>
          <w:color w:val="111111"/>
          <w:sz w:val="28"/>
          <w:sz w:val="28"/>
          <w:szCs w:val="28"/>
          <w:rtl w:val="true"/>
          <w:lang w:bidi="ar-SA"/>
        </w:rPr>
        <w:t>، لكنّ الكلام في تشخيص معنى الصعيد والمراد منه في الآية هل هو مطلق وجه الأرض، تراباً كان أو غيره أو التراب خاصة؟</w:t>
      </w:r>
    </w:p>
    <w:p>
      <w:pPr>
        <w:pStyle w:val="BookText"/>
        <w:rPr/>
      </w:pPr>
      <w:r>
        <w:rPr>
          <w:rFonts w:ascii="Amiri" w:hAnsi="Amiri" w:eastAsia="Amiri" w:cs="Amiri"/>
          <w:color w:val="111111"/>
          <w:sz w:val="28"/>
          <w:sz w:val="28"/>
          <w:szCs w:val="28"/>
          <w:rtl w:val="true"/>
          <w:lang w:bidi="ar-SA"/>
        </w:rPr>
        <w:t xml:space="preserve">واعلم أنّ كلمات أهل اللغة مختلفة، وتكون أقوالهم متعارضة،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Style w:val="FootnoteAnchor"/>
          <w:rtl w:val="true"/>
        </w:rPr>
        <w:footnoteReference w:id="801"/>
      </w:r>
      <w:r>
        <w:rPr>
          <w:rFonts w:ascii="IRNazanin" w:hAnsi="IRNazanin" w:eastAsia="IRNazanin"/>
          <w:color w:val="111111"/>
          <w:sz w:val="28"/>
          <w:sz w:val="28"/>
          <w:szCs w:val="28"/>
          <w:rtl w:val="true"/>
          <w:lang w:bidi="fa-IR"/>
        </w:rPr>
        <w:t>فسره بمطلق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w:t>
      </w:r>
      <w:r>
        <w:rPr>
          <w:rStyle w:val="FootnoteAnchor"/>
          <w:rtl w:val="true"/>
        </w:rPr>
        <w:footnoteReference w:id="802"/>
      </w:r>
      <w:r>
        <w:rPr>
          <w:rFonts w:ascii="Amiri" w:hAnsi="Amiri" w:eastAsia="Amiri" w:cs="Amiri"/>
          <w:color w:val="111111"/>
          <w:sz w:val="28"/>
          <w:sz w:val="28"/>
          <w:szCs w:val="28"/>
          <w:rtl w:val="true"/>
          <w:lang w:bidi="ar-SA"/>
        </w:rPr>
        <w:t xml:space="preserve">فسّره بكليهما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وبعضهم</w:t>
      </w:r>
      <w:r>
        <w:rPr>
          <w:rStyle w:val="FootnoteAnchor"/>
          <w:rtl w:val="true"/>
        </w:rPr>
        <w:footnoteReference w:id="803"/>
      </w:r>
      <w:r>
        <w:rPr>
          <w:rFonts w:ascii="IRNazanin" w:hAnsi="IRNazanin" w:eastAsia="IRNazanin"/>
          <w:color w:val="111111"/>
          <w:sz w:val="28"/>
          <w:sz w:val="28"/>
          <w:szCs w:val="28"/>
          <w:rtl w:val="true"/>
          <w:lang w:bidi="fa-IR"/>
        </w:rPr>
        <w:t xml:space="preserve">فسّره بالتراب الخالص من الرمل والسبخ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w:t>
      </w:r>
      <w:r>
        <w:rPr>
          <w:rStyle w:val="FootnoteAnchor"/>
          <w:rtl w:val="true"/>
        </w:rPr>
        <w:footnoteReference w:id="804"/>
      </w:r>
      <w:r>
        <w:rPr>
          <w:rFonts w:ascii="Amiri" w:hAnsi="Amiri" w:eastAsia="Amiri" w:cs="Amiri"/>
          <w:color w:val="111111"/>
          <w:sz w:val="28"/>
          <w:sz w:val="28"/>
          <w:szCs w:val="28"/>
          <w:rtl w:val="true"/>
          <w:lang w:bidi="ar-SA"/>
        </w:rPr>
        <w:t xml:space="preserve">فسّره بتراب الحرث وهو التراب غير المنحدر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الحمل في كل منها، مثلاً بحمل قول من فسّره بوجه الأرض على أنّ التعبير به من باب انصرافه إلى الفرد الغالب وهو التراب، فمعنى الصعيد هو التراب، والتعبير في وجه الأرض من هذه الجهة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يمكن حمل التفسير الآخر وهو التراب على أنّ مراده مطلق وجه الأرض، </w:t>
      </w:r>
    </w:p>
    <w:p>
      <w:pPr>
        <w:pStyle w:val="BookText"/>
        <w:rPr/>
      </w:pPr>
      <w:r>
        <w:rPr>
          <w:rFonts w:ascii="Amiri" w:hAnsi="Amiri" w:eastAsia="Amiri" w:cs="Amiri"/>
          <w:color w:val="111111"/>
          <w:sz w:val="28"/>
          <w:sz w:val="28"/>
          <w:szCs w:val="28"/>
          <w:rtl w:val="true"/>
          <w:lang w:bidi="ar-SA"/>
        </w:rPr>
        <w:t>والتعبير به من باب التعبير بالفرد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هنا خلاف ذلك فتكون أقوالهم 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أثبتنا في الأصول أنّ قولهم حجّة من باب الطريقية وليست مشروطة بالظن الفعلي فيرجع في مقام التعارض إلى المرجحات</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لقول مفسريه بالأرض للأكثرية لكونهم أكثر واعلم، هذا من المرجحات الداخلية، وكذلك بالنسبة إلى المرجحات الخارجية من قبيل استعمال الصعيد كثيراً في الأرض في الشرع والعرف وفي كلمات الفقهاء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صَعِيدًا زَلَقًا</w:t>
      </w:r>
      <w:r>
        <w:rPr>
          <w:rFonts w:eastAsia="Amiri" w:cs="Amiri" w:ascii="Amiri" w:hAnsi="Amiri"/>
          <w:color w:val="111111"/>
          <w:sz w:val="28"/>
          <w:szCs w:val="28"/>
          <w:rtl w:val="true"/>
          <w:lang w:bidi="ar-SA"/>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ملساء ،مزلقة ، وكذا قوله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يحشر الناس حفاة عراة على صعيد واحد</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أي أرض واحدة، ومثل عموم الحكم لغير التراب ولو في حال الاضطرار، وعموم التعليل الوارد في قوله علیه السلام في السؤال عن أرض الجص والنورة قبل الإحراق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لم يخرج عن الأرض</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يشكل الحكم بظاهره؛ إذ ظاهره أنّ المناط هو الخروج عن الأرض وهو مخالف للإجماع في مثل الشجر والنبات والفلزات إلّا أنّ المراد هنا بالخروج عن الأرض هو الإشارة إلى المناسبة الحاصلة بالتراب بالنسبة إلى المعنى الوضعي للصعيد وهو الصعودة والتراب أيضاً بعضُ أجزاءه يصعد ويخرج من البعض الآخر، والتراب يخرج من الأرض ويصعد من الأرض لكون بعضها تحتاً وبعضها فوقه فيخرج التحت من الفوق، وكذلك مؤيدة بالأخبار الدالّة بظاهرها على طهورية الأرض مثل 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الأرضُ مسجداً وطهوراً</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 الماء رب الأرض</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فاتك الماء لم تفتك الأرض </w:t>
      </w:r>
      <w:r>
        <w:rPr>
          <w:rStyle w:val="FootnoteAnchor"/>
          <w:rtl w:val="true"/>
        </w:rPr>
        <w:footnoteReference w:id="811"/>
      </w:r>
      <w:r>
        <w:rPr>
          <w:rFonts w:ascii="IRNazanin" w:hAnsi="IRNazanin" w:eastAsia="IRNazanin"/>
          <w:color w:val="111111"/>
          <w:sz w:val="28"/>
          <w:sz w:val="28"/>
          <w:szCs w:val="28"/>
          <w:rtl w:val="true"/>
          <w:lang w:bidi="fa-IR"/>
        </w:rPr>
        <w:t>وعدم ظهور ما دلّ على التراب في الخصوصية، أما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الطين هو الصعيد </w:t>
      </w:r>
      <w:r>
        <w:rPr>
          <w:rFonts w:eastAsia="IRNazanin" w:cs="IRNazanin"/>
          <w:color w:val="111111"/>
          <w:sz w:val="28"/>
          <w:szCs w:val="28"/>
          <w:rtl w:val="true"/>
          <w:lang w:bidi="fa-IR"/>
        </w:rPr>
        <w:t>»</w:t>
      </w:r>
      <w:r>
        <w:rPr>
          <w:rStyle w:val="FootnoteAnchor"/>
          <w:rtl w:val="true"/>
        </w:rPr>
        <w:footnoteReference w:id="812"/>
      </w:r>
      <w:r>
        <w:rPr>
          <w:rFonts w:ascii="Amiri" w:hAnsi="Amiri" w:eastAsia="Amiri" w:cs="Amiri"/>
          <w:color w:val="111111"/>
          <w:sz w:val="28"/>
          <w:sz w:val="28"/>
          <w:szCs w:val="28"/>
          <w:rtl w:val="true"/>
          <w:lang w:bidi="ar-SA"/>
        </w:rPr>
        <w:t>فلا يدلّ على المطلوب لعدم كون الطين هو التراب، وكذلك ما ورد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أهوى بيده إلى الأرض فوضعهما على الصعيد</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لعدم كونه في بيان ما يتيمم به، بل في بيان الكيفية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أنه هل وضع على التراب أو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صَلَّى اللهُ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وضع يده على التراب لا يدلّ على خصوصية، وكذلك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الأرضُ مسجداً وترابها طهوراً</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وإن كان ظاهرها أنّ التراب هو الطهور لا الأرض خصوصاً بقرينة كون المقام مقام بيان امتنان الله تعالى على النبي صلی الله علیه وآله وسلم ولو كانت الأرض طهوراً فلا بُدَّ في مقام بيان الامتنان عدم الاقتصار على التراب للإخلال بالمقصود خصوصاً بملاحظة عدوله من الأرض إلى التراب، ولا بُدَّ فيه من نكتة مصححة للعدول وليست إلّا كون التراب خصوصاً طهوراً لا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واردة بغير لفظ التراب</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كون العدول لأجل أنّ المراد بالأرض هنا ليست هذه البسيطة بل مطلق المكان والفضاء؛ لأجل التفاخر على المشركين، حيث إنّ مكان صلاتهم مختص</w:t>
      </w:r>
    </w:p>
    <w:p>
      <w:pPr>
        <w:pStyle w:val="BookText"/>
        <w:rPr/>
      </w:pPr>
      <w:r>
        <w:rPr>
          <w:rFonts w:ascii="Amiri" w:hAnsi="Amiri" w:eastAsia="Amiri" w:cs="Amiri"/>
          <w:color w:val="111111"/>
          <w:sz w:val="28"/>
          <w:sz w:val="28"/>
          <w:szCs w:val="28"/>
          <w:rtl w:val="true"/>
          <w:lang w:bidi="ar-SA"/>
        </w:rPr>
        <w:t>صَةَ الله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بموضع خاص و غرضه صلی الله علیه وآله وسلم بيان الامتنان لجعل الله تعالى مطلق المكان مسجداً له صلی الله علیه وآله وسلم </w:t>
      </w:r>
    </w:p>
    <w:p>
      <w:pPr>
        <w:pStyle w:val="BookText"/>
        <w:rPr/>
      </w:pP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ولأمته والتعبير عن الأرض باعتبار مكانيته لا باعتبار هذه البسيطة، فلا بُدَّ حينئذ من ذكر لفظ التراب لظهور أنّ تراب المكان طهور لا نفس المكان وهو 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قرينة وروده في مقام بيان الامتنان فالمناسب حينئذ خصوصية التراب، فهو مشترك الورود، إذ بناءً على كون الصعيد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الخالص يجوز التيمم بالحجر إجماعاً؛ فلا بد من ذكره بواسطة مقام الامتنان 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القدر المشترك من الأرض أولى، دفعا للمجاز أو الاشتراك، وكلاهما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ذلك كله رجحان كون الصعيد هو الأرض، على كونه بمعنى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الإنصاف أنّ الأظهر كونه بمعنى التراب، كما صرح به جمع من أهل اللغة، بل أعاظمهم </w:t>
      </w:r>
      <w:r>
        <w:rPr>
          <w:rStyle w:val="FootnoteAnchor"/>
          <w:rtl w:val="true"/>
        </w:rPr>
        <w:footnoteReference w:id="816"/>
      </w:r>
      <w:r>
        <w:rPr>
          <w:rFonts w:ascii="Amiri" w:hAnsi="Amiri" w:eastAsia="Amiri" w:cs="Amiri"/>
          <w:color w:val="111111"/>
          <w:sz w:val="28"/>
          <w:sz w:val="28"/>
          <w:szCs w:val="28"/>
          <w:rtl w:val="true"/>
          <w:lang w:bidi="ar-SA"/>
        </w:rPr>
        <w:t>، حتى أنهم صرحوا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بعض آخر كصاحب القاموس </w:t>
      </w:r>
      <w:r>
        <w:rPr>
          <w:rStyle w:val="FootnoteAnchor"/>
          <w:rtl w:val="true"/>
        </w:rPr>
        <w:footnoteReference w:id="817"/>
      </w:r>
      <w:r>
        <w:rPr>
          <w:rFonts w:ascii="Amiri" w:hAnsi="Amiri" w:eastAsia="Amiri" w:cs="Amiri"/>
          <w:color w:val="111111"/>
          <w:sz w:val="28"/>
          <w:sz w:val="28"/>
          <w:szCs w:val="28"/>
          <w:rtl w:val="true"/>
          <w:lang w:bidi="ar-SA"/>
        </w:rPr>
        <w:t>، حيث ذكر التراب أولاً ثم ذكر وجه الأرض؛ حيث إنّ دأبهم تقديم المعنى الحقيقي؛ والمناسب ذكر الخاص عقيب العام خصوصاً بملاحظة كون ذكرهم الأرض من باب الفرد الغالب كما هو الشائع خصوصاً بملاحظة دعوى بعضهم الإجماع وعدم العلم بالخلاف بين أهل اللغة في كون معنى الصعيد هو الأرض مثل الزجاج</w:t>
      </w:r>
      <w:r>
        <w:rPr>
          <w:rStyle w:val="FootnoteAnchor"/>
          <w:rtl w:val="true"/>
        </w:rPr>
        <w:footnoteReference w:id="818"/>
      </w:r>
      <w:r>
        <w:rPr>
          <w:rFonts w:ascii="Amiri" w:hAnsi="Amiri" w:eastAsia="Amiri" w:cs="Amiri"/>
          <w:color w:val="111111"/>
          <w:sz w:val="28"/>
          <w:sz w:val="28"/>
          <w:szCs w:val="28"/>
          <w:rtl w:val="true"/>
          <w:lang w:bidi="ar-SA"/>
        </w:rPr>
        <w:t>مع بعد هذا المطلب منه مع هذه المخالفة الكثيرة بين أهل اللغة، فيعلم بهذه الملاحظة أنّ مراده من الأرض هو التراب، ودعوى السيد</w:t>
      </w:r>
      <w:r>
        <w:rPr>
          <w:rStyle w:val="FootnoteAnchor"/>
          <w:rtl w:val="true"/>
        </w:rPr>
        <w:footnoteReference w:id="819"/>
      </w:r>
      <w:r>
        <w:rPr>
          <w:rFonts w:ascii="IRNazanin" w:hAnsi="IRNazanin" w:eastAsia="IRNazanin"/>
          <w:color w:val="111111"/>
          <w:sz w:val="28"/>
          <w:sz w:val="28"/>
          <w:szCs w:val="28"/>
          <w:rtl w:val="true"/>
          <w:lang w:bidi="fa-IR"/>
        </w:rPr>
        <w:t>كون التراب معروفاً بين أهل اللغة خصوصاً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الطين هو الصعيد</w:t>
      </w:r>
      <w:r>
        <w:rPr>
          <w:rFonts w:eastAsia="IRNazanin" w:cs="IRNazanin"/>
          <w:color w:val="111111"/>
          <w:sz w:val="28"/>
          <w:szCs w:val="28"/>
          <w:rtl w:val="true"/>
          <w:lang w:bidi="fa-IR"/>
        </w:rPr>
        <w:t>»</w:t>
      </w:r>
      <w:r>
        <w:rPr>
          <w:rStyle w:val="FootnoteAnchor"/>
          <w:rtl w:val="true"/>
        </w:rPr>
        <w:footnoteReference w:id="820"/>
      </w:r>
      <w:r>
        <w:rPr>
          <w:rFonts w:ascii="Amiri" w:hAnsi="Amiri" w:eastAsia="Amiri" w:cs="Amiri"/>
          <w:color w:val="111111"/>
          <w:sz w:val="28"/>
          <w:sz w:val="28"/>
          <w:szCs w:val="28"/>
          <w:rtl w:val="true"/>
          <w:lang w:bidi="ar-SA"/>
        </w:rPr>
        <w:t xml:space="preserve">حيث يدلّ بمقتضى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والمدر وغيرهما من الصعيد، والطين هو التراب المبتل، وعدم الإطلاق فيما دلّ على الأرض وعلى تقدير الإطلاق ينصرف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40" w:name="pg9203_87288"/>
    </w:p>
    <w:p>
      <w:pPr>
        <w:pStyle w:val="BookText"/>
        <w:rPr/>
      </w:pPr>
      <w:bookmarkEnd w:id="340"/>
      <w:r>
        <w:rPr>
          <w:rFonts w:ascii="IRNazanin" w:hAnsi="IRNazanin" w:eastAsia="IRNazanin"/>
          <w:color w:val="111111"/>
          <w:sz w:val="28"/>
          <w:sz w:val="28"/>
          <w:szCs w:val="28"/>
          <w:rtl w:val="true"/>
          <w:lang w:bidi="fa-IR"/>
        </w:rPr>
        <w:t xml:space="preserve">إلى الفرد الغالب وهو التراب، مضافاً إلى بعد إرادة القدر المشترك من التراب لندرة الاستعمال في القدر المشترك بخلاف العكس بحمل ما دلّ على الأرض على التراب ؛ فإنّه شائع معروف وكذلك يبعد كون مراد من فسر الصعيد بالتراب هو التراب باعتبار الأرضية لا باعتبار الخصوصية؛ إذ الظاهر من أهل اللغة حيث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موضوع للمعنى الفلاني هو الخصوصية، واستعمال اللفظ في القدر المشترك شيء على تقدیر تسليمه يكون جارياً في المحاورات لا عند أهل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يمكن أن يستفاد منه كون الصعيد هو التراب هو أنّ الصعيد بمقتضى معناه اللغوي الأولي هو الصعود والارتفاع وهو يناسب التراب؛ إذ فيه صعود بخلاف الحجر، والمعتبر في النقل والمناسب في النقل هو ملاحظة المعنى الوضعي في المعنى الإسمي كما هو متعارف في النقل، وذلك موجود في التراب، على أن الغالب في النقل هو نقل العام إلى الخاص، فإذا دار الأمر بين النقل إلى العام أو الخاص فلا شك أنّ الغالب هو النقل إلى الخاص فهذه الغلبة حجّة عند العرف فيحمل المشكوك على الغالب فتأمل</w:t>
      </w:r>
      <w:r>
        <w:rPr>
          <w:rFonts w:eastAsia="Amiri" w:cs="Amiri" w:ascii="Amiri" w:hAnsi="Amiri"/>
          <w:color w:val="111111"/>
          <w:sz w:val="28"/>
          <w:szCs w:val="28"/>
          <w:rtl w:val="true"/>
          <w:lang w:bidi="ar-SA"/>
        </w:rPr>
        <w:t>.</w:t>
      </w:r>
    </w:p>
    <w:p>
      <w:pPr>
        <w:pStyle w:val="Heading2"/>
        <w:numPr>
          <w:ilvl w:val="1"/>
          <w:numId w:val="1"/>
        </w:numPr>
        <w:rPr/>
      </w:pPr>
      <w:bookmarkStart w:id="341" w:name="__RefHeading___Toc3968042_2870459653"/>
      <w:bookmarkStart w:id="342" w:name="_Toc120"/>
      <w:bookmarkEnd w:id="341"/>
      <w:r>
        <w:rPr>
          <w:rtl w:val="true"/>
        </w:rPr>
        <w:t>[</w:t>
      </w:r>
      <w:r>
        <w:rPr>
          <w:rtl w:val="true"/>
        </w:rPr>
        <w:t>إذا كان معنى الصعيد مجملا</w:t>
      </w:r>
      <w:r>
        <w:rPr>
          <w:rtl w:val="true"/>
        </w:rPr>
        <w:t>]</w:t>
      </w:r>
      <w:bookmarkEnd w:id="342"/>
    </w:p>
    <w:p>
      <w:pPr>
        <w:pStyle w:val="BookText"/>
        <w:rPr/>
      </w:pPr>
      <w:r>
        <w:rPr>
          <w:rFonts w:ascii="Amiri" w:hAnsi="Amiri" w:eastAsia="Amiri" w:cs="Amiri"/>
          <w:color w:val="111111"/>
          <w:sz w:val="28"/>
          <w:sz w:val="28"/>
          <w:szCs w:val="28"/>
          <w:rtl w:val="true"/>
          <w:lang w:bidi="ar-SA"/>
        </w:rPr>
        <w:t xml:space="preserve">ثم على تقدير إجمال الصعيد عندنا فهل يكون الحكم خاصاً بالتراب كما هو مقتضى الاشتغال اليقيني، أو يكون الحكم جارياً في مطلق وجه الأرض من حيث الأخبار؟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ورودها بلفظ الأرض والتراب، وما ورد بلفظ التراب بعضها ظاهر في الخصوصية وأنّه الطهور بخصوصه، وبعضه ليس له ظهور في الخصوصية بحيث يمكن حمله على الأرض، فتكون أخبار الأرض بالنسبة إليه مطلقة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القاعدة في المطلق والمقيّد هو حمل المطلق على المقيد إذا ثبت التنافي بينهما، وذلك بأن يعلم وحدة التكليف حتى يحصل التنافي، ففي الطلبيات لما يفهم الوحدة في العرف من نفس الأمر والطلب بالمطلق والمقيد، ولا يحتاج إلى إحرازه من الخارج فيحمل المطلق على المقيد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في الوضعيات فإن فهم الاتحاد فيحمل وإلا فلا ففي هذا المقام يمكن استفادة اتحاد الحكم الوضعي من نفس الأخبار وأنّ الطهور هو أحدهما بملاحظة بعض الأخبار، حيث يدلّ على أنّ الطهور هو خصوصية التراب لا التراب من حيث الأرضية، حيث يظهر من نفس 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وترابها طهوراً</w:t>
      </w:r>
      <w:r>
        <w:rPr>
          <w:rFonts w:eastAsia="IRNazanin" w:cs="IRNazanin"/>
          <w:color w:val="111111"/>
          <w:sz w:val="28"/>
          <w:szCs w:val="28"/>
          <w:rtl w:val="true"/>
          <w:lang w:bidi="fa-IR"/>
        </w:rPr>
        <w:t>»</w:t>
      </w:r>
      <w:r>
        <w:rPr>
          <w:rStyle w:val="FootnoteAnchor"/>
          <w:rtl w:val="true"/>
        </w:rPr>
        <w:footnoteReference w:id="821"/>
      </w:r>
      <w:r>
        <w:rPr>
          <w:rFonts w:ascii="Amiri" w:hAnsi="Amiri" w:eastAsia="Amiri" w:cs="Amiri"/>
          <w:color w:val="111111"/>
          <w:sz w:val="28"/>
          <w:sz w:val="28"/>
          <w:szCs w:val="28"/>
          <w:rtl w:val="true"/>
          <w:lang w:bidi="ar-SA"/>
        </w:rPr>
        <w:t>هي خصوصيته، خصوصاً بملاحظة العدول عن الأرض، وخصوصاً بملاحظة الامتنان، فيحمل المطلق وهو الأرض على المقيّد وهو التراب، على تقدير فهم الإطلاق من الأرض، خصوصاً بملاحظة بعض الأخبار مثل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مبتلة ليس فيها تراب ولا ماء فانظر أجف موضع تجده فتيمم منه فان ذلك توسيع من الله عزّ وجلّ</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xml:space="preserve">فإنّ فيه شواهد على أنّ الطهور هو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السؤال حيث إنّه يكون عند السائل كأنه مسلم أنّ الطهور هو التراب والماء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بواسطة فقدهما، ولو كانت الأرض طهوراً مطلقاً لا يحصل له التحير؛ لوجود الحجر، والأرض المبتلة أيضاً أحد أفراد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 علیه السلام بطلب الأجف وعدم أمره بالتيمم على الحجر وعلى الأرض المبتلة، ولو كانت الأرض طهوراً، يجيبه بالتيمم على وجه الأرض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ذلك توسيع من الله عزّ وجلّ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يدلّ على أن جواز التيمم بالموضع الأجفٌ وِسْعَةٌ وهذا الترخيص وِسْعَةٌ لا أنَّ الوِسْعَةَ في أصل الطهور أولاً ، ولو كان الطهور مطلق الأرض لم يكن هذا توسيعاً بل التوسيع حاصل أولا، وهذه الرواية كادت أن تكون صريحة في خصوصية التراب، ومثل الروايات الأخر المصرحة بأنّ التراب طهور، مضافاً إلى ظهور الآية فيه، خصوصاً بعد الصحيح الوارد في تفسيرها عن الباقر علیه السلام حيث يظهر منه كون التيمّم </w:t>
      </w:r>
    </w:p>
    <w:p>
      <w:pPr>
        <w:pStyle w:val="BookText"/>
        <w:rPr/>
      </w:pPr>
      <w:r>
        <w:rPr>
          <w:rFonts w:ascii="Amiri" w:hAnsi="Amiri" w:eastAsia="Amiri" w:cs="Amiri"/>
          <w:color w:val="111111"/>
          <w:sz w:val="28"/>
          <w:sz w:val="28"/>
          <w:szCs w:val="28"/>
          <w:rtl w:val="true"/>
          <w:lang w:bidi="ar-SA"/>
        </w:rPr>
        <w:t>هو التراب،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فَامْسَحُواْ بِوُجُوهِكُمْ وَأَيْدِيكُم مِّنْهُ </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فظاهر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التبعيض، حتى صرّح صاحب الكشاف</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الابتداء بعيد مخالف للمتداول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يظهر من تفسير الإمام علیه السلام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لما وضع الوضوء عمّن لم يجد الماء أثبت بعض الغسل مسحاً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بالمسح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وَأَيْدِيكُم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التيمم</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الظاهر أنّ مراده علیه السلام بالتيمم هو المتيمم به ثم ذكر علیه السلام لأنه جمع لم يجر على الوجه، لأنّه يعلق الصعيد ببعض الكف ولا يعلق ببعضه الآخر، فإنّ الظاهر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يجر على الوجه تعليل للمسح ببعض المتيمم به بناءً على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التبعيض، وهذا صريح في كون المتيمم به هو التراب وكذا لو جعلنا قوله علیه السلام تعليلاً لإثبات الله تعالى بعض الغسل مسحاً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يثبت بعض الغسل بطريق المسح؛ لأنه تعالى يعلم أنّ المتيمم به لا يجري على تمام الوجه لعدم علوق التراب بتمام اليد بل يعلق على بعضها، فلا يمكن مسح تمام الوجه، إلا أنّ هذه الرواية بظاهرها تدل على اعتبار العلوق ولزوم كون المسح بالتراب بل لا بُدَّ من بقاء التراب على اليد، وكلاهما خلاف المشهور </w:t>
      </w:r>
      <w:r>
        <w:rPr>
          <w:rStyle w:val="FootnoteAnchor"/>
          <w:rtl w:val="true"/>
        </w:rPr>
        <w:footnoteReference w:id="826"/>
      </w:r>
      <w:r>
        <w:rPr>
          <w:rFonts w:ascii="IRNazanin" w:hAnsi="IRNazanin" w:eastAsia="IRNazanin"/>
          <w:color w:val="111111"/>
          <w:sz w:val="28"/>
          <w:sz w:val="28"/>
          <w:szCs w:val="28"/>
          <w:rtl w:val="true"/>
          <w:lang w:bidi="fa-IR"/>
        </w:rPr>
        <w:t xml:space="preserve">بين الأصحاب، بل الإجماع بالنسبة إلى الثاني فلا بُدَّ إما من حمل قوله علیه السلام على بيان أن حكمة إثبات بعض المسح هذا، فحينئذ لا يلزم ،إطرادها ، وذكر هذه الحكمة المختصة بالتراب باعتبار الغالب وكون التيمم بالتراب، إلّا أنّ هذا يدلّ على المطلوب؛ إذ لو لم يكن التراب معتبراً لما يجري هذه الحكمة، ويمكن أن تكون هذه نكتة لإيراد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تعالى 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 من لابتداء الغاية؛ </w:t>
      </w:r>
    </w:p>
    <w:p>
      <w:pPr>
        <w:pStyle w:val="BookText"/>
        <w:rPr/>
      </w:pPr>
      <w:r>
        <w:rPr>
          <w:rFonts w:ascii="Amiri" w:hAnsi="Amiri" w:eastAsia="Amiri" w:cs="Amiri"/>
          <w:color w:val="111111"/>
          <w:sz w:val="28"/>
          <w:sz w:val="28"/>
          <w:szCs w:val="28"/>
          <w:rtl w:val="true"/>
          <w:lang w:bidi="ar-SA"/>
        </w:rPr>
        <w:t>لأنّه تعالى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ظاهراً في أنّ المسح لا بُدَّ أن يكون شيئاً منه، بخلاف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لا يكون فيها ظهور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لا يمكن الحكم بكون الصعيد هو التراب بواسطة كون الشهرة على خلافها وكون أكثر أهل اللغة على خلافه حتى أنّه نقل عن الزجاج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مخالفاً في كون الصعيد هو وجه الأرض</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وبواسطة الأخبار الكثيرة الآمرة بالتيمم من الأرض، ولا يوجد أخبار واردة بالأمر بالتيمم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مقيدة للأولى، ولو فرض وجود خبر أيضاً فليس في مقام بيان ما يتيمّم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الأخبار الواردة في طهورية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فيها ظهور في الخصوصية بعد الغض عما فيها من الاختلاف في رواية النبوي صلی اله علیه وآله وسلم</w:t>
      </w:r>
      <w:r>
        <w:rPr>
          <w:rStyle w:val="FootnoteAnchor"/>
          <w:rtl w:val="true"/>
        </w:rPr>
        <w:footnoteReference w:id="828"/>
      </w:r>
      <w:r>
        <w:rPr>
          <w:rFonts w:ascii="Amiri" w:hAnsi="Amiri" w:eastAsia="Amiri" w:cs="Amiri"/>
          <w:color w:val="111111"/>
          <w:sz w:val="28"/>
          <w:sz w:val="28"/>
          <w:szCs w:val="28"/>
          <w:rtl w:val="true"/>
          <w:lang w:bidi="ar-SA"/>
        </w:rPr>
        <w:t xml:space="preserve">، و عدم وجوده في كتب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رفاعة عن الأرض المبتلة ليس فيها تراب ولا ماء؟ فانظر إلى أجفّ موضع تجده فتيمّم</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إشكال؛ لأنه إن كان المراد بالأرض المبتلة هي الأرض التي تكون طيناً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التراب والماء بل وجد الطين فلينظر أجفّ موضع؛ يكون فيه إشكال من وجهين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فقد الحجر والحال أنّ الحجر أيضاً مقدم عليه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الطين في الفقرة الثالثة فلا معنى لذكر الطين ثانياً إلّا أن يحمل الأول على الطين مع وجود الأجف والغبار مثلاً، والثاني على موضع لا يجد إلّا الطين، كما هو ظاهره إلّا أنّ هذا الحمل بعيد فلا يكون مراداً؛ وإن كان المراد بها هو التراب المبلول </w:t>
      </w:r>
    </w:p>
    <w:p>
      <w:pPr>
        <w:pStyle w:val="BookText"/>
        <w:rPr/>
      </w:pPr>
      <w:r>
        <w:rPr>
          <w:rFonts w:ascii="Amiri" w:hAnsi="Amiri" w:eastAsia="Amiri" w:cs="Amiri"/>
          <w:color w:val="111111"/>
          <w:sz w:val="28"/>
          <w:sz w:val="28"/>
          <w:szCs w:val="28"/>
          <w:rtl w:val="true"/>
          <w:lang w:bidi="ar-SA"/>
        </w:rPr>
        <w:t>بحيث لم يخرج عن حدّ الترابية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التراب الجاف، فالأمر بالأجف مع فقد الجاف مشكل؛ لأنّ مفهومه عدم جواز التيمم بالتراب المبلول مع وجود الجاف، وهذا لا يبعد كونه مخالفاً للإجماع؛ لأنه يجوز التيمم بالتراب المبلول مع وجود الجاف إجماعاً </w:t>
      </w:r>
      <w:r>
        <w:rPr>
          <w:rStyle w:val="FootnoteAnchor"/>
          <w:rtl w:val="true"/>
        </w:rPr>
        <w:footnoteReference w:id="830"/>
      </w:r>
      <w:r>
        <w:rPr>
          <w:rFonts w:ascii="IRNazanin" w:hAnsi="IRNazanin" w:eastAsia="IRNazanin"/>
          <w:color w:val="111111"/>
          <w:sz w:val="28"/>
          <w:sz w:val="28"/>
          <w:szCs w:val="28"/>
          <w:rtl w:val="true"/>
          <w:lang w:bidi="fa-IR"/>
        </w:rPr>
        <w:t>فحينئذ، فلا بُدَّ من حمل الأمر على الاستحباب كما يظهر ذلک من الشهيد رحمه الله في الذكرى</w:t>
      </w:r>
      <w:r>
        <w:rPr>
          <w:rStyle w:val="FootnoteAnchor"/>
          <w:rtl w:val="true"/>
        </w:rPr>
        <w:footnoteReference w:id="831"/>
      </w:r>
      <w:r>
        <w:rPr>
          <w:rFonts w:ascii="Amiri" w:hAnsi="Amiri" w:eastAsia="Amiri" w:cs="Amiri"/>
          <w:color w:val="111111"/>
          <w:sz w:val="28"/>
          <w:sz w:val="28"/>
          <w:szCs w:val="28"/>
          <w:rtl w:val="true"/>
          <w:lang w:bidi="ar-SA"/>
        </w:rPr>
        <w:t>ولا يبعد حملها على الأرض التي تكون ظاهرها الله رطبة بحيث لم يكن فيها تراب ولا تكون من الطين فكأنَّ نظره في هذا الكلام إلى مجرد الجفاف والرطوبة،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كون الأرض رطبة وليس فيها تراب أي ليس موضع جاف، فحينئذ لا تكون دالة على كون المعتبر هو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كله لو سلمنا كون الصعيد مخصوصاً بالتراب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بغيره بمقتضى الأخبار مثل الأخبار الدالّة على التيمم بالأرض، ومثل الخبر الدال على جواز التيمم بأرض الجص والنورة مع كونهما من الحجر ، ومثل الخبر الدال على التيمم بحائط لبن مع عدم كونه من التراب كما ادعاه بعض</w:t>
      </w:r>
      <w:r>
        <w:rPr>
          <w:rStyle w:val="FootnoteAnchor"/>
          <w:rtl w:val="true"/>
        </w:rPr>
        <w:footnoteReference w:id="832"/>
      </w:r>
      <w:r>
        <w:rPr>
          <w:rFonts w:ascii="Amiri" w:hAnsi="Amiri" w:eastAsia="Amiri" w:cs="Amiri"/>
          <w:color w:val="111111"/>
          <w:sz w:val="28"/>
          <w:sz w:val="28"/>
          <w:szCs w:val="28"/>
          <w:rtl w:val="true"/>
          <w:lang w:bidi="ar-SA"/>
        </w:rPr>
        <w:t>وإن كان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القائلين بالتراب هو التراب المنفصل، بل يعم التراب المستمسك كما ادعى إطلاقه في المنتهى </w:t>
      </w:r>
      <w:r>
        <w:rPr>
          <w:rStyle w:val="FootnoteAnchor"/>
          <w:rtl w:val="true"/>
        </w:rPr>
        <w:footnoteReference w:id="833"/>
      </w:r>
      <w:r>
        <w:rPr>
          <w:rFonts w:ascii="Amiri" w:hAnsi="Amiri" w:eastAsia="Amiri" w:cs="Amiri"/>
          <w:color w:val="111111"/>
          <w:sz w:val="28"/>
          <w:sz w:val="28"/>
          <w:szCs w:val="28"/>
          <w:rtl w:val="true"/>
          <w:lang w:bidi="ar-SA"/>
        </w:rPr>
        <w:t>أنه تراب استمسك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جواز التيمم بالحجر في حال الاختيار اما من جهة كون الصعيد عاما، وإمّا من جهة الأخبار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حال الاضطرار فالجواز على مذهب من عمّم الصعيد واضح؛ وأما على مذهب من خصّ الصعيد بالتراب؛ فكأنه إجماعي بين من عم الصعيد بالتراب ومن خصّه </w:t>
      </w:r>
      <w:r>
        <w:rPr>
          <w:rFonts w:eastAsia="Amiri" w:cs="Amiri" w:ascii="Amiri" w:hAnsi="Amiri"/>
          <w:color w:val="111111"/>
          <w:sz w:val="28"/>
          <w:szCs w:val="28"/>
          <w:rtl w:val="true"/>
          <w:lang w:bidi="ar-SA"/>
        </w:rPr>
        <w:t xml:space="preserve">. </w:t>
      </w:r>
      <w:bookmarkStart w:id="343" w:name="pg9203_87293"/>
    </w:p>
    <w:p>
      <w:pPr>
        <w:pStyle w:val="BookText"/>
        <w:rPr/>
      </w:pPr>
      <w:bookmarkEnd w:id="343"/>
      <w:r>
        <w:rPr>
          <w:rFonts w:ascii="Amiri" w:hAnsi="Amiri" w:eastAsia="Amiri" w:cs="Amiri"/>
          <w:color w:val="111111"/>
          <w:sz w:val="28"/>
          <w:sz w:val="28"/>
          <w:szCs w:val="28"/>
          <w:rtl w:val="true"/>
          <w:lang w:bidi="ar-SA"/>
        </w:rPr>
        <w:t>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الإجماع في الحقيقة؛ لأنّ من يدّعي عموم الصعيد يدّعي جواز التيمم بالحجر من حيث إنّه صعيد ومن حيث إنّه حجر، ومن يدعي بطلان قول من عمّم الصعيد فلا يمكن له التمسّك بقول من عمّم؛ لأنّ قوله مستند إلى دليل يعلم بطلانه بحيث لو اطلع المدعي للجواز ببطلان دليله لرجع عنه</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3968044_2870459653"/>
      <w:bookmarkStart w:id="345" w:name="_Toc121"/>
      <w:bookmarkEnd w:id="344"/>
      <w:r>
        <w:rPr>
          <w:rtl w:val="true"/>
        </w:rPr>
        <w:t>بقي الكلام في الأشياء المختلف فيها</w:t>
      </w:r>
      <w:bookmarkEnd w:id="345"/>
    </w:p>
    <w:p>
      <w:pPr>
        <w:pStyle w:val="Heading2"/>
        <w:numPr>
          <w:ilvl w:val="1"/>
          <w:numId w:val="1"/>
        </w:numPr>
        <w:rPr/>
      </w:pPr>
      <w:bookmarkStart w:id="346" w:name="__RefHeading___Toc3968046_2870459653"/>
      <w:bookmarkStart w:id="347" w:name="_Toc122"/>
      <w:bookmarkEnd w:id="346"/>
      <w:r>
        <w:rPr>
          <w:rtl w:val="true"/>
        </w:rPr>
        <w:t>[</w:t>
      </w:r>
      <w:r>
        <w:rPr>
          <w:rtl w:val="true"/>
        </w:rPr>
        <w:t>جواز التيمم بأرض النورة والجص</w:t>
      </w:r>
      <w:r>
        <w:rPr>
          <w:rtl w:val="true"/>
        </w:rPr>
        <w:t>]</w:t>
      </w:r>
      <w:bookmarkEnd w:id="347"/>
    </w:p>
    <w:p>
      <w:pPr>
        <w:pStyle w:val="BookText"/>
        <w:rPr/>
      </w:pPr>
      <w:r>
        <w:rPr>
          <w:rFonts w:ascii="Amiri" w:hAnsi="Amiri" w:eastAsia="Amiri" w:cs="Amiri"/>
          <w:color w:val="111111"/>
          <w:sz w:val="28"/>
          <w:sz w:val="28"/>
          <w:szCs w:val="28"/>
          <w:rtl w:val="true"/>
          <w:lang w:bidi="ar-SA"/>
        </w:rPr>
        <w:t>أما أرض النورة والجص ؛ فالظاهر أنّه لا إشكال في جواز التيمم بها لكونها حجراً ومن وجه الأرض، واحتمال المعدنية ضعيف بعد صدق اسم الأرض عليها كما هو المناط فيما نحن فيه ويمكن التمسك بالأولوية المستفادة من رواية الجص والنورة الدالة على جواز التيمم بالجص والنورة مع الإشكال في صدق الأرض عليها إن عملنا بالرواية فيهما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الخلاف في جواز التيمم بهما إجماعاً </w:t>
      </w:r>
      <w:r>
        <w:rPr>
          <w:rStyle w:val="FootnoteAnchor"/>
          <w:rtl w:val="true"/>
        </w:rPr>
        <w:footnoteReference w:id="834"/>
      </w:r>
      <w:r>
        <w:rPr>
          <w:rFonts w:ascii="IRNazanin" w:hAnsi="IRNazanin" w:eastAsia="IRNazanin"/>
          <w:color w:val="111111"/>
          <w:sz w:val="28"/>
          <w:sz w:val="28"/>
          <w:szCs w:val="28"/>
          <w:rtl w:val="true"/>
          <w:lang w:bidi="fa-IR"/>
        </w:rPr>
        <w:t>، بل المشهور نقلاً</w:t>
      </w:r>
      <w:r>
        <w:rPr>
          <w:rStyle w:val="FootnoteAnchor"/>
          <w:rtl w:val="true"/>
        </w:rPr>
        <w:footnoteReference w:id="835"/>
      </w:r>
      <w:r>
        <w:rPr>
          <w:rFonts w:ascii="Amiri" w:hAnsi="Amiri" w:eastAsia="Amiri" w:cs="Amiri"/>
          <w:color w:val="111111"/>
          <w:sz w:val="28"/>
          <w:sz w:val="28"/>
          <w:szCs w:val="28"/>
          <w:rtl w:val="true"/>
          <w:lang w:bidi="ar-SA"/>
        </w:rPr>
        <w:t>وتحصيلاً على الجواز في حال الاختيار، ولم يكن مخالف سوى ما نقل عن الشيخ في نهايته</w:t>
      </w:r>
      <w:r>
        <w:rPr>
          <w:rStyle w:val="FootnoteAnchor"/>
          <w:rtl w:val="true"/>
        </w:rPr>
        <w:footnoteReference w:id="836"/>
      </w:r>
      <w:r>
        <w:rPr>
          <w:rFonts w:ascii="IRNazanin" w:hAnsi="IRNazanin" w:eastAsia="IRNazanin"/>
          <w:color w:val="111111"/>
          <w:sz w:val="28"/>
          <w:sz w:val="28"/>
          <w:szCs w:val="28"/>
          <w:rtl w:val="true"/>
          <w:lang w:bidi="fa-IR"/>
        </w:rPr>
        <w:t xml:space="preserve">، من اشتراط فقد التراب </w:t>
      </w:r>
      <w:r>
        <w:rPr>
          <w:rFonts w:eastAsia="IRNazanin" w:cs="IRNazanin"/>
          <w:color w:val="111111"/>
          <w:sz w:val="28"/>
          <w:szCs w:val="28"/>
          <w:rtl w:val="true"/>
          <w:lang w:bidi="fa-IR"/>
        </w:rPr>
        <w:t>.</w:t>
      </w:r>
    </w:p>
    <w:p>
      <w:pPr>
        <w:pStyle w:val="Heading2"/>
        <w:numPr>
          <w:ilvl w:val="1"/>
          <w:numId w:val="1"/>
        </w:numPr>
        <w:rPr/>
      </w:pPr>
      <w:bookmarkStart w:id="348" w:name="__RefHeading___Toc3968048_2870459653"/>
      <w:bookmarkStart w:id="349" w:name="_Toc123"/>
      <w:bookmarkEnd w:id="348"/>
      <w:r>
        <w:rPr>
          <w:rtl w:val="true"/>
        </w:rPr>
        <w:t>[</w:t>
      </w:r>
      <w:r>
        <w:rPr>
          <w:rtl w:val="true"/>
        </w:rPr>
        <w:t>جواز التيمم بالجص والنورة</w:t>
      </w:r>
      <w:r>
        <w:rPr>
          <w:rtl w:val="true"/>
        </w:rPr>
        <w:t>]</w:t>
      </w:r>
      <w:bookmarkEnd w:id="34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الجص والنورة ففيهما ،خلاف، فالمشهور فيهما على عدم الجواز لخروجهما عن اسم الأرض بالطبخ</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350" w:name="pg9203_87294"/>
    </w:p>
    <w:p>
      <w:pPr>
        <w:pStyle w:val="BookText"/>
        <w:rPr/>
      </w:pPr>
      <w:bookmarkEnd w:id="350"/>
      <w:r>
        <w:rPr>
          <w:rFonts w:ascii="Amiri" w:hAnsi="Amiri" w:eastAsia="Amiri" w:cs="Amiri"/>
          <w:color w:val="111111"/>
          <w:sz w:val="28"/>
          <w:sz w:val="28"/>
          <w:szCs w:val="28"/>
          <w:rtl w:val="true"/>
          <w:lang w:bidi="ar-SA"/>
        </w:rPr>
        <w:t>ولكن الأظهر جوازه للرواية الدالة على الجواز</w:t>
      </w:r>
      <w:r>
        <w:rPr>
          <w:rStyle w:val="FootnoteAnchor"/>
          <w:rtl w:val="true"/>
        </w:rPr>
        <w:footnoteReference w:id="838"/>
      </w:r>
      <w:r>
        <w:rPr>
          <w:rFonts w:ascii="Amiri" w:hAnsi="Amiri" w:eastAsia="Amiri" w:cs="Amiri"/>
          <w:color w:val="111111"/>
          <w:sz w:val="28"/>
          <w:sz w:val="28"/>
          <w:szCs w:val="28"/>
          <w:rtl w:val="true"/>
          <w:lang w:bidi="ar-SA"/>
        </w:rPr>
        <w:t>وللاستصحاب؛ للشك في خروجهما عن الأرضية بالطبخ فنستصحب ؛ لظهور كون موضوع التيمم هو اسم الأرض فبسبب الطبخ شك في صدق اسم الأرض عليه فيحكم بالاستصحاب ببقائه فيجوز التيمّم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الاستصحاب معارض باستصحاب الاشتغال فيتوقف على يقين البراءة ولا يحصل بالتيمّم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استصحاب الأرضية حاكم على أصالة الشغل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ومقدم عليها</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نعم، لا يمكن الاستصحاب لو لم يكن الموضوع معلوماً هل هو حقيقة الأرضية أو مجرد صدق اسم الأرض عليها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هذا الشيء قبل الطبخ شيء يجوز التيمم به وبعد الطبخ نشك في ارتفاعه فيستصحب،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هو الباقي فيجوز التيمم به لكون الأصل مثبتاً وليس بحجّة</w:t>
      </w:r>
      <w:r>
        <w:rPr>
          <w:rFonts w:eastAsia="Amiri" w:cs="Amiri" w:ascii="Amiri" w:hAnsi="Amiri"/>
          <w:color w:val="111111"/>
          <w:sz w:val="28"/>
          <w:szCs w:val="28"/>
          <w:rtl w:val="true"/>
          <w:lang w:bidi="ar-SA"/>
        </w:rPr>
        <w:t>.</w:t>
      </w:r>
    </w:p>
    <w:p>
      <w:pPr>
        <w:pStyle w:val="Heading2"/>
        <w:numPr>
          <w:ilvl w:val="1"/>
          <w:numId w:val="1"/>
        </w:numPr>
        <w:rPr/>
      </w:pPr>
      <w:bookmarkStart w:id="351" w:name="__RefHeading___Toc3968050_2870459653"/>
      <w:bookmarkStart w:id="352" w:name="_Toc124"/>
      <w:bookmarkEnd w:id="351"/>
      <w:r>
        <w:rPr>
          <w:rtl w:val="true"/>
        </w:rPr>
        <w:t>[</w:t>
      </w:r>
      <w:r>
        <w:rPr>
          <w:rtl w:val="true"/>
        </w:rPr>
        <w:t>حكم التيمّم بالرماد</w:t>
      </w:r>
      <w:r>
        <w:rPr>
          <w:rtl w:val="true"/>
        </w:rPr>
        <w:t>]</w:t>
      </w:r>
      <w:bookmarkEnd w:id="352"/>
    </w:p>
    <w:p>
      <w:pPr>
        <w:pStyle w:val="BookText"/>
        <w:rPr/>
      </w:pPr>
      <w:r>
        <w:rPr>
          <w:rFonts w:ascii="Amiri" w:hAnsi="Amiri" w:eastAsia="Amiri" w:cs="Amiri"/>
          <w:color w:val="111111"/>
          <w:sz w:val="28"/>
          <w:sz w:val="28"/>
          <w:szCs w:val="28"/>
          <w:rtl w:val="true"/>
          <w:lang w:bidi="ar-SA"/>
        </w:rPr>
        <w:t xml:space="preserve">وأمّا التيمّم بالرماد فإنّ كانّ من الشجر فلا شبهة في عدم جواز التيمّم به لعدم صدق الأرض عليه وللرواية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من الأرض بحيث احترقت الأرض وصارت رماداً فإن خرج عن اسم حيث احترقت الا الأرض بحيث لم يطلق عليه اسم الأرض بل يطلق عليه الرماد؛ فلا يجوز التيمم به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التمسك بالاستصحاب لعدم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 عليه اسم الأرض فالظاهر جواز التيمم به؛ لظهور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ظاهرة في رماد غير الأرض</w:t>
      </w:r>
      <w:r>
        <w:rPr>
          <w:rFonts w:eastAsia="Amiri" w:cs="Amiri" w:ascii="Amiri" w:hAnsi="Amiri"/>
          <w:color w:val="111111"/>
          <w:sz w:val="28"/>
          <w:szCs w:val="28"/>
          <w:rtl w:val="true"/>
          <w:lang w:bidi="ar-SA"/>
        </w:rPr>
        <w:t xml:space="preserve">. </w:t>
      </w:r>
      <w:bookmarkStart w:id="353" w:name="pg9203_87295"/>
    </w:p>
    <w:p>
      <w:pPr>
        <w:pStyle w:val="Heading2"/>
        <w:numPr>
          <w:ilvl w:val="1"/>
          <w:numId w:val="1"/>
        </w:numPr>
        <w:rPr/>
      </w:pPr>
      <w:bookmarkStart w:id="354" w:name="__RefHeading___Toc3968052_2870459653"/>
      <w:bookmarkStart w:id="355" w:name="_Toc125"/>
      <w:bookmarkEnd w:id="353"/>
      <w:bookmarkEnd w:id="354"/>
      <w:r>
        <w:rPr>
          <w:rtl w:val="true"/>
        </w:rPr>
        <w:t>[</w:t>
      </w:r>
      <w:r>
        <w:rPr>
          <w:rtl w:val="true"/>
        </w:rPr>
        <w:t>عدم جواز التيمم بالمعادن</w:t>
      </w:r>
      <w:r>
        <w:rPr>
          <w:rtl w:val="true"/>
        </w:rPr>
        <w:t>]</w:t>
      </w:r>
      <w:bookmarkEnd w:id="355"/>
    </w:p>
    <w:p>
      <w:pPr>
        <w:pStyle w:val="BookText"/>
        <w:rPr/>
      </w:pPr>
      <w:r>
        <w:rPr>
          <w:rFonts w:ascii="Amiri" w:hAnsi="Amiri" w:eastAsia="Amiri" w:cs="Amiri"/>
          <w:color w:val="111111"/>
          <w:sz w:val="28"/>
          <w:sz w:val="28"/>
          <w:szCs w:val="28"/>
          <w:rtl w:val="true"/>
          <w:lang w:bidi="ar-SA"/>
        </w:rPr>
        <w:t>وأما المعادن فلا يجوز التيمم بها مطلقاً إجماعاً</w:t>
      </w:r>
      <w:r>
        <w:rPr>
          <w:rStyle w:val="FootnoteAnchor"/>
          <w:rtl w:val="true"/>
        </w:rPr>
        <w:footnoteReference w:id="841"/>
      </w:r>
      <w:r>
        <w:rPr>
          <w:rFonts w:ascii="Amiri" w:hAnsi="Amiri" w:eastAsia="Amiri" w:cs="Amiri"/>
          <w:color w:val="111111"/>
          <w:sz w:val="28"/>
          <w:sz w:val="28"/>
          <w:szCs w:val="28"/>
          <w:rtl w:val="true"/>
          <w:lang w:bidi="ar-SA"/>
        </w:rPr>
        <w:t xml:space="preserve">منقولاً إن لم يكن محصلاً؛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اعتناء</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بخلاف ابن أبي عقيل في جواز التيمّم بالأرض وبكل ما كان من جنسها كالكحل والزرنيخ، وكأنَّ نظره إلى مفهوم قوله علیه السلام في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يخرج من الأرض</w:t>
      </w:r>
      <w:r>
        <w:rPr>
          <w:rFonts w:eastAsia="IRNazanin" w:cs="IRNazanin"/>
          <w:color w:val="111111"/>
          <w:sz w:val="28"/>
          <w:szCs w:val="28"/>
          <w:rtl w:val="true"/>
          <w:lang w:bidi="fa-IR"/>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ضعيفة</w:t>
      </w:r>
      <w:r>
        <w:rPr>
          <w:rStyle w:val="FootnoteAnchor"/>
          <w:rtl w:val="true"/>
        </w:rPr>
        <w:footnoteReference w:id="844"/>
      </w:r>
      <w:r>
        <w:rPr>
          <w:rFonts w:ascii="Amiri" w:hAnsi="Amiri" w:eastAsia="Amiri" w:cs="Amiri"/>
          <w:color w:val="111111"/>
          <w:sz w:val="28"/>
          <w:sz w:val="28"/>
          <w:szCs w:val="28"/>
          <w:rtl w:val="true"/>
          <w:lang w:bidi="ar-SA"/>
        </w:rPr>
        <w:t>، ولا جابر لها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الأرض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المعدن هنا غير المعدن في باب الخمس؛ لأنّ المعدن هناك يراد به أعمّ من الأرض وغيره، حتى أنه يشمل مثل الجص والنورة مما يكون أرضاً، بل الظاهر أنّ المراد به هناك كل ما يكون فيه منفعة وخاصية سواءً خرج عن اسم الأرض أو لا</w:t>
      </w:r>
      <w:r>
        <w:rPr>
          <w:rFonts w:eastAsia="Amiri" w:cs="Amiri" w:ascii="Amiri" w:hAnsi="Amiri"/>
          <w:color w:val="111111"/>
          <w:sz w:val="28"/>
          <w:szCs w:val="28"/>
          <w:rtl w:val="true"/>
          <w:lang w:bidi="ar-SA"/>
        </w:rPr>
        <w:t>.</w:t>
      </w:r>
    </w:p>
    <w:p>
      <w:pPr>
        <w:pStyle w:val="Heading2"/>
        <w:numPr>
          <w:ilvl w:val="1"/>
          <w:numId w:val="1"/>
        </w:numPr>
        <w:rPr/>
      </w:pPr>
      <w:bookmarkStart w:id="356" w:name="__RefHeading___Toc3968054_2870459653"/>
      <w:bookmarkStart w:id="357" w:name="_Toc126"/>
      <w:bookmarkEnd w:id="356"/>
      <w:r>
        <w:rPr>
          <w:rtl w:val="true"/>
        </w:rPr>
        <w:t xml:space="preserve">[ </w:t>
      </w:r>
      <w:r>
        <w:rPr>
          <w:rtl w:val="true"/>
        </w:rPr>
        <w:t xml:space="preserve">جواز التيمّم بالخزف </w:t>
      </w:r>
      <w:r>
        <w:rPr>
          <w:rtl w:val="true"/>
        </w:rPr>
        <w:t>]</w:t>
      </w:r>
      <w:bookmarkEnd w:id="35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الخزف ففيه إشكال؛ من حيث جواز التيمم به مع كون الظاهر أنّ المنع من حيث الخروج عن الأرضية، ومن الاستصحاب والمنع من عدم جواز السجود عليه؛ فالظاهر جواز التيمم به كما صرح به جماعة </w:t>
      </w:r>
      <w:r>
        <w:rPr>
          <w:rStyle w:val="FootnoteAnchor"/>
          <w:rtl w:val="true"/>
        </w:rPr>
        <w:footnoteReference w:id="845"/>
      </w:r>
      <w:r>
        <w:rPr>
          <w:rFonts w:ascii="Amiri" w:hAnsi="Amiri" w:eastAsia="Amiri" w:cs="Amiri"/>
          <w:color w:val="111111"/>
          <w:sz w:val="28"/>
          <w:sz w:val="28"/>
          <w:szCs w:val="28"/>
          <w:rtl w:val="true"/>
          <w:lang w:bidi="ar-SA"/>
        </w:rPr>
        <w:t>، لكن توقف الشهيد في الدروس</w:t>
      </w:r>
      <w:r>
        <w:rPr>
          <w:rStyle w:val="FootnoteAnchor"/>
          <w:rtl w:val="true"/>
        </w:rPr>
        <w:footnoteReference w:id="846"/>
      </w:r>
      <w:r>
        <w:rPr>
          <w:rFonts w:ascii="Amiri" w:hAnsi="Amiri" w:eastAsia="Amiri" w:cs="Amiri"/>
          <w:color w:val="111111"/>
          <w:sz w:val="28"/>
          <w:sz w:val="28"/>
          <w:szCs w:val="28"/>
          <w:rtl w:val="true"/>
          <w:lang w:bidi="ar-SA"/>
        </w:rPr>
        <w:t>واستشكله في المنتهى</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358" w:name="pg9203_87296"/>
    </w:p>
    <w:p>
      <w:pPr>
        <w:pStyle w:val="Heading2"/>
        <w:numPr>
          <w:ilvl w:val="1"/>
          <w:numId w:val="1"/>
        </w:numPr>
        <w:rPr/>
      </w:pPr>
      <w:bookmarkStart w:id="359" w:name="__RefHeading___Toc3968056_2870459653"/>
      <w:bookmarkStart w:id="360" w:name="_Toc127"/>
      <w:bookmarkEnd w:id="358"/>
      <w:bookmarkEnd w:id="359"/>
      <w:r>
        <w:rPr>
          <w:rtl w:val="true"/>
        </w:rPr>
        <w:t xml:space="preserve">[ </w:t>
      </w:r>
      <w:r>
        <w:rPr>
          <w:rtl w:val="true"/>
        </w:rPr>
        <w:t xml:space="preserve">جواز التيمّم بالتراب المستعمل في التيمم </w:t>
      </w:r>
      <w:r>
        <w:rPr>
          <w:rtl w:val="true"/>
        </w:rPr>
        <w:t>]</w:t>
      </w:r>
      <w:bookmarkEnd w:id="360"/>
    </w:p>
    <w:p>
      <w:pPr>
        <w:pStyle w:val="BookText"/>
        <w:rPr/>
      </w:pPr>
      <w:r>
        <w:rPr>
          <w:rFonts w:ascii="Amiri" w:hAnsi="Amiri" w:eastAsia="Amiri" w:cs="Amiri"/>
          <w:color w:val="111111"/>
          <w:sz w:val="28"/>
          <w:sz w:val="28"/>
          <w:szCs w:val="28"/>
          <w:rtl w:val="true"/>
          <w:lang w:bidi="ar-SA"/>
        </w:rPr>
        <w:t xml:space="preserve">وأمّا التراب المستعمل في التيمم؛ فالظاهر جواز التيمم به، وقياسه على الماء المستعمل في رفع الحدث قياس مع الفارق لو مسلم الحكم في المقيس عليه؛ لأنّ الماء يرفع الحدث؛ فلا يجوز رفع الحدث به ثانياً بخلاف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ولا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بالمستعمل هو التراب الممسوح به لا المضروب عليه والمنفوض بعد الضرب قبل المسح لعدم صدق الاستعمال عليه؛ لأنه كالاغتراف من الإناء ولو قلنا بجزئية الضرب للتيمم ، بل الظاهر من المستعمل هو المنفوض من محل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التيمّم بتراب القبور، وهو الملاصق ببدن الميت إذا لم يتنجس بواسطة وصول الدم إليه ونحو ذلك، ولو شك فالأصل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الامتثال بالضرب لعدم خروجه عن اسم الأرض بالخلط، خلافاً لبعض</w:t>
      </w:r>
      <w:r>
        <w:rPr>
          <w:rStyle w:val="FootnoteAnchor"/>
          <w:rtl w:val="true"/>
        </w:rPr>
        <w:footnoteReference w:id="848"/>
      </w:r>
      <w:r>
        <w:rPr>
          <w:rFonts w:ascii="Amiri" w:hAnsi="Amiri" w:eastAsia="Amiri" w:cs="Amiri"/>
          <w:color w:val="111111"/>
          <w:sz w:val="28"/>
          <w:sz w:val="28"/>
          <w:szCs w:val="28"/>
          <w:rtl w:val="true"/>
          <w:lang w:bidi="ar-SA"/>
        </w:rPr>
        <w:t>فمنع منه مع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يستهلكه التراب سواءً كانا متساويين أو كان التراب مُستَهلَكاً فالظاهر عدم جواز التيمم خصوصاً في الثاني؛ لعدم صدق الأرض عليه، أما في الثاني فواضح، وأما في الأول فلعدم صدق التراب عليه، بل يقال عليه الممتزج، وهو غير الآخر، بل ماهية ثالثة، خصوصاً لو كان الخليط مما لم يكن متميزاً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1" w:name="__RefHeading___Toc3968058_2870459653"/>
      <w:bookmarkStart w:id="362" w:name="_Toc128"/>
      <w:bookmarkEnd w:id="361"/>
      <w:r>
        <w:rPr>
          <w:rtl w:val="true"/>
        </w:rPr>
        <w:t xml:space="preserve">[ </w:t>
      </w:r>
      <w:r>
        <w:rPr>
          <w:rtl w:val="true"/>
        </w:rPr>
        <w:t xml:space="preserve">جواز التيمم بالغبار والطين بعد فقد التراب والحجر </w:t>
      </w:r>
      <w:r>
        <w:rPr>
          <w:rtl w:val="true"/>
        </w:rPr>
        <w:t>]</w:t>
      </w:r>
      <w:bookmarkEnd w:id="36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أنه لو فقد التراب والحجر بجميع أصنافها فهل يجوز التيمم بالغبار والطين أو لا؟ وبيان ترتيبها</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التيمّم بالغبار فالظاهر جوازه بمقتضى الأخبار الواردة فيه</w:t>
      </w:r>
      <w:r>
        <w:rPr>
          <w:rStyle w:val="FootnoteAnchor"/>
          <w:rtl w:val="true"/>
        </w:rPr>
        <w:footnoteReference w:id="851"/>
      </w:r>
      <w:r>
        <w:rPr>
          <w:rFonts w:ascii="Amiri" w:hAnsi="Amiri" w:eastAsia="Amiri" w:cs="Amiri"/>
          <w:color w:val="111111"/>
          <w:sz w:val="28"/>
          <w:sz w:val="28"/>
          <w:szCs w:val="28"/>
          <w:rtl w:val="true"/>
          <w:lang w:bidi="ar-SA"/>
        </w:rPr>
        <w:t>سواءً كان الغبار في الثوب أو في لبد السرج، وليعلم أنّ الغبار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بحيث يكون بعد النفض كثيراً بحيث يصدق عليه التراب، فالظاهر كونه مثل التراب؛ لأنّه تراب فلا يكون مؤخراً عن التراب والحجر بل في مرتبتهما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قابلاً للنفض ولا يكون كثيراً بحيث يصدق عليه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قابلاً للنفض بل يكون كائناً في الشيء بحيث إذا ضرب اليد عليه يرتفع الغبار منه، ولكن ليس بحيث يظهر في وجه الثوب، وهما متأخران عن مرتبة التراب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أنّ التيمم منه هل لا بُدَّ أن ينفض حتى يظهر في وجه الثوب ثمّ يتمم به أو لا يلزم النفض بل يكفي التيمم بالثوب؟</w:t>
      </w:r>
    </w:p>
    <w:p>
      <w:pPr>
        <w:pStyle w:val="BookText"/>
        <w:rPr/>
      </w:pPr>
      <w:r>
        <w:rPr>
          <w:rFonts w:ascii="Amiri" w:hAnsi="Amiri" w:eastAsia="Amiri" w:cs="Amiri"/>
          <w:color w:val="111111"/>
          <w:sz w:val="28"/>
          <w:sz w:val="28"/>
          <w:szCs w:val="28"/>
          <w:rtl w:val="true"/>
          <w:lang w:bidi="ar-SA"/>
        </w:rPr>
        <w:t>والأخبار مختلفة، بعضها دال على التيمّم باللبد</w:t>
      </w:r>
      <w:r>
        <w:rPr>
          <w:rStyle w:val="FootnoteAnchor"/>
          <w:rtl w:val="true"/>
        </w:rPr>
        <w:footnoteReference w:id="852"/>
      </w:r>
      <w:r>
        <w:rPr>
          <w:rFonts w:ascii="Amiri" w:hAnsi="Amiri" w:eastAsia="Amiri" w:cs="Amiri"/>
          <w:color w:val="111111"/>
          <w:sz w:val="28"/>
          <w:sz w:val="28"/>
          <w:szCs w:val="28"/>
          <w:rtl w:val="true"/>
          <w:lang w:bidi="ar-SA"/>
        </w:rPr>
        <w:t>والبرذعة</w:t>
      </w:r>
      <w:r>
        <w:rPr>
          <w:rStyle w:val="FootnoteAnchor"/>
          <w:rtl w:val="true"/>
        </w:rPr>
        <w:footnoteReference w:id="853"/>
      </w:r>
      <w:r>
        <w:rPr>
          <w:rFonts w:ascii="Amiri" w:hAnsi="Amiri" w:eastAsia="Amiri" w:cs="Amiri"/>
          <w:color w:val="111111"/>
          <w:sz w:val="28"/>
          <w:sz w:val="28"/>
          <w:szCs w:val="28"/>
          <w:rtl w:val="true"/>
          <w:lang w:bidi="ar-SA"/>
        </w:rPr>
        <w:t xml:space="preserve">وبعضها مقيّد بالنفض ، ومقتضى القاعدة حمل المطلق على المقيّد فيما يمكن فيه النفض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يمكن نفضه فهل هو مقدم على الطين أو متأخر عنه ؟</w:t>
      </w:r>
    </w:p>
    <w:p>
      <w:pPr>
        <w:pStyle w:val="BookText"/>
        <w:rPr/>
      </w:pPr>
      <w:r>
        <w:rPr>
          <w:rFonts w:ascii="Amiri" w:hAnsi="Amiri" w:eastAsia="Amiri" w:cs="Amiri"/>
          <w:color w:val="111111"/>
          <w:sz w:val="28"/>
          <w:sz w:val="28"/>
          <w:szCs w:val="28"/>
          <w:rtl w:val="true"/>
          <w:lang w:bidi="ar-SA"/>
        </w:rPr>
        <w:t>ويظهر من بعض الأخبار تأخر الطين عن جميع أفراد الغبار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حال لا يجد إلا الطين فيتيمم به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يظهر من بعض آخر تقدم الطين مثل خبر زرارة بعد أن سأل عن رجل دخل الأجمة ليس فيها ماء وفيها طين ما يصنع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يتيمم فإنّه الصعيد، </w:t>
      </w:r>
      <w:bookmarkStart w:id="363" w:name="pg9203_87298"/>
    </w:p>
    <w:p>
      <w:pPr>
        <w:pStyle w:val="BookText"/>
        <w:rPr/>
      </w:pPr>
      <w:bookmarkEnd w:id="36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راكب ولا يمكنه النزول من خوف، وليس هو على وضوء؟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خاف على نفسه من سبع أو غيره وخاف فوت الوقت فليتيمم يضرب بيده على اللبد والبرذعة ويتيمم ويصلي </w:t>
      </w:r>
      <w:r>
        <w:rPr>
          <w:rFonts w:eastAsia="IRNazanin" w:cs="IRNazanin"/>
          <w:color w:val="111111"/>
          <w:sz w:val="28"/>
          <w:szCs w:val="28"/>
          <w:rtl w:val="true"/>
          <w:lang w:bidi="fa-IR"/>
        </w:rPr>
        <w:t>»</w:t>
      </w:r>
      <w:r>
        <w:rPr>
          <w:rStyle w:val="FootnoteAnchor"/>
          <w:rtl w:val="true"/>
        </w:rPr>
        <w:footnoteReference w:id="855"/>
      </w:r>
      <w:r>
        <w:rPr>
          <w:rFonts w:ascii="Amiri" w:hAnsi="Amiri" w:eastAsia="Amiri" w:cs="Amiri"/>
          <w:color w:val="111111"/>
          <w:sz w:val="28"/>
          <w:sz w:val="28"/>
          <w:szCs w:val="28"/>
          <w:rtl w:val="true"/>
          <w:lang w:bidi="ar-SA"/>
        </w:rPr>
        <w:t>حيث إنّ ظاهره أنه إن أمكنه النزول يتيمم بالطين ولا يتيمم بالغبار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غيره من الأخبار التي تكون أصرح منه، ولا يبعد حملها على الغبار الذي يكون كامناً ولا يمكن نفضه، والسابق على الذي يمكن نفضه، وكذلك الظاهر عدم الترتيب بين غبار الثوب وغبار اللبد والبرذعة</w:t>
      </w:r>
      <w:r>
        <w:rPr>
          <w:rFonts w:eastAsia="Amiri" w:cs="Amiri" w:ascii="Amiri" w:hAnsi="Amiri"/>
          <w:color w:val="111111"/>
          <w:sz w:val="28"/>
          <w:szCs w:val="28"/>
          <w:rtl w:val="true"/>
          <w:lang w:bidi="ar-SA"/>
        </w:rPr>
        <w:t>.</w:t>
      </w:r>
    </w:p>
    <w:p>
      <w:pPr>
        <w:pStyle w:val="Heading2"/>
        <w:numPr>
          <w:ilvl w:val="1"/>
          <w:numId w:val="1"/>
        </w:numPr>
        <w:rPr/>
      </w:pPr>
      <w:bookmarkStart w:id="364" w:name="__RefHeading___Toc3968060_2870459653"/>
      <w:bookmarkStart w:id="365" w:name="_Toc129"/>
      <w:bookmarkEnd w:id="364"/>
      <w:r>
        <w:rPr>
          <w:rtl w:val="true"/>
        </w:rPr>
        <w:t>[</w:t>
      </w:r>
      <w:r>
        <w:rPr>
          <w:rtl w:val="true"/>
        </w:rPr>
        <w:t>حكم التيمّم بالتراب المغصوب</w:t>
      </w:r>
      <w:r>
        <w:rPr>
          <w:rtl w:val="true"/>
        </w:rPr>
        <w:t>]</w:t>
      </w:r>
      <w:bookmarkEnd w:id="365"/>
    </w:p>
    <w:p>
      <w:pPr>
        <w:pStyle w:val="BookText"/>
        <w:rPr/>
      </w:pPr>
      <w:r>
        <w:rPr>
          <w:rFonts w:ascii="Amiri" w:hAnsi="Amiri" w:eastAsia="Amiri" w:cs="Amiri"/>
          <w:color w:val="111111"/>
          <w:sz w:val="28"/>
          <w:sz w:val="28"/>
          <w:szCs w:val="28"/>
          <w:rtl w:val="true"/>
          <w:lang w:bidi="ar-SA"/>
        </w:rPr>
        <w:t>وأما التراب المغصوب فإنّ كان الضرب داخلاً في التيمم أو يكون شرطاً يعتبر فيه النية فلا يجوز؛ لاجتماع الأمر والنهي، وأما لو كان خارجاً عنه فالظاهر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المكان مغصوباً فيحتمل الجواز بناءً على أنّ الكون ليس جزءًا من التيمم بل من ضروريات الجسم، لكنّ الأقوى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تقدير كون الضرب جزءاً للتيمّم فظاهر؛ لأنّ الضرب يستلزم الحركة والسكون وهما حرامان وواجبان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لم يكن الضرب داخلاً في التيمم ؛ لأنّه يكون المسح داخلاً فيه وهو يستلزم إمرار اليد وهو تصرف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التيمم هو الأثر الحاصل من المسح وهو الانمساح؛ إلا أنه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ففساده دائر مدار النهي الفعلي فيصح في حق الجاهل والغافل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محل التراب مغصوباً فالظاهر بطلان التيمم أيضاً بناءً على كون الضرب داخلاً في التيمم، فحصول التصرف فيه بواسطة الضرب نظير ما لو كان الماء في الآنية المغصوبة؛ لأنّ الضرب وإن كان على التراب إلّا أنّه يستلزم الاعتماد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bookmarkStart w:id="366" w:name="pg9203_87299"/>
    </w:p>
    <w:p>
      <w:pPr>
        <w:pStyle w:val="Heading2"/>
        <w:numPr>
          <w:ilvl w:val="1"/>
          <w:numId w:val="1"/>
        </w:numPr>
        <w:rPr/>
      </w:pPr>
      <w:bookmarkStart w:id="367" w:name="__RefHeading___Toc3968062_2870459653"/>
      <w:bookmarkStart w:id="368" w:name="_Toc130"/>
      <w:bookmarkEnd w:id="366"/>
      <w:bookmarkEnd w:id="367"/>
      <w:r>
        <w:rPr>
          <w:rtl w:val="true"/>
        </w:rPr>
        <w:t xml:space="preserve">[ </w:t>
      </w:r>
      <w:r>
        <w:rPr>
          <w:rtl w:val="true"/>
        </w:rPr>
        <w:t>صحة تيمّم المحبوس في المكان المغصوب</w:t>
      </w:r>
      <w:r>
        <w:rPr>
          <w:rtl w:val="true"/>
        </w:rPr>
        <w:t>]</w:t>
      </w:r>
      <w:bookmarkEnd w:id="368"/>
    </w:p>
    <w:p>
      <w:pPr>
        <w:pStyle w:val="BookText"/>
        <w:rPr/>
      </w:pPr>
      <w:r>
        <w:rPr>
          <w:rFonts w:ascii="Amiri" w:hAnsi="Amiri" w:eastAsia="Amiri" w:cs="Amiri"/>
          <w:color w:val="111111"/>
          <w:sz w:val="28"/>
          <w:sz w:val="28"/>
          <w:szCs w:val="28"/>
          <w:rtl w:val="true"/>
          <w:lang w:bidi="ar-SA"/>
        </w:rPr>
        <w:t>وأمّا لو كان الشخص محبوساً في المكان المغصوب فهل يصح التيمم فيه أم لا؟</w:t>
      </w:r>
    </w:p>
    <w:p>
      <w:pPr>
        <w:pStyle w:val="BookText"/>
        <w:rPr/>
      </w:pPr>
      <w:r>
        <w:rPr>
          <w:rFonts w:ascii="Amiri" w:hAnsi="Amiri" w:eastAsia="Amiri" w:cs="Amiri"/>
          <w:color w:val="111111"/>
          <w:sz w:val="28"/>
          <w:sz w:val="28"/>
          <w:szCs w:val="28"/>
          <w:rtl w:val="true"/>
          <w:lang w:bidi="ar-SA"/>
        </w:rPr>
        <w:t>يمكن القول بالصحة بناءً على أنّ الحرج ولزوم التكليف بما لا يطاق رفع عنه الحرمة في الكون وليس بين الأكوان ترجيح فلا بُدَّ أن تكون جميع الأكوان 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يشغل فضاء المكان بقدر جسمه فيكون هذا الفضاء مباحاً، ففي جميع الأكوان والأحوال لا يشغل أزيد من ذلك، سواءً كان في حال الصلاة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يعدّ في العرف الكون الحاصل في الصلاة تصرفاً زائداً على الكون الذي من ضروريات الجسم فيكون منهياً عنه فكذلك التيمم، لكن الظاهر صحته؛ إذ كونه في هذا المكان مباحاً بمقتضى استحالة التكليف بما لا يطاق والالتزام بكون خاص مثل القعود وإنما يتعذر فلا يكون ترجيح في البين فيكون الجميع مباحاً</w:t>
      </w:r>
      <w:r>
        <w:rPr>
          <w:rFonts w:eastAsia="Amiri" w:cs="Amiri" w:ascii="Amiri" w:hAnsi="Amiri"/>
          <w:color w:val="111111"/>
          <w:sz w:val="28"/>
          <w:szCs w:val="28"/>
          <w:rtl w:val="true"/>
          <w:lang w:bidi="ar-SA"/>
        </w:rPr>
        <w:t>.</w:t>
      </w:r>
    </w:p>
    <w:p>
      <w:pPr>
        <w:pStyle w:val="Heading2"/>
        <w:numPr>
          <w:ilvl w:val="1"/>
          <w:numId w:val="1"/>
        </w:numPr>
        <w:rPr/>
      </w:pPr>
      <w:bookmarkStart w:id="369" w:name="__RefHeading___Toc3968064_2870459653"/>
      <w:bookmarkStart w:id="370" w:name="_Toc131"/>
      <w:bookmarkEnd w:id="369"/>
      <w:r>
        <w:rPr>
          <w:rtl w:val="true"/>
        </w:rPr>
        <w:t>[</w:t>
      </w:r>
      <w:r>
        <w:rPr>
          <w:rtl w:val="true"/>
        </w:rPr>
        <w:t xml:space="preserve">عدم جواز التيمّم بالثلج </w:t>
      </w:r>
      <w:r>
        <w:rPr>
          <w:rtl w:val="true"/>
        </w:rPr>
        <w:t>]</w:t>
      </w:r>
      <w:bookmarkEnd w:id="370"/>
    </w:p>
    <w:p>
      <w:pPr>
        <w:pStyle w:val="BookText"/>
        <w:rPr/>
      </w:pPr>
      <w:r>
        <w:rPr>
          <w:rFonts w:ascii="Amiri" w:hAnsi="Amiri" w:eastAsia="Amiri" w:cs="Amiri"/>
          <w:color w:val="111111"/>
          <w:sz w:val="28"/>
          <w:sz w:val="28"/>
          <w:szCs w:val="28"/>
          <w:rtl w:val="true"/>
          <w:lang w:bidi="ar-SA"/>
        </w:rPr>
        <w:t>أمّا الثلج فالظاهر عدم جواز التيمّم به؛ لعدم كونه من الأرض وعدم الدليل، وإن كان يمكن الغسل به مع الجريان بالإذابة وغيرها ويكون مقدماً على التراب والتيمم للقدرة على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به الغسل فلا دليل على صحة التيمم به مطلقا، هذا كله فيما يتيمم به </w:t>
      </w:r>
      <w:r>
        <w:rPr>
          <w:rFonts w:eastAsia="Amiri" w:cs="Amiri" w:ascii="Amiri" w:hAnsi="Amiri"/>
          <w:color w:val="111111"/>
          <w:sz w:val="28"/>
          <w:szCs w:val="28"/>
          <w:rtl w:val="true"/>
          <w:lang w:bidi="ar-SA"/>
        </w:rPr>
        <w:t>.</w:t>
      </w:r>
    </w:p>
    <w:p>
      <w:pPr>
        <w:pStyle w:val="Heading2"/>
        <w:numPr>
          <w:ilvl w:val="1"/>
          <w:numId w:val="1"/>
        </w:numPr>
        <w:rPr/>
      </w:pPr>
      <w:bookmarkStart w:id="371" w:name="__RefHeading___Toc3968066_2870459653"/>
      <w:bookmarkStart w:id="372" w:name="_Toc132"/>
      <w:bookmarkEnd w:id="371"/>
      <w:r>
        <w:rPr>
          <w:rtl w:val="true"/>
        </w:rPr>
        <w:t>[</w:t>
      </w:r>
      <w:r>
        <w:rPr>
          <w:rtl w:val="true"/>
        </w:rPr>
        <w:t xml:space="preserve">كيفية التيمّم، وحكمه قبل الوقت </w:t>
      </w:r>
      <w:r>
        <w:rPr>
          <w:rtl w:val="true"/>
        </w:rPr>
        <w:t>]</w:t>
      </w:r>
      <w:bookmarkEnd w:id="372"/>
    </w:p>
    <w:p>
      <w:pPr>
        <w:pStyle w:val="BookText"/>
        <w:rPr/>
      </w:pPr>
      <w:r>
        <w:rPr>
          <w:rFonts w:ascii="Amiri" w:hAnsi="Amiri" w:eastAsia="Amiri" w:cs="Amiri"/>
          <w:color w:val="111111"/>
          <w:sz w:val="28"/>
          <w:sz w:val="28"/>
          <w:szCs w:val="28"/>
          <w:rtl w:val="true"/>
          <w:lang w:bidi="ar-SA"/>
        </w:rPr>
        <w:t>وأمّا كيفية التيمم وبيان اعتبار الضيق فيه وعدمه، فنتكلم أولاً في الثاني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التيمم قبل الوقت، وادعي عليه الإجماع</w:t>
      </w:r>
      <w:r>
        <w:rPr>
          <w:rStyle w:val="FootnoteAnchor"/>
          <w:rtl w:val="true"/>
        </w:rPr>
        <w:footnoteReference w:id="856"/>
      </w:r>
      <w:r>
        <w:rPr>
          <w:rFonts w:ascii="Amiri" w:hAnsi="Amiri" w:eastAsia="Amiri" w:cs="Amiri"/>
          <w:color w:val="111111"/>
          <w:sz w:val="28"/>
          <w:sz w:val="28"/>
          <w:szCs w:val="28"/>
          <w:rtl w:val="true"/>
          <w:lang w:bidi="ar-SA"/>
        </w:rPr>
        <w:t>بحد التواتر والاستفاضة، والظاهر من كلماتهم أن مورد الإجماع هو التيمم لذات الوقت، وأمّا التيمّم لغايات أُخر يجوز لها التيمم فالظاهر أنه ليس محل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يظهر من كلمات بعضهم</w:t>
      </w:r>
      <w:r>
        <w:rPr>
          <w:rStyle w:val="FootnoteAnchor"/>
          <w:rtl w:val="true"/>
        </w:rPr>
        <w:footnoteReference w:id="857"/>
      </w:r>
      <w:r>
        <w:rPr>
          <w:rFonts w:ascii="Amiri" w:hAnsi="Amiri" w:eastAsia="Amiri" w:cs="Amiri"/>
          <w:color w:val="111111"/>
          <w:sz w:val="28"/>
          <w:sz w:val="28"/>
          <w:szCs w:val="28"/>
          <w:rtl w:val="true"/>
          <w:lang w:bidi="ar-SA"/>
        </w:rPr>
        <w:t>أنّ هذا الحكم مختص بالطهارة الترابية دون المائية فيجوز الوضوء قبل الوقت، وبه صار الوضوء مفترقاً عن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تحقيق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وضوء يصح قبل الوقت الذي لا يصح قيام التيمّم مقامه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الوضوء للغايات فيصح قبل الوقت، وكذلك التيمم أيضاً قبل الوقت للغايات المشروع لها 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الوضوء للكون على الطهارة، فالظاهر قيام التيمم مقامه وصحة التيمم له كما تشهد به الرواية، وهي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أصحاب رسول الله صلی الله علیه وآله وسلم إذا بالوا توضأوا، أو </w:t>
      </w:r>
      <w:r>
        <w:rPr>
          <w:rStyle w:val="FootnoteAnchor"/>
          <w:rtl w:val="true"/>
        </w:rPr>
        <w:footnoteReference w:id="858"/>
      </w:r>
      <w:r>
        <w:rPr>
          <w:rFonts w:ascii="Amiri" w:hAnsi="Amiri" w:eastAsia="Amiri" w:cs="Amiri"/>
          <w:color w:val="111111"/>
          <w:sz w:val="28"/>
          <w:sz w:val="28"/>
          <w:szCs w:val="28"/>
          <w:rtl w:val="true"/>
          <w:lang w:bidi="ar-SA"/>
        </w:rPr>
        <w:t>تيمموا، مخافة أن تدركهم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عموم المنزلة الذي يستفاد من الأخبار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بمنزلة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859"/>
      </w:r>
      <w:r>
        <w:rPr>
          <w:rFonts w:ascii="IRNazanin" w:hAnsi="IRNazanin" w:eastAsia="IRNazanin"/>
          <w:color w:val="111111"/>
          <w:sz w:val="28"/>
          <w:sz w:val="28"/>
          <w:szCs w:val="28"/>
          <w:rtl w:val="true"/>
          <w:lang w:bidi="fa-IR"/>
        </w:rPr>
        <w:t>مثل ما ذكره بعض وهو الوضوء للتأهب للصلاة، وهذا وإن أنكره في کشف اللثام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إلّا الوضوء للكون على الطهارة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للكون على الطهارة هو ما يكون المطلوب منه مجرد الكون على الطهارة لا شيئاً آخر، ووضوء التأهب هو ما يكون المطلوب حصول الطهارة؛ لأجل عدم انتظار وقت الصلاة، وفي الحقيقة المطلوب هو عدم الحالة المنتظرة للشخص، وهو يستلزم حصول الطهارة، ولا يلزم من حصولها مع التأهب عدم كون المطلوب إلّا إيّاه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كلمات بعض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للوضوء ولا للتيمم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الوقت وثبوت الجواز للوضوء دون التيمّم قبله، لكنّ الكلام في إثبات شرعية الوضوء؛ </w:t>
      </w:r>
    </w:p>
    <w:p>
      <w:pPr>
        <w:pStyle w:val="BookText"/>
        <w:rPr/>
      </w:pPr>
      <w:r>
        <w:rPr>
          <w:rFonts w:ascii="IRNazanin" w:hAnsi="IRNazanin" w:eastAsia="IRNazanin"/>
          <w:color w:val="111111"/>
          <w:sz w:val="28"/>
          <w:sz w:val="28"/>
          <w:szCs w:val="28"/>
          <w:rtl w:val="true"/>
          <w:lang w:bidi="fa-IR"/>
        </w:rPr>
        <w:t xml:space="preserve">لأنّه يتوقف على الأمر وعدم الأمر قبل الوقت لا الوجوبي ولا الاستحبابي؛ لأنّ أمر الوضوء ينشأ من الأمر بذي المقدمة وهنا يكون الأمر بالصلاة مقيداً بالوقت؛ لأنه مشروط، ومقتضاه عدم ثبوته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يتحقق الأمر بالوضوء من جهة قبل الوقت لعدم تصور الوجوب التكليفي هنا قبل الوقت للصلاة، للعلم بعدم مطلوبية الصلاة إلّا في الوقت لا قبله ولأنّ مقتضى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 والصلاة</w:t>
      </w:r>
      <w:r>
        <w:rPr>
          <w:rStyle w:val="FootnoteAnchor"/>
          <w:rtl w:val="true"/>
        </w:rPr>
        <w:footnoteReference w:id="861"/>
      </w:r>
      <w:r>
        <w:rPr>
          <w:rFonts w:ascii="Amiri" w:hAnsi="Amiri" w:eastAsia="Amiri" w:cs="Amiri"/>
          <w:color w:val="111111"/>
          <w:sz w:val="28"/>
          <w:sz w:val="28"/>
          <w:szCs w:val="28"/>
          <w:rtl w:val="true"/>
          <w:lang w:bidi="ar-SA"/>
        </w:rPr>
        <w:t>عدم الأمر قبل الوقت، ولأنه لو ثبت الأمر قبل الوقت يكون وجوبياً لا ندبياً وهو خلاف ما ذكره، فلا بُدَّ من إثبات الأمر الاستحبابي بالوضوء قبل الوقت، حتى يكون الوضوء مشروعاً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يمكن أن يستدل به لذلك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استحباب الصلاة في أول الوقت</w:t>
      </w:r>
      <w:r>
        <w:rPr>
          <w:rStyle w:val="FootnoteAnchor"/>
          <w:rtl w:val="true"/>
        </w:rPr>
        <w:footnoteReference w:id="862"/>
      </w:r>
      <w:r>
        <w:rPr>
          <w:rFonts w:ascii="Amiri" w:hAnsi="Amiri" w:eastAsia="Amiri" w:cs="Amiri"/>
          <w:color w:val="111111"/>
          <w:sz w:val="28"/>
          <w:sz w:val="28"/>
          <w:szCs w:val="28"/>
          <w:rtl w:val="true"/>
          <w:lang w:bidi="ar-SA"/>
        </w:rPr>
        <w:t>إذ الظاهر أنّ المراد هو أول الوقت حقيقة، لا الأول بعد إتيان المقدمات ولو بعد مضي ساعتين من أول الوقت، ومقتضى إطلاقها استحبابها في حق الواجد للشرائط في أول الوقت وفاقدها، ولو لم يكن الوضوء مشروعاً قبل الوقت لم تبق هذه الإطلاقات على إطلاقها، بل تكون مقيّدة، فلا بُدَّ أن يكون الوضوء مشروعاً قبله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بالاستحباب في أول الوقت هو مجرد الفضيلة والرجحان نظير أفضل فردي الواجب المخيّر بحيث لم يكن استحباباً اصطلاحياً بل مجرد الفضيلة؛ لأنّ تلك الفضيلة متقوّمة بالوجوب وليس أمراً على حدة، بل تأكد الرجحان ومقتضى اشتراط الوجوب بالوقت انتفاؤه قبل الوقت، فتنتفي تلك الفضيلة أيضاً؛ لأنها متقوّمةٌ بالوجوب، ولا يكون أمراً على حدة غير الأمر الوجوبي بالفعل في أول الوقت بحيث يكون الفعل في أول الوقت مأموراً به بأمرين؛ لاجتماع حكمين في الشيء الواحد، وهو </w:t>
      </w:r>
    </w:p>
    <w:p>
      <w:pPr>
        <w:pStyle w:val="BookText"/>
        <w:rPr/>
      </w:pPr>
      <w:r>
        <w:rPr>
          <w:rFonts w:ascii="Amiri" w:hAnsi="Amiri" w:eastAsia="Amiri" w:cs="Amiri"/>
          <w:color w:val="111111"/>
          <w:sz w:val="28"/>
          <w:sz w:val="28"/>
          <w:szCs w:val="28"/>
          <w:rtl w:val="true"/>
          <w:lang w:bidi="ar-SA"/>
        </w:rPr>
        <w:t>ممتنع كما قُرِّر في مبحث اجتماع الأمر والنهي إلّا أن يتصور كما يتصور في الواجب المخيّر الذي يكون أفضل الأفراد بحيث يكون مستحباً مع كونه واجباً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الوجوب هو ذات الواجب وموضوع الاستحباب هو الواجب مع صفة الوجوب، ففي هذا الإطعام الذي يكون واجباً أو العتق أفعله ويكون مستحباً، ولا يردُ أنَّ الإطعام مثلاً له بدل وهو العتق، فكيف يمكن الحكم باستحبابه مع أنّ المستحب ما يجوز تركه من غير البدل لأنّ هذا البدل إنّما هو ثابت له في مقام الذات من دون صفة الوجوب، وهذه المطلوبية لها بدل ولا يكون البدل في مرتبة الواجب مع صفة المطلوبية الزائدة، وفي هذا المقام أيضاً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التصوير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بمقتضى أدلّة استحباب الصلاة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أُحبّ أن يصعد عمل أول من عملي</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وغيره من الأخبار الدالة على استحباب الصلاة في أول الوقت، ومثل الأوامر الدالّة على المسارعة في الخيرات والمغفرة</w:t>
      </w:r>
      <w:r>
        <w:rPr>
          <w:rStyle w:val="FootnoteAnchor"/>
          <w:rtl w:val="true"/>
        </w:rPr>
        <w:footnoteReference w:id="864"/>
      </w:r>
      <w:r>
        <w:rPr>
          <w:rFonts w:ascii="Amiri" w:hAnsi="Amiri" w:eastAsia="Amiri" w:cs="Amiri"/>
          <w:color w:val="111111"/>
          <w:sz w:val="28"/>
          <w:sz w:val="28"/>
          <w:szCs w:val="28"/>
          <w:rtl w:val="true"/>
          <w:lang w:bidi="ar-SA"/>
        </w:rPr>
        <w:t xml:space="preserve">بناءً على دلالتها على المسارعة في الخير الذي يتحقق بعد دخول الوقت ولم تكن خاصة بالمسارعة إلى الخير الذي تحقق حين الأمر، ويثبت جهة استحباب في الصلاة في أول الوقت مقتضية للأمر الاستحبابي بها إلّا أنّه لما كان هناك مانع من الأمر الاستحبابي لاجتماع الواجب والمستحب لم يؤمر به بالأمر الاستحبابي، وهذه الجهة مطلوبة للشارع في أول الوقت فلا بُدَّ ان تكون الصلاة في أول الوقت مطلوبة له قبل الوقت حتى ينتزع منها مطلوبية الوضوء قبل الوقت حتى يكون الوضوء مشروعاً قبل الوقت حتى يكون المكلّف في فسحة من امتثال هذا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ومجرد المطلوبية كافية في صحة الوضوء</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يمكن أن يستدل به على استحباب الوضوء قبل الوقت قوله علیه السلام </w:t>
      </w:r>
      <w:r>
        <w:rPr>
          <w:rFonts w:eastAsia="IRNazanin" w:cs="IRNazanin"/>
          <w:color w:val="111111"/>
          <w:sz w:val="28"/>
          <w:szCs w:val="28"/>
          <w:rtl w:val="true"/>
          <w:lang w:bidi="fa-IR"/>
        </w:rPr>
        <w:t xml:space="preserve">: </w:t>
      </w:r>
      <w:bookmarkStart w:id="373" w:name="pg9203_87303"/>
    </w:p>
    <w:p>
      <w:pPr>
        <w:pStyle w:val="BookText"/>
        <w:rPr/>
      </w:pPr>
      <w:bookmarkEnd w:id="373"/>
      <w:r>
        <w:rPr>
          <w:rFonts w:ascii="Amiri" w:hAnsi="Amiri" w:eastAsia="Amiri" w:cs="Amiri"/>
          <w:color w:val="111111"/>
          <w:sz w:val="28"/>
          <w:sz w:val="28"/>
          <w:szCs w:val="28"/>
          <w:rtl w:val="true"/>
          <w:lang w:bidi="ar-SA"/>
        </w:rPr>
        <w:t>ما وقّر الصلاة من أخر الطهارة إلى أن يدخل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المسارعة في الخير والمغفرة بناءً على دلالته على المسارعة ولو قبل تحقق صفة الوجوب للواجب والخير، فيدلّ على مشروعية الوضوء قبل وقت الواجب حتى يمكن فعل الصلاة في أول الوقت بناءً على أنّه أيضاً مسارعة، وفرد من أفراد المسارعة فثبت من هذه الكلمات مشروعية الوضوء قبل الوقت</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3968068_2870459653"/>
      <w:bookmarkStart w:id="375" w:name="_Toc133"/>
      <w:bookmarkEnd w:id="374"/>
      <w:r>
        <w:rPr>
          <w:rtl w:val="true"/>
        </w:rPr>
        <w:t>[</w:t>
      </w:r>
      <w:r>
        <w:rPr>
          <w:rtl w:val="true"/>
        </w:rPr>
        <w:t xml:space="preserve">هل يكون الوضوء قبل الوقت غيرياً أو نفسياً </w:t>
      </w:r>
      <w:r>
        <w:rPr>
          <w:rtl w:val="true"/>
        </w:rPr>
        <w:t>]</w:t>
      </w:r>
      <w:bookmarkEnd w:id="375"/>
    </w:p>
    <w:p>
      <w:pPr>
        <w:pStyle w:val="BookText"/>
        <w:rPr/>
      </w:pPr>
      <w:r>
        <w:rPr>
          <w:rFonts w:ascii="Amiri" w:hAnsi="Amiri" w:eastAsia="Amiri" w:cs="Amiri"/>
          <w:color w:val="111111"/>
          <w:sz w:val="28"/>
          <w:sz w:val="28"/>
          <w:szCs w:val="28"/>
          <w:rtl w:val="true"/>
          <w:lang w:bidi="ar-SA"/>
        </w:rPr>
        <w:t>ثم إنّه هل يكون هذا الوضوء غيرياً فلا بُدَّ أن يُؤتى به بقصد الصلاة وتكون هي الغاية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نفسياً بمعنى أنّه يُؤتى به بقصد الكون على الطهارة، وإن كان غاية الغاية لا بُدَّ أن تكون هي الصلاة ولا بُدَّ من قصد الصلاة في أول الوقت أيضاً؛ لأن مطلوبيته إنّما كانت من أجل مطلوبية الصلاة في أول الوقت فلا يكون مطلوباً مع عدمه؟</w:t>
      </w:r>
    </w:p>
    <w:p>
      <w:pPr>
        <w:pStyle w:val="BookText"/>
        <w:rPr/>
      </w:pPr>
      <w:r>
        <w:rPr>
          <w:rFonts w:ascii="Amiri" w:hAnsi="Amiri" w:eastAsia="Amiri" w:cs="Amiri"/>
          <w:color w:val="111111"/>
          <w:sz w:val="28"/>
          <w:sz w:val="28"/>
          <w:szCs w:val="28"/>
          <w:rtl w:val="true"/>
          <w:lang w:bidi="ar-SA"/>
        </w:rPr>
        <w:t xml:space="preserve">مقتضى كلمات الأصحاب </w:t>
      </w:r>
      <w:r>
        <w:rPr>
          <w:rStyle w:val="FootnoteAnchor"/>
          <w:rtl w:val="true"/>
        </w:rPr>
        <w:footnoteReference w:id="865"/>
      </w:r>
      <w:r>
        <w:rPr>
          <w:rFonts w:ascii="IRNazanin" w:hAnsi="IRNazanin" w:eastAsia="IRNazanin"/>
          <w:color w:val="111111"/>
          <w:sz w:val="28"/>
          <w:sz w:val="28"/>
          <w:szCs w:val="28"/>
          <w:rtl w:val="true"/>
          <w:lang w:bidi="fa-IR"/>
        </w:rPr>
        <w:t>أنه يستحب الوضوء للتأهب وهي المطلوبية النفسية؛ لأنّ معنی التأهب هو قصد حصول الطهارة؛ لأجل عدم حصول حالة منتظرة في أول الوقت فغاية الوضوء هو حصول الطهارة وإن كان إتيان الصلاة في أول الوقت غاية لهذه الغاية خصوصاً بمقتضى تقسيمهم الوضوء وأنه يجب للواجب ويستحب للمندوب، والحال أنّ هذا الوضوء لا يجب بالعرض؛ لكونه في خارج الوقت، ولا يجب إلّا بعد الوقت ولا يكون مستحباً لعدم كون الصلاة مستحبة بل تكون واجبة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فالوضوء الذي للغير، تابع للغير إن كان واجباً فواجب وإن كان مستحباً فمستحب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أنّ الصلاة في أول الوقت لا تكون واجبة قبل الوقت ولا تكون مستحبة </w:t>
      </w:r>
    </w:p>
    <w:p>
      <w:pPr>
        <w:pStyle w:val="BookText"/>
        <w:rPr/>
      </w:pPr>
      <w:r>
        <w:rPr>
          <w:rFonts w:ascii="Amiri" w:hAnsi="Amiri" w:eastAsia="Amiri" w:cs="Amiri"/>
          <w:color w:val="111111"/>
          <w:sz w:val="28"/>
          <w:sz w:val="28"/>
          <w:szCs w:val="28"/>
          <w:rtl w:val="true"/>
          <w:lang w:bidi="ar-SA"/>
        </w:rPr>
        <w:t>لعدم الأمر الاستحبابي بها؛ لاجتماع المتضادين بل فيه جهة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وَقَرَ فلا يدلّ على أحد الأمرين، بل يدلّ على استحباب الوضوء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الإطلاقات أيضاً تدل على استحباب الوضوء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لأجل الصلاة أو لغيره من الكون على الطهارة فلا يدل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قلنا بثبوت خاصية الطهارة للوضوء كيفما وقع فلا إشكال في صحة الوضوء أي غاية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شككنا في حصول الخاصية له مطلقاً، فمقتضى أصالة عدم التأثير عدم الصحّة، إلا مع قصد غاية تحصل معها الطهارة بقصدها؛ لأنّه من المعلوم من الأدلّة عدم مطلوبية الوضوء إلّا للطهارة وحصولها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فالتكليف بشيء معيّن مفهوماً وإنّما الشك في المحصل فلا بُدَّ من البناء على الاشتغال وقصد الغاية التي تحصل الطهارة بقصدها إلّا أنا أثبتنا في موضعه ان كل وضوء صدر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 يكون أنه لا يكون محدثاً بالحدث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يكون محدثاً بالحدث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الحدث فتحصل الطهارة به مع إتيانه بداعي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شككنا في محل هذا الوضوء بمعنى أنه يشترط أن يكون متصلاً بأول الوقت، بحيث يكون مقارناً لأول الوقت أو يكفي إتيانه ولو قبل الوقت بمقدار ساعة أو ساعتين ومرجع الشك إلى الشك في الاشتراط، فمقتضى 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ما ذكرنا من كون الشك في المحصل ولا بُدَّ من الاحتياط؛ لأنّ الإتيان في الوقت الخاص دون وقت لا مدخلية له في حصول الطهارة، وإنّما المؤثر هو هذه الأفعال مع القصد إلى غاية بداعي الأمر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لو لم يعلم بعدم وجود التراب في الوقت وغيره؛ وأما لو علم بعدم إمكان التيمم في الوقت أو الاختياري منه</w:t>
      </w:r>
      <w:r>
        <w:rPr>
          <w:rFonts w:eastAsia="Amiri" w:cs="Amiri" w:ascii="Amiri" w:hAnsi="Amiri"/>
          <w:color w:val="111111"/>
          <w:sz w:val="28"/>
          <w:szCs w:val="28"/>
          <w:rtl w:val="true"/>
          <w:lang w:bidi="ar-SA"/>
        </w:rPr>
        <w:t xml:space="preserve">: </w:t>
      </w:r>
      <w:bookmarkStart w:id="376" w:name="pg9203_87305"/>
    </w:p>
    <w:p>
      <w:pPr>
        <w:pStyle w:val="BookText"/>
        <w:rPr/>
      </w:pPr>
      <w:bookmarkEnd w:id="376"/>
      <w:r>
        <w:rPr>
          <w:rFonts w:ascii="Amiri" w:hAnsi="Amiri" w:eastAsia="Amiri" w:cs="Amiri"/>
          <w:color w:val="111111"/>
          <w:sz w:val="28"/>
          <w:sz w:val="28"/>
          <w:szCs w:val="28"/>
          <w:rtl w:val="true"/>
          <w:lang w:bidi="ar-SA"/>
        </w:rPr>
        <w:t>فعن بعض الفقهاء كالمحقق البهبهاني، ذكر في شرح المفاتيح كما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حاشية المدارك</w:t>
      </w:r>
      <w:r>
        <w:rPr>
          <w:rStyle w:val="FootnoteAnchor"/>
          <w:rtl w:val="true"/>
        </w:rPr>
        <w:footnoteReference w:id="866"/>
      </w:r>
      <w:r>
        <w:rPr>
          <w:rFonts w:ascii="Amiri" w:hAnsi="Amiri" w:eastAsia="Amiri" w:cs="Amiri"/>
          <w:color w:val="111111"/>
          <w:sz w:val="28"/>
          <w:sz w:val="28"/>
          <w:szCs w:val="28"/>
          <w:rtl w:val="true"/>
          <w:lang w:bidi="ar-SA"/>
        </w:rPr>
        <w:t>بوجوب التيمّم حينئذٍ لأدلة لا يخلو أكثرها من ضعف، مثل الرواية الدالة على عدم الذهاب إلى الأرض التي لا يوجد فيها الماء، الظاهر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وجوب مقدّمة الواجب في مثل هذا المقام نظير وجوب مقدّمات الحج قبل زمان ذي الحجة مثلاً فكأنه فهم الوجوب التعليقي قبل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لا يخفى ما فيه، إذ يدفعه عموم المفهوم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 والصلاة</w:t>
      </w:r>
      <w:r>
        <w:rPr>
          <w:rFonts w:eastAsia="IRNazanin" w:cs="IRNazanin"/>
          <w:color w:val="111111"/>
          <w:sz w:val="28"/>
          <w:szCs w:val="28"/>
          <w:rtl w:val="true"/>
          <w:lang w:bidi="fa-IR"/>
        </w:rPr>
        <w:t>»</w:t>
      </w:r>
      <w:r>
        <w:rPr>
          <w:rStyle w:val="FootnoteAnchor"/>
          <w:rtl w:val="true"/>
        </w:rPr>
        <w:footnoteReference w:id="867"/>
      </w:r>
      <w:r>
        <w:rPr>
          <w:rFonts w:ascii="Amiri" w:hAnsi="Amiri" w:eastAsia="Amiri" w:cs="Amiri"/>
          <w:color w:val="111111"/>
          <w:sz w:val="28"/>
          <w:sz w:val="28"/>
          <w:szCs w:val="28"/>
          <w:rtl w:val="true"/>
          <w:lang w:bidi="ar-SA"/>
        </w:rPr>
        <w:t>بناءً على شمول الطهور للتيمم، وكذا لو لم يشمل أيضاً لعدم ثبوت التيمم في موضع لا يثبت فيه الوضوء، وهذا الوجوب التعليقي إنّما يتم لو فهمنا مطلوبية الفعل قبل الوقت كما في الحج وغسل الجنابة قبل الصبح في شهر رمضان ولم يثبت ذلك في الصلاة</w:t>
      </w:r>
      <w:r>
        <w:rPr>
          <w:rFonts w:eastAsia="Amiri" w:cs="Amiri" w:ascii="Amiri" w:hAnsi="Amiri"/>
          <w:color w:val="111111"/>
          <w:sz w:val="28"/>
          <w:szCs w:val="28"/>
          <w:rtl w:val="true"/>
          <w:lang w:bidi="ar-SA"/>
        </w:rPr>
        <w:t>.</w:t>
      </w:r>
    </w:p>
    <w:p>
      <w:pPr>
        <w:pStyle w:val="Heading2"/>
        <w:numPr>
          <w:ilvl w:val="1"/>
          <w:numId w:val="1"/>
        </w:numPr>
        <w:rPr/>
      </w:pPr>
      <w:bookmarkStart w:id="377" w:name="__RefHeading___Toc3968070_2870459653"/>
      <w:bookmarkStart w:id="378" w:name="_Toc134"/>
      <w:bookmarkEnd w:id="377"/>
      <w:r>
        <w:rPr>
          <w:rtl w:val="true"/>
        </w:rPr>
        <w:t xml:space="preserve">[ </w:t>
      </w:r>
      <w:r>
        <w:rPr>
          <w:rtl w:val="true"/>
        </w:rPr>
        <w:t>هل يعتبر الضيق في التيمم بعد دخول الوقت؟</w:t>
      </w:r>
      <w:r>
        <w:rPr>
          <w:rtl w:val="true"/>
        </w:rPr>
        <w:t>]</w:t>
      </w:r>
      <w:bookmarkEnd w:id="378"/>
    </w:p>
    <w:p>
      <w:pPr>
        <w:pStyle w:val="BookText"/>
        <w:rPr/>
      </w:pPr>
      <w:r>
        <w:rPr>
          <w:rFonts w:ascii="Amiri" w:hAnsi="Amiri" w:eastAsia="Amiri" w:cs="Amiri"/>
          <w:color w:val="111111"/>
          <w:sz w:val="28"/>
          <w:sz w:val="28"/>
          <w:szCs w:val="28"/>
          <w:rtl w:val="true"/>
          <w:lang w:bidi="ar-SA"/>
        </w:rPr>
        <w:t>وأمّا الكلام في التيمّم بعد الوقت وأنّه هل يعتبر فيه الضيق حتى لو علم بعدم وجود الماء في تمام الوقت أو لا يعتبر الضيق ؟</w:t>
      </w:r>
    </w:p>
    <w:p>
      <w:pPr>
        <w:pStyle w:val="BookText"/>
        <w:rPr/>
      </w:pPr>
      <w:r>
        <w:rPr>
          <w:rFonts w:ascii="Amiri" w:hAnsi="Amiri" w:eastAsia="Amiri" w:cs="Amiri"/>
          <w:color w:val="111111"/>
          <w:sz w:val="28"/>
          <w:sz w:val="28"/>
          <w:szCs w:val="28"/>
          <w:rtl w:val="true"/>
          <w:lang w:bidi="ar-SA"/>
        </w:rPr>
        <w:t>فبيانه يحتاج إلى التكلم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مقدار الضيق، هل هو عدم زيادة الوقت عن إتيان الصلاة مع جميع مقدماتها وجميع أجزاءها من الواجبات والمستحبات، أو عدم زيادة الوقت عن مقدار أقل الواجب؟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مبني على كون المدرك في الضيق هل هو إطلاقات الوضوء فمقتضاها الاقتصار على أقلّ الواجب؛ لأنّ مقتضى الإطلاق وجوبه إلا مع عدم التمكن فينتقل إلى البدل وليس إلّا في آخر الوقت حقيقةً</w:t>
      </w:r>
      <w:r>
        <w:rPr>
          <w:rFonts w:eastAsia="Amiri" w:cs="Amiri" w:ascii="Amiri" w:hAnsi="Amiri"/>
          <w:color w:val="111111"/>
          <w:sz w:val="28"/>
          <w:szCs w:val="28"/>
          <w:rtl w:val="true"/>
          <w:lang w:bidi="ar-SA"/>
        </w:rPr>
        <w:t xml:space="preserve">. </w:t>
      </w:r>
      <w:bookmarkStart w:id="379" w:name="pg9203_87306"/>
    </w:p>
    <w:p>
      <w:pPr>
        <w:pStyle w:val="BookText"/>
        <w:rPr/>
      </w:pPr>
      <w:bookmarkEnd w:id="379"/>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منفي بأدلة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المدرك هي الأدلة الخاصة فلا يبعد الاكتفاء بالأعم من الواجب والمستحب، وسيأتي تحقيقه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380" w:name="__RefHeading___Toc3968072_2870459653"/>
      <w:bookmarkStart w:id="381" w:name="_Toc135"/>
      <w:bookmarkEnd w:id="380"/>
      <w:r>
        <w:rPr>
          <w:rtl w:val="true"/>
        </w:rPr>
        <w:t xml:space="preserve">[ </w:t>
      </w:r>
      <w:r>
        <w:rPr>
          <w:rtl w:val="true"/>
        </w:rPr>
        <w:t xml:space="preserve">مقتضى الأصول العملية </w:t>
      </w:r>
      <w:r>
        <w:rPr>
          <w:rtl w:val="true"/>
        </w:rPr>
        <w:t>]</w:t>
      </w:r>
      <w:bookmarkEnd w:id="381"/>
    </w:p>
    <w:p>
      <w:pPr>
        <w:pStyle w:val="BookText"/>
        <w:rPr/>
      </w:pPr>
      <w:r>
        <w:rPr>
          <w:rFonts w:ascii="Amiri" w:hAnsi="Amiri" w:eastAsia="Amiri" w:cs="Amiri"/>
          <w:color w:val="111111"/>
          <w:sz w:val="28"/>
          <w:sz w:val="28"/>
          <w:szCs w:val="28"/>
          <w:rtl w:val="true"/>
          <w:lang w:bidi="ar-SA"/>
        </w:rPr>
        <w:t>وأمّا الكلام في أصل المطلب؛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أولاً بيان الأصول العملية التي يرجع إليها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التيمم وكونه في آخر الوقت إن كان من حيث نفسه بمعنى أن يكون الشك في أنّ آخر الوقت هل هو شرط فيه أم لا؟</w:t>
      </w:r>
    </w:p>
    <w:p>
      <w:pPr>
        <w:pStyle w:val="BookText"/>
        <w:rPr/>
      </w:pPr>
      <w:r>
        <w:rPr>
          <w:rFonts w:ascii="Amiri" w:hAnsi="Amiri" w:eastAsia="Amiri" w:cs="Amiri"/>
          <w:color w:val="111111"/>
          <w:sz w:val="28"/>
          <w:sz w:val="28"/>
          <w:szCs w:val="28"/>
          <w:rtl w:val="true"/>
          <w:lang w:bidi="ar-SA"/>
        </w:rPr>
        <w:t>فمقتضى الأصل فيه وإن كان هو البراءة، لكونها هي المرجع عند الشك في الأجزاء والشرائط، لكن يثبت شرطية الطهارة للصلاة التي تكون مبينة بحسب المفهوم ومجملة بحسب المصداق فيكون الشك في أنّ التيمم في سعة الوقت هو مصداق ومحقق للطهارة فمقتضاه الاشتغال فيثبت كون الأصل هو الاشتغال إن كان الشك فيه من حيث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الشك فيه مسيّاً عن الشك في الصلاة، وأنّه هل يجوز فعلها في سعة الوقت مع التيمم أو لا؟</w:t>
      </w:r>
    </w:p>
    <w:p>
      <w:pPr>
        <w:pStyle w:val="BookText"/>
        <w:rPr/>
      </w:pPr>
      <w:r>
        <w:rPr>
          <w:rFonts w:ascii="Amiri" w:hAnsi="Amiri" w:eastAsia="Amiri" w:cs="Amiri"/>
          <w:color w:val="111111"/>
          <w:sz w:val="28"/>
          <w:sz w:val="28"/>
          <w:szCs w:val="28"/>
          <w:rtl w:val="true"/>
          <w:lang w:bidi="ar-SA"/>
        </w:rPr>
        <w:t>فمرجع الشك فيها إلى التعيين والتخيير ، فالأصل فالأصل براءة الذمة من تعيين الصلاة في آخر الوقت، فمقتضى الأصل بناءً على الأول هو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الثاني هو البراءة، لكن لو كان الشك في التيمم من قبيل الشك السببي؛ لا يبعد عدم جريان الأصل في التيمم نفسه بعد جريان الأصل في الصلاة لعدم جريان الأصل في المسبّب بعد جريانه في السبب، لأرتفاع الشك حينئذ كما حقق في الأصول</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كل شك فيها على حدة، ليس أحدها ناشئاً عن الآخر، كما يظهر من </w:t>
      </w:r>
      <w:bookmarkStart w:id="382" w:name="pg9203_87307"/>
    </w:p>
    <w:p>
      <w:pPr>
        <w:pStyle w:val="BookText"/>
        <w:rPr/>
      </w:pPr>
      <w:bookmarkEnd w:id="382"/>
      <w:r>
        <w:rPr>
          <w:rFonts w:ascii="Amiri" w:hAnsi="Amiri" w:eastAsia="Amiri" w:cs="Amiri"/>
          <w:color w:val="111111"/>
          <w:sz w:val="28"/>
          <w:sz w:val="28"/>
          <w:szCs w:val="28"/>
          <w:rtl w:val="true"/>
          <w:lang w:bidi="ar-SA"/>
        </w:rPr>
        <w:t>كلمات بعض</w:t>
      </w:r>
      <w:r>
        <w:rPr>
          <w:rStyle w:val="FootnoteAnchor"/>
          <w:rtl w:val="true"/>
        </w:rPr>
        <w:footnoteReference w:id="869"/>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الصلاة في أول الوقت لو تيمم لصلاة أخرى في آخر وقتها مع قوله بعدم جواز التيمم إلا في آخر الوقت؛ فحينئذ يتعارض الأصلان؛ فمقتضى أصالة البراءة هي براءة الذمة بالصلاة مع التيمم في سعة الوقت ومقتضى الأصل في التيمم هو اشتغال الذمة بالصلاة وعدم أرتفاع التكليف في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تحكيم الأصل الثاني على الأول بمقتضى الاستصحاب وقاعدة الشغل؛ لأنّ الصلاة مشروطة بالطهور فلا بُدَّ من إحرازه ولا يترتب على أصل البراءة حصول الطهور وإنّما يترتب عليه عدم العقاب؛ لأنّ شرطية الطهارة للصلاة ثابتة فلا بُدَّ إحرازها حتى يتحقق الامتثال فيستصحب تكليف الصلاة إلى أن يعلم بحصول الشرط، هذا حال الأصول العملية</w:t>
      </w:r>
      <w:r>
        <w:rPr>
          <w:rFonts w:eastAsia="Amiri" w:cs="Amiri" w:ascii="Amiri" w:hAnsi="Amiri"/>
          <w:color w:val="111111"/>
          <w:sz w:val="28"/>
          <w:szCs w:val="28"/>
          <w:rtl w:val="true"/>
          <w:lang w:bidi="ar-SA"/>
        </w:rPr>
        <w:t>.</w:t>
      </w:r>
    </w:p>
    <w:p>
      <w:pPr>
        <w:pStyle w:val="Heading2"/>
        <w:numPr>
          <w:ilvl w:val="1"/>
          <w:numId w:val="1"/>
        </w:numPr>
        <w:rPr/>
      </w:pPr>
      <w:bookmarkStart w:id="383" w:name="__RefHeading___Toc3968074_2870459653"/>
      <w:bookmarkStart w:id="384" w:name="_Toc136"/>
      <w:bookmarkEnd w:id="383"/>
      <w:r>
        <w:rPr>
          <w:rtl w:val="true"/>
        </w:rPr>
        <w:t>[</w:t>
      </w:r>
      <w:r>
        <w:rPr>
          <w:rtl w:val="true"/>
        </w:rPr>
        <w:t>مقتضى الأصول اللّفظية</w:t>
      </w:r>
      <w:r>
        <w:rPr>
          <w:rtl w:val="true"/>
        </w:rPr>
        <w:t>]</w:t>
      </w:r>
      <w:bookmarkEnd w:id="384"/>
    </w:p>
    <w:p>
      <w:pPr>
        <w:pStyle w:val="BookText"/>
        <w:rPr/>
      </w:pPr>
      <w:r>
        <w:rPr>
          <w:rFonts w:ascii="Amiri" w:hAnsi="Amiri" w:eastAsia="Amiri" w:cs="Amiri"/>
          <w:color w:val="111111"/>
          <w:sz w:val="28"/>
          <w:sz w:val="28"/>
          <w:szCs w:val="28"/>
          <w:rtl w:val="true"/>
          <w:lang w:bidi="ar-SA"/>
        </w:rPr>
        <w:t xml:space="preserve">وأمّا الأصول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العمومات الدالّة على المنع فهي إطلاقات الوضوء حيث تدلّ بإطلاقها على الغسل </w:t>
      </w:r>
      <w:r>
        <w:rPr>
          <w:rStyle w:val="FootnoteAnchor"/>
          <w:rtl w:val="true"/>
        </w:rPr>
        <w:footnoteReference w:id="870"/>
      </w:r>
      <w:r>
        <w:rPr>
          <w:rFonts w:ascii="Amiri" w:hAnsi="Amiri" w:eastAsia="Amiri" w:cs="Amiri"/>
          <w:color w:val="111111"/>
          <w:sz w:val="28"/>
          <w:sz w:val="28"/>
          <w:szCs w:val="28"/>
          <w:rtl w:val="true"/>
          <w:lang w:bidi="ar-SA"/>
        </w:rPr>
        <w:t>سواءً تمكّن المكلف منه في أول الوقت أم لا، فهذا يتم في صورة العلم بوجود الماء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شكّ في وجوده في آخر الوقت فيشكل التمسك بها إذ لا بُدَّ من إحراز الموضوع حتى يتمسّك بالإطلاق،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واجد الماء بقرينة المقابلة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إلّا أن يكون أصل ثابت هناك، هذا لو كان الموضوع هو واجد الماء المتمكن منه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الموضوع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مطلق المكلّفين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المكلفون إذا قمتم إلى الصلاة توضأوا، فحينئذ لا مانع من التمسك بها للمنع </w:t>
      </w:r>
    </w:p>
    <w:p>
      <w:pPr>
        <w:pStyle w:val="BookText"/>
        <w:rPr/>
      </w:pPr>
      <w:r>
        <w:rPr>
          <w:rFonts w:ascii="Amiri" w:hAnsi="Amiri" w:eastAsia="Amiri" w:cs="Amiri"/>
          <w:color w:val="111111"/>
          <w:sz w:val="28"/>
          <w:sz w:val="28"/>
          <w:szCs w:val="28"/>
          <w:rtl w:val="true"/>
          <w:lang w:bidi="ar-SA"/>
        </w:rPr>
        <w:t>قبل الضيق، لكون التكليف بالطهارة المائية، فلا يسقط إلّا عند العجز عنها، وهو عند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لو قلنا إنّ العجز مانع عن التكاليف، لا أنّ القدرة شرط فيها حتى يلزم إحرازها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إنّ القدرة شرط فيها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إذا تمكنت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التكليف ناشئ من المقدمية الواقعية فهي ثابتة إلى زمان العجز فقبل زمان العجز يكون التكليف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إثبات ذلك وأنّ المقدمية ثابتة إلى زمان العجز أو أنّ المقدمية ما دام وجود الماء فعلاً لكن مقتضى الأمر بالوضوء هو التأخر إلى زمان انقضاء المقدّمة وسقوطها وهو عند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العمومات الدالة على الجواز فوجوه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توسعة الوقت؛ لأنّ مقتضاه ثبوت التكليف بالصلاة في جميع الوقت، فلو كانت صحة التيمّم مشروطة بآخر الوقت لم يكن التكليف بالصلاة ثابتاً في أول الوقت، لكون المفروض عدم وجود الماء فيه وعدم التيمم وبطلان الصلاة بدون الطهارة، فيلزم عدم جواز الصلاة إلّا أنّ أدلّة الوقت ساكتةٌ عن الشرائط فنظرها إلى أنّ الصلاة مع الشرائط المقرّرة لها في الوقت فهي إنّما لبيان الوقت بأصل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كذلك بالنسبة إلى سائر الشرائط غير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هذا الشرط فلا تكون ساكتة بالنسبة إليه فيدلّ على ثبوت الصلاة في مجموع هذا الوقت، لكنّ هذا إنّما يدلّ على أنّ هذا الوقت وقت الصلاة فلو صليت فيه تكون صحيحة ولا منافاة بين كون الوقت وقت الصلاة وعدم جواز التيمم إلّا في آخره؛ لأنّ مفاد كون الوقت وقت الصلاة أنّه إذا اجتمعت شرائطها يمكن إتيانها في تمام الوقت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استحباب الصلاة في أول الوقت، لكونها مطلقة بالنسبة </w:t>
      </w:r>
    </w:p>
    <w:p>
      <w:pPr>
        <w:pStyle w:val="BookText"/>
        <w:rPr/>
      </w:pPr>
      <w:r>
        <w:rPr>
          <w:rFonts w:ascii="Amiri" w:hAnsi="Amiri" w:eastAsia="Amiri" w:cs="Amiri"/>
          <w:color w:val="111111"/>
          <w:sz w:val="28"/>
          <w:sz w:val="28"/>
          <w:szCs w:val="28"/>
          <w:rtl w:val="true"/>
          <w:lang w:bidi="ar-SA"/>
        </w:rPr>
        <w:t>إلى الواجد للماء وفاقده، فتكون الصلاة مستحبة في حق الفاقد، فلا بُدَّ أن يكون التيمم مشروعاً في أول الوقت بل وقبله لو لم يثبت الإجماع على خلافه للزوم تكليف ما لا يطاق فلا بُدَّ أن يكون الفاقد متمكناً من الشرط والصلاة حتى يتحقق التكليف الاستحبابي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 إنّ الإطلاقات مخصصة بالمجمل المصداقي، وهو المتمكّن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ووجدان الطهور بمقتضى 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بها، لعدم العلم بكون هذا الشخص مع التيمم متمكناً من الطهور؛ لإمكان كون طهوره هو التيمم في آخر الوقت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حيث إنّ ظاهرها 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على الشرط السابق، فيكون المفاد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إذا أردتم القيام إلى الصلاة إن كنتم واجدين للماء توضأوا، وإن لم تكونوا واجدين للماء فتيمموا، فيدلّ على العموم في جميع الوقت</w:t>
      </w:r>
      <w:r>
        <w:rPr>
          <w:rFonts w:eastAsia="Amiri" w:cs="Amiri" w:ascii="Amiri" w:hAnsi="Amiri"/>
          <w:color w:val="111111"/>
          <w:sz w:val="28"/>
          <w:szCs w:val="28"/>
          <w:rtl w:val="true"/>
          <w:lang w:bidi="ar-SA"/>
        </w:rPr>
        <w:t xml:space="preserve">. </w:t>
      </w:r>
      <w:bookmarkStart w:id="385" w:name="pg9203_87310"/>
    </w:p>
    <w:p>
      <w:pPr>
        <w:pStyle w:val="BookText"/>
        <w:rPr/>
      </w:pPr>
      <w:bookmarkEnd w:id="38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86" w:name="__RefHeading___Toc3968076_2870459653"/>
      <w:bookmarkStart w:id="387" w:name="_Toc137"/>
      <w:bookmarkEnd w:id="386"/>
      <w:r>
        <w:rPr>
          <w:rtl w:val="true"/>
        </w:rPr>
        <w:t>[</w:t>
      </w:r>
      <w:r>
        <w:rPr>
          <w:rtl w:val="true"/>
        </w:rPr>
        <w:t xml:space="preserve">كيفية التيمّم </w:t>
      </w:r>
      <w:r>
        <w:rPr>
          <w:rtl w:val="true"/>
        </w:rPr>
        <w:t>]</w:t>
      </w:r>
      <w:bookmarkEnd w:id="387"/>
    </w:p>
    <w:p>
      <w:pPr>
        <w:pStyle w:val="BookText"/>
        <w:rPr/>
      </w:pPr>
      <w:r>
        <w:rPr>
          <w:rFonts w:ascii="Amiri" w:hAnsi="Amiri" w:eastAsia="Amiri" w:cs="Amiri"/>
          <w:color w:val="111111"/>
          <w:sz w:val="28"/>
          <w:sz w:val="28"/>
          <w:szCs w:val="28"/>
          <w:rtl w:val="true"/>
          <w:lang w:bidi="ar-SA"/>
        </w:rPr>
        <w:t>في كيفية التيمّم ، ولا بُدَّ</w:t>
      </w:r>
      <w:r>
        <w:rPr>
          <w:rStyle w:val="FootnoteAnchor"/>
          <w:rtl w:val="true"/>
        </w:rPr>
        <w:footnoteReference w:id="873"/>
      </w:r>
      <w:r>
        <w:rPr>
          <w:rFonts w:ascii="Amiri" w:hAnsi="Amiri" w:eastAsia="Amiri" w:cs="Amiri"/>
          <w:color w:val="111111"/>
          <w:sz w:val="28"/>
          <w:sz w:val="28"/>
          <w:szCs w:val="28"/>
          <w:rtl w:val="true"/>
          <w:lang w:bidi="ar-SA"/>
        </w:rPr>
        <w:t xml:space="preserve">فيه من النية بمقتضى الأخبار التي دلت على عدم صحة الفعل بدون النية </w:t>
      </w:r>
      <w:r>
        <w:rPr>
          <w:rStyle w:val="FootnoteAnchor"/>
          <w:rtl w:val="true"/>
        </w:rPr>
        <w:footnoteReference w:id="874"/>
      </w:r>
      <w:r>
        <w:rPr>
          <w:rFonts w:ascii="IRNazanin" w:hAnsi="IRNazanin" w:eastAsia="IRNazanin"/>
          <w:color w:val="111111"/>
          <w:sz w:val="28"/>
          <w:sz w:val="28"/>
          <w:szCs w:val="28"/>
          <w:rtl w:val="true"/>
          <w:lang w:bidi="fa-IR"/>
        </w:rPr>
        <w:t>، والإجماع</w:t>
      </w:r>
      <w:r>
        <w:rPr>
          <w:rStyle w:val="FootnoteAnchor"/>
          <w:rtl w:val="true"/>
        </w:rPr>
        <w:footnoteReference w:id="875"/>
      </w:r>
      <w:r>
        <w:rPr>
          <w:rStyle w:val="FootnoteAnchor"/>
          <w:rtl w:val="true"/>
        </w:rPr>
        <w:footnoteReference w:id="876"/>
      </w:r>
      <w:r>
        <w:rPr>
          <w:rFonts w:ascii="Amiri" w:hAnsi="Amiri" w:eastAsia="Amiri" w:cs="Amiri"/>
          <w:color w:val="111111"/>
          <w:sz w:val="28"/>
          <w:sz w:val="28"/>
          <w:szCs w:val="28"/>
          <w:rtl w:val="true"/>
          <w:lang w:bidi="ar-SA"/>
        </w:rPr>
        <w:t>، وعدم حصول الامتثال بدون النية بمقتضى العقل، ويعتبر قصد التقرب فيها، كما هو المعتبر في جميع العبادات</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القيود الواردة على الفعل مختلفة</w:t>
      </w:r>
      <w:r>
        <w:rPr>
          <w:rStyle w:val="FootnoteAnchor"/>
          <w:rtl w:val="true"/>
        </w:rPr>
        <w:footnoteReference w:id="878"/>
      </w:r>
      <w:r>
        <w:rPr>
          <w:rFonts w:ascii="Amiri" w:hAnsi="Amiri" w:eastAsia="Amiri" w:cs="Amiri"/>
          <w:color w:val="111111"/>
          <w:sz w:val="28"/>
          <w:sz w:val="28"/>
          <w:szCs w:val="28"/>
          <w:rtl w:val="true"/>
          <w:lang w:bidi="ar-SA"/>
        </w:rPr>
        <w:t>، بعضها يكون مشخّصاً لشخص الفعل لا نوعه</w:t>
      </w:r>
      <w:r>
        <w:rPr>
          <w:rStyle w:val="FootnoteAnchor"/>
          <w:rtl w:val="true"/>
        </w:rPr>
        <w:footnoteReference w:id="879"/>
      </w:r>
      <w:r>
        <w:rPr>
          <w:rFonts w:ascii="Amiri" w:hAnsi="Amiri" w:eastAsia="Amiri" w:cs="Amiri"/>
          <w:color w:val="111111"/>
          <w:sz w:val="28"/>
          <w:sz w:val="28"/>
          <w:szCs w:val="28"/>
          <w:rtl w:val="true"/>
          <w:lang w:bidi="ar-SA"/>
        </w:rPr>
        <w:t xml:space="preserve">، وبعضها مشخصاً لنوعه؛ ولا يلزم قصد الأول مثلاً قصد الصلاة مع السورة الفلانية؛ لأنّ كون الصلاة مع هذه السورة ليس من مشخصات طبيعة </w:t>
      </w:r>
      <w:r>
        <w:rPr>
          <w:rStyle w:val="FootnoteAnchor"/>
          <w:rtl w:val="true"/>
        </w:rPr>
        <w:footnoteReference w:id="880"/>
      </w:r>
      <w:r>
        <w:rPr>
          <w:rFonts w:ascii="Amiri" w:hAnsi="Amiri" w:eastAsia="Amiri" w:cs="Amiri"/>
          <w:color w:val="111111"/>
          <w:sz w:val="28"/>
          <w:sz w:val="28"/>
          <w:szCs w:val="28"/>
          <w:rtl w:val="true"/>
          <w:lang w:bidi="ar-SA"/>
        </w:rPr>
        <w:t>الصلاة، والأمر وارد على الطبيعة مع السورة، فحينئذ</w:t>
      </w:r>
      <w:r>
        <w:rPr>
          <w:rStyle w:val="FootnoteAnchor"/>
          <w:rtl w:val="true"/>
        </w:rPr>
        <w:footnoteReference w:id="881"/>
      </w:r>
      <w:r>
        <w:rPr>
          <w:rFonts w:ascii="Amiri" w:hAnsi="Amiri" w:eastAsia="Amiri" w:cs="Amiri"/>
          <w:color w:val="111111"/>
          <w:sz w:val="28"/>
          <w:sz w:val="28"/>
          <w:szCs w:val="28"/>
          <w:rtl w:val="true"/>
          <w:lang w:bidi="ar-SA"/>
        </w:rPr>
        <w:t xml:space="preserve">فلو قصد من أول الأمر الصلاة مع السورة الخاصة لم يلزم </w:t>
      </w:r>
      <w:r>
        <w:rPr>
          <w:rStyle w:val="FootnoteAnchor"/>
          <w:rtl w:val="true"/>
        </w:rPr>
        <w:footnoteReference w:id="882"/>
      </w:r>
      <w:r>
        <w:rPr>
          <w:rFonts w:ascii="Amiri" w:hAnsi="Amiri" w:eastAsia="Amiri" w:cs="Amiri"/>
          <w:color w:val="111111"/>
          <w:sz w:val="28"/>
          <w:sz w:val="28"/>
          <w:szCs w:val="28"/>
          <w:rtl w:val="true"/>
          <w:lang w:bidi="ar-SA"/>
        </w:rPr>
        <w:t>الإتيان بهذه السورة ، بل يجوز له قراءة السورة مطلقاً</w:t>
      </w:r>
      <w:r>
        <w:rPr>
          <w:rStyle w:val="FootnoteAnchor"/>
          <w:rtl w:val="true"/>
        </w:rPr>
        <w:footnoteReference w:id="883"/>
      </w:r>
      <w:r>
        <w:rPr>
          <w:rFonts w:ascii="IRNazanin" w:hAnsi="IRNazanin" w:eastAsia="IRNazanin"/>
          <w:color w:val="111111"/>
          <w:sz w:val="28"/>
          <w:sz w:val="28"/>
          <w:szCs w:val="28"/>
          <w:rtl w:val="true"/>
          <w:lang w:bidi="fa-IR"/>
        </w:rPr>
        <w:t xml:space="preserve">، </w:t>
      </w:r>
      <w:bookmarkStart w:id="388" w:name="pg9203_87311"/>
    </w:p>
    <w:p>
      <w:pPr>
        <w:pStyle w:val="BookText"/>
        <w:rPr/>
      </w:pPr>
      <w:bookmarkEnd w:id="388"/>
      <w:r>
        <w:rPr>
          <w:rFonts w:ascii="Amiri" w:hAnsi="Amiri" w:eastAsia="Amiri" w:cs="Amiri"/>
          <w:color w:val="111111"/>
          <w:sz w:val="28"/>
          <w:sz w:val="28"/>
          <w:szCs w:val="28"/>
          <w:rtl w:val="true"/>
          <w:lang w:bidi="ar-SA"/>
        </w:rPr>
        <w:t xml:space="preserve">وما يتراءى من قولهم بعدم جواز العدول فيما لو شرع </w:t>
      </w:r>
      <w:r>
        <w:rPr>
          <w:rStyle w:val="FootnoteAnchor"/>
          <w:rtl w:val="true"/>
        </w:rPr>
        <w:footnoteReference w:id="884"/>
      </w:r>
      <w:r>
        <w:rPr>
          <w:rFonts w:ascii="Amiri" w:hAnsi="Amiri" w:eastAsia="Amiri" w:cs="Amiri"/>
          <w:color w:val="111111"/>
          <w:sz w:val="28"/>
          <w:sz w:val="28"/>
          <w:szCs w:val="28"/>
          <w:rtl w:val="true"/>
          <w:lang w:bidi="ar-SA"/>
        </w:rPr>
        <w:t>في البسملة بقصد سورة إلى غير هذه السورة</w:t>
      </w:r>
      <w:r>
        <w:rPr>
          <w:rStyle w:val="FootnoteAnchor"/>
          <w:rtl w:val="true"/>
        </w:rPr>
        <w:footnoteReference w:id="885"/>
      </w:r>
      <w:r>
        <w:rPr>
          <w:rFonts w:ascii="Amiri" w:hAnsi="Amiri" w:eastAsia="Amiri" w:cs="Amiri"/>
          <w:color w:val="111111"/>
          <w:sz w:val="28"/>
          <w:sz w:val="28"/>
          <w:szCs w:val="28"/>
          <w:rtl w:val="true"/>
          <w:lang w:bidi="ar-SA"/>
        </w:rPr>
        <w:t>، فإنّما هو لعدم الإتيان بسورة تامة؛ لأنّ البسملة وإن كانت متحدة صورة لكن حقيقتها مختلفة، فحقيقة البسملة في سورة غيرها في سورة أخرى</w:t>
      </w:r>
      <w:r>
        <w:rPr>
          <w:rStyle w:val="FootnoteAnchor"/>
          <w:rtl w:val="true"/>
        </w:rPr>
        <w:footnoteReference w:id="886"/>
      </w:r>
      <w:r>
        <w:rPr>
          <w:rFonts w:ascii="Amiri" w:hAnsi="Amiri" w:eastAsia="Amiri" w:cs="Amiri"/>
          <w:color w:val="111111"/>
          <w:sz w:val="28"/>
          <w:sz w:val="28"/>
          <w:szCs w:val="28"/>
          <w:rtl w:val="true"/>
          <w:lang w:bidi="ar-SA"/>
        </w:rPr>
        <w:t>، ولذا لو قرأ سورة أخرى مع البسملة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مشخصات النوع فيلزم قصدها، مثل القصر </w:t>
      </w:r>
      <w:r>
        <w:rPr>
          <w:rStyle w:val="FootnoteAnchor"/>
          <w:rtl w:val="true"/>
        </w:rPr>
        <w:footnoteReference w:id="887"/>
      </w:r>
      <w:r>
        <w:rPr>
          <w:rFonts w:ascii="IRNazanin" w:hAnsi="IRNazanin" w:eastAsia="IRNazanin"/>
          <w:color w:val="111111"/>
          <w:sz w:val="28"/>
          <w:sz w:val="28"/>
          <w:szCs w:val="28"/>
          <w:rtl w:val="true"/>
          <w:lang w:bidi="fa-IR"/>
        </w:rPr>
        <w:t>والاتمام بناء</w:t>
      </w:r>
      <w:r>
        <w:rPr>
          <w:rStyle w:val="FootnoteAnchor"/>
          <w:rtl w:val="true"/>
        </w:rPr>
        <w:footnoteReference w:id="888"/>
      </w:r>
      <w:r>
        <w:rPr>
          <w:rFonts w:ascii="Amiri" w:hAnsi="Amiri" w:eastAsia="Amiri" w:cs="Amiri"/>
          <w:color w:val="111111"/>
          <w:sz w:val="28"/>
          <w:sz w:val="28"/>
          <w:szCs w:val="28"/>
          <w:rtl w:val="true"/>
          <w:lang w:bidi="ar-SA"/>
        </w:rPr>
        <w:t>على أنهما حقيقتان مختلفتان، وكذا الأداء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قصد الوجوب والندب فلا يلزم قصدهما ؛ لأنهما من عوارض الفعل بعد الأمر، فلا يكونان داخلين في حقيقة الفعل</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9" w:name="__RefHeading___Toc3968078_2870459653"/>
      <w:bookmarkStart w:id="390" w:name="_Toc138"/>
      <w:bookmarkEnd w:id="389"/>
      <w:r>
        <w:rPr>
          <w:rtl w:val="true"/>
        </w:rPr>
        <w:t>[</w:t>
      </w:r>
      <w:r>
        <w:rPr>
          <w:rtl w:val="true"/>
        </w:rPr>
        <w:t>عدم كفاية القصد الإجمالي</w:t>
      </w:r>
      <w:r>
        <w:rPr>
          <w:rtl w:val="true"/>
        </w:rPr>
        <w:t>]</w:t>
      </w:r>
      <w:bookmarkEnd w:id="390"/>
    </w:p>
    <w:p>
      <w:pPr>
        <w:pStyle w:val="BookText"/>
        <w:rPr/>
      </w:pPr>
      <w:r>
        <w:rPr>
          <w:rFonts w:ascii="Amiri" w:hAnsi="Amiri" w:eastAsia="Amiri" w:cs="Amiri"/>
          <w:color w:val="111111"/>
          <w:sz w:val="28"/>
          <w:sz w:val="28"/>
          <w:szCs w:val="28"/>
          <w:rtl w:val="true"/>
          <w:lang w:bidi="ar-SA"/>
        </w:rPr>
        <w:t>ثم إنه هل يكفي قصد الأمر الفعلي إجمالاً لا تفصيلاً أو لا؟</w:t>
      </w:r>
    </w:p>
    <w:p>
      <w:pPr>
        <w:pStyle w:val="BookText"/>
        <w:rPr/>
      </w:pPr>
      <w:r>
        <w:rPr>
          <w:rFonts w:ascii="Amiri" w:hAnsi="Amiri" w:eastAsia="Amiri" w:cs="Amiri"/>
          <w:color w:val="111111"/>
          <w:sz w:val="28"/>
          <w:sz w:val="28"/>
          <w:szCs w:val="28"/>
          <w:rtl w:val="true"/>
          <w:lang w:bidi="ar-SA"/>
        </w:rPr>
        <w:t>مبني على كفاية الامتثال الإجمالي أو لا بُدَّ من التفصيلي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كفاية الإجمالي </w:t>
      </w:r>
      <w:r>
        <w:rPr>
          <w:rStyle w:val="FootnoteAnchor"/>
          <w:rtl w:val="true"/>
        </w:rPr>
        <w:footnoteReference w:id="890"/>
      </w:r>
      <w:r>
        <w:rPr>
          <w:rFonts w:ascii="Amiri" w:hAnsi="Amiri" w:eastAsia="Amiri" w:cs="Amiri"/>
          <w:color w:val="111111"/>
          <w:sz w:val="28"/>
          <w:sz w:val="28"/>
          <w:szCs w:val="28"/>
          <w:rtl w:val="true"/>
          <w:lang w:bidi="ar-SA"/>
        </w:rPr>
        <w:t xml:space="preserve">؛ لأنا قد حققنا في الأصول </w:t>
      </w:r>
      <w:r>
        <w:rPr>
          <w:rStyle w:val="FootnoteAnchor"/>
          <w:rtl w:val="true"/>
        </w:rPr>
        <w:footnoteReference w:id="891"/>
      </w:r>
      <w:r>
        <w:rPr>
          <w:rStyle w:val="FootnoteAnchor"/>
          <w:rtl w:val="true"/>
        </w:rPr>
        <w:footnoteReference w:id="892"/>
      </w:r>
      <w:r>
        <w:rPr>
          <w:rFonts w:ascii="IRNazanin" w:hAnsi="IRNazanin" w:eastAsia="IRNazanin"/>
          <w:color w:val="111111"/>
          <w:sz w:val="28"/>
          <w:sz w:val="28"/>
          <w:szCs w:val="28"/>
          <w:rtl w:val="true"/>
          <w:lang w:bidi="fa-IR"/>
        </w:rPr>
        <w:t xml:space="preserve">أنه لو علم المأمور به </w:t>
      </w:r>
    </w:p>
    <w:p>
      <w:pPr>
        <w:pStyle w:val="BookText"/>
        <w:rPr/>
      </w:pPr>
      <w:r>
        <w:rPr>
          <w:rFonts w:ascii="Amiri" w:hAnsi="Amiri" w:eastAsia="Amiri" w:cs="Amiri"/>
          <w:color w:val="111111"/>
          <w:sz w:val="28"/>
          <w:sz w:val="28"/>
          <w:szCs w:val="28"/>
          <w:rtl w:val="true"/>
          <w:lang w:bidi="ar-SA"/>
        </w:rPr>
        <w:t xml:space="preserve">وحصل الشك في مسقطه عن رقبة </w:t>
      </w:r>
      <w:r>
        <w:rPr>
          <w:rStyle w:val="FootnoteAnchor"/>
          <w:rtl w:val="true"/>
        </w:rPr>
        <w:footnoteReference w:id="893"/>
      </w:r>
      <w:r>
        <w:rPr>
          <w:rFonts w:ascii="Amiri" w:hAnsi="Amiri" w:eastAsia="Amiri" w:cs="Amiri"/>
          <w:color w:val="111111"/>
          <w:sz w:val="28"/>
          <w:sz w:val="28"/>
          <w:szCs w:val="28"/>
          <w:rtl w:val="true"/>
          <w:lang w:bidi="ar-SA"/>
        </w:rPr>
        <w:t>المكلف يحكم العقل بالاشتغال ولا يجري الأصل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الصفراء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وفيما نحن فيه أيضاً المأمور به هو تحصيل الطهارة</w:t>
      </w:r>
      <w:r>
        <w:rPr>
          <w:rStyle w:val="FootnoteAnchor"/>
          <w:rtl w:val="true"/>
        </w:rPr>
        <w:footnoteReference w:id="894"/>
      </w:r>
      <w:r>
        <w:rPr>
          <w:rFonts w:ascii="Amiri" w:hAnsi="Amiri" w:eastAsia="Amiri" w:cs="Amiri"/>
          <w:color w:val="111111"/>
          <w:sz w:val="28"/>
          <w:sz w:val="28"/>
          <w:szCs w:val="28"/>
          <w:rtl w:val="true"/>
          <w:lang w:bidi="ar-SA"/>
        </w:rPr>
        <w:t xml:space="preserve">والاباحة، فالشك فيما تتحقق به فلا بُدَّ من الاحتياط بالإتيان بكل ما نشك في مدخليته في حصول الطهارة والإباحة </w:t>
      </w:r>
      <w:r>
        <w:rPr>
          <w:rStyle w:val="FootnoteAnchor"/>
          <w:rtl w:val="true"/>
        </w:rPr>
        <w:footnoteReference w:id="895"/>
      </w:r>
      <w:r>
        <w:rPr>
          <w:rFonts w:ascii="Amiri" w:hAnsi="Amiri" w:eastAsia="Amiri" w:cs="Amiri"/>
          <w:color w:val="111111"/>
          <w:sz w:val="28"/>
          <w:sz w:val="28"/>
          <w:szCs w:val="28"/>
          <w:rtl w:val="true"/>
          <w:lang w:bidi="ar-SA"/>
        </w:rPr>
        <w:t>، على أنّ قصد الأمر الفعلي إجمالاً قد لا يلازم</w:t>
      </w:r>
      <w:r>
        <w:rPr>
          <w:rStyle w:val="FootnoteAnchor"/>
          <w:rtl w:val="true"/>
        </w:rPr>
        <w:footnoteReference w:id="896"/>
      </w:r>
      <w:r>
        <w:rPr>
          <w:rFonts w:ascii="Amiri" w:hAnsi="Amiri" w:eastAsia="Amiri" w:cs="Amiri"/>
          <w:color w:val="111111"/>
          <w:sz w:val="28"/>
          <w:sz w:val="28"/>
          <w:szCs w:val="28"/>
          <w:rtl w:val="true"/>
          <w:lang w:bidi="ar-SA"/>
        </w:rPr>
        <w:t>العنوان الواقعي كالأمر بالاستهزاء، فإنّه لا يحصل الاستهزاء بمجرد صدور الفعل بقصد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الأصل في باب الطهارة منقلب ليس مثل الشك في الشرطية والجزئية في غيرها</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يلزم قصد رفع الحدث في التيمم، بل لا يجوز قصده </w:t>
      </w:r>
      <w:r>
        <w:rPr>
          <w:rStyle w:val="FootnoteAnchor"/>
          <w:rtl w:val="true"/>
        </w:rPr>
        <w:footnoteReference w:id="898"/>
      </w:r>
      <w:r>
        <w:rPr>
          <w:rFonts w:ascii="Amiri" w:hAnsi="Amiri" w:eastAsia="Amiri" w:cs="Amiri"/>
          <w:color w:val="111111"/>
          <w:sz w:val="28"/>
          <w:sz w:val="28"/>
          <w:szCs w:val="28"/>
          <w:rtl w:val="true"/>
          <w:lang w:bidi="ar-SA"/>
        </w:rPr>
        <w:t>لأنّ الحدث غير مرتفع إجماعاً</w:t>
      </w:r>
      <w:r>
        <w:rPr>
          <w:rStyle w:val="FootnoteAnchor"/>
          <w:rtl w:val="true"/>
        </w:rPr>
        <w:footnoteReference w:id="899"/>
      </w:r>
      <w:r>
        <w:rPr>
          <w:rFonts w:ascii="Amiri" w:hAnsi="Amiri" w:eastAsia="Amiri" w:cs="Amiri"/>
          <w:color w:val="111111"/>
          <w:sz w:val="28"/>
          <w:sz w:val="28"/>
          <w:szCs w:val="28"/>
          <w:rtl w:val="true"/>
          <w:lang w:bidi="ar-SA"/>
        </w:rPr>
        <w:t>لأنّ الحدث حالة</w:t>
      </w:r>
      <w:r>
        <w:rPr>
          <w:rStyle w:val="FootnoteAnchor"/>
          <w:rtl w:val="true"/>
        </w:rPr>
        <w:footnoteReference w:id="900"/>
      </w:r>
      <w:r>
        <w:rPr>
          <w:rFonts w:ascii="Amiri" w:hAnsi="Amiri" w:eastAsia="Amiri" w:cs="Amiri"/>
          <w:color w:val="111111"/>
          <w:sz w:val="28"/>
          <w:sz w:val="28"/>
          <w:szCs w:val="28"/>
          <w:rtl w:val="true"/>
          <w:lang w:bidi="ar-SA"/>
        </w:rPr>
        <w:t>معنوية مانعة من الدخول معها في الصلاة، فإذا ارتفعت لا يعود إلّا بحدوث</w:t>
      </w:r>
      <w:r>
        <w:rPr>
          <w:rStyle w:val="FootnoteAnchor"/>
          <w:rtl w:val="true"/>
        </w:rPr>
        <w:footnoteReference w:id="901"/>
      </w:r>
      <w:r>
        <w:rPr>
          <w:rFonts w:ascii="Amiri" w:hAnsi="Amiri" w:eastAsia="Amiri" w:cs="Amiri"/>
          <w:color w:val="111111"/>
          <w:sz w:val="28"/>
          <w:sz w:val="28"/>
          <w:szCs w:val="28"/>
          <w:rtl w:val="true"/>
          <w:lang w:bidi="ar-SA"/>
        </w:rPr>
        <w:t>سببها، وليست رؤية الماء الأسباب والأحداث، من والحال أنهم يقولون بانتقاض التيمم بوجود الماء، فلا بُدَّ من القول بعدم ارتفاع الحدث، بل يحصل حالة يستباح معها الدخول في الصلاة</w:t>
      </w:r>
      <w:r>
        <w:rPr>
          <w:rFonts w:eastAsia="Amiri" w:cs="Amiri" w:ascii="Amiri" w:hAnsi="Amiri"/>
          <w:color w:val="111111"/>
          <w:sz w:val="28"/>
          <w:szCs w:val="28"/>
          <w:rtl w:val="true"/>
          <w:lang w:bidi="ar-SA"/>
        </w:rPr>
        <w:t xml:space="preserve">. </w:t>
      </w:r>
      <w:bookmarkStart w:id="391" w:name="pg9203_87313"/>
    </w:p>
    <w:p>
      <w:pPr>
        <w:pStyle w:val="BookText"/>
        <w:rPr/>
      </w:pPr>
      <w:bookmarkEnd w:id="391"/>
      <w:r>
        <w:rPr>
          <w:rFonts w:ascii="Amiri" w:hAnsi="Amiri" w:eastAsia="Amiri" w:cs="Amiri"/>
          <w:color w:val="111111"/>
          <w:sz w:val="28"/>
          <w:sz w:val="28"/>
          <w:szCs w:val="28"/>
          <w:rtl w:val="true"/>
          <w:lang w:bidi="ar-SA"/>
        </w:rPr>
        <w:t>وأما قصد الاستباحة، فلا دليل أيضاً على اعتباره إلّا كون مقتضى الأصل المذكور اعتباره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قصد البدلية </w:t>
      </w:r>
      <w:r>
        <w:rPr>
          <w:rStyle w:val="FootnoteAnchor"/>
          <w:rtl w:val="true"/>
        </w:rPr>
        <w:footnoteReference w:id="903"/>
      </w:r>
      <w:r>
        <w:rPr>
          <w:rFonts w:ascii="Amiri" w:hAnsi="Amiri" w:eastAsia="Amiri" w:cs="Amiri"/>
          <w:color w:val="111111"/>
          <w:sz w:val="28"/>
          <w:sz w:val="28"/>
          <w:szCs w:val="28"/>
          <w:rtl w:val="true"/>
          <w:lang w:bidi="ar-SA"/>
        </w:rPr>
        <w:t>عن الوضوء أو الغسل فالظاهر لزومها؛ لأنّ مقتضى اختلاف آثارهما اختلاف حقيقتهما ، فلا بُدَّ من تمييزهما بالقصد، ومقتضى الأصل أيضاً ذلك، ومقتضى اختلاف الآثار كما يشاهد في ناسي الحدث الأكبر ويتيمم للحدث الأصغر، وكالتيمم في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وقت ابتداء النية أول الفعل لا غير، وإلا لبقي الفعل بلا نية</w:t>
      </w:r>
      <w:r>
        <w:rPr>
          <w:rFonts w:eastAsia="Amiri" w:cs="Amiri" w:ascii="Amiri" w:hAnsi="Amiri"/>
          <w:color w:val="111111"/>
          <w:sz w:val="28"/>
          <w:szCs w:val="28"/>
          <w:rtl w:val="true"/>
          <w:lang w:bidi="ar-SA"/>
        </w:rPr>
        <w:t>.</w:t>
      </w:r>
    </w:p>
    <w:p>
      <w:pPr>
        <w:pStyle w:val="Heading2"/>
        <w:numPr>
          <w:ilvl w:val="1"/>
          <w:numId w:val="1"/>
        </w:numPr>
        <w:rPr/>
      </w:pPr>
      <w:bookmarkStart w:id="392" w:name="__RefHeading___Toc3968080_2870459653"/>
      <w:bookmarkStart w:id="393" w:name="_Toc139"/>
      <w:bookmarkEnd w:id="392"/>
      <w:r>
        <w:rPr>
          <w:rtl w:val="true"/>
        </w:rPr>
        <w:t xml:space="preserve">[ </w:t>
      </w:r>
      <w:r>
        <w:rPr>
          <w:rtl w:val="true"/>
        </w:rPr>
        <w:t>هل التيمم هو الضرب أو المسح ؟</w:t>
      </w:r>
      <w:r>
        <w:rPr>
          <w:rtl w:val="true"/>
        </w:rPr>
        <w:t>]</w:t>
      </w:r>
      <w:bookmarkEnd w:id="393"/>
    </w:p>
    <w:p>
      <w:pPr>
        <w:pStyle w:val="BookText"/>
        <w:rPr/>
      </w:pPr>
      <w:r>
        <w:rPr>
          <w:rFonts w:ascii="Amiri" w:hAnsi="Amiri" w:eastAsia="Amiri" w:cs="Amiri"/>
          <w:color w:val="111111"/>
          <w:sz w:val="28"/>
          <w:sz w:val="28"/>
          <w:szCs w:val="28"/>
          <w:rtl w:val="true"/>
          <w:lang w:bidi="ar-SA"/>
        </w:rPr>
        <w:t>والكلام في تشخيص أن التيمم هل هو الضرب</w:t>
      </w:r>
      <w:r>
        <w:rPr>
          <w:rStyle w:val="FootnoteAnchor"/>
          <w:rtl w:val="true"/>
        </w:rPr>
        <w:footnoteReference w:id="904"/>
      </w:r>
      <w:r>
        <w:rPr>
          <w:rFonts w:ascii="Amiri" w:hAnsi="Amiri" w:eastAsia="Amiri" w:cs="Amiri"/>
          <w:color w:val="111111"/>
          <w:sz w:val="28"/>
          <w:sz w:val="28"/>
          <w:szCs w:val="28"/>
          <w:rtl w:val="true"/>
          <w:lang w:bidi="ar-SA"/>
        </w:rPr>
        <w:t>كما عليه الأكثر ، بل ربما يكون إجماعياً</w:t>
      </w:r>
      <w:r>
        <w:rPr>
          <w:rStyle w:val="FootnoteAnchor"/>
          <w:rtl w:val="true"/>
        </w:rPr>
        <w:footnoteReference w:id="905"/>
      </w:r>
      <w:r>
        <w:rPr>
          <w:rFonts w:ascii="IRNazanin" w:hAnsi="IRNazanin" w:eastAsia="IRNazanin"/>
          <w:color w:val="111111"/>
          <w:sz w:val="28"/>
          <w:sz w:val="28"/>
          <w:szCs w:val="28"/>
          <w:rtl w:val="true"/>
          <w:lang w:bidi="fa-IR"/>
        </w:rPr>
        <w:t>أو المسح ؟</w:t>
      </w:r>
    </w:p>
    <w:p>
      <w:pPr>
        <w:pStyle w:val="BookText"/>
        <w:rPr/>
      </w:pPr>
      <w:r>
        <w:rPr>
          <w:rFonts w:ascii="Amiri" w:hAnsi="Amiri" w:eastAsia="Amiri" w:cs="Amiri"/>
          <w:color w:val="111111"/>
          <w:sz w:val="28"/>
          <w:sz w:val="28"/>
          <w:szCs w:val="28"/>
          <w:rtl w:val="true"/>
          <w:lang w:bidi="ar-SA"/>
        </w:rPr>
        <w:t>والضرب إما أن يكون كالاغتراف من الماء في الوضوء، أو يكون مقدّمة تعبدية توظيفية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مقتضى</w:t>
      </w:r>
      <w:r>
        <w:rPr>
          <w:rStyle w:val="FootnoteAnchor"/>
          <w:rtl w:val="true"/>
        </w:rPr>
        <w:footnoteReference w:id="906"/>
      </w:r>
      <w:r>
        <w:rPr>
          <w:rFonts w:ascii="Amiri" w:hAnsi="Amiri" w:eastAsia="Amiri" w:cs="Amiri"/>
          <w:color w:val="111111"/>
          <w:sz w:val="28"/>
          <w:sz w:val="28"/>
          <w:szCs w:val="28"/>
          <w:rtl w:val="true"/>
          <w:lang w:bidi="ar-SA"/>
        </w:rPr>
        <w:t xml:space="preserve">ظاهر الآية عدم دخوله فيه، لعدم ذكره في بيان كيفيته، ومقتضى بعض الأخبار أيضاً ذلك، ومن هنا جوز العلّامة في النهاية </w:t>
      </w:r>
      <w:r>
        <w:rPr>
          <w:rStyle w:val="FootnoteAnchor"/>
          <w:rtl w:val="true"/>
        </w:rPr>
        <w:footnoteReference w:id="907"/>
      </w:r>
      <w:r>
        <w:rPr>
          <w:rFonts w:ascii="Amiri" w:hAnsi="Amiri" w:eastAsia="Amiri" w:cs="Amiri"/>
          <w:color w:val="111111"/>
          <w:sz w:val="28"/>
          <w:sz w:val="28"/>
          <w:szCs w:val="28"/>
          <w:rtl w:val="true"/>
          <w:lang w:bidi="ar-SA"/>
        </w:rPr>
        <w:t xml:space="preserve">تأخير النية إلى حين مسح الجبهة، لكنّ الأخبار متضافرة بذكر الضرب، حيث إنّ الإنسان بعد ملاحظتها يفهم </w:t>
      </w:r>
      <w:bookmarkStart w:id="394" w:name="pg9203_87314"/>
    </w:p>
    <w:p>
      <w:pPr>
        <w:pStyle w:val="BookText"/>
        <w:rPr/>
      </w:pPr>
      <w:bookmarkEnd w:id="394"/>
      <w:r>
        <w:rPr>
          <w:rFonts w:ascii="Amiri" w:hAnsi="Amiri" w:eastAsia="Amiri" w:cs="Amiri"/>
          <w:color w:val="111111"/>
          <w:sz w:val="28"/>
          <w:sz w:val="28"/>
          <w:szCs w:val="28"/>
          <w:rtl w:val="true"/>
          <w:lang w:bidi="ar-SA"/>
        </w:rPr>
        <w:t>اعتباره فيه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الثمرة في تخلل الحدث بينه وبين المسح وفي صحته لو وقع الضرب في الفضاء المغصوب والأرض المغصوبة، إلّا أنّه يمكن أن يقال</w:t>
      </w:r>
      <w:r>
        <w:rPr>
          <w:rStyle w:val="FootnoteAnchor"/>
          <w:rtl w:val="true"/>
        </w:rPr>
        <w:footnoteReference w:id="909"/>
      </w:r>
      <w:r>
        <w:rPr>
          <w:rFonts w:ascii="Amiri" w:hAnsi="Amiri" w:eastAsia="Amiri" w:cs="Amiri"/>
          <w:color w:val="111111"/>
          <w:sz w:val="28"/>
          <w:sz w:val="28"/>
          <w:szCs w:val="28"/>
          <w:rtl w:val="true"/>
          <w:lang w:bidi="ar-SA"/>
        </w:rPr>
        <w:t>بكونه مقدّمة تعبدية خارجة عن التيمم مشروط بعدم وقوعها في هذه الحالة، فالمسألة محل توقف لو لم يقم إجماع على جزئيته؛ ويمكن استفادتها من عدم صحة مسح الرأس بالأرض بواسطة اليد</w:t>
      </w:r>
      <w:r>
        <w:rPr>
          <w:rStyle w:val="FootnoteAnchor"/>
          <w:rtl w:val="true"/>
        </w:rPr>
        <w:footnoteReference w:id="910"/>
      </w:r>
      <w:r>
        <w:rPr>
          <w:rFonts w:ascii="IRNazanin" w:hAnsi="IRNazanin" w:eastAsia="IRNazanin"/>
          <w:color w:val="111111"/>
          <w:sz w:val="28"/>
          <w:sz w:val="28"/>
          <w:szCs w:val="28"/>
          <w:rtl w:val="true"/>
          <w:lang w:bidi="fa-IR"/>
        </w:rPr>
        <w:t>، وباستقبال العواصف، ومقتضى الأصل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يقال إنّ الأصل لا مورد له بعد إطلاق الآية،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w:t>
      </w:r>
      <w:r>
        <w:rPr>
          <w:rStyle w:val="FootnoteAnchor"/>
          <w:rtl w:val="true"/>
        </w:rPr>
        <w:footnoteReference w:id="911"/>
      </w:r>
      <w:r>
        <w:rPr>
          <w:rFonts w:ascii="Amiri" w:hAnsi="Amiri" w:eastAsia="Amiri" w:cs="Amiri"/>
          <w:color w:val="111111"/>
          <w:sz w:val="28"/>
          <w:sz w:val="28"/>
          <w:szCs w:val="28"/>
          <w:rtl w:val="true"/>
          <w:lang w:bidi="ar-SA"/>
        </w:rPr>
        <w:t xml:space="preserve">التمسك بالإطلاق بناءً على المذهب </w:t>
      </w:r>
      <w:r>
        <w:rPr>
          <w:rStyle w:val="FootnoteAnchor"/>
          <w:rtl w:val="true"/>
        </w:rPr>
        <w:footnoteReference w:id="912"/>
      </w:r>
      <w:r>
        <w:rPr>
          <w:rFonts w:ascii="Amiri" w:hAnsi="Amiri" w:eastAsia="Amiri" w:cs="Amiri"/>
          <w:color w:val="111111"/>
          <w:sz w:val="28"/>
          <w:sz w:val="28"/>
          <w:szCs w:val="28"/>
          <w:rtl w:val="true"/>
          <w:lang w:bidi="ar-SA"/>
        </w:rPr>
        <w:t>الصحيحي بل الأعمي، لكن لا يخفى عليك عدم وقع هذا الجواب</w:t>
      </w:r>
      <w:r>
        <w:rPr>
          <w:rStyle w:val="FootnoteAnchor"/>
          <w:rtl w:val="true"/>
        </w:rPr>
        <w:footnoteReference w:id="913"/>
      </w:r>
      <w:r>
        <w:rPr>
          <w:rFonts w:ascii="Amiri" w:hAnsi="Amiri" w:eastAsia="Amiri" w:cs="Amiri"/>
          <w:color w:val="111111"/>
          <w:sz w:val="28"/>
          <w:sz w:val="28"/>
          <w:szCs w:val="28"/>
          <w:rtl w:val="true"/>
          <w:lang w:bidi="ar-SA"/>
        </w:rPr>
        <w:t>، بل الجواب هو أنّ الشك ليس في الشرطية للمأمور به حتى يرجع إلى الإطلاق، بل الشك فيما به يتحقق ويحكم العقل</w:t>
      </w:r>
      <w:r>
        <w:rPr>
          <w:rStyle w:val="FootnoteAnchor"/>
          <w:rtl w:val="true"/>
        </w:rPr>
        <w:footnoteReference w:id="914"/>
      </w:r>
      <w:r>
        <w:rPr>
          <w:rFonts w:ascii="Amiri" w:hAnsi="Amiri" w:eastAsia="Amiri" w:cs="Amiri"/>
          <w:color w:val="111111"/>
          <w:sz w:val="28"/>
          <w:sz w:val="28"/>
          <w:szCs w:val="28"/>
          <w:rtl w:val="true"/>
          <w:lang w:bidi="ar-SA"/>
        </w:rPr>
        <w:t>بلزوم فراغ الذمة</w:t>
      </w:r>
      <w:r>
        <w:rPr>
          <w:rFonts w:eastAsia="Amiri" w:cs="Amiri" w:ascii="Amiri" w:hAnsi="Amiri"/>
          <w:color w:val="111111"/>
          <w:sz w:val="28"/>
          <w:szCs w:val="28"/>
          <w:rtl w:val="true"/>
          <w:lang w:bidi="ar-SA"/>
        </w:rPr>
        <w:t>.</w:t>
      </w:r>
    </w:p>
    <w:p>
      <w:pPr>
        <w:pStyle w:val="Heading2"/>
        <w:numPr>
          <w:ilvl w:val="1"/>
          <w:numId w:val="1"/>
        </w:numPr>
        <w:rPr/>
      </w:pPr>
      <w:bookmarkStart w:id="395" w:name="__RefHeading___Toc3968082_2870459653"/>
      <w:bookmarkStart w:id="396" w:name="_Toc140"/>
      <w:bookmarkEnd w:id="395"/>
      <w:r>
        <w:rPr>
          <w:rtl w:val="true"/>
        </w:rPr>
        <w:t xml:space="preserve">[ </w:t>
      </w:r>
      <w:r>
        <w:rPr>
          <w:rtl w:val="true"/>
        </w:rPr>
        <w:t>لابد في التيمم من الضرب ولا يكفي الوضع</w:t>
      </w:r>
      <w:r>
        <w:rPr>
          <w:rtl w:val="true"/>
        </w:rPr>
        <w:t>]</w:t>
      </w:r>
      <w:bookmarkEnd w:id="39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اعتبار الضرب الظاهر كونه باعتماد</w:t>
      </w:r>
      <w:r>
        <w:rPr>
          <w:rStyle w:val="FootnoteAnchor"/>
          <w:rtl w:val="true"/>
        </w:rPr>
        <w:footnoteReference w:id="915"/>
      </w:r>
      <w:r>
        <w:rPr>
          <w:rFonts w:ascii="IRNazanin" w:hAnsi="IRNazanin" w:eastAsia="IRNazanin"/>
          <w:color w:val="111111"/>
          <w:sz w:val="28"/>
          <w:sz w:val="28"/>
          <w:szCs w:val="28"/>
          <w:rtl w:val="true"/>
          <w:lang w:bidi="fa-IR"/>
        </w:rPr>
        <w:t>فلا یکفی مجرد</w:t>
      </w:r>
      <w:r>
        <w:rPr>
          <w:rStyle w:val="FootnoteAnchor"/>
          <w:rtl w:val="true"/>
        </w:rPr>
        <w:footnoteReference w:id="916"/>
      </w:r>
      <w:r>
        <w:rPr>
          <w:rFonts w:ascii="Amiri" w:hAnsi="Amiri" w:eastAsia="Amiri" w:cs="Amiri"/>
          <w:color w:val="111111"/>
          <w:sz w:val="28"/>
          <w:sz w:val="28"/>
          <w:szCs w:val="28"/>
          <w:rtl w:val="true"/>
          <w:lang w:bidi="ar-SA"/>
        </w:rPr>
        <w:t xml:space="preserve">الوضع؛ لتصريح الأخبار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الوضع مع الاعتماد، وما ورد في بعض الأخبار من </w:t>
      </w:r>
      <w:bookmarkStart w:id="397" w:name="pg9203_87315"/>
    </w:p>
    <w:p>
      <w:pPr>
        <w:pStyle w:val="BookText"/>
        <w:rPr/>
      </w:pPr>
      <w:bookmarkEnd w:id="397"/>
      <w:r>
        <w:rPr>
          <w:rFonts w:ascii="Amiri" w:hAnsi="Amiri" w:eastAsia="Amiri" w:cs="Amiri"/>
          <w:color w:val="111111"/>
          <w:sz w:val="28"/>
          <w:sz w:val="28"/>
          <w:szCs w:val="28"/>
          <w:rtl w:val="true"/>
          <w:lang w:bidi="ar-SA"/>
        </w:rPr>
        <w:t xml:space="preserve">الوضع فلا بُدَّ من حمله على الضرب، من جهة أنّ الضرب خاص ومقيد والوضع مطلق فلا بد من حمل المطلق على المقيّد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متباينان</w:t>
      </w:r>
      <w:r>
        <w:rPr>
          <w:rStyle w:val="FootnoteAnchor"/>
          <w:rtl w:val="true"/>
        </w:rPr>
        <w:footnoteReference w:id="918"/>
      </w:r>
      <w:r>
        <w:rPr>
          <w:rFonts w:ascii="Amiri" w:hAnsi="Amiri" w:eastAsia="Amiri" w:cs="Amiri"/>
          <w:color w:val="111111"/>
          <w:sz w:val="28"/>
          <w:sz w:val="28"/>
          <w:szCs w:val="28"/>
          <w:rtl w:val="true"/>
          <w:lang w:bidi="ar-SA"/>
        </w:rPr>
        <w:t>لأنّ الوضع هو الوضع بغير الاعتماد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مجرد دعوى يكون خلاف ظاهر اللفظ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دائر بين التصرف في كلام الإمام علیه السلام أو التصرف في كلام الراوي إذ الوضع واقع في كلام الراوي</w:t>
      </w:r>
      <w:r>
        <w:rPr>
          <w:rStyle w:val="FootnoteAnchor"/>
          <w:rtl w:val="true"/>
        </w:rPr>
        <w:footnoteReference w:id="920"/>
      </w:r>
      <w:r>
        <w:rPr>
          <w:rFonts w:ascii="Amiri" w:hAnsi="Amiri" w:eastAsia="Amiri" w:cs="Amiri"/>
          <w:color w:val="111111"/>
          <w:sz w:val="28"/>
          <w:sz w:val="28"/>
          <w:szCs w:val="28"/>
          <w:rtl w:val="true"/>
          <w:lang w:bidi="ar-SA"/>
        </w:rPr>
        <w:t>، والثاني أولى</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8" w:name="__RefHeading___Toc3968084_2870459653"/>
      <w:bookmarkStart w:id="399" w:name="_Toc141"/>
      <w:bookmarkEnd w:id="398"/>
      <w:r>
        <w:rPr>
          <w:rtl w:val="true"/>
        </w:rPr>
        <w:t xml:space="preserve">[ </w:t>
      </w:r>
      <w:r>
        <w:rPr>
          <w:rtl w:val="true"/>
        </w:rPr>
        <w:t>وجوب الترتيب بين الضرب والمسح</w:t>
      </w:r>
      <w:r>
        <w:rPr>
          <w:rtl w:val="true"/>
        </w:rPr>
        <w:t>]</w:t>
      </w:r>
      <w:bookmarkEnd w:id="399"/>
    </w:p>
    <w:p>
      <w:pPr>
        <w:pStyle w:val="BookText"/>
        <w:rPr/>
      </w:pPr>
      <w:r>
        <w:rPr>
          <w:rFonts w:ascii="Amiri" w:hAnsi="Amiri" w:eastAsia="Amiri" w:cs="Amiri"/>
          <w:color w:val="111111"/>
          <w:sz w:val="28"/>
          <w:sz w:val="28"/>
          <w:szCs w:val="28"/>
          <w:rtl w:val="true"/>
          <w:lang w:bidi="ar-SA"/>
        </w:rPr>
        <w:t>ثمّ إنّ الظاهر وجوب الترتيب بين الضرب والمسح بتقديم الأول بشهادة الأخبار الواردة في بيان التيمم، حيث إنّها كلها وردت بتقديم الضرب</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لا شهادة فيه؛ للزوم وقوعه على كيفية، وهذا من أحد الكيفيات، لا أنّه من باب الخصوصية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الأفعال بهذا الترتيب في الأخبار الكثيرة بحيث لم يذكر خلافه في واحد منها يدلّ على وجوب الترتيب، مع أنّ التقدم في الذكر يحتاج إلى سبب ومرجح </w:t>
      </w:r>
      <w:bookmarkStart w:id="400" w:name="pg9203_87316"/>
    </w:p>
    <w:p>
      <w:pPr>
        <w:pStyle w:val="BookText"/>
        <w:rPr/>
      </w:pPr>
      <w:bookmarkEnd w:id="400"/>
      <w:r>
        <w:rPr>
          <w:rFonts w:ascii="Amiri" w:hAnsi="Amiri" w:eastAsia="Amiri" w:cs="Amiri"/>
          <w:color w:val="111111"/>
          <w:sz w:val="28"/>
          <w:sz w:val="28"/>
          <w:szCs w:val="28"/>
          <w:rtl w:val="true"/>
          <w:lang w:bidi="ar-SA"/>
        </w:rPr>
        <w:t>وليس إلّا وجوبه؛ والعمدة</w:t>
      </w:r>
      <w:r>
        <w:rPr>
          <w:rStyle w:val="FootnoteAnchor"/>
          <w:rtl w:val="true"/>
        </w:rPr>
        <w:footnoteReference w:id="923"/>
      </w:r>
      <w:r>
        <w:rPr>
          <w:rFonts w:ascii="IRNazanin" w:hAnsi="IRNazanin" w:eastAsia="IRNazanin"/>
          <w:color w:val="111111"/>
          <w:sz w:val="28"/>
          <w:sz w:val="28"/>
          <w:szCs w:val="28"/>
          <w:rtl w:val="true"/>
          <w:lang w:bidi="fa-IR"/>
        </w:rPr>
        <w:t>في إثبات وجوب الترتيب هو هذا مع أمر النبي صلي الله علیه وآله وسلم</w:t>
      </w:r>
      <w:r>
        <w:rPr>
          <w:rStyle w:val="FootnoteAnchor"/>
          <w:rtl w:val="true"/>
        </w:rPr>
        <w:footnoteReference w:id="924"/>
      </w:r>
      <w:r>
        <w:rPr>
          <w:rFonts w:ascii="Amiri" w:hAnsi="Amiri" w:eastAsia="Amiri" w:cs="Amiri"/>
          <w:color w:val="111111"/>
          <w:sz w:val="28"/>
          <w:sz w:val="28"/>
          <w:szCs w:val="28"/>
          <w:rtl w:val="true"/>
          <w:lang w:bidi="ar-SA"/>
        </w:rPr>
        <w:t>بالفعل على الكيفية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الكيفيات ترتيب الأفعال ؛ وقد استدل عليه بوجوه أخر ضعيفة</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وَأَيْدِيَكُمْ</w:t>
      </w:r>
      <w:r>
        <w:rPr>
          <w:rStyle w:val="FootnoteAnchor"/>
          <w:rtl w:val="true"/>
        </w:rPr>
        <w:footnoteReference w:id="926"/>
      </w:r>
      <w:r>
        <w:rPr>
          <w:rFonts w:ascii="Amiri" w:hAnsi="Amiri" w:eastAsia="Amiri" w:cs="Amiri"/>
          <w:color w:val="111111"/>
          <w:sz w:val="28"/>
          <w:sz w:val="28"/>
          <w:szCs w:val="28"/>
          <w:rtl w:val="true"/>
          <w:lang w:bidi="ar-SA"/>
        </w:rPr>
        <w:t>للترتيب</w:t>
      </w:r>
      <w:r>
        <w:rPr>
          <w:rStyle w:val="FootnoteAnchor"/>
          <w:rtl w:val="true"/>
        </w:rPr>
        <w:footnoteReference w:id="927"/>
      </w:r>
      <w:r>
        <w:rPr>
          <w:rFonts w:ascii="IRNazanin" w:hAnsi="IRNazanin" w:eastAsia="IRNazanin"/>
          <w:color w:val="111111"/>
          <w:sz w:val="28"/>
          <w:sz w:val="28"/>
          <w:szCs w:val="28"/>
          <w:rtl w:val="true"/>
          <w:lang w:bidi="fa-IR"/>
        </w:rPr>
        <w:t>عند الفراء</w:t>
      </w:r>
      <w:r>
        <w:rPr>
          <w:rStyle w:val="FootnoteAnchor"/>
          <w:rtl w:val="true"/>
        </w:rPr>
        <w:footnoteReference w:id="928"/>
      </w:r>
      <w:r>
        <w:rPr>
          <w:rFonts w:ascii="Amiri" w:hAnsi="Amiri" w:eastAsia="Amiri" w:cs="Amiri"/>
          <w:color w:val="111111"/>
          <w:sz w:val="28"/>
          <w:sz w:val="28"/>
          <w:szCs w:val="28"/>
          <w:rtl w:val="true"/>
          <w:lang w:bidi="ar-SA"/>
        </w:rPr>
        <w:t xml:space="preserve">، وهو ضعيف </w:t>
      </w:r>
      <w:r>
        <w:rPr>
          <w:rStyle w:val="FootnoteAnchor"/>
          <w:rtl w:val="true"/>
        </w:rPr>
        <w:footnoteReference w:id="929"/>
      </w:r>
      <w:r>
        <w:rPr>
          <w:rFonts w:ascii="IRNazanin" w:hAnsi="IRNazanin" w:eastAsia="IRNazanin"/>
          <w:color w:val="111111"/>
          <w:sz w:val="28"/>
          <w:sz w:val="28"/>
          <w:szCs w:val="28"/>
          <w:rtl w:val="true"/>
          <w:lang w:bidi="fa-IR"/>
        </w:rPr>
        <w:t>لأنّ الواو للجمع</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التقديم في الذكر يحتاج إلى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التيمم بدل عن الوضوء وبمنزلته، فيجب فيه ما يجب فيه، إلّا أن يكون مراده الإجماع على الترتيب هنا كما في الوضوء</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3968086_2870459653"/>
      <w:bookmarkStart w:id="402" w:name="_Toc142"/>
      <w:bookmarkEnd w:id="401"/>
      <w:r>
        <w:rPr>
          <w:rtl w:val="true"/>
        </w:rPr>
        <w:t xml:space="preserve">[ </w:t>
      </w:r>
      <w:r>
        <w:rPr>
          <w:rtl w:val="true"/>
        </w:rPr>
        <w:t xml:space="preserve">وجوب الموالاة العرفية في التيمّم </w:t>
      </w:r>
      <w:r>
        <w:rPr>
          <w:rtl w:val="true"/>
        </w:rPr>
        <w:t>]</w:t>
      </w:r>
      <w:bookmarkEnd w:id="40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في التيمم الموالاة العرفية</w:t>
      </w:r>
      <w:r>
        <w:rPr>
          <w:rStyle w:val="FootnoteAnchor"/>
          <w:rtl w:val="true"/>
        </w:rPr>
        <w:footnoteReference w:id="931"/>
      </w:r>
      <w:r>
        <w:rPr>
          <w:rFonts w:ascii="Amiri" w:hAnsi="Amiri" w:eastAsia="Amiri" w:cs="Amiri"/>
          <w:color w:val="111111"/>
          <w:sz w:val="28"/>
          <w:sz w:val="28"/>
          <w:szCs w:val="28"/>
          <w:rtl w:val="true"/>
          <w:lang w:bidi="ar-SA"/>
        </w:rPr>
        <w:t>بحيث يُعدّ في العرف فاعل العمل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والمدرك فيه الإجماع </w:t>
      </w:r>
      <w:r>
        <w:rPr>
          <w:rStyle w:val="FootnoteAnchor"/>
          <w:rtl w:val="true"/>
        </w:rPr>
        <w:footnoteReference w:id="932"/>
      </w:r>
      <w:r>
        <w:rPr>
          <w:rFonts w:ascii="Amiri" w:hAnsi="Amiri" w:eastAsia="Amiri" w:cs="Amiri"/>
          <w:color w:val="111111"/>
          <w:sz w:val="28"/>
          <w:sz w:val="28"/>
          <w:szCs w:val="28"/>
          <w:rtl w:val="true"/>
          <w:lang w:bidi="ar-SA"/>
        </w:rPr>
        <w:t>كما ادعاه العلّامة في المنتهى</w:t>
      </w:r>
      <w:r>
        <w:rPr>
          <w:rStyle w:val="FootnoteAnchor"/>
          <w:rtl w:val="true"/>
        </w:rPr>
        <w:footnoteReference w:id="933"/>
      </w:r>
      <w:r>
        <w:rPr>
          <w:rFonts w:ascii="IRNazanin" w:hAnsi="IRNazanin" w:eastAsia="IRNazanin"/>
          <w:color w:val="111111"/>
          <w:sz w:val="28"/>
          <w:sz w:val="28"/>
          <w:szCs w:val="28"/>
          <w:rtl w:val="true"/>
          <w:lang w:bidi="fa-IR"/>
        </w:rPr>
        <w:t xml:space="preserve">على ما نسب </w:t>
      </w:r>
    </w:p>
    <w:p>
      <w:pPr>
        <w:pStyle w:val="BookText"/>
        <w:rPr/>
      </w:pPr>
      <w:r>
        <w:rPr>
          <w:rFonts w:ascii="Amiri" w:hAnsi="Amiri" w:eastAsia="Amiri" w:cs="Amiri"/>
          <w:color w:val="111111"/>
          <w:sz w:val="28"/>
          <w:sz w:val="28"/>
          <w:szCs w:val="28"/>
          <w:rtl w:val="true"/>
          <w:lang w:bidi="ar-SA"/>
        </w:rPr>
        <w:t xml:space="preserve">إليه </w:t>
      </w:r>
      <w:r>
        <w:rPr>
          <w:rStyle w:val="FootnoteAnchor"/>
          <w:rtl w:val="true"/>
        </w:rPr>
        <w:footnoteReference w:id="934"/>
      </w:r>
      <w:r>
        <w:rPr>
          <w:rFonts w:ascii="Amiri" w:hAnsi="Amiri" w:eastAsia="Amiri" w:cs="Amiri"/>
          <w:color w:val="111111"/>
          <w:sz w:val="28"/>
          <w:sz w:val="28"/>
          <w:szCs w:val="28"/>
          <w:rtl w:val="true"/>
          <w:lang w:bidi="ar-SA"/>
        </w:rPr>
        <w:t xml:space="preserve">، ولا يمكن إثباته بما ذكرناه في إثبات الترتيب؛ إذ الغالب في بيان العمل ولو لم يعتبر فيه الموالاة على التوالي في البيان؛ إذ يبعد بيان الجزء الأول ساعة ويبين جزؤه الآخر ساعة أخرى </w:t>
      </w:r>
      <w:r>
        <w:rPr>
          <w:rStyle w:val="FootnoteAnchor"/>
          <w:rtl w:val="true"/>
        </w:rPr>
        <w:footnoteReference w:id="935"/>
      </w:r>
      <w:r>
        <w:rPr>
          <w:rFonts w:ascii="Amiri" w:hAnsi="Amiri" w:eastAsia="Amiri" w:cs="Amiri"/>
          <w:color w:val="111111"/>
          <w:sz w:val="28"/>
          <w:sz w:val="28"/>
          <w:szCs w:val="28"/>
          <w:rtl w:val="true"/>
          <w:lang w:bidi="ar-SA"/>
        </w:rPr>
        <w:t>، فيمكن التمسك فيه بادعاء انصراف الإطلاق إلى الفرد الغالب</w:t>
      </w:r>
      <w:r>
        <w:rPr>
          <w:rStyle w:val="FootnoteAnchor"/>
          <w:rtl w:val="true"/>
        </w:rPr>
        <w:footnoteReference w:id="936"/>
      </w:r>
      <w:r>
        <w:rPr>
          <w:rFonts w:ascii="Amiri" w:hAnsi="Amiri" w:eastAsia="Amiri" w:cs="Amiri"/>
          <w:color w:val="111111"/>
          <w:sz w:val="28"/>
          <w:sz w:val="28"/>
          <w:szCs w:val="28"/>
          <w:rtl w:val="true"/>
          <w:lang w:bidi="ar-SA"/>
        </w:rPr>
        <w:t>، وهو التوالي؛ إذ الغالب في إتيان الفعل هو إتيانه متوالياً، فالإطلاق منصرف إليه فلا يكون إطلاقاً بالنسبة إلى غير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الظاهر من الأمر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منصرف إليه فلا يكون إطلاقاً بالنسبة إلى غير الغالب، وأيضاً الظاهر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بالفعل الواحد والعمل الوحداني هو اتصال الأفعال أجزائها في العرف، بحيث يخرج عن الوحدة عندهم عند التراخي بالزمان الطويل مثل أن يضرب في يوم ثمّ يمسح في اليوم الثاني والثالث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فهذا خارج عندهم عن الوحدة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Style w:val="FootnoteAnchor"/>
          <w:rtl w:val="true"/>
        </w:rPr>
        <w:footnoteReference w:id="938"/>
      </w:r>
      <w:r>
        <w:rPr>
          <w:rFonts w:ascii="Amiri" w:hAnsi="Amiri" w:eastAsia="Amiri" w:cs="Amiri"/>
          <w:color w:val="111111"/>
          <w:sz w:val="28"/>
          <w:sz w:val="28"/>
          <w:szCs w:val="28"/>
          <w:rtl w:val="true"/>
          <w:lang w:bidi="ar-SA"/>
        </w:rPr>
        <w:t>، فالظاهر عندهم من الأمر بالعمل المركب هو إتيانه في الزمان الواحد، ولا أقلّ من عدم تخلل الزمان الطويل بين أجزائه، فإذا ثبت مضرّة المقدار الطويل تثبت الموالاة المطلوبة، لعدم القول بالفصل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استدل عليه ما ذكره العلّامة في المنتهى</w:t>
      </w:r>
      <w:r>
        <w:rPr>
          <w:rStyle w:val="FootnoteAnchor"/>
          <w:rtl w:val="true"/>
        </w:rPr>
        <w:footnoteReference w:id="939"/>
      </w:r>
      <w:r>
        <w:rPr>
          <w:rStyle w:val="FootnoteAnchor"/>
          <w:rtl w:val="true"/>
        </w:rPr>
        <w:footnoteReference w:id="940"/>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للترتيب بلا مهلة،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التيمم عند إرادة الصلاة فوراً، فإذا أمر بفورية المركب يدلّ على إتيان جميع أجزائه فوراً وغير متراخ</w:t>
      </w:r>
      <w:r>
        <w:rPr>
          <w:rStyle w:val="FootnoteAnchor"/>
          <w:rtl w:val="true"/>
        </w:rPr>
        <w:footnoteReference w:id="942"/>
      </w:r>
      <w:r>
        <w:rPr>
          <w:rFonts w:ascii="Amiri" w:hAnsi="Amiri" w:eastAsia="Amiri" w:cs="Amiri"/>
          <w:color w:val="111111"/>
          <w:sz w:val="28"/>
          <w:sz w:val="28"/>
          <w:szCs w:val="28"/>
          <w:rtl w:val="true"/>
          <w:lang w:bidi="ar-SA"/>
        </w:rPr>
        <w:t>لأنّه لا معنى لفورية المركب إلّا فورية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ضعف </w:t>
      </w:r>
      <w:r>
        <w:rPr>
          <w:rStyle w:val="FootnoteAnchor"/>
          <w:rtl w:val="true"/>
        </w:rPr>
        <w:footnoteReference w:id="943"/>
      </w:r>
      <w:r>
        <w:rPr>
          <w:rFonts w:ascii="Amiri" w:hAnsi="Amiri" w:eastAsia="Amiri" w:cs="Amiri"/>
          <w:color w:val="111111"/>
          <w:sz w:val="28"/>
          <w:sz w:val="28"/>
          <w:szCs w:val="28"/>
          <w:rtl w:val="true"/>
          <w:lang w:bidi="ar-SA"/>
        </w:rPr>
        <w:t xml:space="preserve">لأنه يتم لو كان المراد بالتيمم في الآية هو المعنى الشرعي، وهو تمام الأجزاء، وليس كذلك، بل المراد منه مجرد القصد إلى التراب أو كان </w:t>
      </w:r>
      <w:r>
        <w:rPr>
          <w:rStyle w:val="FootnoteAnchor"/>
          <w:rtl w:val="true"/>
        </w:rPr>
        <w:footnoteReference w:id="944"/>
      </w:r>
      <w:r>
        <w:rPr>
          <w:rFonts w:ascii="Amiri" w:hAnsi="Amiri" w:eastAsia="Amiri" w:cs="Amiri"/>
          <w:color w:val="111111"/>
          <w:sz w:val="28"/>
          <w:sz w:val="28"/>
          <w:szCs w:val="28"/>
          <w:rtl w:val="true"/>
          <w:lang w:bidi="ar-SA"/>
        </w:rPr>
        <w:t>القصد مع الضرب بأن يكون كناية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Style w:val="FootnoteAnchor"/>
          <w:rtl w:val="true"/>
        </w:rPr>
        <w:footnoteReference w:id="945"/>
      </w:r>
      <w:r>
        <w:rPr>
          <w:rFonts w:ascii="Amiri" w:hAnsi="Amiri" w:eastAsia="Amiri" w:cs="Amiri"/>
          <w:color w:val="111111"/>
          <w:sz w:val="28"/>
          <w:sz w:val="28"/>
          <w:szCs w:val="28"/>
          <w:rtl w:val="true"/>
          <w:lang w:bidi="ar-SA"/>
        </w:rPr>
        <w:t>لو سلمنا كون المراد به المعنى الاصطلاحي لا المعنى اللغوي</w:t>
      </w:r>
      <w:r>
        <w:rPr>
          <w:rStyle w:val="FootnoteAnchor"/>
          <w:rtl w:val="true"/>
        </w:rPr>
        <w:footnoteReference w:id="946"/>
      </w:r>
      <w:r>
        <w:rPr>
          <w:rFonts w:ascii="Amiri" w:hAnsi="Amiri" w:eastAsia="Amiri" w:cs="Amiri"/>
          <w:color w:val="111111"/>
          <w:sz w:val="28"/>
          <w:sz w:val="28"/>
          <w:szCs w:val="28"/>
          <w:rtl w:val="true"/>
          <w:lang w:bidi="ar-SA"/>
        </w:rPr>
        <w:t>فلا نسلّم وجوب التيمّم عند إرادة الصلاة فوراً؛ لإمكان كون الإرادة مستمرة من أول الوقت إلى آخره، والحال انه لا يجب التيمم عند أول الإرادة، بل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إلّا مع التيمّم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يدلّ</w:t>
      </w:r>
      <w:r>
        <w:rPr>
          <w:rStyle w:val="FootnoteAnchor"/>
          <w:rtl w:val="true"/>
        </w:rPr>
        <w:footnoteReference w:id="947"/>
      </w:r>
      <w:r>
        <w:rPr>
          <w:rFonts w:ascii="Amiri" w:hAnsi="Amiri" w:eastAsia="Amiri" w:cs="Amiri"/>
          <w:color w:val="111111"/>
          <w:sz w:val="28"/>
          <w:sz w:val="28"/>
          <w:szCs w:val="28"/>
          <w:rtl w:val="true"/>
          <w:lang w:bidi="ar-SA"/>
        </w:rPr>
        <w:t xml:space="preserve">على تعقيب المسح بالضرب بلا مهلة وتثبت في اليد بعدم القول بالفصل بين الوجه واليد، </w:t>
      </w:r>
      <w:bookmarkStart w:id="403" w:name="pg9203_87319"/>
    </w:p>
    <w:p>
      <w:pPr>
        <w:pStyle w:val="BookText"/>
        <w:rPr/>
      </w:pPr>
      <w:bookmarkEnd w:id="403"/>
      <w:r>
        <w:rPr>
          <w:rFonts w:ascii="Amiri" w:hAnsi="Amiri" w:eastAsia="Amiri" w:cs="Amiri"/>
          <w:color w:val="111111"/>
          <w:sz w:val="28"/>
          <w:sz w:val="28"/>
          <w:szCs w:val="28"/>
          <w:rtl w:val="true"/>
          <w:lang w:bidi="ar-SA"/>
        </w:rPr>
        <w:t xml:space="preserve">وهو إنّما يتم لو كان التيمم هو الضرب لا مجرد القصد إلى الصعيد، وهو خلاف الظاهر،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جزائية لا يفيد التعقيب</w:t>
      </w:r>
      <w:r>
        <w:rPr>
          <w:rFonts w:eastAsia="Amiri" w:cs="Amiri" w:ascii="Amiri" w:hAnsi="Amiri"/>
          <w:color w:val="111111"/>
          <w:sz w:val="28"/>
          <w:szCs w:val="28"/>
          <w:rtl w:val="true"/>
          <w:lang w:bidi="ar-SA"/>
        </w:rPr>
        <w:t>.</w:t>
      </w:r>
    </w:p>
    <w:p>
      <w:pPr>
        <w:pStyle w:val="Heading2"/>
        <w:numPr>
          <w:ilvl w:val="1"/>
          <w:numId w:val="1"/>
        </w:numPr>
        <w:rPr/>
      </w:pPr>
      <w:bookmarkStart w:id="404" w:name="__RefHeading___Toc3968088_2870459653"/>
      <w:bookmarkStart w:id="405" w:name="_Toc143"/>
      <w:bookmarkEnd w:id="404"/>
      <w:r>
        <w:rPr>
          <w:rtl w:val="true"/>
        </w:rPr>
        <w:t xml:space="preserve">[ </w:t>
      </w:r>
      <w:r>
        <w:rPr>
          <w:rtl w:val="true"/>
        </w:rPr>
        <w:t xml:space="preserve">وجوب المباشرة على المأمور نفسه </w:t>
      </w:r>
      <w:r>
        <w:rPr>
          <w:rtl w:val="true"/>
        </w:rPr>
        <w:t>]</w:t>
      </w:r>
      <w:bookmarkEnd w:id="405"/>
    </w:p>
    <w:p>
      <w:pPr>
        <w:pStyle w:val="BookText"/>
        <w:rPr/>
      </w:pPr>
      <w:r>
        <w:rPr>
          <w:rFonts w:ascii="Amiri" w:hAnsi="Amiri" w:eastAsia="Amiri" w:cs="Amiri"/>
          <w:color w:val="111111"/>
          <w:sz w:val="28"/>
          <w:sz w:val="28"/>
          <w:szCs w:val="28"/>
          <w:rtl w:val="true"/>
          <w:lang w:bidi="ar-SA"/>
        </w:rPr>
        <w:t xml:space="preserve">ثم إنّ مقتضى ظاهر الأمر يقتضي المباشرة </w:t>
      </w:r>
      <w:r>
        <w:rPr>
          <w:rStyle w:val="FootnoteAnchor"/>
          <w:rtl w:val="true"/>
        </w:rPr>
        <w:footnoteReference w:id="948"/>
      </w:r>
      <w:r>
        <w:rPr>
          <w:rFonts w:ascii="Amiri" w:hAnsi="Amiri" w:eastAsia="Amiri" w:cs="Amiri"/>
          <w:color w:val="111111"/>
          <w:sz w:val="28"/>
          <w:sz w:val="28"/>
          <w:szCs w:val="28"/>
          <w:rtl w:val="true"/>
          <w:lang w:bidi="ar-SA"/>
        </w:rPr>
        <w:t xml:space="preserve">في نفسه، لأنّ الأمر طلب الفعل من المأمور بنفسه، مثلاً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الضربَ منك، وتصدي المخاطب للضرب، وتقييد الطلب بمباشرة الفعل نفس الفاعل وليس تقييد الفعل بالفاعل ومباشرته له، مثل القيود المستفادة من الهيئة حتى لا يمكن تقييد المادة به </w:t>
      </w:r>
      <w:r>
        <w:rPr>
          <w:rStyle w:val="FootnoteAnchor"/>
          <w:rtl w:val="true"/>
        </w:rPr>
        <w:footnoteReference w:id="949"/>
      </w:r>
      <w:r>
        <w:rPr>
          <w:rFonts w:ascii="Amiri" w:hAnsi="Amiri" w:eastAsia="Amiri" w:cs="Amiri"/>
          <w:color w:val="111111"/>
          <w:sz w:val="28"/>
          <w:sz w:val="28"/>
          <w:szCs w:val="28"/>
          <w:rtl w:val="true"/>
          <w:lang w:bidi="ar-SA"/>
        </w:rPr>
        <w:t>كقصد الأمر مثلاً، بل يكون من قيود المادة، فمقابل المباشرة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فلو دل دليل على عدم اعتبار </w:t>
      </w:r>
      <w:r>
        <w:rPr>
          <w:rStyle w:val="FootnoteAnchor"/>
          <w:rtl w:val="true"/>
        </w:rPr>
        <w:footnoteReference w:id="950"/>
      </w:r>
      <w:r>
        <w:rPr>
          <w:rFonts w:ascii="Amiri" w:hAnsi="Amiri" w:eastAsia="Amiri" w:cs="Amiri"/>
          <w:color w:val="111111"/>
          <w:sz w:val="28"/>
          <w:sz w:val="28"/>
          <w:szCs w:val="28"/>
          <w:rtl w:val="true"/>
          <w:lang w:bidi="ar-SA"/>
        </w:rPr>
        <w:t>المباشرة وسقوطها عند التعذر فلا بُدَّ من ارتكاب التجوّز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التسبيب فالتجوز في الإسناد، بمعنى كون النسبة إلى المسبب، وليس تجوزاً في الفاعل؛ إذ الفعل حقيقة مستند إلى المسبب، والفعل فعله، إلّا أنه اسناد إلى المسبب فيكون مجازاً عقلياً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الاستنابة، فالتجوّز في الفاعل، بمعنى كون المراد من الفاعل أعمّ من الفاعل الحقيقي والتنزيلي بتنزيل الشارع غير منزلته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والفرق بين التسبيب والاستنابة أنّ التسبيب لا بُدَّ من صدور النية من الشخص، ويتولى بنفسه النية دون الاستنابة فينوي المستنيب عنه، فإنّه لا بُدَّ من تنبيه الشخص وتوليته النية، ولا يلزم كون المستنيب عاقلاً وبالغاً، بل يجزي الصغير غير البالغ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ما ذكرنا من كون الأمر ظاهراً في صدور الفعل من نفس المأمور سقوط التكليف عند تعذر بعض الفعل منه، كما هو الحال في قيود الكلام عند تعذر بعضها، ويكون مقتضاه سقوط التكليف رأساً إلّا أنّه يمكن الفرق بين القيود المقومة للكلام بحيث لم يكن له قوام بدونها وبين غيرها؛ مثل الآلة والزمان والمكان، وكذلك القيود الثابتة من الخارج، إلّا أن تكون القيود الخارجة مقتضاها الشرطية المطلقة، فيكون مثل الأول؛ لسقوط الحكم عند تعذر بعضها في الأول؛ لعدم قوام للحكم والكلام بدونها حتى يمكن تحققها بدونه، دون الثاني فيمكن تحققه مع سقوطها؛ لأنّ الكلام متقوم مع قطع النظر عنها، فيثبت الحكم ويثمر في إجمال القيد فيؤخذ بالإطلاق في الثاني دون الأول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فمقتضى القاعدة سقوط التيمم عمّن لم يتمكن من الضرب مثلاً؛ لعدم اليد له في مثل الكسير ،وغيره لكن ورد الدليل بثبوت التيمم وعدم سقوطه بقدر الإمكان </w:t>
      </w:r>
      <w:r>
        <w:rPr>
          <w:rStyle w:val="FootnoteAnchor"/>
          <w:rtl w:val="true"/>
        </w:rPr>
        <w:footnoteReference w:id="953"/>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954"/>
      </w:r>
      <w:r>
        <w:rPr>
          <w:rFonts w:ascii="IRNazanin" w:hAnsi="IRNazanin" w:eastAsia="IRNazanin"/>
          <w:color w:val="111111"/>
          <w:sz w:val="28"/>
          <w:sz w:val="28"/>
          <w:szCs w:val="28"/>
          <w:rtl w:val="true"/>
          <w:lang w:bidi="fa-IR"/>
        </w:rPr>
        <w:t xml:space="preserve">، وقوله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يمّموه </w:t>
      </w:r>
      <w:r>
        <w:rPr>
          <w:rFonts w:eastAsia="IRNazanin" w:cs="IRNazanin"/>
          <w:color w:val="111111"/>
          <w:sz w:val="28"/>
          <w:szCs w:val="28"/>
          <w:rtl w:val="true"/>
          <w:lang w:bidi="fa-IR"/>
        </w:rPr>
        <w:t xml:space="preserve">» </w:t>
      </w:r>
      <w:r>
        <w:rPr>
          <w:rStyle w:val="FootnoteAnchor"/>
          <w:rtl w:val="true"/>
        </w:rPr>
        <w:footnoteReference w:id="955"/>
      </w:r>
      <w:r>
        <w:rPr>
          <w:rFonts w:ascii="Amiri" w:hAnsi="Amiri" w:eastAsia="Amiri" w:cs="Amiri"/>
          <w:color w:val="111111"/>
          <w:sz w:val="28"/>
          <w:sz w:val="28"/>
          <w:szCs w:val="28"/>
          <w:rtl w:val="true"/>
          <w:lang w:bidi="ar-SA"/>
        </w:rPr>
        <w:t>في خبر المجدور والكسير ، وفي مثل الإجماع</w:t>
      </w:r>
      <w:r>
        <w:rPr>
          <w:rFonts w:eastAsia="Amiri" w:cs="Amiri" w:ascii="Amiri" w:hAnsi="Amiri"/>
          <w:color w:val="111111"/>
          <w:sz w:val="28"/>
          <w:szCs w:val="28"/>
          <w:rtl w:val="true"/>
          <w:lang w:bidi="ar-SA"/>
        </w:rPr>
        <w:t xml:space="preserve">. </w:t>
      </w:r>
      <w:bookmarkStart w:id="406" w:name="pg9203_87321"/>
    </w:p>
    <w:p>
      <w:pPr>
        <w:pStyle w:val="BookText"/>
        <w:rPr/>
      </w:pPr>
      <w:bookmarkEnd w:id="406"/>
      <w:r>
        <w:rPr>
          <w:rFonts w:ascii="Amiri" w:hAnsi="Amiri" w:eastAsia="Amiri" w:cs="Amiri"/>
          <w:color w:val="111111"/>
          <w:sz w:val="28"/>
          <w:sz w:val="28"/>
          <w:szCs w:val="28"/>
          <w:rtl w:val="true"/>
          <w:lang w:bidi="ar-SA"/>
        </w:rPr>
        <w:t>ويمكن الاستكشاف من مثل</w:t>
      </w:r>
      <w:r>
        <w:rPr>
          <w:rStyle w:val="FootnoteAnchor"/>
          <w:rtl w:val="true"/>
        </w:rPr>
        <w:footnoteReference w:id="9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الأمر الأول المتعلق بالكل بأنّ يكون المطلوب في الواقع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المطلوب من الأمر بالتيمم شيئين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هذا الفعل من هذا المخاطب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مطلوبية نفس الفعل ولو بنيابة الغير مثلاً، أو يكون نفس هذا الخبر مثلاً أمراً وإنشاء لحكم الباقي، والأمر الأول متعلق بالكل فقط</w:t>
      </w:r>
      <w:r>
        <w:rPr>
          <w:rFonts w:eastAsia="Amiri" w:cs="Amiri" w:ascii="Amiri" w:hAnsi="Amiri"/>
          <w:color w:val="111111"/>
          <w:sz w:val="28"/>
          <w:szCs w:val="28"/>
          <w:rtl w:val="true"/>
          <w:lang w:bidi="ar-SA"/>
        </w:rPr>
        <w:t>.</w:t>
      </w:r>
    </w:p>
    <w:p>
      <w:pPr>
        <w:pStyle w:val="Heading2"/>
        <w:numPr>
          <w:ilvl w:val="1"/>
          <w:numId w:val="1"/>
        </w:numPr>
        <w:rPr/>
      </w:pPr>
      <w:bookmarkStart w:id="407" w:name="__RefHeading___Toc3968090_2870459653"/>
      <w:bookmarkStart w:id="408" w:name="_Toc144"/>
      <w:bookmarkEnd w:id="407"/>
      <w:r>
        <w:rPr>
          <w:rtl w:val="true"/>
        </w:rPr>
        <w:t>[</w:t>
      </w:r>
      <w:r>
        <w:rPr>
          <w:rtl w:val="true"/>
        </w:rPr>
        <w:t>في مفاد أدلة عدم السقوط</w:t>
      </w:r>
      <w:r>
        <w:rPr>
          <w:rtl w:val="true"/>
        </w:rPr>
        <w:t>]</w:t>
      </w:r>
      <w:bookmarkEnd w:id="408"/>
    </w:p>
    <w:p>
      <w:pPr>
        <w:pStyle w:val="BookText"/>
        <w:rPr/>
      </w:pPr>
      <w:r>
        <w:rPr>
          <w:rFonts w:ascii="Amiri" w:hAnsi="Amiri" w:eastAsia="Amiri" w:cs="Amiri"/>
          <w:color w:val="111111"/>
          <w:sz w:val="28"/>
          <w:sz w:val="28"/>
          <w:szCs w:val="28"/>
          <w:rtl w:val="true"/>
          <w:lang w:bidi="ar-SA"/>
        </w:rPr>
        <w:t>وحينئذ بعد ورود الدليل على عدم السقوط مع عدم إمكان المباشرة فلا بُدَّ من النظر في الأدلّة الدالّة على عدم السقوط هل تدل على الاستنابة أو التسبيب، والنظر في أظهرية أي المجازين اللذين يردان على الأمر بالتيمم هل يكون التجوز في الإسناد أظهر أو التجوز</w:t>
      </w:r>
      <w:r>
        <w:rPr>
          <w:rStyle w:val="FootnoteAnchor"/>
          <w:rtl w:val="true"/>
        </w:rPr>
        <w:footnoteReference w:id="957"/>
      </w:r>
      <w:r>
        <w:rPr>
          <w:rFonts w:ascii="Amiri" w:hAnsi="Amiri" w:eastAsia="Amiri" w:cs="Amiri"/>
          <w:color w:val="111111"/>
          <w:sz w:val="28"/>
          <w:sz w:val="28"/>
          <w:szCs w:val="28"/>
          <w:rtl w:val="true"/>
          <w:lang w:bidi="ar-SA"/>
        </w:rPr>
        <w:t>في الفاعل؟</w:t>
      </w:r>
    </w:p>
    <w:p>
      <w:pPr>
        <w:pStyle w:val="BookText"/>
        <w:rPr/>
      </w:pPr>
      <w:r>
        <w:rPr>
          <w:rFonts w:ascii="Amiri" w:hAnsi="Amiri" w:eastAsia="Amiri" w:cs="Amiri"/>
          <w:color w:val="111111"/>
          <w:sz w:val="28"/>
          <w:sz w:val="28"/>
          <w:szCs w:val="28"/>
          <w:rtl w:val="true"/>
          <w:lang w:bidi="ar-SA"/>
        </w:rPr>
        <w:t>لا يبعد أن يقال بأظهرية الأول</w:t>
      </w:r>
      <w:r>
        <w:rPr>
          <w:rStyle w:val="FootnoteAnchor"/>
          <w:rtl w:val="true"/>
        </w:rPr>
        <w:footnoteReference w:id="958"/>
      </w:r>
      <w:r>
        <w:rPr>
          <w:rFonts w:ascii="Amiri" w:hAnsi="Amiri" w:eastAsia="Amiri" w:cs="Amiri"/>
          <w:color w:val="111111"/>
          <w:sz w:val="28"/>
          <w:sz w:val="28"/>
          <w:szCs w:val="28"/>
          <w:rtl w:val="true"/>
          <w:lang w:bidi="ar-SA"/>
        </w:rPr>
        <w:t>؛ لأنّ الفعل في التسبيب مستند إلى الفاعل فلا يحصل مخالفة الظاهر في الأمر الأول كثيراً، بخلاف الثاني، فإنّه يخالف إسناد الفعل إلى الفاعل كثيراً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الأدلّة فمقتضى ألا يمّموه، هو التسبيب؛ لأنّ يمّم مشتق جعلي من باب التفعيل من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التيمم اسم عين، وهي الأفعال الخاصة، وليس اسم معنى </w:t>
      </w:r>
      <w:r>
        <w:rPr>
          <w:rStyle w:val="FootnoteAnchor"/>
          <w:rtl w:val="true"/>
        </w:rPr>
        <w:footnoteReference w:id="959"/>
      </w:r>
      <w:r>
        <w:rPr>
          <w:rFonts w:ascii="Amiri" w:hAnsi="Amiri" w:eastAsia="Amiri" w:cs="Amiri"/>
          <w:color w:val="111111"/>
          <w:sz w:val="28"/>
          <w:sz w:val="28"/>
          <w:szCs w:val="28"/>
          <w:rtl w:val="true"/>
          <w:lang w:bidi="ar-SA"/>
        </w:rPr>
        <w:t xml:space="preserve">حتى يمكن الاشتقاق منه، فيكون جعلياً ومسنداً إلى الغاسلين للمقتول، وطلب للتيمّم </w:t>
      </w:r>
    </w:p>
    <w:p>
      <w:pPr>
        <w:pStyle w:val="BookText"/>
        <w:rPr/>
      </w:pPr>
      <w:r>
        <w:rPr>
          <w:rFonts w:ascii="IRNazanin" w:hAnsi="IRNazanin" w:eastAsia="IRNazanin"/>
          <w:color w:val="111111"/>
          <w:sz w:val="28"/>
          <w:sz w:val="28"/>
          <w:szCs w:val="28"/>
          <w:rtl w:val="true"/>
          <w:lang w:bidi="fa-IR"/>
        </w:rPr>
        <w:t>منهم عوض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تيمّمه لم يكن واجباً عليهم، فيكون إرشاداً، وأسند التيمم إليهم يعني أنهم مطلوب منهم تيميمهم له فيكون لهم مدخلية في هذا التيمّم</w:t>
      </w:r>
      <w:r>
        <w:rPr>
          <w:rStyle w:val="FootnoteAnchor"/>
          <w:rtl w:val="true"/>
        </w:rPr>
        <w:footnoteReference w:id="960"/>
      </w:r>
      <w:r>
        <w:rPr>
          <w:rFonts w:ascii="Amiri" w:hAnsi="Amiri" w:eastAsia="Amiri" w:cs="Amiri"/>
          <w:color w:val="111111"/>
          <w:sz w:val="28"/>
          <w:sz w:val="28"/>
          <w:szCs w:val="28"/>
          <w:rtl w:val="true"/>
          <w:lang w:bidi="ar-SA"/>
        </w:rPr>
        <w:t>، فيدور الأمر حينئذ بين التسبيب والاستنابة؛ والاستنابة لا بُدَّ فيها من استنابتهم في النية، ولم يثبت هذا القدر من الخبر، وإنّما استفيد منه مدخليتهم مدخليتهم في تيميمه في الجملة، وهو يحصل بالتسبيب، فالزائد لا بد له من دليل وليس فليس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الميسور فالظاهر منها أيضاً التسبيب؛ لأنّ مقتضاه سقوط ما لا يمكن حصوله منه وتعسره، وهو مباشرة الضرب لا النية؛ لإمكانها منه، وكذا رواية عبد الأعلى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 عليه</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الإجماع على عدم سقوط التيمم، فلما كان مجملاً فلا بُدَّ ، بناءً عليه من الأخذ بالقدر المتيقن وهو الجمع بين الخصوصيتين من خصوصية التسبيب والاستنابة من نيّة الشخص والضارب معاً، وهو مقتضى الأصل أيضاً، فحاصل ما ذكرنا هو ظهور التسبيب لا الاستنابة</w:t>
      </w:r>
      <w:r>
        <w:rPr>
          <w:rStyle w:val="FootnoteAnchor"/>
          <w:rtl w:val="true"/>
        </w:rPr>
        <w:footnoteReference w:id="962"/>
      </w:r>
      <w:r>
        <w:rPr>
          <w:rFonts w:ascii="Amiri" w:hAnsi="Amiri" w:eastAsia="Amiri" w:cs="Amiri"/>
          <w:color w:val="111111"/>
          <w:sz w:val="28"/>
          <w:sz w:val="28"/>
          <w:szCs w:val="28"/>
          <w:rtl w:val="true"/>
          <w:lang w:bidi="ar-SA"/>
        </w:rPr>
        <w:t xml:space="preserve">بملاحظة الأمر الأولي بالفعل؛ لكون التجوز العقلي اللازم من الاسناد أقرب من التجوّز في الفاعل ، وظهور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يمّموه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من جهة إطلاقه، فإنّه وإن كان وارداً في مقام الإرشاد إلى أنّ تيمّم ذلك الشخص لازم لا غسله إلّا أنّه مع ذلك يدلّ على أنّ اللازم على الغاسلين تيميمهم له، وفي مقام بيان التكليف ولو كان في النيّة أيضاً مدخلية لهم لا بُدَّ أن يبيّن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تيمموا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مطلقاً</w:t>
      </w:r>
    </w:p>
    <w:p>
      <w:pPr>
        <w:pStyle w:val="BookText"/>
        <w:rPr/>
      </w:pPr>
      <w:r>
        <w:rPr>
          <w:rFonts w:ascii="Amiri" w:hAnsi="Amiri" w:eastAsia="Amiri" w:cs="Amiri"/>
          <w:color w:val="111111"/>
          <w:sz w:val="28"/>
          <w:sz w:val="28"/>
          <w:szCs w:val="28"/>
          <w:rtl w:val="true"/>
          <w:lang w:bidi="ar-SA"/>
        </w:rPr>
        <w:t>من هذه الجهة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فيعلم أنّ النيّة ليست تكليفاً لهم، بل كان ثابتاً على نفس المريض، ويعلم ذلك من </w:t>
      </w:r>
      <w:bookmarkStart w:id="409" w:name="pg9203_87323"/>
    </w:p>
    <w:p>
      <w:pPr>
        <w:pStyle w:val="BookText"/>
        <w:rPr/>
      </w:pPr>
      <w:bookmarkEnd w:id="409"/>
      <w:r>
        <w:rPr>
          <w:rFonts w:ascii="Amiri" w:hAnsi="Amiri" w:eastAsia="Amiri" w:cs="Amiri"/>
          <w:color w:val="111111"/>
          <w:sz w:val="28"/>
          <w:sz w:val="28"/>
          <w:szCs w:val="28"/>
          <w:rtl w:val="true"/>
          <w:lang w:bidi="ar-SA"/>
        </w:rPr>
        <w:t>رواية عبد الأعلى، حيث يدل على الارتفاع بالحرج ما يكون متعذراً؛ لأنّ الرواية هكذا ظاهراً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وأشباهه يعلم من كتاب الله، فامسح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الحرج رفع مماسة اليد بالممسوح لا مطلق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أيضاً رواية الميسور بناءً على جريانه فيما نحن فيه وعدم اختصاصه بالأجزاء الخارجية، ومن العجب ما في المدارك</w:t>
      </w:r>
      <w:r>
        <w:rPr>
          <w:rStyle w:val="FootnoteAnchor"/>
          <w:rtl w:val="true"/>
        </w:rPr>
        <w:footnoteReference w:id="963"/>
      </w:r>
      <w:r>
        <w:rPr>
          <w:rFonts w:ascii="Amiri" w:hAnsi="Amiri" w:eastAsia="Amiri" w:cs="Amiri"/>
          <w:color w:val="111111"/>
          <w:sz w:val="28"/>
          <w:sz w:val="28"/>
          <w:szCs w:val="28"/>
          <w:rtl w:val="true"/>
          <w:lang w:bidi="ar-SA"/>
        </w:rPr>
        <w:t>حيث ذكر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ينوي العليل، وذكر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ينوي المباشر</w:t>
      </w:r>
      <w:r>
        <w:rPr>
          <w:rStyle w:val="FootnoteAnchor"/>
          <w:rtl w:val="true"/>
        </w:rPr>
        <w:footnoteReference w:id="964"/>
      </w:r>
      <w:r>
        <w:rPr>
          <w:rFonts w:ascii="Amiri" w:hAnsi="Amiri" w:eastAsia="Amiri" w:cs="Amiri"/>
          <w:color w:val="111111"/>
          <w:sz w:val="28"/>
          <w:sz w:val="28"/>
          <w:szCs w:val="28"/>
          <w:rtl w:val="true"/>
          <w:lang w:bidi="ar-SA"/>
        </w:rPr>
        <w:t xml:space="preserve">، ومن المعلوم عدم الفرق، هذا كله في النيّة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0" w:name="__RefHeading___Toc3968092_2870459653"/>
      <w:bookmarkStart w:id="411" w:name="_Toc145"/>
      <w:bookmarkEnd w:id="410"/>
      <w:r>
        <w:rPr>
          <w:rtl w:val="true"/>
        </w:rPr>
        <w:t>[</w:t>
      </w:r>
      <w:r>
        <w:rPr>
          <w:rtl w:val="true"/>
        </w:rPr>
        <w:t>لزوم كون الضرب في التيمّم بيد العليل</w:t>
      </w:r>
      <w:r>
        <w:rPr>
          <w:rtl w:val="true"/>
        </w:rPr>
        <w:t>]</w:t>
      </w:r>
      <w:bookmarkEnd w:id="411"/>
    </w:p>
    <w:p>
      <w:pPr>
        <w:pStyle w:val="BookText"/>
        <w:rPr/>
      </w:pPr>
      <w:r>
        <w:rPr>
          <w:rFonts w:ascii="Amiri" w:hAnsi="Amiri" w:eastAsia="Amiri" w:cs="Amiri"/>
          <w:color w:val="111111"/>
          <w:sz w:val="28"/>
          <w:sz w:val="28"/>
          <w:szCs w:val="28"/>
          <w:rtl w:val="true"/>
          <w:lang w:bidi="ar-SA"/>
        </w:rPr>
        <w:t>وأمّا في الضرب هل يكون بيد العليل أو بيد النائب؟</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والظاهر الإجماع</w:t>
      </w:r>
      <w:r>
        <w:rPr>
          <w:rStyle w:val="FootnoteAnchor"/>
          <w:rtl w:val="true"/>
        </w:rPr>
        <w:footnoteReference w:id="967"/>
      </w:r>
      <w:r>
        <w:rPr>
          <w:rFonts w:ascii="Amiri" w:hAnsi="Amiri" w:eastAsia="Amiri" w:cs="Amiri"/>
          <w:color w:val="111111"/>
          <w:sz w:val="28"/>
          <w:sz w:val="28"/>
          <w:szCs w:val="28"/>
          <w:rtl w:val="true"/>
          <w:lang w:bidi="ar-SA"/>
        </w:rPr>
        <w:t>على لزوم كون الضرب بيد نفس العليل إن أمكن، ويدلّ عليه</w:t>
      </w:r>
      <w:r>
        <w:rPr>
          <w:rStyle w:val="FootnoteAnchor"/>
          <w:rtl w:val="true"/>
        </w:rPr>
        <w:footnoteReference w:id="968"/>
      </w:r>
      <w:r>
        <w:rPr>
          <w:rFonts w:ascii="IRNazanin" w:hAnsi="IRNazanin" w:eastAsia="IRNazanin"/>
          <w:color w:val="111111"/>
          <w:sz w:val="28"/>
          <w:sz w:val="28"/>
          <w:szCs w:val="28"/>
          <w:rtl w:val="true"/>
          <w:lang w:bidi="fa-IR"/>
        </w:rPr>
        <w:t>سوى الإجماع قوله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يمّموه</w:t>
      </w:r>
      <w:r>
        <w:rPr>
          <w:rFonts w:eastAsia="IRNazanin" w:cs="IRNazanin"/>
          <w:color w:val="111111"/>
          <w:sz w:val="28"/>
          <w:szCs w:val="28"/>
          <w:rtl w:val="true"/>
          <w:lang w:bidi="fa-IR"/>
        </w:rPr>
        <w:t xml:space="preserve">» </w:t>
      </w:r>
      <w:r>
        <w:rPr>
          <w:rStyle w:val="FootnoteAnchor"/>
          <w:rtl w:val="true"/>
        </w:rPr>
        <w:footnoteReference w:id="969"/>
      </w:r>
      <w:r>
        <w:rPr>
          <w:rFonts w:ascii="Amiri" w:hAnsi="Amiri" w:eastAsia="Amiri" w:cs="Amiri"/>
          <w:color w:val="111111"/>
          <w:sz w:val="28"/>
          <w:sz w:val="28"/>
          <w:szCs w:val="28"/>
          <w:rtl w:val="true"/>
          <w:lang w:bidi="ar-SA"/>
        </w:rPr>
        <w:t>، بناءً على كون الضرب جزءًا من التيمّم حيث ذكرنا أنه مشتق جعلي من التيمم الشرعي وهو</w:t>
      </w:r>
      <w:r>
        <w:rPr>
          <w:rStyle w:val="FootnoteAnchor"/>
          <w:rtl w:val="true"/>
        </w:rPr>
        <w:footnoteReference w:id="970"/>
      </w:r>
      <w:r>
        <w:rPr>
          <w:rFonts w:ascii="IRNazanin" w:hAnsi="IRNazanin" w:eastAsia="IRNazanin"/>
          <w:color w:val="111111"/>
          <w:sz w:val="28"/>
          <w:sz w:val="28"/>
          <w:szCs w:val="28"/>
          <w:rtl w:val="true"/>
          <w:lang w:bidi="fa-IR"/>
        </w:rPr>
        <w:t>مجموع هذه الأفعال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تيميمهم له، بمعنى ايجادهم أفعال التيمم وأجزائه فيه، ومنه الضرب، ولا يتم بناءً على كون الضرب خارجاً عن التيمم ويكون مقدّمة له؛ لأنّ التيمم حينئذٍ </w:t>
      </w:r>
      <w:bookmarkStart w:id="412" w:name="pg9203_87324"/>
    </w:p>
    <w:p>
      <w:pPr>
        <w:pStyle w:val="BookText"/>
        <w:rPr/>
      </w:pPr>
      <w:bookmarkEnd w:id="412"/>
      <w:r>
        <w:rPr>
          <w:rFonts w:ascii="Amiri" w:hAnsi="Amiri" w:eastAsia="Amiri" w:cs="Amiri"/>
          <w:color w:val="111111"/>
          <w:sz w:val="28"/>
          <w:sz w:val="28"/>
          <w:szCs w:val="28"/>
          <w:rtl w:val="true"/>
          <w:lang w:bidi="ar-SA"/>
        </w:rPr>
        <w:t>عبارة عن المسح لا الضرب والمسح</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يدلّ عليه رواية عبد الأعلى، حيث تدلّ على عدم سقوط غير المتعذر</w:t>
      </w:r>
      <w:r>
        <w:rPr>
          <w:rStyle w:val="FootnoteAnchor"/>
          <w:rtl w:val="true"/>
        </w:rPr>
        <w:footnoteReference w:id="972"/>
      </w:r>
      <w:r>
        <w:rPr>
          <w:rFonts w:ascii="Amiri" w:hAnsi="Amiri" w:eastAsia="Amiri" w:cs="Amiri"/>
          <w:color w:val="111111"/>
          <w:sz w:val="28"/>
          <w:sz w:val="28"/>
          <w:szCs w:val="28"/>
          <w:rtl w:val="true"/>
          <w:lang w:bidi="ar-SA"/>
        </w:rPr>
        <w:t>الواجب على المكلّف سواءً كان جزءً أو شرطاً، فيضرب بيد العليل فيمسح على جبهته، نظير ما ذكره في وضوء العليل</w:t>
      </w:r>
      <w:r>
        <w:rPr>
          <w:rStyle w:val="FootnoteAnchor"/>
          <w:rtl w:val="true"/>
        </w:rPr>
        <w:footnoteReference w:id="973"/>
      </w:r>
      <w:r>
        <w:rPr>
          <w:rFonts w:ascii="IRNazanin" w:hAnsi="IRNazanin" w:eastAsia="IRNazanin"/>
          <w:color w:val="111111"/>
          <w:sz w:val="28"/>
          <w:sz w:val="28"/>
          <w:szCs w:val="28"/>
          <w:rtl w:val="true"/>
          <w:lang w:bidi="fa-IR"/>
        </w:rPr>
        <w:t>أنّه يتولى الغاسل في الغسل لا في المسح فيمسح بيد العليل بواسطة ثبوت كون المسح ببلة اليد وكونه تعبدياً دون الغسل، فإنّ الغسل حقيقة هو جريان الماء على العضو، والزائد عنه توصلي يحصل بفعل الغير، دون المسح فإنّه تعبدي فلابد من فعل نفسه؛ وهذا الاستظهار من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إلا أنّ مثل هذا وارد في تيميم الميت الجنب، والظاهر منهم عدم التزامهم بضرب يدي الميت، وإن احتمله بعض عباراتهم</w:t>
      </w:r>
      <w:r>
        <w:rPr>
          <w:rStyle w:val="FootnoteAnchor"/>
          <w:rtl w:val="true"/>
        </w:rPr>
        <w:footnoteReference w:id="974"/>
      </w:r>
      <w:r>
        <w:rPr>
          <w:rFonts w:ascii="Amiri" w:hAnsi="Amiri" w:eastAsia="Amiri" w:cs="Amiri"/>
          <w:color w:val="111111"/>
          <w:sz w:val="28"/>
          <w:sz w:val="28"/>
          <w:szCs w:val="28"/>
          <w:rtl w:val="true"/>
          <w:lang w:bidi="ar-SA"/>
        </w:rPr>
        <w:t>، فالأمر سهل بعد ثبوت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أفعال التيمم ومنها الضرب، والكلام فيه في أمور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3" w:name="__RefHeading___Toc3968094_2870459653"/>
      <w:bookmarkStart w:id="414" w:name="_Toc146"/>
      <w:bookmarkEnd w:id="413"/>
      <w:r>
        <w:rPr>
          <w:rtl w:val="true"/>
        </w:rPr>
        <w:t xml:space="preserve">[ </w:t>
      </w:r>
      <w:r>
        <w:rPr>
          <w:rtl w:val="true"/>
        </w:rPr>
        <w:t>هل يعتبر الضرب في التيمم أو يكفي الوضع ؟</w:t>
      </w:r>
      <w:r>
        <w:rPr>
          <w:rtl w:val="true"/>
        </w:rPr>
        <w:t>]</w:t>
      </w:r>
      <w:bookmarkEnd w:id="414"/>
    </w:p>
    <w:p>
      <w:pPr>
        <w:pStyle w:val="BookText"/>
        <w:rPr/>
      </w:pPr>
      <w:r>
        <w:rPr>
          <w:rFonts w:ascii="Amiri" w:hAnsi="Amiri" w:eastAsia="Amiri" w:cs="Amiri"/>
          <w:color w:val="111111"/>
          <w:sz w:val="28"/>
          <w:sz w:val="28"/>
          <w:szCs w:val="28"/>
          <w:rtl w:val="true"/>
          <w:lang w:bidi="ar-SA"/>
        </w:rPr>
        <w:t>الأول في أنه هل يعتبر الضرب أو يكفي الوضع</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بينهما بعد اشتراكهما في الوضع مع اعتمادها لا مجرد الماسة هو كون الضرب بشدة في الموضع دون الوضع</w:t>
      </w:r>
      <w:r>
        <w:rPr>
          <w:rStyle w:val="FootnoteAnchor"/>
          <w:rtl w:val="true"/>
        </w:rPr>
        <w:footnoteReference w:id="977"/>
      </w:r>
      <w:r>
        <w:rPr>
          <w:rFonts w:ascii="Amiri" w:hAnsi="Amiri" w:eastAsia="Amiri" w:cs="Amiri"/>
          <w:color w:val="111111"/>
          <w:sz w:val="28"/>
          <w:sz w:val="28"/>
          <w:szCs w:val="28"/>
          <w:rtl w:val="true"/>
          <w:lang w:bidi="ar-SA"/>
        </w:rPr>
        <w:t>وكلمات الأصحاب</w:t>
      </w:r>
      <w:r>
        <w:rPr>
          <w:rStyle w:val="FootnoteAnchor"/>
          <w:rtl w:val="true"/>
        </w:rPr>
        <w:footnoteReference w:id="978"/>
      </w:r>
      <w:r>
        <w:rPr>
          <w:rFonts w:ascii="Amiri" w:hAnsi="Amiri" w:eastAsia="Amiri" w:cs="Amiri"/>
          <w:color w:val="111111"/>
          <w:sz w:val="28"/>
          <w:sz w:val="28"/>
          <w:szCs w:val="28"/>
          <w:rtl w:val="true"/>
          <w:lang w:bidi="ar-SA"/>
        </w:rPr>
        <w:t xml:space="preserve">فيه مختلفة كالأخبار، </w:t>
      </w:r>
    </w:p>
    <w:p>
      <w:pPr>
        <w:pStyle w:val="BookText"/>
        <w:rPr/>
      </w:pPr>
      <w:r>
        <w:rPr>
          <w:rFonts w:ascii="Amiri" w:hAnsi="Amiri" w:eastAsia="Amiri" w:cs="Amiri"/>
          <w:color w:val="111111"/>
          <w:sz w:val="28"/>
          <w:sz w:val="28"/>
          <w:szCs w:val="28"/>
          <w:rtl w:val="true"/>
          <w:lang w:bidi="ar-SA"/>
        </w:rPr>
        <w:t xml:space="preserve">ففي بعضها عبّر بلفظ الضرب، وهو الأكثر </w:t>
      </w:r>
      <w:r>
        <w:rPr>
          <w:rStyle w:val="FootnoteAnchor"/>
          <w:rtl w:val="true"/>
        </w:rPr>
        <w:footnoteReference w:id="979"/>
      </w:r>
      <w:r>
        <w:rPr>
          <w:rFonts w:ascii="Amiri" w:hAnsi="Amiri" w:eastAsia="Amiri" w:cs="Amiri"/>
          <w:color w:val="111111"/>
          <w:sz w:val="28"/>
          <w:sz w:val="28"/>
          <w:szCs w:val="28"/>
          <w:rtl w:val="true"/>
          <w:lang w:bidi="ar-SA"/>
        </w:rPr>
        <w:t>، وفي بعضها عبّر</w:t>
      </w:r>
      <w:r>
        <w:rPr>
          <w:rStyle w:val="FootnoteAnchor"/>
          <w:rtl w:val="true"/>
        </w:rPr>
        <w:footnoteReference w:id="980"/>
      </w:r>
      <w:r>
        <w:rPr>
          <w:rFonts w:ascii="Amiri" w:hAnsi="Amiri" w:eastAsia="Amiri" w:cs="Amiri"/>
          <w:color w:val="111111"/>
          <w:sz w:val="28"/>
          <w:sz w:val="28"/>
          <w:szCs w:val="28"/>
          <w:rtl w:val="true"/>
          <w:lang w:bidi="ar-SA"/>
        </w:rPr>
        <w:t xml:space="preserve">بلفظ الوضع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فأهوى بيده فوضعها على الأرض، فإن قلنا إنّ الوضع مطلق، والضرب مقيد؛ فيحمل المطلق على المقيّد</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والمناقشة في عدم دلالة لفظ الوضع على الإطلاق؛ إذ هو حكاية عن فعل وقع في الخارج على أحد الكيفيتين بلفظ عام، ولا يستلزم صحة أفراده جميعاً، وليس في مقام البيان حتى يؤخذ بإطلاقه، مدفوعة بأنّ حكاية الفعل إذا وقع في غير كلام الإمام علیه السلاموفي غير بيان الحكم كذلك، وأما لو وقع في كلامه في بيان الحكم، ونقل الأعم ولم يقيّده، يفهم منه الإطلاق وصحة جميع الأفراد مطلقاً قطعاً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لو قلنا بكون الوضع مبايناً للضرب، وأنّه الوضع بغير الشدة، فربّما 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الضرب في الشدة أكثر من ظهور الوضع بغيرها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الظهور معارض بغلبة وجود الضرب في الخارج ولو لم يعتبر هو بخصوصه، فذكره من هذا الباب ولأجل كثرة وقوعه في الخارج، فالظهور المذكور لو سُلّم</w:t>
      </w:r>
      <w:r>
        <w:rPr>
          <w:rStyle w:val="FootnoteAnchor"/>
          <w:rtl w:val="true"/>
        </w:rPr>
        <w:footnoteReference w:id="983"/>
      </w:r>
      <w:r>
        <w:rPr>
          <w:rFonts w:ascii="Amiri" w:hAnsi="Amiri" w:eastAsia="Amiri" w:cs="Amiri"/>
          <w:color w:val="111111"/>
          <w:sz w:val="28"/>
          <w:sz w:val="28"/>
          <w:szCs w:val="28"/>
          <w:rtl w:val="true"/>
          <w:lang w:bidi="ar-SA"/>
        </w:rPr>
        <w:t xml:space="preserve">معارض بهذا الظهور والغلبة، وحينئذٍ فما دل على الوضع نص في كفاية الوضع </w:t>
      </w:r>
      <w:r>
        <w:rPr>
          <w:rStyle w:val="FootnoteAnchor"/>
          <w:rtl w:val="true"/>
        </w:rPr>
        <w:footnoteReference w:id="984"/>
      </w:r>
      <w:r>
        <w:rPr>
          <w:rFonts w:ascii="Amiri" w:hAnsi="Amiri" w:eastAsia="Amiri" w:cs="Amiri"/>
          <w:color w:val="111111"/>
          <w:sz w:val="28"/>
          <w:sz w:val="28"/>
          <w:szCs w:val="28"/>
          <w:rtl w:val="true"/>
          <w:lang w:bidi="ar-SA"/>
        </w:rPr>
        <w:t>، وما دل على الضرب ظاهر في عدم الكفاية بسبب ظهور الأمر به في الوجوب التعييني، ويحتمل خلاف ظاهره من حمله على الاستحباب أو على كون المراد منه الوضع أيضاً، فمقتضى القاعدة حمل الظاهر على النص</w:t>
      </w:r>
      <w:r>
        <w:rPr>
          <w:rStyle w:val="FootnoteAnchor"/>
          <w:rtl w:val="true"/>
        </w:rPr>
        <w:footnoteReference w:id="985"/>
      </w:r>
      <w:r>
        <w:rPr>
          <w:rFonts w:ascii="Amiri" w:hAnsi="Amiri" w:eastAsia="Amiri" w:cs="Amiri"/>
          <w:color w:val="111111"/>
          <w:sz w:val="28"/>
          <w:sz w:val="28"/>
          <w:szCs w:val="28"/>
          <w:rtl w:val="true"/>
          <w:lang w:bidi="ar-SA"/>
        </w:rPr>
        <w:t xml:space="preserve">وارتكاب خلاف </w:t>
      </w:r>
      <w:bookmarkStart w:id="415" w:name="pg9203_87326"/>
    </w:p>
    <w:p>
      <w:pPr>
        <w:pStyle w:val="BookText"/>
        <w:rPr/>
      </w:pPr>
      <w:bookmarkEnd w:id="415"/>
      <w:r>
        <w:rPr>
          <w:rFonts w:ascii="Amiri" w:hAnsi="Amiri" w:eastAsia="Amiri" w:cs="Amiri"/>
          <w:color w:val="111111"/>
          <w:sz w:val="28"/>
          <w:sz w:val="28"/>
          <w:szCs w:val="28"/>
          <w:rtl w:val="true"/>
          <w:lang w:bidi="ar-SA"/>
        </w:rPr>
        <w:t>الظاهر فيه بحمله على الوجوب التخييري، والنكتة في التعبير عنه بلفظ الضرب كثرة وقوعه وشيوعه، ونقول حينئذ بكفاية الوضع لا القول</w:t>
      </w:r>
      <w:r>
        <w:rPr>
          <w:rStyle w:val="FootnoteAnchor"/>
          <w:rtl w:val="true"/>
        </w:rPr>
        <w:footnoteReference w:id="986"/>
      </w:r>
      <w:r>
        <w:rPr>
          <w:rFonts w:ascii="Amiri" w:hAnsi="Amiri" w:eastAsia="Amiri" w:cs="Amiri"/>
          <w:color w:val="111111"/>
          <w:sz w:val="28"/>
          <w:sz w:val="28"/>
          <w:szCs w:val="28"/>
          <w:rtl w:val="true"/>
          <w:lang w:bidi="ar-SA"/>
        </w:rPr>
        <w:t>بالتخيير؛ لأنه فرع عدم الترجيح وإن كان محصل ما ذكرناه أيضاً هو التخيير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نبالي بذهاب المشهور إلى خلاف ذلك إذا ساعدنا الدليل </w:t>
      </w:r>
      <w:r>
        <w:rPr>
          <w:rStyle w:val="FootnoteAnchor"/>
          <w:rtl w:val="true"/>
        </w:rPr>
        <w:footnoteReference w:id="987"/>
      </w:r>
      <w:r>
        <w:rPr>
          <w:rFonts w:ascii="Amiri" w:hAnsi="Amiri" w:eastAsia="Amiri" w:cs="Amiri"/>
          <w:color w:val="111111"/>
          <w:sz w:val="28"/>
          <w:sz w:val="28"/>
          <w:szCs w:val="28"/>
          <w:rtl w:val="true"/>
          <w:lang w:bidi="ar-SA"/>
        </w:rPr>
        <w:t>؛ لأنّ الظاهر من الوضع كونه بياناً للضرب</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3968096_2870459653"/>
      <w:bookmarkStart w:id="417" w:name="_Toc147"/>
      <w:bookmarkEnd w:id="416"/>
      <w:r>
        <w:rPr>
          <w:rtl w:val="true"/>
        </w:rPr>
        <w:t>[</w:t>
      </w:r>
      <w:r>
        <w:rPr>
          <w:rtl w:val="true"/>
        </w:rPr>
        <w:t>كفاية الوضع عند تعذر الضرب</w:t>
      </w:r>
      <w:r>
        <w:rPr>
          <w:rtl w:val="true"/>
        </w:rPr>
        <w:t>]</w:t>
      </w:r>
      <w:bookmarkEnd w:id="417"/>
    </w:p>
    <w:p>
      <w:pPr>
        <w:pStyle w:val="BookText"/>
        <w:rPr/>
      </w:pPr>
      <w:r>
        <w:rPr>
          <w:rFonts w:ascii="Amiri" w:hAnsi="Amiri" w:eastAsia="Amiri" w:cs="Amiri"/>
          <w:color w:val="111111"/>
          <w:sz w:val="28"/>
          <w:sz w:val="28"/>
          <w:szCs w:val="28"/>
          <w:rtl w:val="true"/>
          <w:lang w:bidi="ar-SA"/>
        </w:rPr>
        <w:t>ثم إنّه لو تعذر الضرب وتمكن من الوضع بناءً على اعتبار الضرب، فهل يكون التكليف الوضع أو سقوط التيمّم؟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الأول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الأعلى</w:t>
      </w:r>
      <w:r>
        <w:rPr>
          <w:rStyle w:val="FootnoteAnchor"/>
          <w:rtl w:val="true"/>
        </w:rPr>
        <w:footnoteReference w:id="988"/>
      </w:r>
      <w:r>
        <w:rPr>
          <w:rFonts w:ascii="Amiri" w:hAnsi="Amiri" w:eastAsia="Amiri" w:cs="Amiri"/>
          <w:color w:val="111111"/>
          <w:sz w:val="28"/>
          <w:sz w:val="28"/>
          <w:szCs w:val="28"/>
          <w:rtl w:val="true"/>
          <w:lang w:bidi="ar-SA"/>
        </w:rPr>
        <w:t>لدلالتها على لزوم إتيان ما يمكن ويمكن الوضع وقلنا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وقاعدة الميسور وأمثالهما يعلم إجمالاً تخصيصها بالأدلة اللبية في بعض الموارد، فلا يمكن لنا التمسك بها في الموارد إلّا بعد أن نرى جماعة ذهبوا إلى الحكم المستفاد منها حتى يخرج المورد عن موارد العلم الإجمالي، وهذا الشرط موجود فيما نحن فيه</w:t>
      </w:r>
      <w:r>
        <w:rPr>
          <w:rStyle w:val="FootnoteAnchor"/>
          <w:rtl w:val="true"/>
        </w:rPr>
        <w:footnoteReference w:id="989"/>
      </w:r>
      <w:r>
        <w:rPr>
          <w:rFonts w:ascii="Amiri" w:hAnsi="Amiri" w:eastAsia="Amiri" w:cs="Amiri"/>
          <w:color w:val="111111"/>
          <w:sz w:val="28"/>
          <w:sz w:val="28"/>
          <w:szCs w:val="28"/>
          <w:rtl w:val="true"/>
          <w:lang w:bidi="ar-SA"/>
        </w:rPr>
        <w:t>لذهاب جماعة من الفحول</w:t>
      </w:r>
      <w:r>
        <w:rPr>
          <w:rStyle w:val="FootnoteAnchor"/>
          <w:rtl w:val="true"/>
        </w:rPr>
        <w:footnoteReference w:id="990"/>
      </w:r>
      <w:r>
        <w:rPr>
          <w:rFonts w:ascii="Amiri" w:hAnsi="Amiri" w:eastAsia="Amiri" w:cs="Amiri"/>
          <w:color w:val="111111"/>
          <w:sz w:val="28"/>
          <w:sz w:val="28"/>
          <w:szCs w:val="28"/>
          <w:rtl w:val="true"/>
          <w:lang w:bidi="ar-SA"/>
        </w:rPr>
        <w:t>بل المشهور إليه، ولا تجري قاعدة الميسور لما استظهرنا منها ثبوتها في الأجزاء الخارجية، وهما من الأجزاء التحليلية</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مما ذكرنا يظهر فساد الاحتمالين الأخيرين</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وقد يتمسك لثبوت الوضع بإطلاق الأدلّة؛ لأنّ الأمر بالضرب مقيد بحالة الإمكان، فتقييد المطلق ثابت في حال الإمكان على الضرب بكون الأوامر مقيّدة بحال إرادة المطلق مطلقاً، وبعد ورود وبعد ورود المقيّد يرفع اليد عن الإطلاق بقدر المقيّد، والمقيّد هنا ثابت في حال الإمكان؛ لكون الأوامر مقيّدة بحال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الاستدلال لا يتم فيما نحن فيه وهو كون المقيّد من مقومات الإطلاق بحيث يرتفع المطلق بارتفاعه نظير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جئني بإنسان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منه زيد</w:t>
      </w:r>
      <w:r>
        <w:rPr>
          <w:rStyle w:val="FootnoteAnchor"/>
          <w:rtl w:val="true"/>
        </w:rPr>
        <w:footnoteReference w:id="993"/>
      </w:r>
      <w:r>
        <w:rPr>
          <w:rFonts w:ascii="Amiri" w:hAnsi="Amiri" w:eastAsia="Amiri" w:cs="Amiri"/>
          <w:color w:val="111111"/>
          <w:sz w:val="28"/>
          <w:sz w:val="28"/>
          <w:szCs w:val="28"/>
          <w:rtl w:val="true"/>
          <w:lang w:bidi="ar-SA"/>
        </w:rPr>
        <w:t>، ولا معنى للقول بثبوت الإنسانية بعد ارتفاع الزيدية، وهو التشخص، نعم، يتم في مثل القيود الطارئة على الشيء مثل الآلة والزمان والمكان ،وغيرها، وحينئذ فلو شك في كون القيد مقوماً أو طارئاً فالأصل يقتضي الأخذ بالإطلاق عند ارتفاع القيد، لكن هذا إنّما يكون في القيد الثابت بدليل منفصل لا في المتصل، لانعقاد الظهور في الأول، فيرفع اليد عن الظهور الثابت بقدر التقييد دون المتصل ؛ لعدم انعقاد الظهور بدون القيد حتى يؤخذ به وبالإطلاق، بل بارتفاع القيد يرتفع الظهور رأساً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w:t>
      </w:r>
      <w:r>
        <w:rPr>
          <w:rStyle w:val="FootnoteAnchor"/>
          <w:rtl w:val="true"/>
        </w:rPr>
        <w:footnoteReference w:id="994"/>
      </w:r>
      <w:r>
        <w:rPr>
          <w:rFonts w:ascii="Amiri" w:hAnsi="Amiri" w:eastAsia="Amiri" w:cs="Amiri"/>
          <w:color w:val="111111"/>
          <w:sz w:val="28"/>
          <w:sz w:val="28"/>
          <w:szCs w:val="28"/>
          <w:rtl w:val="true"/>
          <w:lang w:bidi="ar-SA"/>
        </w:rPr>
        <w:t>لزوم كون الضرب والمسح بالكف لا غيره؛ بمقتضى حمل المطلق على المقيّد، إذ ورد</w:t>
      </w:r>
      <w:r>
        <w:rPr>
          <w:rStyle w:val="FootnoteAnchor"/>
          <w:rtl w:val="true"/>
        </w:rPr>
        <w:footnoteReference w:id="995"/>
      </w:r>
      <w:r>
        <w:rPr>
          <w:rFonts w:ascii="Amiri" w:hAnsi="Amiri" w:eastAsia="Amiri" w:cs="Amiri"/>
          <w:color w:val="111111"/>
          <w:sz w:val="28"/>
          <w:sz w:val="28"/>
          <w:szCs w:val="28"/>
          <w:rtl w:val="true"/>
          <w:lang w:bidi="ar-SA"/>
        </w:rPr>
        <w:t xml:space="preserve">بعض الأخبار بلفظ اليد وبعضها ورد بالكف، فيحمل المطلق، </w:t>
      </w:r>
      <w:bookmarkStart w:id="418" w:name="pg9203_87328"/>
    </w:p>
    <w:p>
      <w:pPr>
        <w:pStyle w:val="BookText"/>
        <w:rPr/>
      </w:pPr>
      <w:bookmarkEnd w:id="418"/>
      <w:r>
        <w:rPr>
          <w:rFonts w:ascii="Amiri" w:hAnsi="Amiri" w:eastAsia="Amiri" w:cs="Amiri"/>
          <w:color w:val="111111"/>
          <w:sz w:val="28"/>
          <w:sz w:val="28"/>
          <w:szCs w:val="28"/>
          <w:rtl w:val="true"/>
          <w:lang w:bidi="ar-SA"/>
        </w:rPr>
        <w:t>وهو اليد، على المقيد، وهو الكف</w:t>
      </w:r>
      <w:r>
        <w:rPr>
          <w:rStyle w:val="FootnoteAnchor"/>
          <w:rtl w:val="true"/>
        </w:rPr>
        <w:footnoteReference w:id="996"/>
      </w:r>
      <w:r>
        <w:rPr>
          <w:rFonts w:ascii="Amiri" w:hAnsi="Amiri" w:eastAsia="Amiri" w:cs="Amiri"/>
          <w:color w:val="111111"/>
          <w:sz w:val="28"/>
          <w:sz w:val="28"/>
          <w:szCs w:val="28"/>
          <w:rtl w:val="true"/>
          <w:lang w:bidi="ar-SA"/>
        </w:rPr>
        <w:t>، مضافاً إلى انصراف الكف منها</w:t>
      </w:r>
      <w:r>
        <w:rPr>
          <w:rFonts w:eastAsia="Amiri" w:cs="Amiri" w:ascii="Amiri" w:hAnsi="Amiri"/>
          <w:color w:val="111111"/>
          <w:sz w:val="28"/>
          <w:szCs w:val="28"/>
          <w:rtl w:val="true"/>
          <w:lang w:bidi="ar-SA"/>
        </w:rPr>
        <w:t>.</w:t>
      </w:r>
    </w:p>
    <w:p>
      <w:pPr>
        <w:pStyle w:val="Heading2"/>
        <w:numPr>
          <w:ilvl w:val="1"/>
          <w:numId w:val="1"/>
        </w:numPr>
        <w:rPr/>
      </w:pPr>
      <w:bookmarkStart w:id="419" w:name="__RefHeading___Toc3968098_2870459653"/>
      <w:bookmarkStart w:id="420" w:name="_Toc148"/>
      <w:bookmarkEnd w:id="419"/>
      <w:r>
        <w:rPr>
          <w:rtl w:val="true"/>
        </w:rPr>
        <w:t xml:space="preserve">[ </w:t>
      </w:r>
      <w:r>
        <w:rPr>
          <w:rtl w:val="true"/>
        </w:rPr>
        <w:t xml:space="preserve">وجوب كون الضرب بباطن الكف وعدم كفاية الظاهر </w:t>
      </w:r>
      <w:r>
        <w:rPr>
          <w:rtl w:val="true"/>
        </w:rPr>
        <w:t>]</w:t>
      </w:r>
      <w:bookmarkEnd w:id="420"/>
    </w:p>
    <w:p>
      <w:pPr>
        <w:pStyle w:val="BookText"/>
        <w:rPr/>
      </w:pPr>
      <w:r>
        <w:rPr>
          <w:rFonts w:ascii="Amiri" w:hAnsi="Amiri" w:eastAsia="Amiri" w:cs="Amiri"/>
          <w:color w:val="111111"/>
          <w:sz w:val="28"/>
          <w:sz w:val="28"/>
          <w:szCs w:val="28"/>
          <w:rtl w:val="true"/>
          <w:lang w:bidi="ar-SA"/>
        </w:rPr>
        <w:t>ثم إنّه هل يعتبر أن يكون الضرب بالباطن أو يكفي بالظاهر أيضاً؟</w:t>
      </w:r>
    </w:p>
    <w:p>
      <w:pPr>
        <w:pStyle w:val="BookText"/>
        <w:rPr/>
      </w:pPr>
      <w:r>
        <w:rPr>
          <w:rFonts w:ascii="Amiri" w:hAnsi="Amiri" w:eastAsia="Amiri" w:cs="Amiri"/>
          <w:color w:val="111111"/>
          <w:sz w:val="28"/>
          <w:sz w:val="28"/>
          <w:szCs w:val="28"/>
          <w:rtl w:val="true"/>
          <w:lang w:bidi="ar-SA"/>
        </w:rPr>
        <w:t xml:space="preserve">لا شبهة في ثبوت الأول؛ للإجماع </w:t>
      </w:r>
      <w:r>
        <w:rPr>
          <w:rStyle w:val="FootnoteAnchor"/>
          <w:rtl w:val="true"/>
        </w:rPr>
        <w:footnoteReference w:id="997"/>
      </w:r>
      <w:r>
        <w:rPr>
          <w:rFonts w:ascii="Amiri" w:hAnsi="Amiri" w:eastAsia="Amiri" w:cs="Amiri"/>
          <w:color w:val="111111"/>
          <w:sz w:val="28"/>
          <w:sz w:val="28"/>
          <w:szCs w:val="28"/>
          <w:rtl w:val="true"/>
          <w:lang w:bidi="ar-SA"/>
        </w:rPr>
        <w:t>، ولانصراف الضرب بالكف إلى باطنه</w:t>
      </w:r>
      <w:r>
        <w:rPr>
          <w:rStyle w:val="FootnoteAnchor"/>
          <w:rtl w:val="true"/>
        </w:rPr>
        <w:footnoteReference w:id="998"/>
      </w:r>
      <w:r>
        <w:rPr>
          <w:rFonts w:ascii="Amiri" w:hAnsi="Amiri" w:eastAsia="Amiri" w:cs="Amiri"/>
          <w:color w:val="111111"/>
          <w:sz w:val="28"/>
          <w:sz w:val="28"/>
          <w:szCs w:val="28"/>
          <w:rtl w:val="true"/>
          <w:lang w:bidi="ar-SA"/>
        </w:rPr>
        <w:t xml:space="preserve">، فالمطلق منصرف إلى الفرد الغالب المتعارف ، وهو كونه بالباطن، ولأنا نقطع بصدور الضرب بالباطن منه، ولو كان صدر الضرب بالظاهر أيضاً منه لتعيّن كونه معتبراً؛ لأنه فرد غير متعارف، ولو كان غيره جائزاً لفعلوه ؛ لأنّه غير متعارف ولا يفهم من الإطلاق، ولوَصل إلينا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إلينا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1" w:name="__RefHeading___Toc3968100_2870459653"/>
      <w:bookmarkStart w:id="422" w:name="_Toc149"/>
      <w:bookmarkEnd w:id="421"/>
      <w:r>
        <w:rPr>
          <w:rtl w:val="true"/>
        </w:rPr>
        <w:t>[</w:t>
      </w:r>
      <w:r>
        <w:rPr>
          <w:rtl w:val="true"/>
        </w:rPr>
        <w:t>فيما هو التكليف لو تعذر الضرب بباطن الكف</w:t>
      </w:r>
      <w:r>
        <w:rPr>
          <w:rtl w:val="true"/>
        </w:rPr>
        <w:t>]</w:t>
      </w:r>
      <w:bookmarkEnd w:id="42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تعذر الضرب بالباطن</w:t>
      </w:r>
      <w:r>
        <w:rPr>
          <w:rStyle w:val="FootnoteAnchor"/>
          <w:rtl w:val="true"/>
        </w:rPr>
        <w:footnoteReference w:id="1000"/>
      </w:r>
      <w:r>
        <w:rPr>
          <w:rFonts w:ascii="Amiri" w:hAnsi="Amiri" w:eastAsia="Amiri" w:cs="Amiri"/>
          <w:color w:val="111111"/>
          <w:sz w:val="28"/>
          <w:sz w:val="28"/>
          <w:szCs w:val="28"/>
          <w:rtl w:val="true"/>
          <w:lang w:bidi="ar-SA"/>
        </w:rPr>
        <w:t xml:space="preserve">فهل يكون التكليف حينئذٍ الضرب بظاهر الكفين، أو التولية بأن يتولى </w:t>
      </w:r>
      <w:r>
        <w:rPr>
          <w:rStyle w:val="FootnoteAnchor"/>
          <w:rtl w:val="true"/>
        </w:rPr>
        <w:footnoteReference w:id="1001"/>
      </w:r>
      <w:r>
        <w:rPr>
          <w:rFonts w:ascii="Amiri" w:hAnsi="Amiri" w:eastAsia="Amiri" w:cs="Amiri"/>
          <w:color w:val="111111"/>
          <w:sz w:val="28"/>
          <w:sz w:val="28"/>
          <w:szCs w:val="28"/>
          <w:rtl w:val="true"/>
          <w:lang w:bidi="ar-SA"/>
        </w:rPr>
        <w:t>الغير ضرب يده أو يد نفسه أو مسح الوجه واليدين بالتراب؟ وجوه كلها مبنيّة على ثبوت الصلاة في هذه الحالة، وإلا فلا تجري الوجوه أصلاً، والظاهر ثبوتها</w:t>
      </w:r>
      <w:r>
        <w:rPr>
          <w:rStyle w:val="FootnoteAnchor"/>
          <w:rtl w:val="true"/>
        </w:rPr>
        <w:footnoteReference w:id="1002"/>
      </w:r>
      <w:r>
        <w:rPr>
          <w:rFonts w:ascii="IRNazanin" w:hAnsi="IRNazanin" w:eastAsia="IRNazanin"/>
          <w:color w:val="111111"/>
          <w:sz w:val="28"/>
          <w:sz w:val="28"/>
          <w:szCs w:val="28"/>
          <w:rtl w:val="true"/>
          <w:lang w:bidi="fa-IR"/>
        </w:rPr>
        <w:t>، بل المقطوع به، مضافاً إلى قولهم</w:t>
      </w:r>
      <w:r>
        <w:rPr>
          <w:rFonts w:eastAsia="IRNazanin" w:cs="IRNazanin"/>
          <w:color w:val="111111"/>
          <w:sz w:val="28"/>
          <w:szCs w:val="28"/>
          <w:rtl w:val="true"/>
          <w:lang w:bidi="fa-IR"/>
        </w:rPr>
        <w:t>:</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تسقط بحال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وبعض الأصحاب حكموا بثبوت الضرب بالظهر</w:t>
      </w:r>
      <w:r>
        <w:rPr>
          <w:rStyle w:val="FootnoteAnchor"/>
          <w:rtl w:val="true"/>
        </w:rPr>
        <w:footnoteReference w:id="1004"/>
      </w:r>
      <w:r>
        <w:rPr>
          <w:rFonts w:ascii="Amiri" w:hAnsi="Amiri" w:eastAsia="Amiri" w:cs="Amiri"/>
          <w:color w:val="111111"/>
          <w:sz w:val="28"/>
          <w:sz w:val="28"/>
          <w:szCs w:val="28"/>
          <w:rtl w:val="true"/>
          <w:lang w:bidi="ar-SA"/>
        </w:rPr>
        <w:t xml:space="preserve">لأنّ الإطلاق إنّما يكون منصرفاً </w:t>
      </w:r>
      <w:r>
        <w:rPr>
          <w:rStyle w:val="FootnoteAnchor"/>
          <w:rtl w:val="true"/>
        </w:rPr>
        <w:footnoteReference w:id="1005"/>
      </w:r>
      <w:r>
        <w:rPr>
          <w:rFonts w:ascii="Amiri" w:hAnsi="Amiri" w:eastAsia="Amiri" w:cs="Amiri"/>
          <w:color w:val="111111"/>
          <w:sz w:val="28"/>
          <w:sz w:val="28"/>
          <w:szCs w:val="28"/>
          <w:rtl w:val="true"/>
          <w:lang w:bidi="ar-SA"/>
        </w:rPr>
        <w:t>إلى الباطن في حال الاختيار، وأما في حال الاضطرار يكون الإطلاق سليماً عن المعارض، مضافاً إلى 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أنت خبير بعدم تماميته </w:t>
      </w:r>
      <w:r>
        <w:rPr>
          <w:rStyle w:val="FootnoteAnchor"/>
          <w:rtl w:val="true"/>
        </w:rPr>
        <w:footnoteReference w:id="1006"/>
      </w:r>
      <w:r>
        <w:rPr>
          <w:rFonts w:ascii="IRNazanin" w:hAnsi="IRNazanin" w:eastAsia="IRNazanin"/>
          <w:color w:val="111111"/>
          <w:sz w:val="28"/>
          <w:sz w:val="28"/>
          <w:szCs w:val="28"/>
          <w:rtl w:val="true"/>
          <w:lang w:bidi="fa-IR"/>
        </w:rPr>
        <w:t>لأنه</w:t>
      </w:r>
      <w:r>
        <w:rPr>
          <w:rStyle w:val="FootnoteAnchor"/>
          <w:rtl w:val="true"/>
        </w:rPr>
        <w:footnoteReference w:id="1007"/>
      </w:r>
      <w:r>
        <w:rPr>
          <w:rFonts w:ascii="Amiri" w:hAnsi="Amiri" w:eastAsia="Amiri" w:cs="Amiri"/>
          <w:color w:val="111111"/>
          <w:sz w:val="28"/>
          <w:sz w:val="28"/>
          <w:szCs w:val="28"/>
          <w:rtl w:val="true"/>
          <w:lang w:bidi="ar-SA"/>
        </w:rPr>
        <w:t>ليس لنا مطلق ومقيّد حتى نقول بأن تقييد المطلق بقدر المقيد، بل أمر واحد متعلّق بالكف المراد به الباطن بحكم الانصراف، على أنه كما ذكرنا آنفاً أنّه إذا كان القيد من قبيل العوارض له وجه، وأما لو كان من قبيل المشخّصات بحيث يكون المطلق مشخصاً به فلا نُسلّم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فلا تدل على الضرب أصلاً، ولو سلمنا دِلالتها فليس في هذا المقام حتى يؤخذ بإطلاقه، وحينئذ لا بُدَّ من الاحتياط </w:t>
      </w:r>
      <w:r>
        <w:rPr>
          <w:rStyle w:val="FootnoteAnchor"/>
          <w:rtl w:val="true"/>
        </w:rPr>
        <w:footnoteReference w:id="1008"/>
      </w:r>
      <w:r>
        <w:rPr>
          <w:rFonts w:ascii="Amiri" w:hAnsi="Amiri" w:eastAsia="Amiri" w:cs="Amiri"/>
          <w:color w:val="111111"/>
          <w:sz w:val="28"/>
          <w:sz w:val="28"/>
          <w:szCs w:val="28"/>
          <w:rtl w:val="true"/>
          <w:lang w:bidi="ar-SA"/>
        </w:rPr>
        <w:t>بالجمع بين الضرب بالظهر والتولية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دار الأمر بين الضرب بالظهر ومسح الجبهة بالأرض؟</w:t>
      </w:r>
    </w:p>
    <w:p>
      <w:pPr>
        <w:pStyle w:val="BookText"/>
        <w:rPr/>
      </w:pPr>
      <w:r>
        <w:rPr>
          <w:rFonts w:ascii="Amiri" w:hAnsi="Amiri" w:eastAsia="Amiri" w:cs="Amiri"/>
          <w:color w:val="111111"/>
          <w:sz w:val="28"/>
          <w:sz w:val="28"/>
          <w:szCs w:val="28"/>
          <w:rtl w:val="true"/>
          <w:lang w:bidi="ar-SA"/>
        </w:rPr>
        <w:t>فالظاهر كفاية الضرب بالظهر ومسحها به؛ لعدم خصوصية في 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الجبهة في الأرض والتولية</w:t>
      </w:r>
      <w:r>
        <w:rPr>
          <w:rStyle w:val="FootnoteAnchor"/>
          <w:rtl w:val="true"/>
        </w:rPr>
        <w:footnoteReference w:id="1010"/>
      </w:r>
      <w:r>
        <w:rPr>
          <w:rFonts w:ascii="Amiri" w:hAnsi="Amiri" w:eastAsia="Amiri" w:cs="Amiri"/>
          <w:color w:val="111111"/>
          <w:sz w:val="28"/>
          <w:sz w:val="28"/>
          <w:szCs w:val="28"/>
          <w:rtl w:val="true"/>
          <w:lang w:bidi="ar-SA"/>
        </w:rPr>
        <w:t>، بل لوصول التراب إليها، ويحصل بمسحها بالظهر، وحصل التكليف لو كان الضرب بالظهر متعيّناً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دار الأمر بين التولية والضرب بالظهر؛ فالظاهر أقربية التولية؛ لرواية عبد الأعلى، مضافاً إلى استفادته من 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يمموه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لأنه ثبت منه التولية والتسبب في الجملة، ويستفاد منه أنه لو لم يتمكن نفس الشخص يفعل به </w:t>
      </w:r>
    </w:p>
    <w:p>
      <w:pPr>
        <w:pStyle w:val="BookText"/>
        <w:rPr/>
      </w:pPr>
      <w:r>
        <w:rPr>
          <w:rFonts w:ascii="Amiri" w:hAnsi="Amiri" w:eastAsia="Amiri" w:cs="Amiri"/>
          <w:color w:val="111111"/>
          <w:sz w:val="28"/>
          <w:sz w:val="28"/>
          <w:szCs w:val="28"/>
          <w:rtl w:val="true"/>
          <w:lang w:bidi="ar-SA"/>
        </w:rPr>
        <w:t xml:space="preserve">التيمّم </w:t>
      </w:r>
      <w:r>
        <w:rPr>
          <w:rStyle w:val="FootnoteAnchor"/>
          <w:rtl w:val="true"/>
        </w:rPr>
        <w:footnoteReference w:id="1011"/>
      </w:r>
      <w:r>
        <w:rPr>
          <w:rFonts w:ascii="Amiri" w:hAnsi="Amiri" w:eastAsia="Amiri" w:cs="Amiri"/>
          <w:color w:val="111111"/>
          <w:sz w:val="28"/>
          <w:sz w:val="28"/>
          <w:szCs w:val="28"/>
          <w:rtl w:val="true"/>
          <w:lang w:bidi="ar-SA"/>
        </w:rPr>
        <w:t>ولا يدلّ دليل الميسور وغيره على الضرب بالظهر؛ لأنّها تثبت الميسور من الثابت لا المباين ،له ومجرد الأقربية لا تدل عليه، نعم يمكن ثبوت الحكم بالظهر مع تعذر الباطن بقاعدة الميسور بناءً على تعميمه للميسور العرفي، وكون الظهر ميسوراً للواجب الأصلي، وهو في العرف باطن الكف، فيثبت بها كون الواجب حينئذٍ مسح الظهر، ولا يمكن إثباته من رواية عبد الأعلى</w:t>
      </w:r>
      <w:r>
        <w:rPr>
          <w:rStyle w:val="FootnoteAnchor"/>
          <w:rtl w:val="true"/>
        </w:rPr>
        <w:footnoteReference w:id="1012"/>
      </w:r>
      <w:r>
        <w:rPr>
          <w:rFonts w:ascii="Amiri" w:hAnsi="Amiri" w:eastAsia="Amiri" w:cs="Amiri"/>
          <w:color w:val="111111"/>
          <w:sz w:val="28"/>
          <w:sz w:val="28"/>
          <w:szCs w:val="28"/>
          <w:rtl w:val="true"/>
          <w:lang w:bidi="ar-SA"/>
        </w:rPr>
        <w:t xml:space="preserve">إذ الرواية تثبت الحكم لنفس الواجب مع الحائل مثلاً لا غير، مورد الواجب وإن لم يمكن التعميم في القاعدة، وقلنا باختصاصها في الميسور، نفس الواجب حقيقة، فيمكن الحكم بالتولية بناءً على الاستظهار المذكور وإن لم يتمكن منه أيضاً، فلا بُدَّ من الاحتياط بالجمع بين المحتملات مظنونة كانت أو مشكوكة بمقتضى </w:t>
      </w:r>
      <w:r>
        <w:rPr>
          <w:rStyle w:val="FootnoteAnchor"/>
          <w:rtl w:val="true"/>
        </w:rPr>
        <w:footnoteReference w:id="1013"/>
      </w:r>
      <w:r>
        <w:rPr>
          <w:rFonts w:ascii="Amiri" w:hAnsi="Amiri" w:eastAsia="Amiri" w:cs="Amiri"/>
          <w:color w:val="111111"/>
          <w:sz w:val="28"/>
          <w:sz w:val="28"/>
          <w:szCs w:val="28"/>
          <w:rtl w:val="true"/>
          <w:lang w:bidi="ar-SA"/>
        </w:rPr>
        <w:t>الأصل، فإن لم يمكن الاحتياط بلزوم العسر والحرج فيجري حينئذٍ دليل الانسداد في خصوص المسألة، فيعمل حينئذ بالمحتملات المظنونة دون المشكوكة والموهومة مع عدم قيام الإجماع، وإلا فهو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التي ذكرناها تجري في الفروع المتعلّقة في هذا الباب مثل كون اليد نجسة بالنجاسة ،الحاجبة فالحكم لزوم مسح الباطن لقاعدة الميسور ورواية عبد الأعلى، ومع عدم الحجب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الحائل غير النجاسة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النجاسة متعدية فالقاعدة تحكم بلزوم ضرب الظاهر بناءً على التعميم المذكور فيها، وكذا بدونه؛ لدوران الاحتمال بين مسح الرأس بالتراب أو مسحه بالظهر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سابقاً أنّ المتعين حينئذ مسحه بالظهر؛ لعدم خصوصية في مسح الرأس بالتراب، بخلافه بالظهر</w:t>
      </w:r>
      <w:r>
        <w:rPr>
          <w:rFonts w:eastAsia="Amiri" w:cs="Amiri" w:ascii="Amiri" w:hAnsi="Amiri"/>
          <w:color w:val="111111"/>
          <w:sz w:val="28"/>
          <w:szCs w:val="28"/>
          <w:rtl w:val="true"/>
          <w:lang w:bidi="ar-SA"/>
        </w:rPr>
        <w:t xml:space="preserve">. </w:t>
      </w:r>
      <w:bookmarkStart w:id="423" w:name="pg9203_87331"/>
    </w:p>
    <w:p>
      <w:pPr>
        <w:pStyle w:val="Heading2"/>
        <w:numPr>
          <w:ilvl w:val="1"/>
          <w:numId w:val="1"/>
        </w:numPr>
        <w:rPr/>
      </w:pPr>
      <w:bookmarkStart w:id="424" w:name="__RefHeading___Toc3968102_2870459653"/>
      <w:bookmarkStart w:id="425" w:name="_Toc150"/>
      <w:bookmarkEnd w:id="423"/>
      <w:bookmarkEnd w:id="424"/>
      <w:r>
        <w:rPr>
          <w:rtl w:val="true"/>
        </w:rPr>
        <w:t>[</w:t>
      </w:r>
      <w:r>
        <w:rPr>
          <w:rtl w:val="true"/>
        </w:rPr>
        <w:t>اعتبار طهارة الماسح والممسوح اختياراً</w:t>
      </w:r>
      <w:r>
        <w:rPr>
          <w:rtl w:val="true"/>
        </w:rPr>
        <w:t>]</w:t>
      </w:r>
      <w:bookmarkEnd w:id="425"/>
    </w:p>
    <w:p>
      <w:pPr>
        <w:pStyle w:val="BookText"/>
        <w:rPr/>
      </w:pPr>
      <w:r>
        <w:rPr>
          <w:rFonts w:ascii="Amiri" w:hAnsi="Amiri" w:eastAsia="Amiri" w:cs="Amiri"/>
          <w:color w:val="111111"/>
          <w:sz w:val="28"/>
          <w:sz w:val="28"/>
          <w:szCs w:val="28"/>
          <w:rtl w:val="true"/>
          <w:lang w:bidi="ar-SA"/>
        </w:rPr>
        <w:t>ثم إنّه هل يعتبر الطهارة في الماسح والممسوح اختياراً أو لا؟</w:t>
      </w:r>
    </w:p>
    <w:p>
      <w:pPr>
        <w:pStyle w:val="BookText"/>
        <w:rPr/>
      </w:pPr>
      <w:r>
        <w:rPr>
          <w:rFonts w:ascii="Amiri" w:hAnsi="Amiri" w:eastAsia="Amiri" w:cs="Amiri"/>
          <w:color w:val="111111"/>
          <w:sz w:val="28"/>
          <w:sz w:val="28"/>
          <w:szCs w:val="28"/>
          <w:rtl w:val="true"/>
          <w:lang w:bidi="ar-SA"/>
        </w:rPr>
        <w:t xml:space="preserve">الظاهر اعتبار الطهارة فيها، لدعوى بعضهم كالشهيد الأول رحمه الله، في حاشيته على الإرشاد </w:t>
      </w:r>
      <w:r>
        <w:rPr>
          <w:rStyle w:val="FootnoteAnchor"/>
          <w:rtl w:val="true"/>
        </w:rPr>
        <w:footnoteReference w:id="1014"/>
      </w:r>
      <w:r>
        <w:rPr>
          <w:rFonts w:ascii="Amiri" w:hAnsi="Amiri" w:eastAsia="Amiri" w:cs="Amiri"/>
          <w:color w:val="111111"/>
          <w:sz w:val="28"/>
          <w:sz w:val="28"/>
          <w:szCs w:val="28"/>
          <w:rtl w:val="true"/>
          <w:lang w:bidi="ar-SA"/>
        </w:rPr>
        <w:t xml:space="preserve">، وفي شرح المفاتيح نسبته إلى الفقهاء </w:t>
      </w:r>
      <w:r>
        <w:rPr>
          <w:rStyle w:val="FootnoteAnchor"/>
          <w:rtl w:val="true"/>
        </w:rPr>
        <w:footnoteReference w:id="1015"/>
      </w:r>
      <w:r>
        <w:rPr>
          <w:rFonts w:ascii="Amiri" w:hAnsi="Amiri" w:eastAsia="Amiri" w:cs="Amiri"/>
          <w:color w:val="111111"/>
          <w:sz w:val="28"/>
          <w:sz w:val="28"/>
          <w:szCs w:val="28"/>
          <w:rtl w:val="true"/>
          <w:lang w:bidi="ar-SA"/>
        </w:rPr>
        <w:t>، ودعوى الكركي القطع به</w:t>
      </w:r>
      <w:r>
        <w:rPr>
          <w:rStyle w:val="FootnoteAnchor"/>
          <w:rtl w:val="true"/>
        </w:rPr>
        <w:footnoteReference w:id="1016"/>
      </w:r>
      <w:r>
        <w:rPr>
          <w:rFonts w:ascii="Amiri" w:hAnsi="Amiri" w:eastAsia="Amiri" w:cs="Amiri"/>
          <w:color w:val="111111"/>
          <w:sz w:val="28"/>
          <w:sz w:val="28"/>
          <w:szCs w:val="28"/>
          <w:rtl w:val="true"/>
          <w:lang w:bidi="ar-SA"/>
        </w:rPr>
        <w:t>ومقتضى إطلاق كلامهم اعتبارها في الماسح أيضاً ، مضافاً إلى علمنا</w:t>
      </w:r>
      <w:r>
        <w:rPr>
          <w:rStyle w:val="FootnoteAnchor"/>
          <w:rtl w:val="true"/>
        </w:rPr>
        <w:footnoteReference w:id="1017"/>
      </w:r>
      <w:r>
        <w:rPr>
          <w:rFonts w:ascii="Amiri" w:hAnsi="Amiri" w:eastAsia="Amiri" w:cs="Amiri"/>
          <w:color w:val="111111"/>
          <w:sz w:val="28"/>
          <w:sz w:val="28"/>
          <w:szCs w:val="28"/>
          <w:rtl w:val="true"/>
          <w:lang w:bidi="ar-SA"/>
        </w:rPr>
        <w:t>باعتبارها فيه؛ لدعوى جامع المقاصد القطع به، مع علمنا أنّ دعواه القطع إنّما هو لكون مذاق الفقهاء بيده، ولأنّ التيمم لرفع الحالة المعنوية، فكيف يحصل مع القذارة الظاهرية، ولعدم الدليل في الوضوء على اعتبار الطهارة فيه، مع قولهم باعتبار الطهارة في حال الوضوء لما ذكرنا ، ولولا قولهم يمكن القول بكون الغسل الواحد مطهر للحدث والخبث</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عدم الشبهة في ثبوت الحكم المذكور خصوصاً في الممسوح، وتمشك بعضهم </w:t>
      </w:r>
      <w:r>
        <w:rPr>
          <w:rStyle w:val="FootnoteAnchor"/>
          <w:rtl w:val="true"/>
        </w:rPr>
        <w:footnoteReference w:id="1018"/>
      </w:r>
      <w:r>
        <w:rPr>
          <w:rFonts w:ascii="Amiri" w:hAnsi="Amiri" w:eastAsia="Amiri" w:cs="Amiri"/>
          <w:color w:val="111111"/>
          <w:sz w:val="28"/>
          <w:sz w:val="28"/>
          <w:szCs w:val="28"/>
          <w:rtl w:val="true"/>
          <w:lang w:bidi="ar-SA"/>
        </w:rPr>
        <w:t>لعدم الاعتبار بالإطلاقات لا وجه له؛ لأنّ الإطلاقات في بيان</w:t>
      </w:r>
      <w:r>
        <w:rPr>
          <w:rStyle w:val="FootnoteAnchor"/>
          <w:rtl w:val="true"/>
        </w:rPr>
        <w:footnoteReference w:id="1019"/>
      </w:r>
      <w:r>
        <w:rPr>
          <w:rFonts w:ascii="Amiri" w:hAnsi="Amiri" w:eastAsia="Amiri" w:cs="Amiri"/>
          <w:color w:val="111111"/>
          <w:sz w:val="28"/>
          <w:sz w:val="28"/>
          <w:szCs w:val="28"/>
          <w:rtl w:val="true"/>
          <w:lang w:bidi="ar-SA"/>
        </w:rPr>
        <w:t>الأجزاء لا الشرائط، فلا يكون إطلاق، ومقتضى الأصل أيضاً اعتبار الطهارة</w:t>
      </w:r>
      <w:r>
        <w:rPr>
          <w:rFonts w:eastAsia="Amiri" w:cs="Amiri" w:ascii="Amiri" w:hAnsi="Amiri"/>
          <w:color w:val="111111"/>
          <w:sz w:val="28"/>
          <w:szCs w:val="28"/>
          <w:rtl w:val="true"/>
          <w:lang w:bidi="ar-SA"/>
        </w:rPr>
        <w:t xml:space="preserve">. </w:t>
      </w:r>
      <w:bookmarkStart w:id="426" w:name="pg9203_87332"/>
    </w:p>
    <w:p>
      <w:pPr>
        <w:pStyle w:val="Heading2"/>
        <w:numPr>
          <w:ilvl w:val="1"/>
          <w:numId w:val="1"/>
        </w:numPr>
        <w:rPr/>
      </w:pPr>
      <w:bookmarkStart w:id="427" w:name="__RefHeading___Toc3968104_2870459653"/>
      <w:bookmarkStart w:id="428" w:name="_Toc151"/>
      <w:bookmarkEnd w:id="426"/>
      <w:bookmarkEnd w:id="427"/>
      <w:r>
        <w:rPr>
          <w:rtl w:val="true"/>
        </w:rPr>
        <w:t>[</w:t>
      </w:r>
      <w:r>
        <w:rPr>
          <w:rtl w:val="true"/>
        </w:rPr>
        <w:t>هل العلوق معتبر أم لا؟</w:t>
      </w:r>
      <w:r>
        <w:rPr>
          <w:rtl w:val="true"/>
        </w:rPr>
        <w:t>]</w:t>
      </w:r>
      <w:bookmarkEnd w:id="428"/>
    </w:p>
    <w:p>
      <w:pPr>
        <w:pStyle w:val="BookText"/>
        <w:rPr/>
      </w:pPr>
      <w:r>
        <w:rPr>
          <w:rFonts w:ascii="Amiri" w:hAnsi="Amiri" w:eastAsia="Amiri" w:cs="Amiri"/>
          <w:color w:val="111111"/>
          <w:sz w:val="28"/>
          <w:sz w:val="28"/>
          <w:szCs w:val="28"/>
          <w:rtl w:val="true"/>
          <w:lang w:bidi="ar-SA"/>
        </w:rPr>
        <w:t>ثم إنّه هل يعتبر العلوق</w:t>
      </w:r>
      <w:r>
        <w:rPr>
          <w:rStyle w:val="FootnoteAnchor"/>
          <w:rtl w:val="true"/>
        </w:rPr>
        <w:footnoteReference w:id="1020"/>
      </w:r>
      <w:r>
        <w:rPr>
          <w:rFonts w:ascii="IRNazanin" w:hAnsi="IRNazanin" w:eastAsia="IRNazanin"/>
          <w:color w:val="111111"/>
          <w:sz w:val="28"/>
          <w:sz w:val="28"/>
          <w:szCs w:val="28"/>
          <w:rtl w:val="true"/>
          <w:lang w:bidi="fa-IR"/>
        </w:rPr>
        <w:t xml:space="preserve">أم لا؟ وهنا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اعتبار العلوق فيما يتيمم به بمعنی وجود</w:t>
      </w:r>
      <w:r>
        <w:rPr>
          <w:rStyle w:val="FootnoteAnchor"/>
          <w:rtl w:val="true"/>
        </w:rPr>
        <w:footnoteReference w:id="1021"/>
      </w:r>
      <w:r>
        <w:rPr>
          <w:rFonts w:ascii="Amiri" w:hAnsi="Amiri" w:eastAsia="Amiri" w:cs="Amiri"/>
          <w:color w:val="111111"/>
          <w:sz w:val="28"/>
          <w:sz w:val="28"/>
          <w:szCs w:val="28"/>
          <w:rtl w:val="true"/>
          <w:lang w:bidi="ar-SA"/>
        </w:rPr>
        <w:t>تراب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مسح الجبهة واليدين بالتراب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نُفي اعتبار الأول نفي الثاني، وإن ثبت الأول يمكن التكلم في الثاني، فالكلام في الأول الآن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بين القدماء والمتأخرين</w:t>
      </w:r>
      <w:r>
        <w:rPr>
          <w:rStyle w:val="FootnoteAnchor"/>
          <w:rtl w:val="true"/>
        </w:rPr>
        <w:footnoteReference w:id="1022"/>
      </w:r>
      <w:r>
        <w:rPr>
          <w:rStyle w:val="FootnoteAnchor"/>
          <w:rtl w:val="true"/>
        </w:rPr>
        <w:footnoteReference w:id="1023"/>
      </w:r>
      <w:r>
        <w:rPr>
          <w:rFonts w:ascii="Amiri" w:hAnsi="Amiri" w:eastAsia="Amiri" w:cs="Amiri"/>
          <w:color w:val="111111"/>
          <w:sz w:val="28"/>
          <w:sz w:val="28"/>
          <w:szCs w:val="28"/>
          <w:rtl w:val="true"/>
          <w:lang w:bidi="ar-SA"/>
        </w:rPr>
        <w:t xml:space="preserve">، بل لم يظهر خلاف إلّا من بعض متأخري المتأخرين كصاحب الذخيرة والكفاية </w:t>
      </w:r>
      <w:r>
        <w:rPr>
          <w:rStyle w:val="FootnoteAnchor"/>
          <w:rtl w:val="true"/>
        </w:rPr>
        <w:footnoteReference w:id="1024"/>
      </w:r>
      <w:r>
        <w:rPr>
          <w:rFonts w:ascii="Amiri" w:hAnsi="Amiri" w:eastAsia="Amiri" w:cs="Amiri"/>
          <w:color w:val="111111"/>
          <w:sz w:val="28"/>
          <w:sz w:val="28"/>
          <w:szCs w:val="28"/>
          <w:rtl w:val="true"/>
          <w:lang w:bidi="ar-SA"/>
        </w:rPr>
        <w:t xml:space="preserve">والمدارك </w:t>
      </w:r>
      <w:r>
        <w:rPr>
          <w:rStyle w:val="FootnoteAnchor"/>
          <w:rtl w:val="true"/>
        </w:rPr>
        <w:footnoteReference w:id="1025"/>
      </w:r>
      <w:r>
        <w:rPr>
          <w:rFonts w:ascii="IRNazanin" w:hAnsi="IRNazanin" w:eastAsia="IRNazanin"/>
          <w:color w:val="111111"/>
          <w:sz w:val="28"/>
          <w:sz w:val="28"/>
          <w:szCs w:val="28"/>
          <w:rtl w:val="true"/>
          <w:lang w:bidi="fa-IR"/>
        </w:rPr>
        <w:t xml:space="preserve">وصاحب الحدائق </w:t>
      </w:r>
      <w:r>
        <w:rPr>
          <w:rStyle w:val="FootnoteAnchor"/>
          <w:rtl w:val="true"/>
        </w:rPr>
        <w:footnoteReference w:id="1026"/>
      </w:r>
      <w:r>
        <w:rPr>
          <w:rFonts w:ascii="Amiri" w:hAnsi="Amiri" w:eastAsia="Amiri" w:cs="Amiri"/>
          <w:color w:val="111111"/>
          <w:sz w:val="28"/>
          <w:sz w:val="28"/>
          <w:szCs w:val="28"/>
          <w:rtl w:val="true"/>
          <w:lang w:bidi="ar-SA"/>
        </w:rPr>
        <w:t xml:space="preserve">، ولم يظهر المخالف من القدماء والمتأخرين أيضاً صريحاً، وإن احتمل من كلام بعض </w:t>
      </w:r>
      <w:r>
        <w:rPr>
          <w:rStyle w:val="FootnoteAnchor"/>
          <w:rtl w:val="true"/>
        </w:rPr>
        <w:footnoteReference w:id="1027"/>
      </w:r>
      <w:r>
        <w:rPr>
          <w:rFonts w:ascii="Amiri" w:hAnsi="Amiri" w:eastAsia="Amiri" w:cs="Amiri"/>
          <w:color w:val="111111"/>
          <w:sz w:val="28"/>
          <w:sz w:val="28"/>
          <w:szCs w:val="28"/>
          <w:rtl w:val="true"/>
          <w:lang w:bidi="ar-SA"/>
        </w:rPr>
        <w:t>، ويرشد إليه قولهم بجواز التيمم بالحجر مطلقاً مع عدم اشتراط العلوق قول بعض ممن قال بكون المتيمّم به هو التراب، قال بعدم الفرق بين المدر وغيره، مع عدم وجود التراب في المدر ،غالباً، وكذلك قالوا بجواز التيمّم بالحجر</w:t>
      </w:r>
      <w:r>
        <w:rPr>
          <w:rStyle w:val="FootnoteAnchor"/>
          <w:rtl w:val="true"/>
        </w:rPr>
        <w:footnoteReference w:id="1028"/>
      </w:r>
      <w:r>
        <w:rPr>
          <w:rFonts w:ascii="Amiri" w:hAnsi="Amiri" w:eastAsia="Amiri" w:cs="Amiri"/>
          <w:color w:val="111111"/>
          <w:sz w:val="28"/>
          <w:sz w:val="28"/>
          <w:szCs w:val="28"/>
          <w:rtl w:val="true"/>
          <w:lang w:bidi="ar-SA"/>
        </w:rPr>
        <w:t xml:space="preserve">، سواءً كان في حال الاختيار مثل من يقول بكون الصعيد مطلق وجه الأرض، أو يقول به مع عدم التمكن من التراب، وهو أعم من عدم التمكن مطلقاً حتى الغبار ، بل يقول بالجواز مطلقاً حتى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الغبار</w:t>
      </w:r>
      <w:r>
        <w:rPr>
          <w:rStyle w:val="FootnoteAnchor"/>
          <w:rtl w:val="true"/>
        </w:rPr>
        <w:footnoteReference w:id="1029"/>
      </w:r>
      <w:r>
        <w:rPr>
          <w:rFonts w:ascii="Amiri" w:hAnsi="Amiri" w:eastAsia="Amiri" w:cs="Amiri"/>
          <w:color w:val="111111"/>
          <w:sz w:val="28"/>
          <w:sz w:val="28"/>
          <w:szCs w:val="28"/>
          <w:rtl w:val="true"/>
          <w:lang w:bidi="ar-SA"/>
        </w:rPr>
        <w:t>ومقتضى إطلاق كلامهم جواز التيمم بالحجر الأملس</w:t>
      </w:r>
      <w:r>
        <w:rPr>
          <w:rStyle w:val="FootnoteAnchor"/>
          <w:rtl w:val="true"/>
        </w:rPr>
        <w:footnoteReference w:id="1030"/>
      </w:r>
      <w:r>
        <w:rPr>
          <w:rFonts w:ascii="Amiri" w:hAnsi="Amiri" w:eastAsia="Amiri" w:cs="Amiri"/>
          <w:color w:val="111111"/>
          <w:sz w:val="28"/>
          <w:sz w:val="28"/>
          <w:szCs w:val="28"/>
          <w:rtl w:val="true"/>
          <w:lang w:bidi="ar-SA"/>
        </w:rPr>
        <w:t xml:space="preserve">الذي لا غبار عليه، وكذلك مقتضى </w:t>
      </w:r>
      <w:r>
        <w:rPr>
          <w:rStyle w:val="FootnoteAnchor"/>
          <w:rtl w:val="true"/>
        </w:rPr>
        <w:footnoteReference w:id="1031"/>
      </w:r>
      <w:r>
        <w:rPr>
          <w:rFonts w:ascii="IRNazanin" w:hAnsi="IRNazanin" w:eastAsia="IRNazanin"/>
          <w:color w:val="111111"/>
          <w:sz w:val="28"/>
          <w:sz w:val="28"/>
          <w:szCs w:val="28"/>
          <w:rtl w:val="true"/>
          <w:lang w:bidi="fa-IR"/>
        </w:rPr>
        <w:t xml:space="preserve">قولهم باستحباب النفض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ادعي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جماعة كصريح جامع المقاصد</w:t>
      </w:r>
      <w:r>
        <w:rPr>
          <w:rStyle w:val="FootnoteAnchor"/>
          <w:rtl w:val="true"/>
        </w:rPr>
        <w:footnoteReference w:id="1033"/>
      </w:r>
      <w:r>
        <w:rPr>
          <w:rFonts w:ascii="Amiri" w:hAnsi="Amiri" w:eastAsia="Amiri" w:cs="Amiri"/>
          <w:color w:val="111111"/>
          <w:sz w:val="28"/>
          <w:sz w:val="28"/>
          <w:szCs w:val="28"/>
          <w:rtl w:val="true"/>
          <w:lang w:bidi="ar-SA"/>
        </w:rPr>
        <w:t>وظاهر العلّامة</w:t>
      </w:r>
      <w:r>
        <w:rPr>
          <w:rStyle w:val="FootnoteAnchor"/>
          <w:rtl w:val="true"/>
        </w:rPr>
        <w:footnoteReference w:id="1034"/>
      </w:r>
      <w:r>
        <w:rPr>
          <w:rFonts w:ascii="Amiri" w:hAnsi="Amiri" w:eastAsia="Amiri" w:cs="Amiri"/>
          <w:color w:val="111111"/>
          <w:sz w:val="28"/>
          <w:sz w:val="28"/>
          <w:szCs w:val="28"/>
          <w:rtl w:val="true"/>
          <w:lang w:bidi="ar-SA"/>
        </w:rPr>
        <w:t>وكنز العرفان</w:t>
      </w:r>
      <w:r>
        <w:rPr>
          <w:rStyle w:val="FootnoteAnchor"/>
          <w:rtl w:val="true"/>
        </w:rPr>
        <w:footnoteReference w:id="1035"/>
      </w:r>
      <w:r>
        <w:rPr>
          <w:rFonts w:ascii="Amiri" w:hAnsi="Amiri" w:eastAsia="Amiri" w:cs="Amiri"/>
          <w:color w:val="111111"/>
          <w:sz w:val="28"/>
          <w:sz w:val="28"/>
          <w:szCs w:val="28"/>
          <w:rtl w:val="true"/>
          <w:lang w:bidi="ar-SA"/>
        </w:rPr>
        <w:t xml:space="preserve">وصريح الفاضل </w:t>
      </w:r>
      <w:r>
        <w:rPr>
          <w:rStyle w:val="FootnoteAnchor"/>
          <w:rtl w:val="true"/>
        </w:rPr>
        <w:footnoteReference w:id="1036"/>
      </w:r>
      <w:r>
        <w:rPr>
          <w:rFonts w:ascii="IRNazanin" w:hAnsi="IRNazanin" w:eastAsia="IRNazanin"/>
          <w:color w:val="111111"/>
          <w:sz w:val="28"/>
          <w:sz w:val="28"/>
          <w:szCs w:val="28"/>
          <w:rtl w:val="true"/>
          <w:lang w:bidi="fa-IR"/>
        </w:rPr>
        <w:t xml:space="preserve">الجواد </w:t>
      </w:r>
      <w:r>
        <w:rPr>
          <w:rStyle w:val="FootnoteAnchor"/>
          <w:rtl w:val="true"/>
        </w:rPr>
        <w:footnoteReference w:id="1037"/>
      </w:r>
      <w:r>
        <w:rPr>
          <w:rFonts w:ascii="Amiri" w:hAnsi="Amiri" w:eastAsia="Amiri" w:cs="Amiri"/>
          <w:color w:val="111111"/>
          <w:sz w:val="28"/>
          <w:sz w:val="28"/>
          <w:szCs w:val="28"/>
          <w:rtl w:val="true"/>
          <w:lang w:bidi="ar-SA"/>
        </w:rPr>
        <w:t>في اليدين، ويرشد</w:t>
      </w:r>
      <w:r>
        <w:rPr>
          <w:rStyle w:val="FootnoteAnchor"/>
          <w:rtl w:val="true"/>
        </w:rPr>
        <w:footnoteReference w:id="1038"/>
      </w:r>
      <w:r>
        <w:rPr>
          <w:rFonts w:ascii="Amiri" w:hAnsi="Amiri" w:eastAsia="Amiri" w:cs="Amiri"/>
          <w:color w:val="111111"/>
          <w:sz w:val="28"/>
          <w:sz w:val="28"/>
          <w:szCs w:val="28"/>
          <w:rtl w:val="true"/>
          <w:lang w:bidi="ar-SA"/>
        </w:rPr>
        <w:t>إليه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معتبراً لما استُحبّ النفض مع منافاته للغرض من العلوق؛لشمول النفض لما لا يبقي الأثر بالمرة، بل لا بدَّ أن يحكم بعدم الاستحباب</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بالضربة الواحدة في الأخبار مع أنّ الغالب زوال الأجزاء الترابية بعد النفض ومسح الجبهة، فلا يبقى لليدين شيء</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 الأخبار له وكلمات الفقهاء مع أنهم</w:t>
      </w:r>
      <w:r>
        <w:rPr>
          <w:rStyle w:val="FootnoteAnchor"/>
          <w:rtl w:val="true"/>
        </w:rPr>
        <w:footnoteReference w:id="1040"/>
      </w:r>
      <w:r>
        <w:rPr>
          <w:rFonts w:ascii="Amiri" w:hAnsi="Amiri" w:eastAsia="Amiri" w:cs="Amiri"/>
          <w:color w:val="111111"/>
          <w:sz w:val="28"/>
          <w:sz w:val="28"/>
          <w:szCs w:val="28"/>
          <w:rtl w:val="true"/>
          <w:lang w:bidi="ar-SA"/>
        </w:rPr>
        <w:t xml:space="preserve">بصدد بيان </w:t>
      </w:r>
    </w:p>
    <w:p>
      <w:pPr>
        <w:pStyle w:val="BookText"/>
        <w:rPr/>
      </w:pPr>
      <w:r>
        <w:rPr>
          <w:rFonts w:ascii="Amiri" w:hAnsi="Amiri" w:eastAsia="Amiri" w:cs="Amiri"/>
          <w:color w:val="111111"/>
          <w:sz w:val="28"/>
          <w:sz w:val="28"/>
          <w:szCs w:val="28"/>
          <w:rtl w:val="true"/>
          <w:lang w:bidi="ar-SA"/>
        </w:rPr>
        <w:t>الأحكام تفصيلاً، فالمعتمد هو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إلى اعتباره</w:t>
      </w:r>
      <w:r>
        <w:rPr>
          <w:rStyle w:val="FootnoteAnchor"/>
          <w:rtl w:val="true"/>
        </w:rPr>
        <w:footnoteReference w:id="1041"/>
      </w:r>
      <w:r>
        <w:rPr>
          <w:rFonts w:ascii="Amiri" w:hAnsi="Amiri" w:eastAsia="Amiri" w:cs="Amiri"/>
          <w:color w:val="111111"/>
          <w:sz w:val="28"/>
          <w:sz w:val="28"/>
          <w:szCs w:val="28"/>
          <w:rtl w:val="true"/>
          <w:lang w:bidi="ar-SA"/>
        </w:rPr>
        <w:t>كما نسب إلى السيد</w:t>
      </w:r>
      <w:r>
        <w:rPr>
          <w:rStyle w:val="FootnoteAnchor"/>
          <w:rtl w:val="true"/>
        </w:rPr>
        <w:footnoteReference w:id="1042"/>
      </w:r>
      <w:r>
        <w:rPr>
          <w:rStyle w:val="FootnoteAnchor"/>
          <w:rtl w:val="true"/>
        </w:rPr>
        <w:footnoteReference w:id="1043"/>
      </w:r>
      <w:r>
        <w:rPr>
          <w:rFonts w:ascii="Amiri" w:hAnsi="Amiri" w:eastAsia="Amiri" w:cs="Amiri"/>
          <w:color w:val="111111"/>
          <w:sz w:val="28"/>
          <w:sz w:val="28"/>
          <w:szCs w:val="28"/>
          <w:rtl w:val="true"/>
          <w:lang w:bidi="ar-SA"/>
        </w:rPr>
        <w:t>، وهو المنقول عن ابن الجنيد</w:t>
      </w:r>
      <w:r>
        <w:rPr>
          <w:rStyle w:val="FootnoteAnchor"/>
          <w:rtl w:val="true"/>
        </w:rPr>
        <w:footnoteReference w:id="1044"/>
      </w:r>
      <w:r>
        <w:rPr>
          <w:rFonts w:ascii="Amiri" w:hAnsi="Amiri" w:eastAsia="Amiri" w:cs="Amiri"/>
          <w:color w:val="111111"/>
          <w:sz w:val="28"/>
          <w:sz w:val="28"/>
          <w:szCs w:val="28"/>
          <w:rtl w:val="true"/>
          <w:lang w:bidi="ar-SA"/>
        </w:rPr>
        <w:t>ومن متأخري المتأخرين كصاحب الذخيرة والكفاية</w:t>
      </w:r>
      <w:r>
        <w:rPr>
          <w:rStyle w:val="FootnoteAnchor"/>
          <w:rtl w:val="true"/>
        </w:rPr>
        <w:footnoteReference w:id="1045"/>
      </w:r>
      <w:r>
        <w:rPr>
          <w:rFonts w:ascii="Amiri" w:hAnsi="Amiri" w:eastAsia="Amiri" w:cs="Amiri"/>
          <w:color w:val="111111"/>
          <w:sz w:val="28"/>
          <w:sz w:val="28"/>
          <w:szCs w:val="28"/>
          <w:rtl w:val="true"/>
          <w:lang w:bidi="ar-SA"/>
        </w:rPr>
        <w:t>والبهائي</w:t>
      </w:r>
      <w:r>
        <w:rPr>
          <w:rStyle w:val="FootnoteAnchor"/>
          <w:rtl w:val="true"/>
        </w:rPr>
        <w:footnoteReference w:id="1046"/>
      </w:r>
      <w:r>
        <w:rPr>
          <w:rFonts w:ascii="Amiri" w:hAnsi="Amiri" w:eastAsia="Amiri" w:cs="Amiri"/>
          <w:color w:val="111111"/>
          <w:sz w:val="28"/>
          <w:sz w:val="28"/>
          <w:szCs w:val="28"/>
          <w:rtl w:val="true"/>
          <w:lang w:bidi="ar-SA"/>
        </w:rPr>
        <w:t>والدرة</w:t>
      </w:r>
      <w:r>
        <w:rPr>
          <w:rStyle w:val="FootnoteAnchor"/>
          <w:rtl w:val="true"/>
        </w:rPr>
        <w:footnoteReference w:id="1047"/>
      </w:r>
      <w:r>
        <w:rPr>
          <w:rFonts w:ascii="IRNazanin" w:hAnsi="IRNazanin" w:eastAsia="IRNazanin"/>
          <w:color w:val="111111"/>
          <w:sz w:val="28"/>
          <w:sz w:val="28"/>
          <w:szCs w:val="28"/>
          <w:rtl w:val="true"/>
          <w:lang w:bidi="fa-IR"/>
        </w:rPr>
        <w:t>وصاحب الحدائق</w:t>
      </w:r>
      <w:r>
        <w:rPr>
          <w:rStyle w:val="FootnoteAnchor"/>
          <w:rtl w:val="true"/>
        </w:rPr>
        <w:footnoteReference w:id="1048"/>
      </w:r>
      <w:r>
        <w:rPr>
          <w:rFonts w:ascii="Amiri" w:hAnsi="Amiri" w:eastAsia="Amiri" w:cs="Amiri"/>
          <w:color w:val="111111"/>
          <w:sz w:val="28"/>
          <w:sz w:val="28"/>
          <w:szCs w:val="28"/>
          <w:rtl w:val="true"/>
          <w:lang w:bidi="ar-SA"/>
        </w:rPr>
        <w:t>، وكالشيخ سليمان البحراني</w:t>
      </w:r>
      <w:r>
        <w:rPr>
          <w:rStyle w:val="FootnoteAnchor"/>
          <w:rtl w:val="true"/>
        </w:rPr>
        <w:footnoteReference w:id="1049"/>
      </w:r>
      <w:r>
        <w:rPr>
          <w:rFonts w:ascii="Amiri" w:hAnsi="Amiri" w:eastAsia="Amiri" w:cs="Amiri"/>
          <w:color w:val="111111"/>
          <w:sz w:val="28"/>
          <w:sz w:val="28"/>
          <w:szCs w:val="28"/>
          <w:rtl w:val="true"/>
          <w:lang w:bidi="ar-SA"/>
        </w:rPr>
        <w:t>والمحقق البهبهاني</w:t>
      </w:r>
      <w:r>
        <w:rPr>
          <w:rStyle w:val="FootnoteAnchor"/>
          <w:rtl w:val="true"/>
        </w:rPr>
        <w:footnoteReference w:id="1050"/>
      </w:r>
      <w:r>
        <w:rPr>
          <w:rFonts w:ascii="Amiri" w:hAnsi="Amiri" w:eastAsia="Amiri" w:cs="Amiri"/>
          <w:color w:val="111111"/>
          <w:sz w:val="28"/>
          <w:sz w:val="28"/>
          <w:szCs w:val="28"/>
          <w:rtl w:val="true"/>
          <w:lang w:bidi="ar-SA"/>
        </w:rPr>
        <w:t>، ويدلّ عليه وجوه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الدالّة على النفض </w:t>
      </w:r>
      <w:r>
        <w:rPr>
          <w:rStyle w:val="FootnoteAnchor"/>
          <w:rtl w:val="true"/>
        </w:rPr>
        <w:footnoteReference w:id="1051"/>
      </w:r>
      <w:r>
        <w:rPr>
          <w:rFonts w:ascii="Amiri" w:hAnsi="Amiri" w:eastAsia="Amiri" w:cs="Amiri"/>
          <w:color w:val="111111"/>
          <w:sz w:val="28"/>
          <w:sz w:val="28"/>
          <w:szCs w:val="28"/>
          <w:rtl w:val="true"/>
          <w:lang w:bidi="ar-SA"/>
        </w:rPr>
        <w:t xml:space="preserve">لأنها لم تقيّد بكون ما يتيمم به هو التراب، والاستحباب المطلق يقتضي كون ما يتيمّم به شيئاً </w:t>
      </w:r>
      <w:r>
        <w:rPr>
          <w:rStyle w:val="FootnoteAnchor"/>
          <w:rtl w:val="true"/>
        </w:rPr>
        <w:footnoteReference w:id="1052"/>
      </w:r>
      <w:r>
        <w:rPr>
          <w:rFonts w:ascii="Amiri" w:hAnsi="Amiri" w:eastAsia="Amiri" w:cs="Amiri"/>
          <w:color w:val="111111"/>
          <w:sz w:val="28"/>
          <w:sz w:val="28"/>
          <w:szCs w:val="28"/>
          <w:rtl w:val="true"/>
          <w:lang w:bidi="ar-SA"/>
        </w:rPr>
        <w:t xml:space="preserve">قابلاً للنفض مطلقاً، وإلا فلا تقييد الاستحباب بصورة وجود التراب، فعدم التقيّد كاشف عن كون المتيمم به شيئاً </w:t>
      </w:r>
      <w:r>
        <w:rPr>
          <w:rStyle w:val="FootnoteAnchor"/>
          <w:rtl w:val="true"/>
        </w:rPr>
        <w:footnoteReference w:id="1053"/>
      </w:r>
      <w:r>
        <w:rPr>
          <w:rFonts w:ascii="Amiri" w:hAnsi="Amiri" w:eastAsia="Amiri" w:cs="Amiri"/>
          <w:color w:val="111111"/>
          <w:sz w:val="28"/>
          <w:sz w:val="28"/>
          <w:szCs w:val="28"/>
          <w:rtl w:val="true"/>
          <w:lang w:bidi="ar-SA"/>
        </w:rPr>
        <w:t>فيه تراب يعلق باليد ولو كان حجراً، فالمتيمم به وإن كان مطلقاً إلّا أنّ هذا الحكم يقيّده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أيضاً على اعتباره</w:t>
      </w:r>
      <w:r>
        <w:rPr>
          <w:rStyle w:val="FootnoteAnchor"/>
          <w:rtl w:val="true"/>
        </w:rPr>
        <w:footnoteReference w:id="1054"/>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فَامْسَحُوا بِوُجُوهِكُمْ وَأَيْدِيكُم مِّنْهُ</w:t>
      </w:r>
      <w:r>
        <w:rPr>
          <w:rStyle w:val="FootnoteAnchor"/>
          <w:rtl w:val="true"/>
        </w:rPr>
        <w:footnoteReference w:id="1055"/>
      </w:r>
      <w:r>
        <w:rPr>
          <w:rFonts w:ascii="Amiri" w:hAnsi="Amiri" w:eastAsia="Amiri" w:cs="Amiri"/>
          <w:color w:val="111111"/>
          <w:sz w:val="28"/>
          <w:sz w:val="28"/>
          <w:szCs w:val="28"/>
          <w:rtl w:val="true"/>
          <w:lang w:bidi="ar-SA"/>
        </w:rPr>
        <w:t xml:space="preserve">، وتقريبها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للتبعيض لا للابتداء، ولا للسببية، ولا للبدلية؛ لظهورها فيه في مثل هذا التركيب،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مسحت رأسي من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أنّ المسح ببعض هذا الشيء، بل قال الزمخشري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يفهم من العرب في هذه الأمثلة إلّا كون من للتبعيض </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وهو مع كونه متعصباً في مذهبه خالف إمامه فيه</w:t>
      </w:r>
      <w:r>
        <w:rPr>
          <w:rStyle w:val="FootnoteAnchor"/>
          <w:rtl w:val="true"/>
        </w:rPr>
        <w:footnoteReference w:id="1057"/>
      </w:r>
      <w:r>
        <w:rPr>
          <w:rFonts w:ascii="Amiri" w:hAnsi="Amiri" w:eastAsia="Amiri" w:cs="Amiri"/>
          <w:color w:val="111111"/>
          <w:sz w:val="28"/>
          <w:sz w:val="28"/>
          <w:szCs w:val="28"/>
          <w:rtl w:val="true"/>
          <w:lang w:bidi="ar-SA"/>
        </w:rPr>
        <w:t>، سيما بعد صلاحية مدخولها لذلك، فتكون قرينة على إرادة ما يصلح من القصد</w:t>
      </w:r>
      <w:r>
        <w:rPr>
          <w:rStyle w:val="FootnoteAnchor"/>
          <w:rtl w:val="true"/>
        </w:rPr>
        <w:footnoteReference w:id="1058"/>
      </w:r>
      <w:r>
        <w:rPr>
          <w:rFonts w:ascii="Amiri" w:hAnsi="Amiri" w:eastAsia="Amiri" w:cs="Amiri"/>
          <w:color w:val="111111"/>
          <w:sz w:val="28"/>
          <w:sz w:val="28"/>
          <w:szCs w:val="28"/>
          <w:rtl w:val="true"/>
          <w:lang w:bidi="ar-SA"/>
        </w:rPr>
        <w:t>، وإن استلزم التجوز في لفظ الصعيد، لكن لا نُسَلّم استلزامه</w:t>
      </w:r>
      <w:r>
        <w:rPr>
          <w:rStyle w:val="FootnoteAnchor"/>
          <w:rtl w:val="true"/>
        </w:rPr>
        <w:footnoteReference w:id="1059"/>
      </w:r>
      <w:r>
        <w:rPr>
          <w:rFonts w:ascii="Amiri" w:hAnsi="Amiri" w:eastAsia="Amiri" w:cs="Amiri"/>
          <w:color w:val="111111"/>
          <w:sz w:val="28"/>
          <w:sz w:val="28"/>
          <w:szCs w:val="28"/>
          <w:rtl w:val="true"/>
          <w:lang w:bidi="ar-SA"/>
        </w:rPr>
        <w:t>مطلقاً؛ لأنه إن أريد به التراب كان من قبيل إطلاق العام وإرادة الخاص وهو لا يكون مجازاً، والظاهر ، عدم استلزامه</w:t>
      </w:r>
      <w:r>
        <w:rPr>
          <w:rStyle w:val="FootnoteAnchor"/>
          <w:rtl w:val="true"/>
        </w:rPr>
        <w:footnoteReference w:id="1060"/>
      </w:r>
      <w:r>
        <w:rPr>
          <w:rFonts w:ascii="Amiri" w:hAnsi="Amiri" w:eastAsia="Amiri" w:cs="Amiri"/>
          <w:color w:val="111111"/>
          <w:sz w:val="28"/>
          <w:sz w:val="28"/>
          <w:szCs w:val="28"/>
          <w:rtl w:val="true"/>
          <w:lang w:bidi="ar-SA"/>
        </w:rPr>
        <w:t>تخصيص الصعيد بالتراب على فرض كونه الصعيد؛ لأنه يمكن كون المتيمم به هو الحجر مع حصول العلوق أيضاً بوجود تراب يسير عليه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ويرشد إلى كون من للتبعيض الرواية الصحيحة الواردة عن زرارة عن أبي جعفر علیه السلام بعد أن سئل أنّه من أين علمت أنّ المسح ببعض الرأس لا بتمامه وببعض اليدين ؟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 وضع الوضوء عمّن لم يجد الماء فأثبت بعض الغسل مسحاً؛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وصل بها وأيديكم منه، أي من ذلك المتيمم؛ لأنه علم أنّ ذلك أجمع لم يجر على الوجه؛ لأنه يعلق الصعيد ببعض الكف ولا يعلق ببعضها</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ووجه دلالته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يكون علة وبيان لحكمة شرع تعالى المسح ببعض الوجه فكأنه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المسح ببعض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بِوُجُوهِكُمْ لمكان 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علیه السلام في صدد بيان حكمته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علم، لكن هذا الاحتمال بعيد؛ لأنّ المناسب حينئذٍ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علم أنّ ذلك لم يجر على الوجه كله وتمامه، لا أنّ كل ذلك لم يجر على الوجه كما يدلّ عليه تقديمه لفظ أجمع على الوجه، والمناسب تأخيره عنه حينئذ، ويقرب من ذلك كونه علّة لقول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التبعيضية، فيكون علة لكون المسح من بعض المتيمم به ، بناءً على كون التيمم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التيمم هو المتيمم به ، بناءً على استعمال المصدر بمعنى المفعول، أو من قبيل</w:t>
      </w:r>
      <w:r>
        <w:rPr>
          <w:rStyle w:val="FootnoteAnchor"/>
          <w:rtl w:val="true"/>
        </w:rPr>
        <w:footnoteReference w:id="1062"/>
      </w:r>
      <w:r>
        <w:rPr>
          <w:rFonts w:ascii="IRNazanin" w:hAnsi="IRNazanin" w:eastAsia="IRNazanin"/>
          <w:color w:val="111111"/>
          <w:sz w:val="28"/>
          <w:sz w:val="28"/>
          <w:szCs w:val="28"/>
          <w:rtl w:val="true"/>
          <w:lang w:bidi="fa-IR"/>
        </w:rPr>
        <w:t xml:space="preserve">استعمال الحال في المحل على طريق الاستخدام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كونه من باب استعمال الحال في المحل، حيث إنّ التيمم في زمان الإمام علیه السلام صار حقيقة في الأفعال المخصوصة</w:t>
      </w:r>
      <w:r>
        <w:rPr>
          <w:rFonts w:eastAsia="IRNazanin" w:cs="IRNazanin"/>
          <w:color w:val="111111"/>
          <w:sz w:val="28"/>
          <w:szCs w:val="28"/>
          <w:rtl w:val="true"/>
          <w:lang w:bidi="fa-IR"/>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 وقرينته التعليل، وليس في مقابل هذا الاحتمال أقوى؛ لأنّ حمله على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فليس إلّا احتمال الضرب، وهو مع كونه غير مرتبط بالصلة لم يكن مذكوراً في السابق حتى يشير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التيمم؛ لعدم كون التيمم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مطلق القصد ؛ لأنّ الضرب مجاز فلا يصار إليه، ومنه استظهرنا عدم كون الضرب جزءًا من التيمّم</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مفاد التعليل أنّه تعالى لما قال امسحوا بعض أيديكم ببعض الصعيد؛ لأنه يعلم أنّ المضروب عليه لا يجري تمامه على الوجه؛ لعلوقه ببعض الكف دون </w:t>
      </w:r>
    </w:p>
    <w:p>
      <w:pPr>
        <w:pStyle w:val="BookText"/>
        <w:rPr/>
      </w:pPr>
      <w:r>
        <w:rPr>
          <w:rFonts w:ascii="Amiri" w:hAnsi="Amiri" w:eastAsia="Amiri" w:cs="Amiri"/>
          <w:color w:val="111111"/>
          <w:sz w:val="28"/>
          <w:sz w:val="28"/>
          <w:szCs w:val="28"/>
          <w:rtl w:val="true"/>
          <w:lang w:bidi="ar-SA"/>
        </w:rPr>
        <w:t xml:space="preserve">بعض، فدل الحديث </w:t>
      </w:r>
      <w:r>
        <w:rPr>
          <w:rStyle w:val="FootnoteAnchor"/>
          <w:rtl w:val="true"/>
        </w:rPr>
        <w:footnoteReference w:id="1065"/>
      </w:r>
      <w:r>
        <w:rPr>
          <w:rFonts w:ascii="Amiri" w:hAnsi="Amiri" w:eastAsia="Amiri" w:cs="Amiri"/>
          <w:color w:val="111111"/>
          <w:sz w:val="28"/>
          <w:sz w:val="28"/>
          <w:szCs w:val="28"/>
          <w:rtl w:val="true"/>
          <w:lang w:bidi="ar-SA"/>
        </w:rPr>
        <w:t>على اعتبار العلوق علوق اليد</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المتيمّم به، وكون المسح به أيضاً، فتكون الآية حينئذ دليلاً كما أن الرواية دليل آخر؛ لأن الإمام علیه السلام ليس بصدد مجرد تفسير الآية، بل في مقام جواب سؤال السائل، فيجيبه ببيان المراد من الآية، وأنّ الحكم موافق لكتاب الله تعالى، ويرشد إليه أيضاً ما ارتكز في أذهان المتشرعة من كون التراب طهوراً كون استعماله طهوراً لا مجرد النظر إليه، وإلا يكتفى بمجرد مسح الجبهة من دون ضرب، كما أنّ المرتكز في الأذهان من كون الماء طهوراً أنّ استعماله طهور، ومن هنا يحكمون في الأقطع بمسح جبهته بالتراب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أيضاً </w:t>
      </w:r>
      <w:r>
        <w:rPr>
          <w:rStyle w:val="FootnoteAnchor"/>
          <w:rtl w:val="true"/>
        </w:rPr>
        <w:footnoteReference w:id="1067"/>
      </w:r>
      <w:r>
        <w:rPr>
          <w:rFonts w:ascii="Amiri" w:hAnsi="Amiri" w:eastAsia="Amiri" w:cs="Amiri"/>
          <w:color w:val="111111"/>
          <w:sz w:val="28"/>
          <w:sz w:val="28"/>
          <w:szCs w:val="28"/>
          <w:rtl w:val="true"/>
          <w:lang w:bidi="ar-SA"/>
        </w:rPr>
        <w:t>عموم المنزلة؛ لأنّ الظاهر منه كون التراب بمنزلة الماء في كونه طهوراً مع كيفيته، ويرشد إلى كون المفهوم منه ذلك فهم عماره</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أهل اللسان ذلك حيث مرّغ نفسه في التراب ففهم من عموم المنزلة كيفية التطهير به؛ لأنّ الغسل لا بُدَّ فيه من وصول الماء إلى جميع البشرة، ففهم وصول التراب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تماميتها لإثبات المطلوب بعد الأصل، والوجوه المذكورة في قبالها ضعيفة؛ أمّا الإجماع فالمحصل منه غير موجود مع كثرة المخالف من مثل هؤلاء الفضلاء، مع عدم تعرض الأكثر لهذه المسألة، سيّما مع ذهاب جماعة إلى عدم جواز التيمّم بالحجر أصلاً في حال الاختيار، فيحصل العلوق لا بدا</w:t>
      </w:r>
      <w:r>
        <w:rPr>
          <w:rStyle w:val="FootnoteAnchor"/>
          <w:rtl w:val="true"/>
        </w:rPr>
        <w:footnoteReference w:id="1069"/>
      </w:r>
      <w:r>
        <w:rPr>
          <w:rFonts w:ascii="Amiri" w:hAnsi="Amiri" w:eastAsia="Amiri" w:cs="Amiri"/>
          <w:color w:val="111111"/>
          <w:sz w:val="28"/>
          <w:sz w:val="28"/>
          <w:szCs w:val="28"/>
          <w:rtl w:val="true"/>
          <w:lang w:bidi="ar-SA"/>
        </w:rPr>
        <w:t>، فعدم تعرضهم له من هذه الجهة، وإن أمكن دعوى عدم التلازم، لكنّه بعيد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المنقول فهو موهون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بعلمنا 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الدعوى مستندة إلى أمور حدسية مثل قولهم باستحباب النفض، فتوهموا منه عدم اعتبارهم العلوق؛ لأنه ينافيه، مع أنّ الظاهر بل المحقق عدم التنافي</w:t>
      </w:r>
      <w:r>
        <w:rPr>
          <w:rStyle w:val="FootnoteAnchor"/>
          <w:rtl w:val="true"/>
        </w:rPr>
        <w:footnoteReference w:id="1070"/>
      </w:r>
      <w:r>
        <w:rPr>
          <w:rFonts w:ascii="Amiri" w:hAnsi="Amiri" w:eastAsia="Amiri" w:cs="Amiri"/>
          <w:color w:val="111111"/>
          <w:sz w:val="28"/>
          <w:sz w:val="28"/>
          <w:szCs w:val="28"/>
          <w:rtl w:val="true"/>
          <w:lang w:bidi="ar-SA"/>
        </w:rPr>
        <w:t>، ومثل قولهم بجواز التيمم بالحجر مطلقاً، ففهموا منه ذلك من جهة إطلاقهم الحجر، ومنه الأملس الذي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أن إطلاق كلامهم ممنوع أولاً </w:t>
      </w:r>
      <w:r>
        <w:rPr>
          <w:rStyle w:val="FootnoteAnchor"/>
          <w:rtl w:val="true"/>
        </w:rPr>
        <w:footnoteReference w:id="1071"/>
      </w:r>
      <w:r>
        <w:rPr>
          <w:rFonts w:ascii="Amiri" w:hAnsi="Amiri" w:eastAsia="Amiri" w:cs="Amiri"/>
          <w:color w:val="111111"/>
          <w:sz w:val="28"/>
          <w:sz w:val="28"/>
          <w:szCs w:val="28"/>
          <w:rtl w:val="true"/>
          <w:lang w:bidi="ar-SA"/>
        </w:rPr>
        <w:t xml:space="preserve">، وليس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في مقام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قولهم بجواز التيمم بالحجر في رد من يقول بعدم الجواز به، فيكون دعوى الإجماع دعواه المستندة إلى الحدس فهو في نفسه ممنوع حجيّته على فرض حجيّته في الجملة سيما إذا علمنا بفساد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دعواهم منافاة استحباب النفض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النفض سواء كان بالحركة أو بالمسح أو بالنفخ إنّما يزيل المشوه للخلقة لا الأثر بالمرة، وأما قول بعض أنّه يشمل صورة النفض الأكيد فينافي؛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Style w:val="FootnoteAnchor"/>
          <w:rtl w:val="true"/>
        </w:rPr>
        <w:footnoteReference w:id="1072"/>
      </w:r>
      <w:r>
        <w:rPr>
          <w:rFonts w:ascii="Amiri" w:hAnsi="Amiri" w:eastAsia="Amiri" w:cs="Amiri"/>
          <w:color w:val="111111"/>
          <w:sz w:val="28"/>
          <w:sz w:val="28"/>
          <w:szCs w:val="28"/>
          <w:rtl w:val="true"/>
          <w:lang w:bidi="ar-SA"/>
        </w:rPr>
        <w:t>بأن هذا فرض نادر لا يشمله الإطلاق، بل علّلوا الاستحباب بعدم التشويه، فيعلم أن مرادهم ذلك لا ما ذكر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عدم الاكتفاء بالضربة الواحدة بناءً عليه </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جهة كون الغالب بقاء الأمر عند مسح اليدين، فنظرهم إلى الغالب، فلو فرض نادراً ارتفاع الأثر بالمرة بالضرب ثانياً، ولا ينافيه الإطلاق بالضربة الواحدة؛ لانصرافه إلى الغالب؛ وأما عدم التعرض له في الأخبار، فمنعه واضح </w:t>
      </w:r>
      <w:r>
        <w:rPr>
          <w:rStyle w:val="FootnoteAnchor"/>
          <w:rtl w:val="true"/>
        </w:rPr>
        <w:footnoteReference w:id="1074"/>
      </w:r>
      <w:r>
        <w:rPr>
          <w:rFonts w:ascii="Amiri" w:hAnsi="Amiri" w:eastAsia="Amiri" w:cs="Amiri"/>
          <w:color w:val="111111"/>
          <w:sz w:val="28"/>
          <w:sz w:val="28"/>
          <w:szCs w:val="28"/>
          <w:rtl w:val="true"/>
          <w:lang w:bidi="ar-SA"/>
        </w:rPr>
        <w:t>بعدما ذكرنا، مع أنّه</w:t>
      </w:r>
      <w:r>
        <w:rPr>
          <w:rStyle w:val="FootnoteAnchor"/>
          <w:rtl w:val="true"/>
        </w:rPr>
        <w:footnoteReference w:id="1075"/>
      </w:r>
      <w:r>
        <w:rPr>
          <w:rFonts w:ascii="IRNazanin" w:hAnsi="IRNazanin" w:eastAsia="IRNazanin"/>
          <w:color w:val="111111"/>
          <w:sz w:val="28"/>
          <w:sz w:val="28"/>
          <w:szCs w:val="28"/>
          <w:rtl w:val="true"/>
          <w:lang w:bidi="fa-IR"/>
        </w:rPr>
        <w:t xml:space="preserve">من </w:t>
      </w:r>
      <w:bookmarkStart w:id="429" w:name="pg9203_87339"/>
    </w:p>
    <w:p>
      <w:pPr>
        <w:pStyle w:val="BookText"/>
        <w:rPr/>
      </w:pPr>
      <w:bookmarkEnd w:id="429"/>
      <w:r>
        <w:rPr>
          <w:rFonts w:ascii="Amiri" w:hAnsi="Amiri" w:eastAsia="Amiri" w:cs="Amiri"/>
          <w:color w:val="111111"/>
          <w:sz w:val="28"/>
          <w:sz w:val="28"/>
          <w:szCs w:val="28"/>
          <w:rtl w:val="true"/>
          <w:lang w:bidi="ar-SA"/>
        </w:rPr>
        <w:t xml:space="preserve">باب عدم اتفاق التيمّم بالحجر الذي لا غبار عليه، فلا حاجة إلى ذكره غالباً، مع أنّه يلزم بناءً على عدم اعتبار العلوق جواز مسح الجبهة باليد المغسولة بعد الضرب مع أنّهم لا يلتزمون بذلك أصلاً </w:t>
      </w:r>
      <w:r>
        <w:rPr>
          <w:rStyle w:val="FootnoteAnchor"/>
          <w:rtl w:val="true"/>
        </w:rPr>
        <w:footnoteReference w:id="1076"/>
      </w:r>
      <w:r>
        <w:rPr>
          <w:rFonts w:ascii="IRNazanin" w:hAnsi="IRNazanin" w:eastAsia="IRNazanin"/>
          <w:color w:val="111111"/>
          <w:sz w:val="28"/>
          <w:sz w:val="28"/>
          <w:szCs w:val="28"/>
          <w:rtl w:val="true"/>
          <w:lang w:bidi="fa-IR"/>
        </w:rPr>
        <w:t>، بل يمكن دعوى بيان هذا المطلب في الأخبار وكلمات الأصحاب بواسطة ذكر النفض في الأخبار الكثيرة؛ لأنّه من المستبعد كون هذه الكثرة لمجرد بیان الاستحباب بل له ولبيان اعتبار العلوق</w:t>
      </w:r>
    </w:p>
    <w:p>
      <w:pPr>
        <w:pStyle w:val="BookText"/>
        <w:rPr/>
      </w:pPr>
      <w:r>
        <w:rPr>
          <w:rFonts w:ascii="Amiri" w:hAnsi="Amiri" w:eastAsia="Amiri" w:cs="Amiri"/>
          <w:color w:val="111111"/>
          <w:sz w:val="28"/>
          <w:sz w:val="28"/>
          <w:szCs w:val="28"/>
          <w:rtl w:val="true"/>
          <w:lang w:bidi="ar-SA"/>
        </w:rPr>
        <w:t xml:space="preserve">ودعوى أن ذكرها لأجل الغالب فينصرف إليه ممنوعة بسبب ما ذكر، مع أنه لا يجري في الباقي مثل الصحيحة، حيث إنها صريحة </w:t>
      </w:r>
      <w:r>
        <w:rPr>
          <w:rStyle w:val="FootnoteAnchor"/>
          <w:rtl w:val="true"/>
        </w:rPr>
        <w:footnoteReference w:id="1077"/>
      </w:r>
      <w:r>
        <w:rPr>
          <w:rFonts w:ascii="Amiri" w:hAnsi="Amiri" w:eastAsia="Amiri" w:cs="Amiri"/>
          <w:color w:val="111111"/>
          <w:sz w:val="28"/>
          <w:sz w:val="28"/>
          <w:szCs w:val="28"/>
          <w:rtl w:val="true"/>
          <w:lang w:bidi="ar-SA"/>
        </w:rPr>
        <w:t xml:space="preserve">في كون المسح ببعض ما تيمم به على التقريب الذي ذكر </w:t>
      </w:r>
      <w:r>
        <w:rPr>
          <w:rFonts w:eastAsia="Amiri" w:cs="Amiri" w:ascii="Amiri" w:hAnsi="Amiri"/>
          <w:color w:val="111111"/>
          <w:sz w:val="28"/>
          <w:szCs w:val="28"/>
          <w:rtl w:val="true"/>
          <w:lang w:bidi="ar-SA"/>
        </w:rPr>
        <w:t>.</w:t>
      </w:r>
    </w:p>
    <w:p>
      <w:pPr>
        <w:pStyle w:val="Heading2"/>
        <w:numPr>
          <w:ilvl w:val="1"/>
          <w:numId w:val="1"/>
        </w:numPr>
        <w:rPr/>
      </w:pPr>
      <w:bookmarkStart w:id="430" w:name="__RefHeading___Toc3968106_2870459653"/>
      <w:bookmarkStart w:id="431" w:name="_Toc152"/>
      <w:bookmarkEnd w:id="430"/>
      <w:r>
        <w:rPr>
          <w:rtl w:val="true"/>
        </w:rPr>
        <w:t xml:space="preserve">[ </w:t>
      </w:r>
      <w:r>
        <w:rPr>
          <w:rtl w:val="true"/>
        </w:rPr>
        <w:t>أدلة القول بعدم اعتبار العلوق</w:t>
      </w:r>
      <w:r>
        <w:rPr>
          <w:rtl w:val="true"/>
        </w:rPr>
        <w:t>]</w:t>
      </w:r>
      <w:bookmarkEnd w:id="431"/>
    </w:p>
    <w:p>
      <w:pPr>
        <w:pStyle w:val="BookText"/>
        <w:rPr/>
      </w:pPr>
      <w:r>
        <w:rPr>
          <w:rFonts w:ascii="Amiri" w:hAnsi="Amiri" w:eastAsia="Amiri" w:cs="Amiri"/>
          <w:color w:val="111111"/>
          <w:sz w:val="28"/>
          <w:sz w:val="28"/>
          <w:szCs w:val="28"/>
          <w:rtl w:val="true"/>
          <w:lang w:bidi="ar-SA"/>
        </w:rPr>
        <w:t>هذا ولكن السيد الأستاذ أدام الله أيامه رجّح القول بعدم اعتبار العلوق، وردَّ الأدلّة المذكورة بدعوى القطع بذلك الحاصل من أمور</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w:t>
      </w:r>
      <w:r>
        <w:rPr>
          <w:rStyle w:val="FootnoteAnchor"/>
          <w:rtl w:val="true"/>
        </w:rPr>
        <w:footnoteReference w:id="1079"/>
      </w:r>
      <w:r>
        <w:rPr>
          <w:rFonts w:ascii="Amiri" w:hAnsi="Amiri" w:eastAsia="Amiri" w:cs="Amiri"/>
          <w:color w:val="111111"/>
          <w:sz w:val="28"/>
          <w:sz w:val="28"/>
          <w:szCs w:val="28"/>
          <w:rtl w:val="true"/>
          <w:lang w:bidi="ar-SA"/>
        </w:rPr>
        <w:t xml:space="preserve">على جواز التيمّم بأرض الجص والنورة </w:t>
      </w:r>
      <w:r>
        <w:rPr>
          <w:rStyle w:val="FootnoteAnchor"/>
          <w:rtl w:val="true"/>
        </w:rPr>
        <w:footnoteReference w:id="1080"/>
      </w:r>
      <w:r>
        <w:rPr>
          <w:rFonts w:ascii="Amiri" w:hAnsi="Amiri" w:eastAsia="Amiri" w:cs="Amiri"/>
          <w:color w:val="111111"/>
          <w:sz w:val="28"/>
          <w:sz w:val="28"/>
          <w:szCs w:val="28"/>
          <w:rtl w:val="true"/>
          <w:lang w:bidi="ar-SA"/>
        </w:rPr>
        <w:t>، فإنّها أحد المدركين في جواز التيمم بالحجر ، والحال أنّ أرض الجص والنورة لا غبار عليها قطعاً</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ودعوى لزوم وضع مقدار من التراب عليها بما يصدق العلوق</w:t>
      </w:r>
      <w:r>
        <w:rPr>
          <w:rStyle w:val="FootnoteAnchor"/>
          <w:rtl w:val="true"/>
        </w:rPr>
        <w:footnoteReference w:id="1082"/>
      </w:r>
      <w:r>
        <w:rPr>
          <w:rFonts w:ascii="Amiri" w:hAnsi="Amiri" w:eastAsia="Amiri" w:cs="Amiri"/>
          <w:color w:val="111111"/>
          <w:sz w:val="28"/>
          <w:sz w:val="28"/>
          <w:szCs w:val="28"/>
          <w:rtl w:val="true"/>
          <w:lang w:bidi="ar-SA"/>
        </w:rPr>
        <w:t>خلاف ظاهر الأخبار ؛ حيث إنّ ظاهرها التيمم بنفس الأرض، وبعد وضع التراب</w:t>
      </w:r>
      <w:r>
        <w:rPr>
          <w:rStyle w:val="FootnoteAnchor"/>
          <w:rtl w:val="true"/>
        </w:rPr>
        <w:footnoteReference w:id="1083"/>
      </w:r>
      <w:r>
        <w:rPr>
          <w:rFonts w:ascii="Amiri" w:hAnsi="Amiri" w:eastAsia="Amiri" w:cs="Amiri"/>
          <w:color w:val="111111"/>
          <w:sz w:val="28"/>
          <w:sz w:val="28"/>
          <w:szCs w:val="28"/>
          <w:rtl w:val="true"/>
          <w:lang w:bidi="ar-SA"/>
        </w:rPr>
        <w:t>عليها يكون المسح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الإجماع على جواز التيمم بالحجر مطلقاً، فيشمل الحجر الأملس الذي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دعوى المحققين الإجماع على 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w:t>
      </w:r>
      <w:r>
        <w:rPr>
          <w:rStyle w:val="FootnoteAnchor"/>
          <w:rtl w:val="true"/>
        </w:rPr>
        <w:footnoteReference w:id="1084"/>
      </w:r>
      <w:r>
        <w:rPr>
          <w:rFonts w:ascii="IRNazanin" w:hAnsi="IRNazanin" w:eastAsia="IRNazanin"/>
          <w:color w:val="111111"/>
          <w:sz w:val="28"/>
          <w:sz w:val="28"/>
          <w:szCs w:val="28"/>
          <w:rtl w:val="true"/>
          <w:lang w:bidi="fa-IR"/>
        </w:rPr>
        <w:t xml:space="preserve">الذي بیده مذاق الفقه والفقهاء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الفقهاء له مع كونهم بصدد بيان تفاصيل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إرسالهم عدم الاشتراط إرسال المسلمات، ذكروا ذلك في مقابل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لازم مذهبهم شيئاً لا يلتزمون به ، وكذا لازم أدلتهم هو كون مسح جميع الجبهة واليدين به</w:t>
      </w:r>
      <w:r>
        <w:rPr>
          <w:rStyle w:val="FootnoteAnchor"/>
          <w:rtl w:val="true"/>
        </w:rPr>
        <w:footnoteReference w:id="1086"/>
      </w:r>
      <w:r>
        <w:rPr>
          <w:rFonts w:ascii="Amiri" w:hAnsi="Amiri" w:eastAsia="Amiri" w:cs="Amiri"/>
          <w:color w:val="111111"/>
          <w:sz w:val="28"/>
          <w:sz w:val="28"/>
          <w:szCs w:val="28"/>
          <w:rtl w:val="true"/>
          <w:lang w:bidi="ar-SA"/>
        </w:rPr>
        <w:t>، كما يدلّ عليه عموم المنزلة وكون طهورية التراب مثل طهورية الماء، وكذا الآية تدل على مسح جميع الوجه واليدين ببعض المتيمم به ولازم ذلك تكرار المسح حتى يصل إلى الجميع</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استحباب النفض ينافي ذلك، ومما ذكرنا وغيره يمكن دعوى حصول القطع بعدم الاعتبار، فلا بُدَّ حينئذ من صرف الأدلّة إلى غير ظاهرها لو كان لها ظاهر</w:t>
      </w:r>
      <w:r>
        <w:rPr>
          <w:rFonts w:eastAsia="Amiri" w:cs="Amiri" w:ascii="Amiri" w:hAnsi="Amiri"/>
          <w:color w:val="111111"/>
          <w:sz w:val="28"/>
          <w:szCs w:val="28"/>
          <w:rtl w:val="true"/>
          <w:lang w:bidi="ar-SA"/>
        </w:rPr>
        <w:t xml:space="preserve">. </w:t>
      </w:r>
      <w:bookmarkStart w:id="432" w:name="pg9203_87341"/>
    </w:p>
    <w:p>
      <w:pPr>
        <w:pStyle w:val="BookText"/>
        <w:rPr/>
      </w:pPr>
      <w:bookmarkEnd w:id="432"/>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الأخبار الدالّة على النفض ، فالظاهر </w:t>
      </w:r>
      <w:r>
        <w:rPr>
          <w:rStyle w:val="FootnoteAnchor"/>
          <w:rtl w:val="true"/>
        </w:rPr>
        <w:footnoteReference w:id="1088"/>
      </w:r>
      <w:r>
        <w:rPr>
          <w:rFonts w:ascii="Amiri" w:hAnsi="Amiri" w:eastAsia="Amiri" w:cs="Amiri"/>
          <w:color w:val="111111"/>
          <w:sz w:val="28"/>
          <w:sz w:val="28"/>
          <w:szCs w:val="28"/>
          <w:rtl w:val="true"/>
          <w:lang w:bidi="ar-SA"/>
        </w:rPr>
        <w:t xml:space="preserve">ورودها مورد الغالب من كون المتيمم به شيئاً مغبراً </w:t>
      </w:r>
      <w:r>
        <w:rPr>
          <w:rStyle w:val="FootnoteAnchor"/>
          <w:rtl w:val="true"/>
        </w:rPr>
        <w:footnoteReference w:id="1089"/>
      </w:r>
      <w:r>
        <w:rPr>
          <w:rFonts w:ascii="Amiri" w:hAnsi="Amiri" w:eastAsia="Amiri" w:cs="Amiri"/>
          <w:color w:val="111111"/>
          <w:sz w:val="28"/>
          <w:sz w:val="28"/>
          <w:szCs w:val="28"/>
          <w:rtl w:val="true"/>
          <w:lang w:bidi="ar-SA"/>
        </w:rPr>
        <w:t xml:space="preserve">وكون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لابتداء الغاية، والتعليل المذكور في الرواية حكمة غالبية؛ لكون المسح ببعض الوجه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كونه تأكيداً للوجه تقدم عليه، وهو وإن كان خلاف الظاهر لكنه لا بُدَّ من ارتكابه بعدما ذكر</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عموم المنزلة الدالة على كون طهورية التراب باستعماله فلا يدلّ على استعماله في الجميع، بل يكفي استعماله في الضرب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جواب هذه الوجوه مما ذكرنا، فالتعرض لدفعها تفصيلاً من سوء الأدب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3" w:name="__RefHeading___Toc3968108_2870459653"/>
      <w:bookmarkStart w:id="434" w:name="_Toc153"/>
      <w:bookmarkEnd w:id="433"/>
      <w:r>
        <w:rPr>
          <w:rtl w:val="true"/>
        </w:rPr>
        <w:t>[</w:t>
      </w:r>
      <w:r>
        <w:rPr>
          <w:rtl w:val="true"/>
        </w:rPr>
        <w:t xml:space="preserve">اعتبار كون الضرب بكلتا اليدين ولا يكفي الضرب باليد الواحدة </w:t>
      </w:r>
      <w:r>
        <w:rPr>
          <w:rtl w:val="true"/>
        </w:rPr>
        <w:t>]</w:t>
      </w:r>
      <w:bookmarkEnd w:id="434"/>
    </w:p>
    <w:p>
      <w:pPr>
        <w:pStyle w:val="BookText"/>
        <w:rPr/>
      </w:pPr>
      <w:r>
        <w:rPr>
          <w:rFonts w:ascii="Amiri" w:hAnsi="Amiri" w:eastAsia="Amiri" w:cs="Amiri"/>
          <w:color w:val="111111"/>
          <w:sz w:val="28"/>
          <w:sz w:val="28"/>
          <w:szCs w:val="28"/>
          <w:rtl w:val="true"/>
          <w:lang w:bidi="ar-SA"/>
        </w:rPr>
        <w:t>ثم إنّه هل يعتبر أن يكون الضرب باليدين أو يكفي مجرد الضرب ولو كان باليد الواحدة؟</w:t>
      </w:r>
      <w:r>
        <w:rPr>
          <w:rStyle w:val="FootnoteAnchor"/>
          <w:rtl w:val="true"/>
        </w:rPr>
        <w:footnoteReference w:id="109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الإشكال في الأول ؛ لأنه وإن أطلق القصد إلى الصعيد في الآية وكذا في بعض الأخبار فوضع يده</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لكن لا شبهة في اعتبار كون الضرب باليدين؛ </w:t>
      </w:r>
      <w:bookmarkStart w:id="435" w:name="pg9203_87342"/>
    </w:p>
    <w:p>
      <w:pPr>
        <w:pStyle w:val="BookText"/>
        <w:rPr/>
      </w:pPr>
      <w:bookmarkEnd w:id="435"/>
      <w:r>
        <w:rPr>
          <w:rFonts w:ascii="Amiri" w:hAnsi="Amiri" w:eastAsia="Amiri" w:cs="Amiri"/>
          <w:color w:val="111111"/>
          <w:sz w:val="28"/>
          <w:sz w:val="28"/>
          <w:szCs w:val="28"/>
          <w:rtl w:val="true"/>
          <w:lang w:bidi="ar-SA"/>
        </w:rPr>
        <w:t xml:space="preserve">لأنّ الآية ليست بصدد بيان المضروب، بل لا يدلّ على الضرب، وكذا الأخبار </w:t>
      </w:r>
      <w:r>
        <w:rPr>
          <w:rStyle w:val="FootnoteAnchor"/>
          <w:rtl w:val="true"/>
        </w:rPr>
        <w:footnoteReference w:id="1094"/>
      </w:r>
      <w:r>
        <w:rPr>
          <w:rFonts w:ascii="Amiri" w:hAnsi="Amiri" w:eastAsia="Amiri" w:cs="Amiri"/>
          <w:color w:val="111111"/>
          <w:sz w:val="28"/>
          <w:sz w:val="28"/>
          <w:szCs w:val="28"/>
          <w:rtl w:val="true"/>
          <w:lang w:bidi="ar-SA"/>
        </w:rPr>
        <w:t>، ولو كان ذلك فالأخبار الأخر الدالّة على الضرب باليدين مقيّدة له</w:t>
      </w:r>
      <w:r>
        <w:rPr>
          <w:rFonts w:eastAsia="Amiri" w:cs="Amiri" w:ascii="Amiri" w:hAnsi="Amiri"/>
          <w:color w:val="111111"/>
          <w:sz w:val="28"/>
          <w:szCs w:val="28"/>
          <w:rtl w:val="true"/>
          <w:lang w:bidi="ar-SA"/>
        </w:rPr>
        <w:t>.</w:t>
      </w:r>
    </w:p>
    <w:p>
      <w:pPr>
        <w:pStyle w:val="Heading2"/>
        <w:numPr>
          <w:ilvl w:val="1"/>
          <w:numId w:val="1"/>
        </w:numPr>
        <w:rPr/>
      </w:pPr>
      <w:bookmarkStart w:id="436" w:name="__RefHeading___Toc3968110_2870459653"/>
      <w:bookmarkStart w:id="437" w:name="_Toc154"/>
      <w:bookmarkEnd w:id="436"/>
      <w:r>
        <w:rPr>
          <w:rtl w:val="true"/>
        </w:rPr>
        <w:t>[</w:t>
      </w:r>
      <w:r>
        <w:rPr>
          <w:rtl w:val="true"/>
        </w:rPr>
        <w:t>اعتبار كون الضرب باليدين دفعة ولا يكفي التعاقب</w:t>
      </w:r>
      <w:r>
        <w:rPr>
          <w:rtl w:val="true"/>
        </w:rPr>
        <w:t>]</w:t>
      </w:r>
      <w:bookmarkEnd w:id="437"/>
    </w:p>
    <w:p>
      <w:pPr>
        <w:pStyle w:val="BookText"/>
        <w:rPr/>
      </w:pPr>
      <w:r>
        <w:rPr>
          <w:rFonts w:ascii="Amiri" w:hAnsi="Amiri" w:eastAsia="Amiri" w:cs="Amiri"/>
          <w:color w:val="111111"/>
          <w:sz w:val="28"/>
          <w:sz w:val="28"/>
          <w:szCs w:val="28"/>
          <w:rtl w:val="true"/>
          <w:lang w:bidi="ar-SA"/>
        </w:rPr>
        <w:t>ثم إنّه هل يعتبر أن يكون الضرب باليدين معاً أو يكفي على التعاقب؟</w:t>
      </w:r>
    </w:p>
    <w:p>
      <w:pPr>
        <w:pStyle w:val="BookText"/>
        <w:rPr/>
      </w:pPr>
      <w:r>
        <w:rPr>
          <w:rFonts w:ascii="IRNazanin" w:hAnsi="IRNazanin" w:eastAsia="IRNazanin"/>
          <w:color w:val="111111"/>
          <w:sz w:val="28"/>
          <w:sz w:val="28"/>
          <w:szCs w:val="28"/>
          <w:rtl w:val="true"/>
          <w:lang w:bidi="fa-IR"/>
        </w:rPr>
        <w:t>الظاهر نصاً وفتوى</w:t>
      </w:r>
      <w:r>
        <w:rPr>
          <w:rStyle w:val="FootnoteAnchor"/>
          <w:rtl w:val="true"/>
        </w:rPr>
        <w:footnoteReference w:id="1095"/>
      </w:r>
      <w:r>
        <w:rPr>
          <w:rFonts w:ascii="Amiri" w:hAnsi="Amiri" w:eastAsia="Amiri" w:cs="Amiri"/>
          <w:color w:val="111111"/>
          <w:sz w:val="28"/>
          <w:sz w:val="28"/>
          <w:szCs w:val="28"/>
          <w:rtl w:val="true"/>
          <w:lang w:bidi="ar-SA"/>
        </w:rPr>
        <w:t>هو الأول لا سيما من صرّح بالمعية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باليدين معاً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بالمعية </w:t>
      </w:r>
      <w:r>
        <w:rPr>
          <w:rStyle w:val="FootnoteAnchor"/>
          <w:rtl w:val="true"/>
        </w:rPr>
        <w:footnoteReference w:id="1097"/>
      </w:r>
      <w:r>
        <w:rPr>
          <w:rFonts w:ascii="Amiri" w:hAnsi="Amiri" w:eastAsia="Amiri" w:cs="Amiri"/>
          <w:color w:val="111111"/>
          <w:sz w:val="28"/>
          <w:sz w:val="28"/>
          <w:szCs w:val="28"/>
          <w:rtl w:val="true"/>
          <w:lang w:bidi="ar-SA"/>
        </w:rPr>
        <w:t xml:space="preserve">إما أن يكون في مقابل الاكتفاء بالواحدة فحينئذ يكون تأكيداً لليدين لا تأسيساً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به </w:t>
      </w:r>
      <w:r>
        <w:rPr>
          <w:rStyle w:val="FootnoteAnchor"/>
          <w:rtl w:val="true"/>
        </w:rPr>
        <w:footnoteReference w:id="1098"/>
      </w:r>
      <w:r>
        <w:rPr>
          <w:rFonts w:ascii="Amiri" w:hAnsi="Amiri" w:eastAsia="Amiri" w:cs="Amiri"/>
          <w:color w:val="111111"/>
          <w:sz w:val="28"/>
          <w:sz w:val="28"/>
          <w:szCs w:val="28"/>
          <w:rtl w:val="true"/>
          <w:lang w:bidi="ar-SA"/>
        </w:rPr>
        <w:t>هو ما ذكرنا من عدم الاجتزاء بالتعاقب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أيضاً أن يكون المراد به كونهما منضمين وملصقين في حال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هو الاحتمال الثاني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w:t>
      </w:r>
      <w:r>
        <w:rPr>
          <w:rStyle w:val="FootnoteAnchor"/>
          <w:rtl w:val="true"/>
        </w:rPr>
        <w:footnoteReference w:id="1099"/>
      </w:r>
      <w:r>
        <w:rPr>
          <w:rFonts w:ascii="IRNazanin" w:hAnsi="IRNazanin" w:eastAsia="IRNazanin"/>
          <w:color w:val="111111"/>
          <w:sz w:val="28"/>
          <w:sz w:val="28"/>
          <w:szCs w:val="28"/>
          <w:rtl w:val="true"/>
          <w:lang w:bidi="fa-IR"/>
        </w:rPr>
        <w:t>من الأخبار أيضاً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بكفيك</w:t>
      </w:r>
      <w:r>
        <w:rPr>
          <w:rFonts w:eastAsia="IRNazanin" w:cs="IRNazanin"/>
          <w:color w:val="111111"/>
          <w:sz w:val="28"/>
          <w:szCs w:val="28"/>
          <w:rtl w:val="true"/>
          <w:lang w:bidi="fa-IR"/>
        </w:rPr>
        <w:t>»</w:t>
      </w:r>
      <w:r>
        <w:rPr>
          <w:rStyle w:val="FootnoteAnchor"/>
          <w:rtl w:val="true"/>
        </w:rPr>
        <w:footnoteReference w:id="1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بيديك</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في كون ظاهرها ذلك، لكن لا بأس بفهم </w:t>
      </w:r>
    </w:p>
    <w:p>
      <w:pPr>
        <w:pStyle w:val="BookText"/>
        <w:rPr/>
      </w:pPr>
      <w:r>
        <w:rPr>
          <w:rFonts w:ascii="Amiri" w:hAnsi="Amiri" w:eastAsia="Amiri" w:cs="Amiri"/>
          <w:color w:val="111111"/>
          <w:sz w:val="28"/>
          <w:sz w:val="28"/>
          <w:szCs w:val="28"/>
          <w:rtl w:val="true"/>
          <w:lang w:bidi="ar-SA"/>
        </w:rPr>
        <w:t>مدرك هذا الظاهر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مدركه أنه لو استند الفعل الواحد إلى آلة </w:t>
      </w:r>
      <w:r>
        <w:rPr>
          <w:rStyle w:val="FootnoteAnchor"/>
          <w:rtl w:val="true"/>
        </w:rPr>
        <w:footnoteReference w:id="1103"/>
      </w:r>
      <w:r>
        <w:rPr>
          <w:rFonts w:ascii="Amiri" w:hAnsi="Amiri" w:eastAsia="Amiri" w:cs="Amiri"/>
          <w:color w:val="111111"/>
          <w:sz w:val="28"/>
          <w:sz w:val="28"/>
          <w:szCs w:val="28"/>
          <w:rtl w:val="true"/>
          <w:lang w:bidi="ar-SA"/>
        </w:rPr>
        <w:t>فلا بُدَّ من اتحاد الآلة وكون المجموع شيئاً واحداً ومعاً لا المتعاقب، كما أنّ وضع التثنية أيضاً للمجموع بمعنى أنّ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للمجموع؛ لأنه بمنزلة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ويد، وعبّر باليدين لمجرد الاختصار، فحينئذ يكون الظاهر أنّ المجموع آلة واحدة، وهو لا يتحقق مع التعاقب، إذ حينئذ تكون الآلة متعددة، والفعل متعدداً وهو منافٍ للضرب الواحد المستفاد من الخبر، فلا بُدَّ من أن يكونا معاً ، لكن هذا اللازم باطل، وهو كون الضرب بهما منضمين لا منفردين ولو كانا معاً؛ لأنه على تقدير عدم الانضمام أيضاً يكون التعليل</w:t>
      </w:r>
      <w:r>
        <w:rPr>
          <w:rStyle w:val="FootnoteAnchor"/>
        </w:rPr>
        <w:footnoteReference w:id="110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متعدداً فيكون الضرب متعدداً، وذلك وهو كون الضرب باليدين منضمين، ولم يقل به أحد، فلا يصلح كون اسناد الفعل إلى الآلة مستنداً للمعية، مضافاً إلى منع</w:t>
      </w:r>
      <w:r>
        <w:rPr>
          <w:rStyle w:val="FootnoteAnchor"/>
          <w:rtl w:val="true"/>
        </w:rPr>
        <w:footnoteReference w:id="1105"/>
      </w:r>
      <w:r>
        <w:rPr>
          <w:rFonts w:ascii="Amiri" w:hAnsi="Amiri" w:eastAsia="Amiri" w:cs="Amiri"/>
          <w:color w:val="111111"/>
          <w:sz w:val="28"/>
          <w:sz w:val="28"/>
          <w:szCs w:val="28"/>
          <w:rtl w:val="true"/>
          <w:lang w:bidi="ar-SA"/>
        </w:rPr>
        <w:t xml:space="preserve">استفادة ذلك منه، إذ يختلف الحال باختلاف الأفعال، إذ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أكلت الرغيفين </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ليس المراد أكلهما دفعة واحدة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مدركه هي الأخبار الدالّة على لزوم الضربة الواحدة على كيفية من الاتصال أو التعاقب ؛ ويمكن أن يكون منشأ الظهور غلبة وجود الضرب باليدين في الخارج بوجودهما دفعة واحدة لا ،التعاقب، أو يكون سببه غلبة استعمال هذه القضية في </w:t>
      </w:r>
      <w:bookmarkStart w:id="438" w:name="pg9203_87344"/>
    </w:p>
    <w:p>
      <w:pPr>
        <w:pStyle w:val="BookText"/>
        <w:rPr/>
      </w:pPr>
      <w:bookmarkEnd w:id="438"/>
      <w:r>
        <w:rPr>
          <w:rFonts w:eastAsia="Times New Roman" w:cs="Times New Roman" w:ascii="Times New Roman" w:hAnsi="Times New Roman"/>
          <w:color w:val="111111"/>
          <w:sz w:val="28"/>
          <w:szCs w:val="28"/>
          <w:lang w:val="en-US" w:bidi="en-US"/>
        </w:rPr>
        <w:t>334</w:t>
      </w:r>
    </w:p>
    <w:p>
      <w:pPr>
        <w:pStyle w:val="BookText"/>
        <w:rPr/>
      </w:pPr>
      <w:r>
        <w:rPr>
          <w:rFonts w:ascii="Amiri" w:hAnsi="Amiri" w:eastAsia="Amiri" w:cs="Amiri"/>
          <w:color w:val="111111"/>
          <w:sz w:val="28"/>
          <w:sz w:val="28"/>
          <w:szCs w:val="28"/>
          <w:rtl w:val="true"/>
          <w:lang w:bidi="ar-SA"/>
        </w:rPr>
        <w:t xml:space="preserve">ذلك،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نفهم الظهور فيكون حجّة ولو لم نفهم سببه</w:t>
      </w:r>
      <w:r>
        <w:rPr>
          <w:rFonts w:eastAsia="Amiri" w:cs="Amiri" w:ascii="Amiri" w:hAnsi="Amiri"/>
          <w:color w:val="111111"/>
          <w:sz w:val="28"/>
          <w:szCs w:val="28"/>
          <w:rtl w:val="true"/>
          <w:lang w:bidi="ar-SA"/>
        </w:rPr>
        <w:t>.</w:t>
      </w:r>
    </w:p>
    <w:p>
      <w:pPr>
        <w:pStyle w:val="Heading2"/>
        <w:numPr>
          <w:ilvl w:val="1"/>
          <w:numId w:val="1"/>
        </w:numPr>
        <w:rPr/>
      </w:pPr>
      <w:bookmarkStart w:id="439" w:name="__RefHeading___Toc3968112_2870459653"/>
      <w:bookmarkStart w:id="440" w:name="_Toc155"/>
      <w:bookmarkEnd w:id="439"/>
      <w:r>
        <w:rPr>
          <w:rtl w:val="true"/>
        </w:rPr>
        <w:t xml:space="preserve">[ </w:t>
      </w:r>
      <w:r>
        <w:rPr>
          <w:rtl w:val="true"/>
        </w:rPr>
        <w:t xml:space="preserve">كفاية مسح الجبهة مع الجبينين بمجموع اليدين </w:t>
      </w:r>
      <w:r>
        <w:rPr>
          <w:rtl w:val="true"/>
        </w:rPr>
        <w:t>]</w:t>
      </w:r>
      <w:bookmarkEnd w:id="440"/>
    </w:p>
    <w:p>
      <w:pPr>
        <w:pStyle w:val="BookText"/>
        <w:rPr/>
      </w:pPr>
      <w:r>
        <w:rPr>
          <w:rFonts w:ascii="Amiri" w:hAnsi="Amiri" w:eastAsia="Amiri" w:cs="Amiri"/>
          <w:color w:val="111111"/>
          <w:sz w:val="28"/>
          <w:sz w:val="28"/>
          <w:szCs w:val="28"/>
          <w:rtl w:val="true"/>
          <w:lang w:bidi="ar-SA"/>
        </w:rPr>
        <w:t>ثمّ إنّه هل يلزم مسح تمام الجبهة، أو هي مع الجبينين بكل واحدة من اليدين، أو يكفي مسحهما بالمجموع وإن لم يصل كل واحدة منهما بالمجموع ؟</w:t>
      </w:r>
    </w:p>
    <w:p>
      <w:pPr>
        <w:pStyle w:val="BookText"/>
        <w:rPr/>
      </w:pPr>
      <w:r>
        <w:rPr>
          <w:rFonts w:ascii="Amiri" w:hAnsi="Amiri" w:eastAsia="Amiri" w:cs="Amiri"/>
          <w:color w:val="111111"/>
          <w:sz w:val="28"/>
          <w:sz w:val="28"/>
          <w:szCs w:val="28"/>
          <w:rtl w:val="true"/>
          <w:lang w:bidi="ar-SA"/>
        </w:rPr>
        <w:t xml:space="preserve">الظاهر عدم لزوم مسح الجميع بكل واحدة منها </w:t>
      </w:r>
      <w:r>
        <w:rPr>
          <w:rStyle w:val="FootnoteAnchor"/>
          <w:rtl w:val="true"/>
        </w:rPr>
        <w:footnoteReference w:id="1107"/>
      </w:r>
      <w:r>
        <w:rPr>
          <w:rFonts w:ascii="Amiri" w:hAnsi="Amiri" w:eastAsia="Amiri" w:cs="Amiri"/>
          <w:color w:val="111111"/>
          <w:sz w:val="28"/>
          <w:sz w:val="28"/>
          <w:szCs w:val="28"/>
          <w:rtl w:val="true"/>
          <w:lang w:bidi="ar-SA"/>
        </w:rPr>
        <w:t>لأنّ الظاهر من مسح الجبهة بالمجموع كفاية مسحها بالمجموع، فالظاهر كون آلة المسح هو الأمر الواحد الذي هوالمجموع، لا المسح بكل واحد، مع أنه يلزم تكرار المسح على تقدير المسح بكل واحدة، إلّا أنّه ليس بشيء؛ إذ عدم تكرار المسح وعدم صحته على تقدير عدم الاستظهار</w:t>
      </w:r>
      <w:r>
        <w:rPr>
          <w:rStyle w:val="FootnoteAnchor"/>
          <w:rtl w:val="true"/>
        </w:rPr>
        <w:footnoteReference w:id="1108"/>
      </w:r>
      <w:r>
        <w:rPr>
          <w:rFonts w:ascii="Amiri" w:hAnsi="Amiri" w:eastAsia="Amiri" w:cs="Amiri"/>
          <w:color w:val="111111"/>
          <w:sz w:val="28"/>
          <w:sz w:val="28"/>
          <w:szCs w:val="28"/>
          <w:rtl w:val="true"/>
          <w:lang w:bidi="ar-SA"/>
        </w:rPr>
        <w:t>من الأدلّة وبعده لا يضر، وكذا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حصوله إلّا على تقدير المسح بكل واحدة </w:t>
      </w:r>
      <w:r>
        <w:rPr>
          <w:rStyle w:val="FootnoteAnchor"/>
          <w:rtl w:val="true"/>
        </w:rPr>
        <w:footnoteReference w:id="1109"/>
      </w:r>
      <w:r>
        <w:rPr>
          <w:rFonts w:ascii="Amiri" w:hAnsi="Amiri" w:eastAsia="Amiri" w:cs="Amiri"/>
          <w:color w:val="111111"/>
          <w:sz w:val="28"/>
          <w:sz w:val="28"/>
          <w:szCs w:val="28"/>
          <w:rtl w:val="true"/>
          <w:lang w:bidi="ar-SA"/>
        </w:rPr>
        <w:t>، ومن هنا يمكن التأييد لما ذكرنا من ظهور الضرب باليدين في الدفعة</w:t>
      </w:r>
      <w:r>
        <w:rPr>
          <w:rFonts w:eastAsia="Amiri" w:cs="Amiri" w:ascii="Amiri" w:hAnsi="Amiri"/>
          <w:color w:val="111111"/>
          <w:sz w:val="28"/>
          <w:szCs w:val="28"/>
          <w:rtl w:val="true"/>
          <w:lang w:bidi="ar-SA"/>
        </w:rPr>
        <w:t>.</w:t>
      </w:r>
    </w:p>
    <w:p>
      <w:pPr>
        <w:pStyle w:val="Heading2"/>
        <w:numPr>
          <w:ilvl w:val="1"/>
          <w:numId w:val="1"/>
        </w:numPr>
        <w:rPr/>
      </w:pPr>
      <w:bookmarkStart w:id="441" w:name="__RefHeading___Toc3968114_2870459653"/>
      <w:bookmarkStart w:id="442" w:name="_Toc156"/>
      <w:bookmarkEnd w:id="441"/>
      <w:r>
        <w:rPr>
          <w:rtl w:val="true"/>
        </w:rPr>
        <w:t xml:space="preserve">[ </w:t>
      </w:r>
      <w:r>
        <w:rPr>
          <w:rtl w:val="true"/>
        </w:rPr>
        <w:t>هل يلزم استيعاب الوجه بالمسح أو يكفي البعض؟</w:t>
      </w:r>
      <w:r>
        <w:rPr>
          <w:rtl w:val="true"/>
        </w:rPr>
        <w:t>]</w:t>
      </w:r>
      <w:bookmarkEnd w:id="442"/>
    </w:p>
    <w:p>
      <w:pPr>
        <w:pStyle w:val="BookText"/>
        <w:rPr/>
      </w:pPr>
      <w:r>
        <w:rPr>
          <w:rFonts w:ascii="Amiri" w:hAnsi="Amiri" w:eastAsia="Amiri" w:cs="Amiri"/>
          <w:color w:val="111111"/>
          <w:sz w:val="28"/>
          <w:sz w:val="28"/>
          <w:szCs w:val="28"/>
          <w:rtl w:val="true"/>
          <w:lang w:bidi="ar-SA"/>
        </w:rPr>
        <w:t>ثم إنه هل يلزم استيعاب الوجه أو يكفي البعض؟</w:t>
      </w:r>
    </w:p>
    <w:p>
      <w:pPr>
        <w:pStyle w:val="BookText"/>
        <w:rPr/>
      </w:pPr>
      <w:r>
        <w:rPr>
          <w:rFonts w:ascii="IRNazanin" w:hAnsi="IRNazanin" w:eastAsia="IRNazanin"/>
          <w:color w:val="111111"/>
          <w:sz w:val="28"/>
          <w:sz w:val="28"/>
          <w:szCs w:val="28"/>
          <w:rtl w:val="true"/>
          <w:lang w:bidi="fa-IR"/>
        </w:rPr>
        <w:t xml:space="preserve">فههنا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البعض، ولا يلزم تمام الوجه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تشخيص البعض، فنقدم الكلام في الثاني فنقول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مقدم الرأس فوق الحاجبين إلى منبت الشعر؛ فلا شبهة في اعتبارها؛ لعدم الخلاف فيه، فكل من قال بمسح الحاجبين قال بها أيضاً، وإن عبر بعض العلماء بالجبين ولم يذكر الجبهة مثل الهداية والفقيه </w:t>
      </w:r>
      <w:r>
        <w:rPr>
          <w:rStyle w:val="FootnoteAnchor"/>
          <w:rtl w:val="true"/>
        </w:rPr>
        <w:footnoteReference w:id="1112"/>
      </w:r>
      <w:r>
        <w:rPr>
          <w:rFonts w:ascii="Amiri" w:hAnsi="Amiri" w:eastAsia="Amiri" w:cs="Amiri"/>
          <w:color w:val="111111"/>
          <w:sz w:val="28"/>
          <w:sz w:val="28"/>
          <w:szCs w:val="28"/>
          <w:rtl w:val="true"/>
          <w:lang w:bidi="ar-SA"/>
        </w:rPr>
        <w:t>، لكن مرادهم ليس خصوص الجبين، ويدلّ عليه بعد الإجماع</w:t>
      </w:r>
      <w:r>
        <w:rPr>
          <w:rStyle w:val="FootnoteAnchor"/>
          <w:rtl w:val="true"/>
        </w:rPr>
        <w:footnoteReference w:id="1113"/>
      </w:r>
      <w:r>
        <w:rPr>
          <w:rFonts w:ascii="IRNazanin" w:hAnsi="IRNazanin" w:eastAsia="IRNazanin"/>
          <w:color w:val="111111"/>
          <w:sz w:val="28"/>
          <w:sz w:val="28"/>
          <w:szCs w:val="28"/>
          <w:rtl w:val="true"/>
          <w:lang w:bidi="fa-IR"/>
        </w:rPr>
        <w:t>موثق زرارة عن أبي جعفر علیه السلام</w:t>
      </w:r>
      <w:r>
        <w:rPr>
          <w:rStyle w:val="FootnoteAnchor"/>
          <w:rtl w:val="true"/>
        </w:rPr>
        <w:footnoteReference w:id="1114"/>
      </w:r>
      <w:r>
        <w:rPr>
          <w:rFonts w:ascii="Amiri" w:hAnsi="Amiri" w:eastAsia="Amiri" w:cs="Amiri"/>
          <w:color w:val="111111"/>
          <w:sz w:val="28"/>
          <w:sz w:val="28"/>
          <w:szCs w:val="28"/>
          <w:rtl w:val="true"/>
          <w:lang w:bidi="ar-SA"/>
        </w:rPr>
        <w:t>، وإن روى في الكافي</w:t>
      </w:r>
      <w:r>
        <w:rPr>
          <w:rStyle w:val="FootnoteAnchor"/>
          <w:rtl w:val="true"/>
        </w:rPr>
        <w:footnoteReference w:id="1115"/>
      </w:r>
      <w:r>
        <w:rPr>
          <w:rFonts w:ascii="Amiri" w:hAnsi="Amiri" w:eastAsia="Amiri" w:cs="Amiri"/>
          <w:color w:val="111111"/>
          <w:sz w:val="28"/>
          <w:sz w:val="28"/>
          <w:szCs w:val="28"/>
          <w:rtl w:val="true"/>
          <w:lang w:bidi="ar-SA"/>
        </w:rPr>
        <w:t>هذه الرواية ولم يذكر لفظ الجبهة، لكن الخطب سهل</w:t>
      </w:r>
      <w:r>
        <w:rPr>
          <w:rStyle w:val="FootnoteAnchor"/>
          <w:rtl w:val="true"/>
        </w:rPr>
        <w:footnoteReference w:id="1116"/>
      </w:r>
      <w:r>
        <w:rPr>
          <w:rFonts w:ascii="Amiri" w:hAnsi="Amiri" w:eastAsia="Amiri" w:cs="Amiri"/>
          <w:color w:val="111111"/>
          <w:sz w:val="28"/>
          <w:sz w:val="28"/>
          <w:szCs w:val="28"/>
          <w:rtl w:val="true"/>
          <w:lang w:bidi="ar-SA"/>
        </w:rPr>
        <w:t>بعد الإجماع المنقول على لسان غير واحد</w:t>
      </w:r>
      <w:r>
        <w:rPr>
          <w:rStyle w:val="FootnoteAnchor"/>
          <w:rtl w:val="true"/>
        </w:rPr>
        <w:footnoteReference w:id="1117"/>
      </w:r>
      <w:r>
        <w:rPr>
          <w:rFonts w:ascii="IRNazanin" w:hAnsi="IRNazanin" w:eastAsia="IRNazanin"/>
          <w:color w:val="111111"/>
          <w:sz w:val="28"/>
          <w:sz w:val="28"/>
          <w:szCs w:val="28"/>
          <w:rtl w:val="true"/>
          <w:lang w:bidi="fa-IR"/>
        </w:rPr>
        <w:t>، بل المحصل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الجبينان فالظاهر أيضاً دخولهما؛ لورودهما في الأخبار الكثيرة البيانية وغيرها من الصحيح والموثق والحسن </w:t>
      </w:r>
      <w:r>
        <w:rPr>
          <w:rStyle w:val="FootnoteAnchor"/>
          <w:rtl w:val="true"/>
        </w:rPr>
        <w:footnoteReference w:id="1118"/>
      </w:r>
      <w:r>
        <w:rPr>
          <w:rStyle w:val="FootnoteAnchor"/>
          <w:rtl w:val="true"/>
        </w:rPr>
        <w:footnoteReference w:id="1119"/>
      </w:r>
      <w:r>
        <w:rPr>
          <w:rFonts w:ascii="Amiri" w:hAnsi="Amiri" w:eastAsia="Amiri" w:cs="Amiri"/>
          <w:color w:val="111111"/>
          <w:sz w:val="28"/>
          <w:sz w:val="28"/>
          <w:szCs w:val="28"/>
          <w:rtl w:val="true"/>
          <w:lang w:bidi="ar-SA"/>
        </w:rPr>
        <w:t>فتكون مقيدة لإطلاق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والجبين هو فوق الصدغ الذي ما بين لحظ العين وأصل الأذن، وهو المحيط بالجبهة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يُشكل لو كان المراد بالجبين هنا هو ما بين الأذن والجبهة كما هو الظاهر منه، مع عدم غسل المجموع في الوضوء، بل يغسل ما بين الإبهام والوسطى ولا يدخل المجموع فيما بينهما، فحينئذ يقع التعارض بين صحيح </w:t>
      </w:r>
      <w:r>
        <w:rPr>
          <w:rStyle w:val="FootnoteAnchor"/>
          <w:rtl w:val="true"/>
        </w:rPr>
        <w:footnoteReference w:id="1120"/>
      </w:r>
      <w:r>
        <w:rPr>
          <w:rFonts w:ascii="Amiri" w:hAnsi="Amiri" w:eastAsia="Amiri" w:cs="Amiri"/>
          <w:color w:val="111111"/>
          <w:sz w:val="28"/>
          <w:sz w:val="28"/>
          <w:szCs w:val="28"/>
          <w:rtl w:val="true"/>
          <w:lang w:bidi="ar-SA"/>
        </w:rPr>
        <w:t xml:space="preserve">زرارة الوارد في تفسير الآية </w:t>
      </w:r>
    </w:p>
    <w:p>
      <w:pPr>
        <w:pStyle w:val="BookText"/>
        <w:rPr/>
      </w:pPr>
      <w:r>
        <w:rPr>
          <w:rFonts w:ascii="IRNazanin" w:hAnsi="IRNazanin" w:eastAsia="IRNazanin"/>
          <w:color w:val="111111"/>
          <w:sz w:val="28"/>
          <w:sz w:val="28"/>
          <w:szCs w:val="28"/>
          <w:rtl w:val="true"/>
          <w:lang w:bidi="fa-IR"/>
        </w:rPr>
        <w:t xml:space="preserve">وقد نقلناه سابقاً </w:t>
      </w:r>
      <w:r>
        <w:rPr>
          <w:rStyle w:val="FootnoteAnchor"/>
          <w:rtl w:val="true"/>
        </w:rPr>
        <w:footnoteReference w:id="1121"/>
      </w:r>
      <w:r>
        <w:rPr>
          <w:rFonts w:ascii="IRNazanin" w:hAnsi="IRNazanin" w:eastAsia="IRNazanin"/>
          <w:color w:val="111111"/>
          <w:sz w:val="28"/>
          <w:sz w:val="28"/>
          <w:szCs w:val="28"/>
          <w:rtl w:val="true"/>
          <w:lang w:bidi="fa-IR"/>
        </w:rPr>
        <w:t xml:space="preserve">لمكان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اثبت بعض الغسل مسحاً</w:t>
      </w:r>
      <w:r>
        <w:rPr>
          <w:rFonts w:eastAsia="IRNazanin" w:cs="IRNazanin"/>
          <w:color w:val="111111"/>
          <w:sz w:val="28"/>
          <w:szCs w:val="28"/>
          <w:rtl w:val="true"/>
          <w:lang w:bidi="fa-IR"/>
        </w:rPr>
        <w:t>»</w:t>
      </w:r>
      <w:r>
        <w:rPr>
          <w:rStyle w:val="FootnoteAnchor"/>
          <w:rtl w:val="true"/>
        </w:rPr>
        <w:footnoteReference w:id="1122"/>
      </w:r>
      <w:r>
        <w:rPr>
          <w:rFonts w:ascii="Amiri" w:hAnsi="Amiri" w:eastAsia="Amiri" w:cs="Amiri"/>
          <w:color w:val="111111"/>
          <w:sz w:val="28"/>
          <w:sz w:val="28"/>
          <w:szCs w:val="28"/>
          <w:rtl w:val="true"/>
          <w:lang w:bidi="ar-SA"/>
        </w:rPr>
        <w:t>، فيدلّ على وجوب مسح بعض محال الغسل 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حينئذٍ تقديم الصحيح وعدم وجوب مسح جميع الجبين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فالأخبار متضافرة</w:t>
      </w:r>
      <w:r>
        <w:rPr>
          <w:rStyle w:val="FootnoteAnchor"/>
          <w:rtl w:val="true"/>
        </w:rPr>
        <w:footnoteReference w:id="1123"/>
      </w:r>
      <w:r>
        <w:rPr>
          <w:rFonts w:ascii="IRNazanin" w:hAnsi="IRNazanin" w:eastAsia="IRNazanin"/>
          <w:color w:val="111111"/>
          <w:sz w:val="28"/>
          <w:sz w:val="28"/>
          <w:szCs w:val="28"/>
          <w:rtl w:val="true"/>
          <w:lang w:bidi="fa-IR"/>
        </w:rPr>
        <w:t>بمسح الوجه، والوجه اسم للمجموع، والمتبادر منه المجموع، ومن هنا فهم زرارة ذلك وسأل عنه الإمام علیه السلام في الصحيح</w:t>
      </w:r>
      <w:r>
        <w:rPr>
          <w:rStyle w:val="FootnoteAnchor"/>
          <w:rtl w:val="true"/>
        </w:rPr>
        <w:footnoteReference w:id="1124"/>
      </w:r>
      <w:r>
        <w:rPr>
          <w:rFonts w:ascii="Amiri" w:hAnsi="Amiri" w:eastAsia="Amiri" w:cs="Amiri"/>
          <w:color w:val="111111"/>
          <w:sz w:val="28"/>
          <w:sz w:val="28"/>
          <w:szCs w:val="28"/>
          <w:rtl w:val="true"/>
          <w:lang w:bidi="ar-SA"/>
        </w:rPr>
        <w:t xml:space="preserve">المذكور في باب الوضوء ومسح الرأس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علمت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المسح ببعض الرأس </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والحال أنّ المسح متعلق بالرأس، والظاهر من تعلق المسح بالشيء الصغير هو مسح جميعه، وليس كذلك الكبير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بالحائط، وليس الظاهر منه مسح جميعه فتكون هذه الأخبار ظاهرة في التمام والأخبار الأخر دالّة على عدم اللزوم سواءً كانت البيانية أو غيرها، ولا يمكن تقديم أخبار الجبين والجبهة عليها؛ من جهة كون أخبار الجبهة نصاً في الكفاية، وأخبار الوجه ظاهرة في عدم الكفاية </w:t>
      </w:r>
      <w:r>
        <w:rPr>
          <w:rStyle w:val="FootnoteAnchor"/>
          <w:rtl w:val="true"/>
        </w:rPr>
        <w:footnoteReference w:id="1126"/>
      </w:r>
      <w:r>
        <w:rPr>
          <w:rFonts w:ascii="Amiri" w:hAnsi="Amiri" w:eastAsia="Amiri" w:cs="Amiri"/>
          <w:color w:val="111111"/>
          <w:sz w:val="28"/>
          <w:sz w:val="28"/>
          <w:szCs w:val="28"/>
          <w:rtl w:val="true"/>
          <w:lang w:bidi="ar-SA"/>
        </w:rPr>
        <w:t xml:space="preserve">لعدم صراحتها في كفاية الجبهة والجبين، فلعل المراد الجبهة مع انضمام سائر الوجه، بل يمكن تقديمها من جهة كون أخبار الجبين والجبهة أظهر في كفايتها بالنسبة إلى أخبار الوجه وغيرها من الآية والجبهة والجبين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وحاصل الكلام بعد عدم لزوم مسح تمام الوجه، بل يكفي بعضه </w:t>
      </w:r>
      <w:r>
        <w:rPr>
          <w:rStyle w:val="FootnoteAnchor"/>
          <w:rtl w:val="true"/>
        </w:rPr>
        <w:footnoteReference w:id="1128"/>
      </w:r>
      <w:r>
        <w:rPr>
          <w:rFonts w:ascii="Amiri" w:hAnsi="Amiri" w:eastAsia="Amiri" w:cs="Amiri"/>
          <w:color w:val="111111"/>
          <w:sz w:val="28"/>
          <w:sz w:val="28"/>
          <w:szCs w:val="28"/>
          <w:rtl w:val="true"/>
          <w:lang w:bidi="ar-SA"/>
        </w:rPr>
        <w:t xml:space="preserve">لما ذكرنا أنّ هناك أخباراً أخر كلها دالّة على مسح الجبين، أمّا موثق زرارة فإنّه مروي بثلاثة طرق في اثنين منها روي بلفظ الجبين خاصة </w:t>
      </w:r>
      <w:r>
        <w:rPr>
          <w:rStyle w:val="FootnoteAnchor"/>
          <w:rtl w:val="true"/>
        </w:rPr>
        <w:footnoteReference w:id="1129"/>
      </w:r>
      <w:r>
        <w:rPr>
          <w:rFonts w:ascii="Amiri" w:hAnsi="Amiri" w:eastAsia="Amiri" w:cs="Amiri"/>
          <w:color w:val="111111"/>
          <w:sz w:val="28"/>
          <w:sz w:val="28"/>
          <w:szCs w:val="28"/>
          <w:rtl w:val="true"/>
          <w:lang w:bidi="ar-SA"/>
        </w:rPr>
        <w:t>، وطريق الكافي</w:t>
      </w:r>
      <w:r>
        <w:rPr>
          <w:rStyle w:val="FootnoteAnchor"/>
          <w:rtl w:val="true"/>
        </w:rPr>
        <w:footnoteReference w:id="1130"/>
      </w:r>
      <w:r>
        <w:rPr>
          <w:rFonts w:ascii="Amiri" w:hAnsi="Amiri" w:eastAsia="Amiri" w:cs="Amiri"/>
          <w:color w:val="111111"/>
          <w:sz w:val="28"/>
          <w:sz w:val="28"/>
          <w:szCs w:val="28"/>
          <w:rtl w:val="true"/>
          <w:lang w:bidi="ar-SA"/>
        </w:rPr>
        <w:t>وطريق الشيخ</w:t>
      </w:r>
      <w:r>
        <w:rPr>
          <w:rStyle w:val="FootnoteAnchor"/>
          <w:rtl w:val="true"/>
        </w:rPr>
        <w:footnoteReference w:id="1131"/>
      </w:r>
      <w:r>
        <w:rPr>
          <w:rFonts w:ascii="Amiri" w:hAnsi="Amiri" w:eastAsia="Amiri" w:cs="Amiri"/>
          <w:color w:val="111111"/>
          <w:sz w:val="28"/>
          <w:sz w:val="28"/>
          <w:szCs w:val="28"/>
          <w:rtl w:val="true"/>
          <w:lang w:bidi="ar-SA"/>
        </w:rPr>
        <w:t xml:space="preserve">وطريق آخر </w:t>
      </w:r>
      <w:r>
        <w:rPr>
          <w:rStyle w:val="FootnoteAnchor"/>
          <w:rtl w:val="true"/>
        </w:rPr>
        <w:footnoteReference w:id="1132"/>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الطريق الذي يرويه الشيخ عن المفيد، فنحن نعلم إجمالا أنّ واحداً من هذين صحيح وحجّة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وطريق الكافي أقرب؛ لأضبطية الكافي بالنسبة إلى الشيخ</w:t>
      </w:r>
      <w:r>
        <w:rPr>
          <w:rStyle w:val="FootnoteAnchor"/>
          <w:rtl w:val="true"/>
        </w:rPr>
        <w:footnoteReference w:id="1133"/>
      </w:r>
      <w:r>
        <w:rPr>
          <w:rFonts w:ascii="Amiri" w:hAnsi="Amiri" w:eastAsia="Amiri" w:cs="Amiri"/>
          <w:color w:val="111111"/>
          <w:sz w:val="28"/>
          <w:sz w:val="28"/>
          <w:szCs w:val="28"/>
          <w:rtl w:val="true"/>
          <w:lang w:bidi="ar-SA"/>
        </w:rPr>
        <w:t xml:space="preserve">، فالأمر دائر بين موهوم الحُجيّة ومظنونها، فيجب الأخذ بالمظنون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 الجبين</w:t>
      </w:r>
      <w:r>
        <w:rPr>
          <w:rStyle w:val="FootnoteAnchor"/>
          <w:rtl w:val="true"/>
        </w:rPr>
        <w:footnoteReference w:id="1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ترجيح طريق الجبهة بسبب الشهرة</w:t>
      </w:r>
      <w:r>
        <w:rPr>
          <w:rStyle w:val="FootnoteAnchor"/>
          <w:rtl w:val="true"/>
        </w:rPr>
        <w:footnoteReference w:id="1136"/>
      </w:r>
      <w:r>
        <w:rPr>
          <w:rFonts w:ascii="Amiri" w:hAnsi="Amiri" w:eastAsia="Amiri" w:cs="Amiri"/>
          <w:color w:val="111111"/>
          <w:sz w:val="28"/>
          <w:sz w:val="28"/>
          <w:szCs w:val="28"/>
          <w:rtl w:val="true"/>
          <w:lang w:bidi="ar-SA"/>
        </w:rPr>
        <w:t xml:space="preserve">عليها ؛ لأنّ الشهرة والإجماع لا يصلحان لمرجحية السند؛ إذ لعلّ مستندهم غير هذا، فحينئذ هل يكون المراد بالجبين خصوص الجبهة بعلاقة المجاورة أو الجبهة والجبين واحتمال كون المراد به الجبين خاصة بعيد؛ لقيام الإجماع بل الضرورة على دخول الجبهة فتكون داخلة، فكلام بعض مثل ابن </w:t>
      </w:r>
    </w:p>
    <w:p>
      <w:pPr>
        <w:pStyle w:val="BookText"/>
        <w:rPr/>
      </w:pPr>
      <w:r>
        <w:rPr>
          <w:rFonts w:ascii="Amiri" w:hAnsi="Amiri" w:eastAsia="Amiri" w:cs="Amiri"/>
          <w:color w:val="111111"/>
          <w:sz w:val="28"/>
          <w:sz w:val="28"/>
          <w:szCs w:val="28"/>
          <w:rtl w:val="true"/>
          <w:lang w:bidi="ar-SA"/>
        </w:rPr>
        <w:t>أبي عقيل</w:t>
      </w:r>
      <w:r>
        <w:rPr>
          <w:rStyle w:val="FootnoteAnchor"/>
          <w:rtl w:val="true"/>
        </w:rPr>
        <w:footnoteReference w:id="1137"/>
      </w:r>
      <w:r>
        <w:rPr>
          <w:rFonts w:ascii="Amiri" w:hAnsi="Amiri" w:eastAsia="Amiri" w:cs="Amiri"/>
          <w:color w:val="111111"/>
          <w:sz w:val="28"/>
          <w:sz w:val="28"/>
          <w:szCs w:val="28"/>
          <w:rtl w:val="true"/>
          <w:lang w:bidi="ar-SA"/>
        </w:rPr>
        <w:t>حيث يدعي تواتر أخبار الجبهة على ما حكي عنه</w:t>
      </w:r>
      <w:r>
        <w:rPr>
          <w:rStyle w:val="FootnoteAnchor"/>
          <w:rtl w:val="true"/>
        </w:rPr>
        <w:footnoteReference w:id="1138"/>
      </w:r>
      <w:r>
        <w:rPr>
          <w:rStyle w:val="FootnoteAnchor"/>
          <w:rtl w:val="true"/>
        </w:rPr>
        <w:footnoteReference w:id="1139"/>
      </w:r>
      <w:r>
        <w:rPr>
          <w:rFonts w:ascii="Amiri" w:hAnsi="Amiri" w:eastAsia="Amiri" w:cs="Amiri"/>
          <w:color w:val="111111"/>
          <w:sz w:val="28"/>
          <w:sz w:val="28"/>
          <w:szCs w:val="28"/>
          <w:rtl w:val="true"/>
          <w:lang w:bidi="ar-SA"/>
        </w:rPr>
        <w:t>، وكذا المحقق في النافع</w:t>
      </w:r>
      <w:r>
        <w:rPr>
          <w:rStyle w:val="FootnoteAnchor"/>
          <w:rtl w:val="true"/>
        </w:rPr>
        <w:footnoteReference w:id="1140"/>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رواية الجبهة أشهر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كون المراد بالجبين الجبهة، إذ لم يرد في الجبهة غير أخبار الجبين حتى يدعى كونها متواترة أو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أيضاً استعمال الجبين في الجبهة في بعض الأخبار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لا يرغم أنفه بالأرض</w:t>
      </w:r>
      <w:r>
        <w:rPr>
          <w:rStyle w:val="FootnoteAnchor"/>
          <w:rtl w:val="true"/>
        </w:rPr>
        <w:footnoteReference w:id="1141"/>
      </w:r>
      <w:r>
        <w:rPr>
          <w:rFonts w:ascii="Amiri" w:hAnsi="Amiri" w:eastAsia="Amiri" w:cs="Amiri"/>
          <w:color w:val="111111"/>
          <w:sz w:val="28"/>
          <w:sz w:val="28"/>
          <w:szCs w:val="28"/>
          <w:rtl w:val="true"/>
          <w:lang w:bidi="ar-SA"/>
        </w:rPr>
        <w:t>عند وضع الجبين على الأرض، ويمكن أن يكون مرادهم بالجبهة هو الجبين أو الأعم</w:t>
      </w:r>
      <w:r>
        <w:rPr>
          <w:rStyle w:val="FootnoteAnchor"/>
          <w:rtl w:val="true"/>
        </w:rPr>
        <w:footnoteReference w:id="1142"/>
      </w:r>
      <w:r>
        <w:rPr>
          <w:rFonts w:ascii="Amiri" w:hAnsi="Amiri" w:eastAsia="Amiri" w:cs="Amiri"/>
          <w:color w:val="111111"/>
          <w:sz w:val="28"/>
          <w:sz w:val="28"/>
          <w:szCs w:val="28"/>
          <w:rtl w:val="true"/>
          <w:lang w:bidi="ar-SA"/>
        </w:rPr>
        <w:t>؛ لكثرة استعماله فيهما، واستعمل الجبين في الأخبار في الأعمّ لتسامح العرف في إطلاق الجبين على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الجبين الوارد في الأخبار أولى بملاحظة بعض الأخبار المستعمل فيه الجبين في الجبهة</w:t>
      </w:r>
      <w:r>
        <w:rPr>
          <w:rStyle w:val="FootnoteAnchor"/>
          <w:rtl w:val="true"/>
        </w:rPr>
        <w:footnoteReference w:id="1143"/>
      </w:r>
      <w:r>
        <w:rPr>
          <w:rFonts w:ascii="Amiri" w:hAnsi="Amiri" w:eastAsia="Amiri" w:cs="Amiri"/>
          <w:color w:val="111111"/>
          <w:sz w:val="28"/>
          <w:sz w:val="28"/>
          <w:szCs w:val="28"/>
          <w:rtl w:val="true"/>
          <w:lang w:bidi="ar-SA"/>
        </w:rPr>
        <w:t xml:space="preserve">، وقوله تعالى في حكاية إبراهيم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وَتَلَّهُ لِلْجَبين</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 xml:space="preserve">بناءً على أحد تفسيريه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الجبهة صريحٌ إلا أنه منحصر في موثق زرارة على طريق الشيخ </w:t>
      </w:r>
      <w:r>
        <w:rPr>
          <w:rStyle w:val="FootnoteAnchor"/>
          <w:rtl w:val="true"/>
        </w:rPr>
        <w:footnoteReference w:id="1146"/>
      </w:r>
      <w:r>
        <w:rPr>
          <w:rFonts w:ascii="Amiri" w:hAnsi="Amiri" w:eastAsia="Amiri" w:cs="Amiri"/>
          <w:color w:val="111111"/>
          <w:sz w:val="28"/>
          <w:sz w:val="28"/>
          <w:szCs w:val="28"/>
          <w:rtl w:val="true"/>
          <w:lang w:bidi="ar-SA"/>
        </w:rPr>
        <w:t xml:space="preserve">، وإن قلنا بأرجحية طريق الكافي فليس في الجبهة خبر أصلاً، ولو قلنا بعدم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ارجحيته بواسطة شهرة هذا الطريق فحينئذٍ يتعارض الطريقان</w:t>
      </w:r>
      <w:r>
        <w:rPr>
          <w:rStyle w:val="FootnoteAnchor"/>
          <w:rtl w:val="true"/>
        </w:rPr>
        <w:footnoteReference w:id="1147"/>
      </w:r>
      <w:r>
        <w:rPr>
          <w:rFonts w:ascii="Amiri" w:hAnsi="Amiri" w:eastAsia="Amiri" w:cs="Amiri"/>
          <w:color w:val="111111"/>
          <w:sz w:val="28"/>
          <w:sz w:val="28"/>
          <w:szCs w:val="28"/>
          <w:rtl w:val="true"/>
          <w:lang w:bidi="ar-SA"/>
        </w:rPr>
        <w:t xml:space="preserve">لأنه في الواقع أحدهما إما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المرجح أخبار الجبين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أن يكون هذا الاختلاف من جهة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بكير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بالمعنى،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زرارة قال له شيئاً وهو يعبر عنه تارة بالجبهة وتارة بالجبين بأن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مثلاً، فتارة نقل لفظ الجبهة، وتارة نقل الجبين المراد به الجبهة ، فحينئذ يكون الطريقان متحدين </w:t>
      </w:r>
      <w:r>
        <w:rPr>
          <w:rStyle w:val="FootnoteAnchor"/>
          <w:rtl w:val="true"/>
        </w:rPr>
        <w:footnoteReference w:id="1148"/>
      </w:r>
      <w:r>
        <w:rPr>
          <w:rFonts w:ascii="Amiri" w:hAnsi="Amiri" w:eastAsia="Amiri" w:cs="Amiri"/>
          <w:color w:val="111111"/>
          <w:sz w:val="28"/>
          <w:sz w:val="28"/>
          <w:szCs w:val="28"/>
          <w:rtl w:val="true"/>
          <w:lang w:bidi="ar-SA"/>
        </w:rPr>
        <w:t xml:space="preserve">، لكن هذا بعيد؛ لأنّ الظاهر أنّ ابن بكير ينقل الألفاظ الصادرة من زرارة، وبعد تعارضها تبقى الأخبار الدالة على الجبين، فالجبهة أريدت من الجبين يقيناً بملاحظة الإجماع؛ لأنّ كلها حكاية عن فعل واحد </w:t>
      </w:r>
      <w:r>
        <w:rPr>
          <w:rStyle w:val="FootnoteAnchor"/>
          <w:rtl w:val="true"/>
        </w:rPr>
        <w:footnoteReference w:id="1149"/>
      </w:r>
      <w:r>
        <w:rPr>
          <w:rFonts w:ascii="Amiri" w:hAnsi="Amiri" w:eastAsia="Amiri" w:cs="Amiri"/>
          <w:color w:val="111111"/>
          <w:sz w:val="28"/>
          <w:sz w:val="28"/>
          <w:szCs w:val="28"/>
          <w:rtl w:val="true"/>
          <w:lang w:bidi="ar-SA"/>
        </w:rPr>
        <w:t>، فيدور الأمر حينئذ بين أن يكون المراد منه الجبهة خاصة بعلاقة المجاورة، وأن يكون المراد به الأعم منها ومن الجبين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الأول أولى لوجوه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فهمهم منها الجبهة؛ لقولهم بتواتر أخبار الجبهة واشهريتها، ولم نرَ خبراً فيها غير موثقة زرارة</w:t>
      </w:r>
      <w:r>
        <w:rPr>
          <w:rStyle w:val="FootnoteAnchor"/>
          <w:rtl w:val="true"/>
        </w:rPr>
        <w:footnoteReference w:id="1150"/>
      </w:r>
      <w:r>
        <w:rPr>
          <w:rFonts w:ascii="Amiri" w:hAnsi="Amiri" w:eastAsia="Amiri" w:cs="Amiri"/>
          <w:color w:val="111111"/>
          <w:sz w:val="28"/>
          <w:sz w:val="28"/>
          <w:szCs w:val="28"/>
          <w:rtl w:val="true"/>
          <w:lang w:bidi="ar-SA"/>
        </w:rPr>
        <w:t>وقد عرفت حالها، ولا بُدَّ أن يكون المراد بها هذه الأخبار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أكثر المتأخرين الجبهة منها، بدليل عدم </w:t>
      </w:r>
      <w:r>
        <w:rPr>
          <w:rStyle w:val="FootnoteAnchor"/>
          <w:rtl w:val="true"/>
        </w:rPr>
        <w:footnoteReference w:id="1151"/>
      </w:r>
      <w:r>
        <w:rPr>
          <w:rFonts w:ascii="Amiri" w:hAnsi="Amiri" w:eastAsia="Amiri" w:cs="Amiri"/>
          <w:color w:val="111111"/>
          <w:sz w:val="28"/>
          <w:sz w:val="28"/>
          <w:szCs w:val="28"/>
          <w:rtl w:val="true"/>
          <w:lang w:bidi="ar-SA"/>
        </w:rPr>
        <w:t xml:space="preserve">ذكر بعضهم خلاف الجبين </w:t>
      </w:r>
    </w:p>
    <w:p>
      <w:pPr>
        <w:pStyle w:val="BookText"/>
        <w:rPr/>
      </w:pPr>
      <w:r>
        <w:rPr>
          <w:rFonts w:ascii="Amiri" w:hAnsi="Amiri" w:eastAsia="Amiri" w:cs="Amiri"/>
          <w:color w:val="111111"/>
          <w:sz w:val="28"/>
          <w:sz w:val="28"/>
          <w:szCs w:val="28"/>
          <w:rtl w:val="true"/>
          <w:lang w:bidi="ar-SA"/>
        </w:rPr>
        <w:t>بل يقتصرون على ذكر الجبهة، مثل المحقق في المعتبر</w:t>
      </w:r>
      <w:r>
        <w:rPr>
          <w:rStyle w:val="FootnoteAnchor"/>
          <w:rtl w:val="true"/>
        </w:rPr>
        <w:footnoteReference w:id="1152"/>
      </w:r>
      <w:r>
        <w:rPr>
          <w:rFonts w:ascii="Amiri" w:hAnsi="Amiri" w:eastAsia="Amiri" w:cs="Amiri"/>
          <w:color w:val="111111"/>
          <w:sz w:val="28"/>
          <w:sz w:val="28"/>
          <w:szCs w:val="28"/>
          <w:rtl w:val="true"/>
          <w:lang w:bidi="ar-SA"/>
        </w:rPr>
        <w:t xml:space="preserve">والشهيد في الذكرى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البعيد أن يكون مرادهم بالجبهة الأعم منها ومن الجبين؛ لعدم شيوع استعمال الجبهة في الأعم</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استعمال الجبين في المجموع، بل عدم وجود استعمال فيه</w:t>
      </w:r>
      <w:r>
        <w:rPr>
          <w:rStyle w:val="FootnoteAnchor"/>
          <w:rtl w:val="true"/>
        </w:rPr>
        <w:footnoteReference w:id="1155"/>
      </w:r>
      <w:r>
        <w:rPr>
          <w:rFonts w:ascii="Amiri" w:hAnsi="Amiri" w:eastAsia="Amiri" w:cs="Amiri"/>
          <w:color w:val="111111"/>
          <w:sz w:val="28"/>
          <w:sz w:val="28"/>
          <w:szCs w:val="28"/>
          <w:rtl w:val="true"/>
          <w:lang w:bidi="ar-SA"/>
        </w:rPr>
        <w:t>، ولو فرض استعماله في الأعمّ أيضاً نقول بالتجوز في الإسناد</w:t>
      </w:r>
      <w:r>
        <w:rPr>
          <w:rStyle w:val="FootnoteAnchor"/>
          <w:rtl w:val="true"/>
        </w:rPr>
        <w:footnoteReference w:id="1156"/>
      </w:r>
      <w:r>
        <w:rPr>
          <w:rFonts w:ascii="Amiri" w:hAnsi="Amiri" w:eastAsia="Amiri" w:cs="Amiri"/>
          <w:color w:val="111111"/>
          <w:sz w:val="28"/>
          <w:sz w:val="28"/>
          <w:szCs w:val="28"/>
          <w:rtl w:val="true"/>
          <w:lang w:bidi="ar-SA"/>
        </w:rPr>
        <w:t>، بمعنى أنه أسند المسح إلى الجبين باعتبار بعضه وهو الجبهة؛ بملاحظة بعض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كله لو لم تكن الرواية </w:t>
      </w:r>
      <w:r>
        <w:rPr>
          <w:rStyle w:val="FootnoteAnchor"/>
          <w:rtl w:val="true"/>
        </w:rPr>
        <w:footnoteReference w:id="1157"/>
      </w:r>
      <w:r>
        <w:rPr>
          <w:rFonts w:ascii="Amiri" w:hAnsi="Amiri" w:eastAsia="Amiri" w:cs="Amiri"/>
          <w:color w:val="111111"/>
          <w:sz w:val="28"/>
          <w:sz w:val="28"/>
          <w:szCs w:val="28"/>
          <w:rtl w:val="true"/>
          <w:lang w:bidi="ar-SA"/>
        </w:rPr>
        <w:t xml:space="preserve">بلفظ الجبينين بالتثنية، وأما بناءً على ورودها، كما نُقل عن مستطرفات السرائر </w:t>
      </w:r>
      <w:r>
        <w:rPr>
          <w:rStyle w:val="FootnoteAnchor"/>
          <w:rtl w:val="true"/>
        </w:rPr>
        <w:footnoteReference w:id="1158"/>
      </w:r>
      <w:r>
        <w:rPr>
          <w:rFonts w:ascii="Amiri" w:hAnsi="Amiri" w:eastAsia="Amiri" w:cs="Amiri"/>
          <w:color w:val="111111"/>
          <w:sz w:val="28"/>
          <w:sz w:val="28"/>
          <w:szCs w:val="28"/>
          <w:rtl w:val="true"/>
          <w:lang w:bidi="ar-SA"/>
        </w:rPr>
        <w:t>، وإحدى نُسختي الفقيه في موثقة زرارة</w:t>
      </w:r>
      <w:r>
        <w:rPr>
          <w:rStyle w:val="FootnoteAnchor"/>
          <w:rtl w:val="true"/>
        </w:rPr>
        <w:footnoteReference w:id="1159"/>
      </w:r>
      <w:r>
        <w:rPr>
          <w:rFonts w:ascii="Amiri" w:hAnsi="Amiri" w:eastAsia="Amiri" w:cs="Amiri"/>
          <w:color w:val="111111"/>
          <w:sz w:val="28"/>
          <w:sz w:val="28"/>
          <w:szCs w:val="28"/>
          <w:rtl w:val="true"/>
          <w:lang w:bidi="ar-SA"/>
        </w:rPr>
        <w:t>فيكون الجبين داخلاً في المسح</w:t>
      </w:r>
      <w:r>
        <w:rPr>
          <w:rStyle w:val="FootnoteAnchor"/>
          <w:rtl w:val="true"/>
        </w:rPr>
        <w:footnoteReference w:id="1160"/>
      </w:r>
      <w:r>
        <w:rPr>
          <w:rFonts w:ascii="Amiri" w:hAnsi="Amiri" w:eastAsia="Amiri" w:cs="Amiri"/>
          <w:color w:val="111111"/>
          <w:sz w:val="28"/>
          <w:sz w:val="28"/>
          <w:szCs w:val="28"/>
          <w:rtl w:val="true"/>
          <w:lang w:bidi="ar-SA"/>
        </w:rPr>
        <w:t>؛ لعدم جريان الحمل المذكور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أنكره بعض من أهل التتبع</w:t>
      </w:r>
      <w:r>
        <w:rPr>
          <w:rStyle w:val="FootnoteAnchor"/>
          <w:rtl w:val="true"/>
        </w:rPr>
        <w:footnoteReference w:id="1161"/>
      </w:r>
      <w:r>
        <w:rPr>
          <w:rFonts w:ascii="Amiri" w:hAnsi="Amiri" w:eastAsia="Amiri" w:cs="Amiri"/>
          <w:color w:val="111111"/>
          <w:sz w:val="28"/>
          <w:sz w:val="28"/>
          <w:szCs w:val="28"/>
          <w:rtl w:val="true"/>
          <w:lang w:bidi="ar-SA"/>
        </w:rPr>
        <w:t>، وقال بورود الجبين مفرداً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عدم هذه الرواية</w:t>
      </w:r>
      <w:r>
        <w:rPr>
          <w:rStyle w:val="FootnoteAnchor"/>
          <w:rtl w:val="true"/>
        </w:rPr>
        <w:footnoteReference w:id="1162"/>
      </w:r>
      <w:r>
        <w:rPr>
          <w:rFonts w:ascii="Amiri" w:hAnsi="Amiri" w:eastAsia="Amiri" w:cs="Amiri"/>
          <w:color w:val="111111"/>
          <w:sz w:val="28"/>
          <w:sz w:val="28"/>
          <w:szCs w:val="28"/>
          <w:rtl w:val="true"/>
          <w:lang w:bidi="ar-SA"/>
        </w:rPr>
        <w:t xml:space="preserve">، فلو لم يرجّح من هذه الأخبار عدم اعتبار الجبين، </w:t>
      </w:r>
    </w:p>
    <w:p>
      <w:pPr>
        <w:pStyle w:val="BookText"/>
        <w:rPr/>
      </w:pPr>
      <w:r>
        <w:rPr>
          <w:rFonts w:ascii="Amiri" w:hAnsi="Amiri" w:eastAsia="Amiri" w:cs="Amiri"/>
          <w:color w:val="111111"/>
          <w:sz w:val="28"/>
          <w:sz w:val="28"/>
          <w:szCs w:val="28"/>
          <w:rtl w:val="true"/>
          <w:lang w:bidi="ar-SA"/>
        </w:rPr>
        <w:t xml:space="preserve">فإنّ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التمسك</w:t>
      </w:r>
      <w:r>
        <w:rPr>
          <w:rStyle w:val="FootnoteAnchor"/>
          <w:rtl w:val="true"/>
        </w:rPr>
        <w:footnoteReference w:id="1163"/>
      </w:r>
      <w:r>
        <w:rPr>
          <w:rFonts w:ascii="Amiri" w:hAnsi="Amiri" w:eastAsia="Amiri" w:cs="Amiri"/>
          <w:color w:val="111111"/>
          <w:sz w:val="28"/>
          <w:sz w:val="28"/>
          <w:szCs w:val="28"/>
          <w:rtl w:val="true"/>
          <w:lang w:bidi="ar-SA"/>
        </w:rPr>
        <w:t>بأخبار الوجه للزوم مسح الجبين؛ لأنّ الوجه ظاهر في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فالإجماع قائم على ثبوت البعض دون الآخر، فنرفع اليد عن إطلاق الوجه، بقدر ثبوت المخصص والقدر المعلوم غير الجبهة والجبين، فالجبين مشكوك في خروجه، فالإطلاق بالنسبة إلى الباقي بحاله خرج ما خرج فبقي الباقي؛ أو لأنا نعلم أنّ المعنى الحقيقي للوجه غير مراد قطعاً، ونعلم بإرادة المعنى المجازي، فالأقرب إلى التمام هو الأكثر ، فيكون أقرب المجازات، فيكون مقدماً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كل منهما 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هنا عام وخرج بعض الأفراد عنه، بعضها متيقن الخروج، وشك في الزائد، فيُرجع إلى عموم العام فيه، بل الوجه مطلق وقد خرج عنه بعضه ولا يُعلم ذلك البعض، فيكون من قبيل المجمل المصداقي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واحداً من الأبعاض مراداً منه ولا يعلم ذلك، ولا يكون هنا قدر متيقن حتى يؤخذ به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فلأنّ المعتبر أقرب المجازات بحسب العُرف ومتفاهم العُرف، لا الأقربية المعنوية </w:t>
      </w:r>
      <w:r>
        <w:rPr>
          <w:rStyle w:val="FootnoteAnchor"/>
          <w:rtl w:val="true"/>
        </w:rPr>
        <w:footnoteReference w:id="1165"/>
      </w:r>
      <w:r>
        <w:rPr>
          <w:rFonts w:ascii="Amiri" w:hAnsi="Amiri" w:eastAsia="Amiri" w:cs="Amiri"/>
          <w:color w:val="111111"/>
          <w:sz w:val="28"/>
          <w:sz w:val="28"/>
          <w:szCs w:val="28"/>
          <w:rtl w:val="true"/>
          <w:lang w:bidi="ar-SA"/>
        </w:rPr>
        <w:t>، والوجه بالنسبة إلى كل واحد من الأبعاض على حد سواء، بل يمكن أن يقال بعدم المجازية حتى يلاحظ</w:t>
      </w:r>
      <w:r>
        <w:rPr>
          <w:rStyle w:val="FootnoteAnchor"/>
          <w:rtl w:val="true"/>
        </w:rPr>
        <w:footnoteReference w:id="1166"/>
      </w:r>
      <w:r>
        <w:rPr>
          <w:rFonts w:ascii="Amiri" w:hAnsi="Amiri" w:eastAsia="Amiri" w:cs="Amiri"/>
          <w:color w:val="111111"/>
          <w:sz w:val="28"/>
          <w:sz w:val="28"/>
          <w:szCs w:val="28"/>
          <w:rtl w:val="true"/>
          <w:lang w:bidi="ar-SA"/>
        </w:rPr>
        <w:t>الأقربية ؛ لإمكان القول بكون الوجه مستعملاً في التمام، ولكن تجوّز في إسناد المسح إلى التمام باعتبار ،بعضه، فليس تَجوّزاً حتى يقال بما ذكر</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ومثل هذا الاستدلال</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بعدم الوجوب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حيث إنه ظاهر في إرادة البعض المطلق، فبمسح الجبهة يحصل مسح البعض، فلا دليل على غيره لتعيين البعض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يمكن أن يكون المراد الفرد الخاص من البعض، لا البعض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بهذه الوجوه للنفي والإثبات محل منع، بل العمدة ما ذكرنا</w:t>
      </w:r>
      <w:r>
        <w:rPr>
          <w:rStyle w:val="FootnoteAnchor"/>
          <w:rtl w:val="true"/>
        </w:rPr>
        <w:footnoteReference w:id="1171"/>
      </w:r>
      <w:r>
        <w:rPr>
          <w:rFonts w:ascii="Amiri" w:hAnsi="Amiri" w:eastAsia="Amiri" w:cs="Amiri"/>
          <w:color w:val="111111"/>
          <w:sz w:val="28"/>
          <w:sz w:val="28"/>
          <w:szCs w:val="28"/>
          <w:rtl w:val="true"/>
          <w:lang w:bidi="ar-SA"/>
        </w:rPr>
        <w:t>من ورود خبر ،الجبهة كموثقة زرارة بملاحظة اعتناء المشهور والاعتراف بثبوته؛ لعدم الاستبعاد في نقل زرارة مرتين لابن بكير تارةً بلفظ الجبهة، وتارةً بلفظ الجبين، فيكون هذا الخبر بمنزلة خبرين ورد أحدهما بلفظ الجبهة، والآخر بلفظ الجبين، فيدور الأمر في التصرف في واحد منهما، والجبهة أظهر في معناه من الجبين؛ لكثرة استعمال الجبين في الجبهة في الأخبار وغيرها، فيكون أقبل للتأويل، فيؤوّل</w:t>
      </w:r>
      <w:r>
        <w:rPr>
          <w:rStyle w:val="FootnoteAnchor"/>
          <w:rtl w:val="true"/>
        </w:rPr>
        <w:footnoteReference w:id="1172"/>
      </w:r>
      <w:r>
        <w:rPr>
          <w:rFonts w:ascii="Amiri" w:hAnsi="Amiri" w:eastAsia="Amiri" w:cs="Amiri"/>
          <w:color w:val="111111"/>
          <w:sz w:val="28"/>
          <w:sz w:val="28"/>
          <w:szCs w:val="28"/>
          <w:rtl w:val="true"/>
          <w:lang w:bidi="ar-SA"/>
        </w:rPr>
        <w:t>بكون المراد منه الجبهة خاصة، أو يكون المراد به الأعم والإسناد إلى بعضه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ما ذكرنا عدم ذكر بعضهم الجبين أصلاً، وعدم الاعتناء بخلافه، كالمحقق في المعتبر والشهيد في الذكرى ، ولو كانت رواية الجبينين بالتثنية واردة؛ يمكن أن يكون المراد إسناد المسح إلى بعض الجبين، والمراد به الأعم وهو بعض الجبهة، فحاصل المراد منه بعض الجبهة، فيكون الجبين مستعملا في الأعمّ والإسناد إلى بعضه، وهو نصف الجبهة، وكذلك الجبين الآخر، ومقتضى الأصل والاحتياط هو الجمع بين الجبهة والجبين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الحاجبان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 إلى الصدوق لزوم مسحهما</w:t>
      </w:r>
      <w:r>
        <w:rPr>
          <w:rStyle w:val="FootnoteAnchor"/>
          <w:rtl w:val="true"/>
        </w:rPr>
        <w:footnoteReference w:id="11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عليه مشايخنا رحمهم الله و ذهب إليه بعض</w:t>
      </w:r>
      <w:r>
        <w:rPr>
          <w:rStyle w:val="FootnoteAnchor"/>
          <w:rtl w:val="true"/>
        </w:rPr>
        <w:footnoteReference w:id="1174"/>
      </w:r>
      <w:r>
        <w:rPr>
          <w:rFonts w:ascii="Amiri" w:hAnsi="Amiri" w:eastAsia="Amiri" w:cs="Amiri"/>
          <w:color w:val="111111"/>
          <w:sz w:val="28"/>
          <w:sz w:val="28"/>
          <w:szCs w:val="28"/>
          <w:rtl w:val="true"/>
          <w:lang w:bidi="ar-SA"/>
        </w:rPr>
        <w:t>؛ وما استدل أو يستدل به أمران</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حدّدوا المسح بما بين القصاص وطرف الأنف، وهذا التحديد</w:t>
      </w:r>
      <w:r>
        <w:rPr>
          <w:rStyle w:val="FootnoteAnchor"/>
          <w:rtl w:val="true"/>
        </w:rPr>
        <w:footnoteReference w:id="1176"/>
      </w:r>
      <w:r>
        <w:rPr>
          <w:rFonts w:ascii="Amiri" w:hAnsi="Amiri" w:eastAsia="Amiri" w:cs="Amiri"/>
          <w:color w:val="111111"/>
          <w:sz w:val="28"/>
          <w:sz w:val="28"/>
          <w:szCs w:val="28"/>
          <w:rtl w:val="true"/>
          <w:lang w:bidi="ar-SA"/>
        </w:rPr>
        <w:t xml:space="preserve">كأنه مجمع عليه ومعقد لإجماع الصدوق </w:t>
      </w:r>
      <w:r>
        <w:rPr>
          <w:rStyle w:val="FootnoteAnchor"/>
          <w:rtl w:val="true"/>
        </w:rPr>
        <w:footnoteReference w:id="1177"/>
      </w:r>
      <w:r>
        <w:rPr>
          <w:rFonts w:ascii="Amiri" w:hAnsi="Amiri" w:eastAsia="Amiri" w:cs="Amiri"/>
          <w:color w:val="111111"/>
          <w:sz w:val="28"/>
          <w:sz w:val="28"/>
          <w:szCs w:val="28"/>
          <w:rtl w:val="true"/>
          <w:lang w:bidi="ar-SA"/>
        </w:rPr>
        <w:t>، فيدخل الحاجبان؛ لأنهما فوق الطرف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الصدوق أنّه به رواية </w:t>
      </w:r>
      <w:r>
        <w:rPr>
          <w:rStyle w:val="FootnoteAnchor"/>
          <w:rtl w:val="true"/>
        </w:rPr>
        <w:footnoteReference w:id="1178"/>
      </w:r>
      <w:r>
        <w:rPr>
          <w:rFonts w:ascii="Amiri" w:hAnsi="Amiri" w:eastAsia="Amiri" w:cs="Amiri"/>
          <w:color w:val="111111"/>
          <w:sz w:val="28"/>
          <w:sz w:val="28"/>
          <w:szCs w:val="28"/>
          <w:rtl w:val="true"/>
          <w:lang w:bidi="ar-SA"/>
        </w:rPr>
        <w:t xml:space="preserve">، والرضوي </w:t>
      </w:r>
      <w:r>
        <w:rPr>
          <w:rStyle w:val="FootnoteAnchor"/>
          <w:rtl w:val="true"/>
        </w:rPr>
        <w:footnoteReference w:id="1179"/>
      </w:r>
      <w:r>
        <w:rPr>
          <w:rFonts w:ascii="Amiri" w:hAnsi="Amiri" w:eastAsia="Amiri" w:cs="Amiri"/>
          <w:color w:val="111111"/>
          <w:sz w:val="28"/>
          <w:sz w:val="28"/>
          <w:szCs w:val="28"/>
          <w:rtl w:val="true"/>
          <w:lang w:bidi="ar-SA"/>
        </w:rPr>
        <w:t>أيضاً يدلّ عليه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أنّه يمكن أن يقال ببعد مسح النبي صلی الله علیه وآله وسلم جبهته بحيث لا يشتمل على الحاجب، فكأنه مظنون مسح الحاجب أيضاً، ومن هنا يحصل ضعف في نقل الجبهة خاصة، مؤيداً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نصف الطهور</w:t>
      </w:r>
      <w:r>
        <w:rPr>
          <w:rFonts w:eastAsia="IRNazanin" w:cs="IRNazanin"/>
          <w:color w:val="111111"/>
          <w:sz w:val="28"/>
          <w:szCs w:val="28"/>
          <w:rtl w:val="true"/>
          <w:lang w:bidi="fa-IR"/>
        </w:rPr>
        <w:t xml:space="preserve">» </w:t>
      </w:r>
      <w:r>
        <w:rPr>
          <w:rStyle w:val="FootnoteAnchor"/>
          <w:rtl w:val="true"/>
        </w:rPr>
        <w:footnoteReference w:id="1180"/>
      </w:r>
      <w:r>
        <w:rPr>
          <w:rFonts w:ascii="Amiri" w:hAnsi="Amiri" w:eastAsia="Amiri" w:cs="Amiri"/>
          <w:color w:val="111111"/>
          <w:sz w:val="28"/>
          <w:sz w:val="28"/>
          <w:szCs w:val="28"/>
          <w:rtl w:val="true"/>
          <w:lang w:bidi="ar-SA"/>
        </w:rPr>
        <w:t>؛ لأنه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بالنصفية نصفية مواضع الوضوء في التيمم ، فاكتفى بنصف الوجه ونصف اليد، فيكون الحاجبان داخلين</w:t>
      </w:r>
      <w:r>
        <w:rPr>
          <w:rFonts w:eastAsia="Amiri" w:cs="Amiri" w:ascii="Amiri" w:hAnsi="Amiri"/>
          <w:color w:val="111111"/>
          <w:sz w:val="28"/>
          <w:szCs w:val="28"/>
          <w:rtl w:val="true"/>
          <w:lang w:bidi="ar-SA"/>
        </w:rPr>
        <w:t xml:space="preserve">. </w:t>
      </w:r>
      <w:bookmarkStart w:id="443" w:name="pg9203_87354"/>
    </w:p>
    <w:p>
      <w:pPr>
        <w:pStyle w:val="Heading2"/>
        <w:numPr>
          <w:ilvl w:val="1"/>
          <w:numId w:val="1"/>
        </w:numPr>
        <w:rPr/>
      </w:pPr>
      <w:bookmarkStart w:id="444" w:name="__RefHeading___Toc3968116_2870459653"/>
      <w:bookmarkStart w:id="445" w:name="_Toc157"/>
      <w:bookmarkEnd w:id="443"/>
      <w:bookmarkEnd w:id="444"/>
      <w:r>
        <w:rPr>
          <w:rtl w:val="true"/>
        </w:rPr>
        <w:t xml:space="preserve">[ </w:t>
      </w:r>
      <w:r>
        <w:rPr>
          <w:rtl w:val="true"/>
        </w:rPr>
        <w:t>يجب الابتداء بالمسح بالأعلى</w:t>
      </w:r>
      <w:r>
        <w:rPr>
          <w:rtl w:val="true"/>
        </w:rPr>
        <w:t>]</w:t>
      </w:r>
      <w:bookmarkEnd w:id="445"/>
    </w:p>
    <w:p>
      <w:pPr>
        <w:pStyle w:val="BookText"/>
        <w:rPr/>
      </w:pPr>
      <w:r>
        <w:rPr>
          <w:rFonts w:ascii="IRNazanin" w:hAnsi="IRNazanin" w:eastAsia="IRNazanin"/>
          <w:color w:val="111111"/>
          <w:sz w:val="28"/>
          <w:sz w:val="28"/>
          <w:szCs w:val="28"/>
          <w:rtl w:val="true"/>
          <w:lang w:bidi="fa-IR"/>
        </w:rPr>
        <w:t xml:space="preserve">وأمّا الابتداء بالأعلى فهو الظاهر من قوله </w:t>
      </w:r>
      <w:r>
        <w:rPr>
          <w:rStyle w:val="FootnoteAnchor"/>
          <w:rtl w:val="true"/>
        </w:rPr>
        <w:footnoteReference w:id="1181"/>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يمسح جبهته من القصاص إلى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r>
        <w:rPr>
          <w:rStyle w:val="FootnoteAnchor"/>
          <w:rtl w:val="true"/>
        </w:rPr>
        <w:footnoteReference w:id="1182"/>
      </w:r>
      <w:r>
        <w:rPr>
          <w:rFonts w:ascii="Amiri" w:hAnsi="Amiri" w:eastAsia="Amiri" w:cs="Amiri"/>
          <w:color w:val="111111"/>
          <w:sz w:val="28"/>
          <w:sz w:val="28"/>
          <w:szCs w:val="28"/>
          <w:rtl w:val="true"/>
          <w:lang w:bidi="ar-SA"/>
        </w:rPr>
        <w:t>، وإن كان يحتمل أن يكون تحديداً للممسوح</w:t>
      </w:r>
      <w:r>
        <w:rPr>
          <w:rStyle w:val="FootnoteAnchor"/>
          <w:rtl w:val="true"/>
        </w:rPr>
        <w:footnoteReference w:id="1183"/>
      </w:r>
      <w:r>
        <w:rPr>
          <w:rFonts w:ascii="Amiri" w:hAnsi="Amiri" w:eastAsia="Amiri" w:cs="Amiri"/>
          <w:color w:val="111111"/>
          <w:sz w:val="28"/>
          <w:sz w:val="28"/>
          <w:szCs w:val="28"/>
          <w:rtl w:val="true"/>
          <w:lang w:bidi="ar-SA"/>
        </w:rPr>
        <w:t>لكن الأول أظهر مع أنه مشهور</w:t>
      </w:r>
      <w:r>
        <w:rPr>
          <w:rStyle w:val="FootnoteAnchor"/>
          <w:rtl w:val="true"/>
        </w:rPr>
        <w:footnoteReference w:id="1184"/>
      </w:r>
      <w:r>
        <w:rPr>
          <w:rFonts w:ascii="Amiri" w:hAnsi="Amiri" w:eastAsia="Amiri" w:cs="Amiri"/>
          <w:color w:val="111111"/>
          <w:sz w:val="28"/>
          <w:sz w:val="28"/>
          <w:szCs w:val="28"/>
          <w:rtl w:val="true"/>
          <w:lang w:bidi="ar-SA"/>
        </w:rPr>
        <w:t xml:space="preserve">، بل مجمع عليه </w:t>
      </w:r>
      <w:r>
        <w:rPr>
          <w:rStyle w:val="FootnoteAnchor"/>
          <w:rtl w:val="true"/>
        </w:rPr>
        <w:footnoteReference w:id="118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المنزلة ومساواة التيمّم للوضوء في الأحكام، ومنها البدأة بالأعلى، ومؤيداً</w:t>
      </w:r>
      <w:r>
        <w:rPr>
          <w:rStyle w:val="FootnoteAnchor"/>
          <w:rtl w:val="true"/>
        </w:rPr>
        <w:footnoteReference w:id="1186"/>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التراب نصف الطهور </w:t>
      </w:r>
      <w:r>
        <w:rPr>
          <w:rFonts w:eastAsia="IRNazanin" w:cs="IRNazanin"/>
          <w:color w:val="111111"/>
          <w:sz w:val="28"/>
          <w:szCs w:val="28"/>
          <w:rtl w:val="true"/>
          <w:lang w:bidi="fa-IR"/>
        </w:rPr>
        <w:t>»</w:t>
      </w:r>
      <w:r>
        <w:rPr>
          <w:rStyle w:val="FootnoteAnchor"/>
          <w:rtl w:val="true"/>
        </w:rPr>
        <w:footnoteReference w:id="1187"/>
      </w:r>
      <w:r>
        <w:rPr>
          <w:rFonts w:ascii="Amiri" w:hAnsi="Amiri" w:eastAsia="Amiri" w:cs="Amiri"/>
          <w:color w:val="111111"/>
          <w:sz w:val="28"/>
          <w:sz w:val="28"/>
          <w:szCs w:val="28"/>
          <w:rtl w:val="true"/>
          <w:lang w:bidi="ar-SA"/>
        </w:rPr>
        <w:t>حيث يظهر منه أن نصفه على كيفيته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کاشف</w:t>
      </w:r>
    </w:p>
    <w:p>
      <w:pPr>
        <w:pStyle w:val="BookText"/>
        <w:rPr/>
      </w:pPr>
      <w:r>
        <w:rPr>
          <w:rFonts w:ascii="Amiri" w:hAnsi="Amiri" w:eastAsia="Amiri" w:cs="Amiri"/>
          <w:color w:val="111111"/>
          <w:sz w:val="28"/>
          <w:sz w:val="28"/>
          <w:szCs w:val="28"/>
          <w:rtl w:val="true"/>
          <w:lang w:bidi="ar-SA"/>
        </w:rPr>
        <w:t xml:space="preserve">مضافاً إلى أنّ الظاهر أنّ المسح وقع من الأعلى في التيممات البيانية؛ لأنه لو وقع من الأسفل إلى الأعلى لنقل إلينا </w:t>
      </w:r>
      <w:r>
        <w:rPr>
          <w:rStyle w:val="FootnoteAnchor"/>
          <w:rtl w:val="true"/>
        </w:rPr>
        <w:footnoteReference w:id="1188"/>
      </w:r>
      <w:r>
        <w:rPr>
          <w:rFonts w:ascii="IRNazanin" w:hAnsi="IRNazanin" w:eastAsia="IRNazanin"/>
          <w:color w:val="111111"/>
          <w:sz w:val="28"/>
          <w:sz w:val="28"/>
          <w:szCs w:val="28"/>
          <w:rtl w:val="true"/>
          <w:lang w:bidi="fa-IR"/>
        </w:rPr>
        <w:t xml:space="preserve">؛ لكونه غير متعارف فعدم النقل کاشف عن الابتداء بالأعلى، والفعل إذا كان في مقام البيان يكون ظاهره الخصوصية، ولو شككنا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وجود الدليل </w:t>
      </w:r>
      <w:r>
        <w:rPr>
          <w:rFonts w:eastAsia="IRNazanin" w:cs="IRNazanin"/>
          <w:color w:val="111111"/>
          <w:sz w:val="28"/>
          <w:szCs w:val="28"/>
          <w:rtl w:val="true"/>
          <w:lang w:bidi="fa-IR"/>
        </w:rPr>
        <w:t>-</w:t>
      </w:r>
      <w:r>
        <w:rPr>
          <w:rStyle w:val="FootnoteAnchor"/>
          <w:rtl w:val="true"/>
        </w:rPr>
        <w:footnoteReference w:id="1189"/>
      </w:r>
      <w:r>
        <w:rPr>
          <w:rFonts w:ascii="IRNazanin" w:hAnsi="IRNazanin" w:eastAsia="IRNazanin"/>
          <w:color w:val="111111"/>
          <w:sz w:val="28"/>
          <w:sz w:val="28"/>
          <w:szCs w:val="28"/>
          <w:rtl w:val="true"/>
          <w:lang w:bidi="fa-IR"/>
        </w:rPr>
        <w:t>فالمرجع هو الأصل، ومقتضاه الابتداء بالأعلى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الكلام في مسح مسح اليدين، وفيه خلافان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نسب إلى ابن بابويه </w:t>
      </w:r>
      <w:r>
        <w:rPr>
          <w:rStyle w:val="FootnoteAnchor"/>
          <w:rtl w:val="true"/>
        </w:rPr>
        <w:footnoteReference w:id="1190"/>
      </w:r>
      <w:r>
        <w:rPr>
          <w:rFonts w:ascii="IRNazanin" w:hAnsi="IRNazanin" w:eastAsia="IRNazanin"/>
          <w:color w:val="111111"/>
          <w:sz w:val="28"/>
          <w:sz w:val="28"/>
          <w:szCs w:val="28"/>
          <w:rtl w:val="true"/>
          <w:lang w:bidi="fa-IR"/>
        </w:rPr>
        <w:t xml:space="preserve">من لزوم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الذراع </w:t>
      </w:r>
      <w:r>
        <w:rPr>
          <w:rFonts w:eastAsia="IRNazanin" w:cs="IRNazanin"/>
          <w:color w:val="111111"/>
          <w:sz w:val="28"/>
          <w:szCs w:val="28"/>
          <w:rtl w:val="true"/>
          <w:lang w:bidi="fa-IR"/>
        </w:rPr>
        <w:t>]</w:t>
      </w:r>
      <w:r>
        <w:rPr>
          <w:rStyle w:val="FootnoteAnchor"/>
          <w:rtl w:val="true"/>
        </w:rPr>
        <w:footnoteReference w:id="1191"/>
      </w:r>
      <w:r>
        <w:rPr>
          <w:rFonts w:ascii="IRNazanin" w:hAnsi="IRNazanin" w:eastAsia="IRNazanin"/>
          <w:color w:val="111111"/>
          <w:sz w:val="28"/>
          <w:sz w:val="28"/>
          <w:szCs w:val="28"/>
          <w:rtl w:val="true"/>
          <w:lang w:bidi="fa-IR"/>
        </w:rPr>
        <w:t xml:space="preserve">إلى أطراف </w:t>
      </w:r>
    </w:p>
    <w:p>
      <w:pPr>
        <w:pStyle w:val="BookText"/>
        <w:rPr/>
      </w:pPr>
      <w:r>
        <w:rPr>
          <w:rFonts w:ascii="Amiri" w:hAnsi="Amiri" w:eastAsia="Amiri" w:cs="Amiri"/>
          <w:color w:val="111111"/>
          <w:sz w:val="28"/>
          <w:sz w:val="28"/>
          <w:szCs w:val="28"/>
          <w:rtl w:val="true"/>
          <w:lang w:bidi="ar-SA"/>
        </w:rPr>
        <w:t>الأصابع ويدلّ عليه ثلاث روايات صحيحة وغير صحيحة</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مقابله عدم </w:t>
      </w:r>
      <w:r>
        <w:rPr>
          <w:rStyle w:val="FootnoteAnchor"/>
          <w:rtl w:val="true"/>
        </w:rPr>
        <w:footnoteReference w:id="1193"/>
      </w:r>
      <w:r>
        <w:rPr>
          <w:rFonts w:ascii="Amiri" w:hAnsi="Amiri" w:eastAsia="Amiri" w:cs="Amiri"/>
          <w:color w:val="111111"/>
          <w:sz w:val="28"/>
          <w:sz w:val="28"/>
          <w:szCs w:val="28"/>
          <w:rtl w:val="true"/>
          <w:lang w:bidi="ar-SA"/>
        </w:rPr>
        <w:t>وجوب مسح غير الكف، وذهب إليه المشهور</w:t>
      </w:r>
      <w:r>
        <w:rPr>
          <w:rStyle w:val="FootnoteAnchor"/>
          <w:rtl w:val="true"/>
        </w:rPr>
        <w:footnoteReference w:id="1194"/>
      </w:r>
      <w:r>
        <w:rPr>
          <w:rFonts w:ascii="Amiri" w:hAnsi="Amiri" w:eastAsia="Amiri" w:cs="Amiri"/>
          <w:color w:val="111111"/>
          <w:sz w:val="28"/>
          <w:sz w:val="28"/>
          <w:szCs w:val="28"/>
          <w:rtl w:val="true"/>
          <w:lang w:bidi="ar-SA"/>
        </w:rPr>
        <w:t xml:space="preserve">، وعلى كل منهما روايات نصوص مثلاً ورد في بعض الأخبار </w:t>
      </w:r>
      <w:r>
        <w:rPr>
          <w:rStyle w:val="FootnoteAnchor"/>
          <w:rtl w:val="true"/>
        </w:rPr>
        <w:footnoteReference w:id="1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مسح كفيه ولم يمسح الذراعين بشيء مثل صحيح زرارة </w:t>
      </w:r>
      <w:r>
        <w:rPr>
          <w:rStyle w:val="FootnoteAnchor"/>
          <w:rtl w:val="true"/>
        </w:rPr>
        <w:footnoteReference w:id="1196"/>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فوق الكفّ قليلاً</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وورد في الطرف الآخر</w:t>
      </w:r>
      <w:r>
        <w:rPr>
          <w:rStyle w:val="FootnoteAnchor"/>
          <w:rtl w:val="true"/>
        </w:rPr>
        <w:footnoteReference w:id="1199"/>
      </w:r>
      <w:r>
        <w:rPr>
          <w:rFonts w:ascii="Amiri" w:hAnsi="Amiri" w:eastAsia="Amiri" w:cs="Amiri"/>
          <w:color w:val="111111"/>
          <w:sz w:val="28"/>
          <w:sz w:val="28"/>
          <w:szCs w:val="28"/>
          <w:rtl w:val="true"/>
          <w:lang w:bidi="ar-SA"/>
        </w:rPr>
        <w:t xml:space="preserve">مسح ذراعيه حتى أنّه في صحيح ابن مسلم </w:t>
      </w:r>
      <w:r>
        <w:rPr>
          <w:rStyle w:val="FootnoteAnchor"/>
          <w:rtl w:val="true"/>
        </w:rPr>
        <w:footnoteReference w:id="1200"/>
      </w:r>
      <w:r>
        <w:rPr>
          <w:rStyle w:val="FootnoteAnchor"/>
          <w:rtl w:val="true"/>
        </w:rPr>
        <w:footnoteReference w:id="1201"/>
      </w:r>
      <w:r>
        <w:rPr>
          <w:rFonts w:ascii="Amiri" w:hAnsi="Amiri" w:eastAsia="Amiri" w:cs="Amiri"/>
          <w:color w:val="111111"/>
          <w:sz w:val="28"/>
          <w:sz w:val="28"/>
          <w:szCs w:val="28"/>
          <w:rtl w:val="true"/>
          <w:lang w:bidi="ar-SA"/>
        </w:rPr>
        <w:t>أنه مسح ذراعيه باطنها وظاهرها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من حيث الموضوع نصوص لا تقبل الحمل، وكل منهما نصان متعارضان، إلا أنهما من حيث الحكم من قبيل تعارض النص والظاهر؛ إذ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أخبار الكفين</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وجوب مسح الكف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مسح الذراع</w:t>
      </w:r>
      <w:r>
        <w:rPr>
          <w:rStyle w:val="FootnoteAnchor"/>
          <w:rtl w:val="true"/>
        </w:rPr>
        <w:footnoteReference w:id="1203"/>
      </w:r>
      <w:r>
        <w:rPr>
          <w:rFonts w:ascii="Amiri" w:hAnsi="Amiri" w:eastAsia="Amiri" w:cs="Amiri"/>
          <w:color w:val="111111"/>
          <w:sz w:val="28"/>
          <w:sz w:val="28"/>
          <w:szCs w:val="28"/>
          <w:rtl w:val="true"/>
          <w:lang w:bidi="ar-SA"/>
        </w:rPr>
        <w:t>ظاهرة في وجوب مسح الذراع؛ لاحتمال كون مسح الذراع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الظاهر على النصّ، بمعنى الحكم</w:t>
      </w:r>
      <w:r>
        <w:rPr>
          <w:rStyle w:val="FootnoteAnchor"/>
          <w:rtl w:val="true"/>
        </w:rPr>
        <w:footnoteReference w:id="1204"/>
      </w:r>
      <w:r>
        <w:rPr>
          <w:rFonts w:ascii="Amiri" w:hAnsi="Amiri" w:eastAsia="Amiri" w:cs="Amiri"/>
          <w:color w:val="111111"/>
          <w:sz w:val="28"/>
          <w:sz w:val="28"/>
          <w:szCs w:val="28"/>
          <w:rtl w:val="true"/>
          <w:lang w:bidi="ar-SA"/>
        </w:rPr>
        <w:t xml:space="preserve">بعدم وجوب مسح الزائد على الكف، واستحباب مسح </w:t>
      </w:r>
    </w:p>
    <w:p>
      <w:pPr>
        <w:pStyle w:val="BookText"/>
        <w:rPr/>
      </w:pPr>
      <w:r>
        <w:rPr>
          <w:rFonts w:ascii="Amiri" w:hAnsi="Amiri" w:eastAsia="Amiri" w:cs="Amiri"/>
          <w:color w:val="111111"/>
          <w:sz w:val="28"/>
          <w:sz w:val="28"/>
          <w:szCs w:val="28"/>
          <w:rtl w:val="true"/>
          <w:lang w:bidi="ar-SA"/>
        </w:rPr>
        <w:t>الزائد حيث يتسامح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بحمل أخبار الذراع على التقيّة </w:t>
      </w:r>
      <w:r>
        <w:rPr>
          <w:rStyle w:val="FootnoteAnchor"/>
          <w:rtl w:val="true"/>
        </w:rPr>
        <w:footnoteReference w:id="1205"/>
      </w:r>
      <w:r>
        <w:rPr>
          <w:rFonts w:ascii="Amiri" w:hAnsi="Amiri" w:eastAsia="Amiri" w:cs="Amiri"/>
          <w:color w:val="111111"/>
          <w:sz w:val="28"/>
          <w:sz w:val="28"/>
          <w:szCs w:val="28"/>
          <w:rtl w:val="true"/>
          <w:lang w:bidi="ar-SA"/>
        </w:rPr>
        <w:t xml:space="preserve">لظهورها فيه </w:t>
      </w:r>
      <w:r>
        <w:rPr>
          <w:rStyle w:val="FootnoteAnchor"/>
          <w:rtl w:val="true"/>
        </w:rPr>
        <w:footnoteReference w:id="1206"/>
      </w:r>
      <w:r>
        <w:rPr>
          <w:rFonts w:ascii="Amiri" w:hAnsi="Amiri" w:eastAsia="Amiri" w:cs="Amiri"/>
          <w:color w:val="111111"/>
          <w:sz w:val="28"/>
          <w:sz w:val="28"/>
          <w:szCs w:val="28"/>
          <w:rtl w:val="true"/>
          <w:lang w:bidi="ar-SA"/>
        </w:rPr>
        <w:t>، ولا ينافيه تقديم الجمع بحسب الدلالة على الجمع بحسب السند؛ لأنّ ذلك إنما يكون من حيث هو</w:t>
      </w:r>
      <w:r>
        <w:rPr>
          <w:rStyle w:val="FootnoteAnchor"/>
          <w:rtl w:val="true"/>
        </w:rPr>
        <w:footnoteReference w:id="1207"/>
      </w:r>
      <w:r>
        <w:rPr>
          <w:rFonts w:ascii="Amiri" w:hAnsi="Amiri" w:eastAsia="Amiri" w:cs="Amiri"/>
          <w:color w:val="111111"/>
          <w:sz w:val="28"/>
          <w:sz w:val="28"/>
          <w:szCs w:val="28"/>
          <w:rtl w:val="true"/>
          <w:lang w:bidi="ar-SA"/>
        </w:rPr>
        <w:t>، ويمكن تقديم الجمع بحسب السند على الجمع بحسب الدلالة بواسطة أمور خارجية، مثل ظهورها في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فالأخبار الدالّة على مسح الكفين </w:t>
      </w:r>
      <w:r>
        <w:rPr>
          <w:rStyle w:val="FootnoteAnchor"/>
          <w:rtl w:val="true"/>
        </w:rPr>
        <w:footnoteReference w:id="1208"/>
      </w:r>
      <w:r>
        <w:rPr>
          <w:rFonts w:ascii="Amiri" w:hAnsi="Amiri" w:eastAsia="Amiri" w:cs="Amiri"/>
          <w:color w:val="111111"/>
          <w:sz w:val="28"/>
          <w:sz w:val="28"/>
          <w:szCs w:val="28"/>
          <w:rtl w:val="true"/>
          <w:lang w:bidi="ar-SA"/>
        </w:rPr>
        <w:t>مقدّمة على الأخر ولو لم تكن من قبيل تعارض النصّ والظاهر؛ لموافقتها لمذهب العامة، ومخالفة هذه له وموافقتها للكتاب؛ لدلالته على مسح بعض اليد، مع أنّ أخبار مسح الذراع بعضها ضعيفة السند، والصحيح مشتمل على ثلاث ضربات ومسح الباطن والظاهر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مع ذلك، الخلاف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منه</w:t>
      </w:r>
      <w:r>
        <w:rPr>
          <w:rStyle w:val="FootnoteAnchor"/>
          <w:rtl w:val="true"/>
        </w:rPr>
        <w:footnoteReference w:id="1209"/>
      </w:r>
      <w:r>
        <w:rPr>
          <w:rFonts w:ascii="Amiri" w:hAnsi="Amiri" w:eastAsia="Amiri" w:cs="Amiri"/>
          <w:color w:val="111111"/>
          <w:sz w:val="28"/>
          <w:sz w:val="28"/>
          <w:szCs w:val="28"/>
          <w:rtl w:val="true"/>
          <w:lang w:bidi="ar-SA"/>
        </w:rPr>
        <w:t>بعد عدم وجوب مسح الذراع هل يجب مسح تمام الكف إلى أطراف الأصابع</w:t>
      </w:r>
      <w:r>
        <w:rPr>
          <w:rStyle w:val="FootnoteAnchor"/>
          <w:rtl w:val="true"/>
        </w:rPr>
        <w:footnoteReference w:id="1210"/>
      </w:r>
      <w:r>
        <w:rPr>
          <w:rFonts w:ascii="Amiri" w:hAnsi="Amiri" w:eastAsia="Amiri" w:cs="Amiri"/>
          <w:color w:val="111111"/>
          <w:sz w:val="28"/>
          <w:sz w:val="28"/>
          <w:szCs w:val="28"/>
          <w:rtl w:val="true"/>
          <w:lang w:bidi="ar-SA"/>
        </w:rPr>
        <w:t>، أو يجب مسح موضع القطع في السرقة؟ ويحكى ذلك عن بعض</w:t>
      </w:r>
      <w:r>
        <w:rPr>
          <w:rStyle w:val="FootnoteAnchor"/>
          <w:rtl w:val="true"/>
        </w:rPr>
        <w:footnoteReference w:id="1211"/>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والأمر هنا عكس السابق حيث إن ما دلّ على مسح موضع القطع نص بالنسبة إلى ما دلّ على مسح تمام الكف، ويشهد له مرسل حماد بن عيسى عن الصادق 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كيفية التيمم فتلا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ايديكم إلى المرافق،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 على كفيك من حيث موضع القطع</w:t>
      </w:r>
      <w:r>
        <w:rPr>
          <w:rFonts w:eastAsia="Amiri" w:cs="Amiri" w:ascii="Amiri" w:hAnsi="Amiri"/>
          <w:color w:val="111111"/>
          <w:sz w:val="28"/>
          <w:szCs w:val="28"/>
          <w:rtl w:val="true"/>
          <w:lang w:bidi="ar-SA"/>
        </w:rPr>
        <w:t>...»</w:t>
      </w:r>
      <w:r>
        <w:rPr>
          <w:rStyle w:val="FootnoteAnchor"/>
          <w:rtl w:val="true"/>
        </w:rPr>
        <w:footnoteReference w:id="1214"/>
      </w:r>
      <w:r>
        <w:rPr>
          <w:rFonts w:ascii="IRNazanin" w:hAnsi="IRNazanin" w:eastAsia="IRNazanin"/>
          <w:color w:val="111111"/>
          <w:sz w:val="28"/>
          <w:sz w:val="28"/>
          <w:szCs w:val="28"/>
          <w:rtl w:val="true"/>
          <w:lang w:bidi="fa-IR"/>
        </w:rPr>
        <w:t>، والظاهر من استشهاد الإمام علیه السلام بآية السرقة، أنّ المراد باليد عند الإطلاق هو أصول الأصابع إلى أطرافها، بدليل إطلاق اليد في آية السرقة، والحال أنّ المراد منها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آية الوضوء لما كان المراد غسل الزائد عليه قيّده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المراد من الإطلاق في هذا المقام أيضاً هو موضع القطع ، وما كان الربّ نسياً عما بنى عليه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أولاً وهو كون المراد بالإطلاق هذا القدر، ويشهد له هذا الخبر، خصوصاً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 على كفيك من حيث موضع القطع</w:t>
      </w:r>
      <w:r>
        <w:rPr>
          <w:rFonts w:eastAsia="IRNazanin" w:cs="IRNazanin"/>
          <w:color w:val="111111"/>
          <w:sz w:val="28"/>
          <w:szCs w:val="28"/>
          <w:rtl w:val="true"/>
          <w:lang w:bidi="fa-IR"/>
        </w:rPr>
        <w:t xml:space="preserve">» </w:t>
      </w:r>
      <w:r>
        <w:rPr>
          <w:rStyle w:val="FootnoteAnchor"/>
          <w:rtl w:val="true"/>
        </w:rPr>
        <w:footnoteReference w:id="1215"/>
      </w:r>
      <w:r>
        <w:rPr>
          <w:rFonts w:ascii="Amiri" w:hAnsi="Amiri" w:eastAsia="Amiri" w:cs="Amiri"/>
          <w:color w:val="111111"/>
          <w:sz w:val="28"/>
          <w:sz w:val="28"/>
          <w:szCs w:val="28"/>
          <w:rtl w:val="true"/>
          <w:lang w:bidi="ar-SA"/>
        </w:rPr>
        <w:t xml:space="preserve">، إلا أنّ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خصوصاً مع إعراض الجل</w:t>
      </w:r>
      <w:r>
        <w:rPr>
          <w:rStyle w:val="FootnoteAnchor"/>
          <w:rtl w:val="true"/>
        </w:rPr>
        <w:footnoteReference w:id="1216"/>
      </w:r>
      <w:r>
        <w:rPr>
          <w:rFonts w:ascii="Amiri" w:hAnsi="Amiri" w:eastAsia="Amiri" w:cs="Amiri"/>
          <w:color w:val="111111"/>
          <w:sz w:val="28"/>
          <w:sz w:val="28"/>
          <w:szCs w:val="28"/>
          <w:rtl w:val="true"/>
          <w:lang w:bidi="ar-SA"/>
        </w:rPr>
        <w:t>، بل الكل عنه</w:t>
      </w:r>
      <w:r>
        <w:rPr>
          <w:rStyle w:val="FootnoteAnchor"/>
          <w:rtl w:val="true"/>
        </w:rPr>
        <w:footnoteReference w:id="1217"/>
      </w:r>
      <w:r>
        <w:rPr>
          <w:rFonts w:ascii="Amiri" w:hAnsi="Amiri" w:eastAsia="Amiri" w:cs="Amiri"/>
          <w:color w:val="111111"/>
          <w:sz w:val="28"/>
          <w:sz w:val="28"/>
          <w:szCs w:val="28"/>
          <w:rtl w:val="true"/>
          <w:lang w:bidi="ar-SA"/>
        </w:rPr>
        <w:t>، مع أنه يحتمل أن يكون المراد به تعليم أصحابه الردَّ على العامة</w:t>
      </w:r>
      <w:r>
        <w:rPr>
          <w:rStyle w:val="FootnoteAnchor"/>
          <w:rtl w:val="true"/>
        </w:rPr>
        <w:footnoteReference w:id="1218"/>
      </w:r>
      <w:r>
        <w:rPr>
          <w:rFonts w:ascii="Amiri" w:hAnsi="Amiri" w:eastAsia="Amiri" w:cs="Amiri"/>
          <w:color w:val="111111"/>
          <w:sz w:val="28"/>
          <w:sz w:val="28"/>
          <w:szCs w:val="28"/>
          <w:rtl w:val="true"/>
          <w:lang w:bidi="ar-SA"/>
        </w:rPr>
        <w:t xml:space="preserve">حيث يقولون بكون موضع القطع في السرقة هو تمام الكف، ويقولون </w:t>
      </w:r>
      <w:r>
        <w:rPr>
          <w:rStyle w:val="FootnoteAnchor"/>
          <w:rtl w:val="true"/>
        </w:rPr>
        <w:footnoteReference w:id="1219"/>
      </w:r>
      <w:r>
        <w:rPr>
          <w:rFonts w:ascii="Amiri" w:hAnsi="Amiri" w:eastAsia="Amiri" w:cs="Amiri"/>
          <w:color w:val="111111"/>
          <w:sz w:val="28"/>
          <w:sz w:val="28"/>
          <w:szCs w:val="28"/>
          <w:rtl w:val="true"/>
          <w:lang w:bidi="ar-SA"/>
        </w:rPr>
        <w:t xml:space="preserve">في التيمم بمسح الذراع مع كون اليد أيضاً مطلقة في السرقة كما في التيمم </w:t>
      </w:r>
      <w:r>
        <w:rPr>
          <w:rStyle w:val="FootnoteAnchor"/>
          <w:rtl w:val="true"/>
        </w:rPr>
        <w:footnoteReference w:id="1220"/>
      </w:r>
      <w:r>
        <w:rPr>
          <w:rFonts w:ascii="Amiri" w:hAnsi="Amiri" w:eastAsia="Amiri" w:cs="Amiri"/>
          <w:color w:val="111111"/>
          <w:sz w:val="28"/>
          <w:sz w:val="28"/>
          <w:szCs w:val="28"/>
          <w:rtl w:val="true"/>
          <w:lang w:bidi="ar-SA"/>
        </w:rPr>
        <w:t xml:space="preserve">، فكما تحملون اليد في آية السرقة على الكف فاحملوها في هذه الآية أيضاً على ذلك؛ لكونها مطلقة في الموضعين، ولا يكون المراد المقيد، بدليل أنه لو كان المراد غيره </w:t>
      </w:r>
      <w:bookmarkStart w:id="446" w:name="pg9203_87358"/>
    </w:p>
    <w:p>
      <w:pPr>
        <w:pStyle w:val="BookText"/>
        <w:rPr/>
      </w:pPr>
      <w:bookmarkEnd w:id="446"/>
      <w:r>
        <w:rPr>
          <w:rFonts w:ascii="Amiri" w:hAnsi="Amiri" w:eastAsia="Amiri" w:cs="Amiri"/>
          <w:color w:val="111111"/>
          <w:sz w:val="28"/>
          <w:sz w:val="28"/>
          <w:szCs w:val="28"/>
          <w:rtl w:val="true"/>
          <w:lang w:bidi="ar-SA"/>
        </w:rPr>
        <w:t>لقيد هنا كما قيدها في الوضوء، مع أنه يحتمل أن يكون المراد من موضع القطع موضع فصل الكف، وهو الزند ، وكيف كان فلا يعارض الأخبار السابقة</w:t>
      </w:r>
      <w:r>
        <w:rPr>
          <w:rFonts w:eastAsia="Amiri" w:cs="Amiri" w:ascii="Amiri" w:hAnsi="Amiri"/>
          <w:color w:val="111111"/>
          <w:sz w:val="28"/>
          <w:szCs w:val="28"/>
          <w:rtl w:val="true"/>
          <w:lang w:bidi="ar-SA"/>
        </w:rPr>
        <w:t>.</w:t>
      </w:r>
    </w:p>
    <w:p>
      <w:pPr>
        <w:pStyle w:val="Heading2"/>
        <w:numPr>
          <w:ilvl w:val="1"/>
          <w:numId w:val="1"/>
        </w:numPr>
        <w:rPr/>
      </w:pPr>
      <w:bookmarkStart w:id="447" w:name="__RefHeading___Toc3968118_2870459653"/>
      <w:bookmarkStart w:id="448" w:name="_Toc158"/>
      <w:bookmarkEnd w:id="447"/>
      <w:r>
        <w:rPr>
          <w:rtl w:val="true"/>
        </w:rPr>
        <w:t xml:space="preserve">[ </w:t>
      </w:r>
      <w:r>
        <w:rPr>
          <w:rtl w:val="true"/>
        </w:rPr>
        <w:t xml:space="preserve">وجوب الترتيب بين اليدين </w:t>
      </w:r>
      <w:r>
        <w:rPr>
          <w:rtl w:val="true"/>
        </w:rPr>
        <w:t>]</w:t>
      </w:r>
      <w:bookmarkEnd w:id="44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الترتيب بين اليدين، بتقديم اليمني على اليسرى</w:t>
      </w:r>
      <w:r>
        <w:rPr>
          <w:rStyle w:val="FootnoteAnchor"/>
          <w:rtl w:val="true"/>
        </w:rPr>
        <w:footnoteReference w:id="1221"/>
      </w:r>
      <w:r>
        <w:rPr>
          <w:rFonts w:ascii="Amiri" w:hAnsi="Amiri" w:eastAsia="Amiri" w:cs="Amiri"/>
          <w:color w:val="111111"/>
          <w:sz w:val="28"/>
          <w:sz w:val="28"/>
          <w:szCs w:val="28"/>
          <w:rtl w:val="true"/>
          <w:lang w:bidi="ar-SA"/>
        </w:rPr>
        <w:t>، فالأصل يقتضيه</w:t>
      </w:r>
      <w:r>
        <w:rPr>
          <w:rStyle w:val="FootnoteAnchor"/>
          <w:rtl w:val="true"/>
        </w:rPr>
        <w:footnoteReference w:id="1222"/>
      </w:r>
      <w:r>
        <w:rPr>
          <w:rFonts w:ascii="Amiri" w:hAnsi="Amiri" w:eastAsia="Amiri" w:cs="Amiri"/>
          <w:color w:val="111111"/>
          <w:sz w:val="28"/>
          <w:sz w:val="28"/>
          <w:szCs w:val="28"/>
          <w:rtl w:val="true"/>
          <w:lang w:bidi="ar-SA"/>
        </w:rPr>
        <w:t>، ويمكن إتمامه بعدم القول بالفصل بين الوجه والكفين، وبتقديم اليمني على اليسرى في الذكر، والظاهر من التقديم في الذكر وقوع الفعل في الخارج أيضاً</w:t>
      </w:r>
      <w:r>
        <w:rPr>
          <w:rStyle w:val="FootnoteAnchor"/>
          <w:rtl w:val="true"/>
        </w:rPr>
        <w:footnoteReference w:id="1223"/>
      </w:r>
      <w:r>
        <w:rPr>
          <w:rFonts w:ascii="IRNazanin" w:hAnsi="IRNazanin" w:eastAsia="IRNazanin"/>
          <w:color w:val="111111"/>
          <w:sz w:val="28"/>
          <w:sz w:val="28"/>
          <w:szCs w:val="28"/>
          <w:rtl w:val="true"/>
          <w:lang w:bidi="fa-IR"/>
        </w:rPr>
        <w:t>، لذا ثبت فعله مقدماً</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الفعل في مقام البيان اعتباره بخصوصه </w:t>
      </w:r>
      <w:r>
        <w:rPr>
          <w:rFonts w:eastAsia="Amiri" w:cs="Amiri" w:ascii="Amiri" w:hAnsi="Amiri"/>
          <w:color w:val="111111"/>
          <w:sz w:val="28"/>
          <w:szCs w:val="28"/>
          <w:rtl w:val="true"/>
          <w:lang w:bidi="ar-SA"/>
        </w:rPr>
        <w:t xml:space="preserve">. </w:t>
      </w:r>
      <w:bookmarkStart w:id="449" w:name="pg9203_87359"/>
    </w:p>
    <w:p>
      <w:pPr>
        <w:pStyle w:val="Heading2"/>
        <w:numPr>
          <w:ilvl w:val="1"/>
          <w:numId w:val="1"/>
        </w:numPr>
        <w:rPr/>
      </w:pPr>
      <w:bookmarkStart w:id="450" w:name="__RefHeading___Toc3968120_2870459653"/>
      <w:bookmarkStart w:id="451" w:name="_Toc159"/>
      <w:bookmarkEnd w:id="449"/>
      <w:bookmarkEnd w:id="450"/>
      <w:r>
        <w:rPr>
          <w:rtl w:val="true"/>
        </w:rPr>
        <w:t>[</w:t>
      </w:r>
      <w:r>
        <w:rPr>
          <w:rtl w:val="true"/>
        </w:rPr>
        <w:t>مسائل في أحكام المسح والماسح والممسوح</w:t>
      </w:r>
      <w:r>
        <w:rPr>
          <w:rtl w:val="true"/>
        </w:rPr>
        <w:t>]</w:t>
      </w:r>
      <w:bookmarkEnd w:id="4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المسح بباطن الكف لا ظاهره؛ لما مر من أنه هو المضروب، والظاهر ان المسح انما هو بالمضروب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الممسوح ظاهر الكف؛ لصدق المسح بالكف على المسح عليه، ولقوله علیه السلام في حسن الكاهلي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انه يمسح بكل واحدة منهما على ظهر الأخرى</w:t>
      </w:r>
      <w:r>
        <w:rPr>
          <w:rFonts w:eastAsia="IRNazanin" w:cs="IRNazanin"/>
          <w:color w:val="111111"/>
          <w:sz w:val="28"/>
          <w:szCs w:val="28"/>
          <w:rtl w:val="true"/>
          <w:lang w:bidi="fa-IR"/>
        </w:rPr>
        <w:t>»</w:t>
      </w:r>
      <w:r>
        <w:rPr>
          <w:rStyle w:val="FootnoteAnchor"/>
          <w:rtl w:val="true"/>
        </w:rPr>
        <w:footnoteReference w:id="1225"/>
      </w:r>
      <w:r>
        <w:rPr>
          <w:rFonts w:ascii="Amiri" w:hAnsi="Amiri" w:eastAsia="Amiri" w:cs="Amiri"/>
          <w:color w:val="111111"/>
          <w:sz w:val="28"/>
          <w:sz w:val="28"/>
          <w:szCs w:val="28"/>
          <w:rtl w:val="true"/>
          <w:lang w:bidi="ar-SA"/>
        </w:rPr>
        <w:t>، بل يمكن استفادة كون المسح بالباطن أيضاً من ذلك؛ لمكان الأخرى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ظهر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المراد بها الباطن؛ لإضافة الظهر إليها، والأخرى عبارة عن الكف الآخر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باطن كل منهما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وصول تمام الماسح بتمام الممسوح؛ لما ذكر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يلتزم استيعاب الممسوح حقيقة لجميع أجزائه وخُلَله وفرجه، ويكفي المسح العرفي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على ظهره، نعم لا يكفي مجرد الصدق العرفي، بل لا بد من الاستيعاب عرفاً بحيث لو خرج بعض المواضع القليلة فلا يضر ؛ لدلالة الأخبار البيانية على مسحه علیه السلاممرة واحدة</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عدم حصول الاستيعاب الحقيقي بالدفعة الواحدة سيما مثل الفُرَج بین الأصابع من ظهر الكف، ومن عدم ذكر التعدد في شيء من الأخبار وكلمات الأصحاب، ولو كان لازماً لذكروه، حتى أنه صرح بعض الأخبار البيانية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أنَّ المراد به عدم العود ثانياً، وصدق المسح على الكف بمجرد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يعتبر كون مسح الوجه واليدين بضربة واحدة مطلقاً، أو بضربتين كذلك، أو التفصيل بين الوضوء فمرة والغسل فمرتين؟</w:t>
      </w:r>
    </w:p>
    <w:p>
      <w:pPr>
        <w:pStyle w:val="BookText"/>
        <w:rPr/>
      </w:pPr>
      <w:r>
        <w:rPr>
          <w:rFonts w:ascii="Amiri" w:hAnsi="Amiri" w:eastAsia="Amiri" w:cs="Amiri"/>
          <w:color w:val="111111"/>
          <w:sz w:val="28"/>
          <w:sz w:val="28"/>
          <w:szCs w:val="28"/>
          <w:rtl w:val="true"/>
          <w:lang w:bidi="ar-SA"/>
        </w:rPr>
        <w:t>و ربما نسب إلى ابن بابويه ثلاث ضربات</w:t>
      </w:r>
      <w:r>
        <w:rPr>
          <w:rStyle w:val="FootnoteAnchor"/>
          <w:rtl w:val="true"/>
        </w:rPr>
        <w:footnoteReference w:id="1227"/>
      </w:r>
      <w:r>
        <w:rPr>
          <w:rFonts w:ascii="Amiri" w:hAnsi="Amiri" w:eastAsia="Amiri" w:cs="Amiri"/>
          <w:color w:val="111111"/>
          <w:sz w:val="28"/>
          <w:sz w:val="28"/>
          <w:szCs w:val="28"/>
          <w:rtl w:val="true"/>
          <w:lang w:bidi="ar-SA"/>
        </w:rPr>
        <w:t>، وعلى المرتين قيل بالتخيير في الضرب لليدين بين ضربهما دفعة واحدة، أو مرتباً، والقول بالتفصيل هو المشهور</w:t>
      </w:r>
      <w:r>
        <w:rPr>
          <w:rStyle w:val="FootnoteAnchor"/>
          <w:rtl w:val="true"/>
        </w:rPr>
        <w:footnoteReference w:id="1228"/>
      </w:r>
      <w:r>
        <w:rPr>
          <w:rFonts w:ascii="Amiri" w:hAnsi="Amiri" w:eastAsia="Amiri" w:cs="Amiri"/>
          <w:color w:val="111111"/>
          <w:sz w:val="28"/>
          <w:sz w:val="28"/>
          <w:szCs w:val="28"/>
          <w:rtl w:val="true"/>
          <w:lang w:bidi="ar-SA"/>
        </w:rPr>
        <w:t xml:space="preserve">المدعى عليه الإجماع </w:t>
      </w:r>
      <w:r>
        <w:rPr>
          <w:rStyle w:val="FootnoteAnchor"/>
          <w:rtl w:val="true"/>
        </w:rPr>
        <w:footnoteReference w:id="1229"/>
      </w:r>
      <w:r>
        <w:rPr>
          <w:rFonts w:ascii="IRNazanin" w:hAnsi="IRNazanin" w:eastAsia="IRNazanin"/>
          <w:color w:val="111111"/>
          <w:sz w:val="28"/>
          <w:sz w:val="28"/>
          <w:szCs w:val="28"/>
          <w:rtl w:val="true"/>
          <w:lang w:bidi="fa-IR"/>
        </w:rPr>
        <w:t xml:space="preserve">، والأخبار في المقام متعارضة؛ بعضها ظاهر كالصريح في كفاية المرة مطلقاً على نحو الإطلاق، كصحيح زرارة وموثقه في وصف تيمم النبي صلي الله علیه وآله وسلم لعمار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صنعت كذا، ثم أهوى بيديه إلى الأرض فوضعهما على الصعيد، ثم مسح جبينيه بأصابعه وكفيه إحديهما بالأخرى، ثم لم يعد ذلك</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 وذيله كالصريح في عدم اعتبار المرتين؛ لظهوره في كونه في مقام بيان اتحاد الضرب وتعدده، وانه ضرب ضربة واحدة، فذكره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قرينة؛ كونه في مقام بيان كمية الضرب رداً على العامة القائلين بالتكرار</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موثقه المذيل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واحدة وان احتمل بعيداً كون مرة واحدة و لم يعد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للمسح لا للضرب، لكنه بعيد؛ إذ يلزم حينئذ عدم الفائدة في ذكره؛ إذ لم يكن كمية المسح محلاً للخلاف بين العامة والخاصة، بل محله الضرب، فالمناسب </w:t>
      </w:r>
    </w:p>
    <w:p>
      <w:pPr>
        <w:pStyle w:val="BookText"/>
        <w:rPr/>
      </w:pPr>
      <w:r>
        <w:rPr>
          <w:rFonts w:ascii="IRNazanin" w:hAnsi="IRNazanin" w:eastAsia="IRNazanin"/>
          <w:color w:val="111111"/>
          <w:sz w:val="28"/>
          <w:sz w:val="28"/>
          <w:szCs w:val="28"/>
          <w:rtl w:val="true"/>
          <w:lang w:bidi="fa-IR"/>
        </w:rPr>
        <w:t>کونه بياناً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وبعض الأخبار مطلق،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كفيه بيده الأرض، ثم رفعها فنفضها، ثم مسح بها جبينيه وكفيه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مثله أخبار أخرى في جانب المرتين، كصحيح الكندي</w:t>
      </w:r>
      <w:r>
        <w:rPr>
          <w:rStyle w:val="FootnoteAnchor"/>
          <w:rtl w:val="true"/>
        </w:rPr>
        <w:footnoteReference w:id="1233"/>
      </w:r>
      <w:r>
        <w:rPr>
          <w:rFonts w:ascii="IRNazanin" w:hAnsi="IRNazanin" w:eastAsia="IRNazanin"/>
          <w:color w:val="111111"/>
          <w:sz w:val="28"/>
          <w:sz w:val="28"/>
          <w:szCs w:val="28"/>
          <w:rtl w:val="true"/>
          <w:lang w:bidi="fa-IR"/>
        </w:rPr>
        <w:t>عن الرضا علیه السلام وابن مسلم</w:t>
      </w:r>
      <w:r>
        <w:rPr>
          <w:rStyle w:val="FootnoteAnchor"/>
          <w:rtl w:val="true"/>
        </w:rPr>
        <w:footnoteReference w:id="1234"/>
      </w:r>
      <w:r>
        <w:rPr>
          <w:rFonts w:ascii="Amiri" w:hAnsi="Amiri" w:eastAsia="Amiri" w:cs="Amiri"/>
          <w:color w:val="111111"/>
          <w:sz w:val="28"/>
          <w:sz w:val="28"/>
          <w:szCs w:val="28"/>
          <w:rtl w:val="true"/>
          <w:lang w:bidi="ar-SA"/>
        </w:rPr>
        <w:t>وغيرها</w:t>
      </w:r>
      <w:r>
        <w:rPr>
          <w:rStyle w:val="FootnoteAnchor"/>
          <w:rtl w:val="true"/>
        </w:rPr>
        <w:footnoteReference w:id="1235"/>
      </w:r>
      <w:r>
        <w:rPr>
          <w:rFonts w:ascii="Amiri" w:hAnsi="Amiri" w:eastAsia="Amiri" w:cs="Amiri"/>
          <w:color w:val="111111"/>
          <w:sz w:val="28"/>
          <w:sz w:val="28"/>
          <w:szCs w:val="28"/>
          <w:rtl w:val="true"/>
          <w:lang w:bidi="ar-SA"/>
        </w:rPr>
        <w:t>، ففي كل من الطائفتين ما يكون كالنص بالنسبة إلى المراد هذا من حيث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حيث الحكم، فالظاهر أن أخبار المرة نصوص في كفاية المرة، وعدم وجوب الأزيد، وظهور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وجوبها؛ إذ يحتمل قريباً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المستحب لا الواجب، فيحمل على الاستحباب وكونهما له وبيان أفضل الأفراد بناءً على تقديم الجمع بحسب الدلالة على غيره ؛ فيقدم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يحمل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التقية؛ لكونه مذهبهم حتى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مشهوراً ، بل الشهرة على التفصيل على أن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للكتاب، بناءً على إطلاق الآية في المقام وعدم منع كونها في هذا المقام؛ مضافاً إلى أمرهم علیهم السلام الأخذ بما رووه عنه علیه السلام عند فقد أخبارنا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المطلقات مع كونها أقوى دلالة من حيث الحكم بالنسبة إلى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يُحتملُ الجمع بينهما وحمل كل ما تيقن دخوله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فظهر أنّ الحق هو القول بالمرة مطلقاً، ولا مستند للتفصيل إلّا الجمع بين هذه الأخبار بحمل الطائفة الأولى على بدل الوضوء، والثانية على بدل الغسل، ولا شاهد له الا الصحيح، هو ضرب واحد للوضوء، والغسل من الجنابة تضرب بيديك مرتين، فتنفضهما نفضة للوجه ومرة لليدين </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بناءً على كون الواو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للاستئناف والغسل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التيمم للوضوء بضرب واحد وأما الغسل فبضربتين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انه مع احتمال كون الواو للعطف، وضرب واحد بمعنى نوع واحد، وهو الضرب مرتين فيهما، وبعد كون المراد بالضرب هو الضربة، وإلا لكان المناسب التعبير ،بالضربة، مشتمل على ما لا يقول به أحد، وهو كون الضربتين متعاقبتين، وينفض مرة للوجه وأخرى لليدين؛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نفضة ومرة، إلا أن يكون المراد بالنفضة هي مع الضربة، فلا يمكن الاعتماد به في صرف الأخبار عن ظاهرها ونصوصيتها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وذيل خبر ابن مسلم هذا التيمم على ما كان فيه الغسل، وفي الوضوء الوجه واليدين إلى المرفقين، وألقى</w:t>
      </w:r>
      <w:r>
        <w:rPr>
          <w:rStyle w:val="FootnoteAnchor"/>
          <w:rtl w:val="true"/>
        </w:rPr>
        <w:footnoteReference w:id="1239"/>
      </w:r>
      <w:r>
        <w:rPr>
          <w:rFonts w:ascii="Amiri" w:hAnsi="Amiri" w:eastAsia="Amiri" w:cs="Amiri"/>
          <w:color w:val="111111"/>
          <w:sz w:val="28"/>
          <w:sz w:val="28"/>
          <w:szCs w:val="28"/>
          <w:rtl w:val="true"/>
          <w:lang w:bidi="ar-SA"/>
        </w:rPr>
        <w:t>في ما كان عليه مسح الرأس والقدمين</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بناءً على أن المراد به ان ما ذكر انما كان في التيمم بدل الغسل بالضم وفي الوضوء غيره، فيضرب للوجه واليدين إلى المرفقين ضربة واحدة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على</w:t>
      </w:r>
      <w:r>
        <w:rPr>
          <w:rStyle w:val="FootnoteAnchor"/>
          <w:rtl w:val="true"/>
        </w:rPr>
        <w:footnoteReference w:id="1241"/>
      </w:r>
      <w:r>
        <w:rPr>
          <w:rFonts w:ascii="Amiri" w:hAnsi="Amiri" w:eastAsia="Amiri" w:cs="Amiri"/>
          <w:color w:val="111111"/>
          <w:sz w:val="28"/>
          <w:sz w:val="28"/>
          <w:szCs w:val="28"/>
          <w:rtl w:val="true"/>
          <w:lang w:bidi="ar-SA"/>
        </w:rPr>
        <w:t xml:space="preserve">كون المراد به انها ذكر وهو المسح إن كان في موضع الغسل في الوضوء، وهو الوجه واليدين، بناءً على كون الوجه واليدين عطف بيان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موضع الغسل، لا بأن يكون الوجه مجروراً بدلاً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منصوباً بتقدير أعني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وألقى في التيمم ما كان عليه مسح ، وهو الرأس والقدمين، 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خبراً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مجرور أو منصوب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يكون المراد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والقى ما كان الحكم الشرعي الثابت لمسح الرأس والقدمين، ويكون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يشتمل على مخالفات كثيرة ، مثل اشتماله على تثليث الضربات، ومسح باطن اليدين وظاهرهما، وكون المسح من المرفقين كلها لا يبعد كونه خلافاً للإجماع؛ فلا يمكن التمسك به، مضافاً إلى ما ورد بتساوي الوضوء والجنابة والحيض والتيمم، وهو مناف للتفصيل؛ إذ ظاهره التسوية مطلقاً لا في خصوص الكيفية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فالأظهر هو الاكتفاء بالمرة مطلقاً والاحتياط في محله بأن يأتي بتيممين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يمسح الوجه واليدين، والآخر يضرب مرة للوجه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مرة للوجه والأخرى لليدين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بعدم فوات الموالاة؛ لا يبعد ان يحصل الاحتياط بتيمم واحد بضربتين احداهما للوجه والأخرى لليدين؛ لأنه لو كان الواجب التيمم بضربة واحدة حصل، والضربة الأخرى الواقعة في البين وجودها كعدمها؛ لعدم إخلالها بالموالاة، وان كان الواجب التيمم بضربتين حصل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ما صلى بالتيمم ، أما في خارج الوقت فلا إشكال فيه؛</w:t>
      </w:r>
    </w:p>
    <w:p>
      <w:pPr>
        <w:pStyle w:val="BookText"/>
        <w:rPr/>
      </w:pPr>
      <w:r>
        <w:rPr>
          <w:rFonts w:ascii="IRNazanin" w:hAnsi="IRNazanin" w:eastAsia="IRNazanin"/>
          <w:color w:val="111111"/>
          <w:sz w:val="28"/>
          <w:sz w:val="28"/>
          <w:szCs w:val="28"/>
          <w:rtl w:val="true"/>
          <w:lang w:bidi="fa-IR"/>
        </w:rPr>
        <w:t xml:space="preserve">للإجزاء، وعمومات البدلية،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يكفيك الصعيد عشر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الوقت، ففيه قولان</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فالأظهر أيضاً عدم وجوب الإعادة، سواء قلنا باعتبار الضيق أم لا؛ إذ بناءً على الضيق لا يجوز التيمم مع العلم بالسعة، فلا يحصل الصلاة الصحيحة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ومع ظنه لو تيمم وصلى، فالظاهر عدم الإعادة؛ لأن المراد بالضيق هو الضیق بحسب الاعتقاد والظن؛ لحجية الظن في مثل ذلك؛ لإنسداد باب العلم فيه غالباً، فقاعدة الإجزاء جارية، مضافاً إلى الأخبار الموثقة الدالة على عدم الإعادة مطلقاً، التي تشمل صورة التيمم في حال السعة أيضاً،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استظهار جواز التيمم في حال السعة منها ، فلا أقل من اشتمالها صورة الظن بالضيق، فتدل على عدم الإعادة، مضافاً إلى قاعدة الإجزاء، فالإعادة في صورة وقوع التيمم في السعة مع العلم بها لعدم صحته حينئذ، لا لعدم كونها مجزية مع وقوعها بالتيمم الصحيح كما هو محل الكلام، فالقولُ بالإعادة مطلقاً ضعيفٌ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فيما ذكرنا في متعمد الجنابة وغيره؛ لجواز الإجناب مع العلم بعدم وجود الماء قبل الوقت بل في الوقت أيضاً كما مر فالتفصيل بين المتعمد وغيره لا جه له؛ لجواز إحداث الجنابة مطلقاً؛ للأدلة الخاصة، ولزوم التيمم مع عدم الماء أو مع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منعه الزحام عن الخروج مع فوت الجمعة فهو يتيمم ويصلي ثم يعيد الصلاة ظهراً بعد ارتفاع الزحام على قولٍ</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وتفصيله انه لو كان الجمعة أحد أفراد الواجب التخييري في الغيبة بمعنى تخيير المكلف بين الجمعة والظهر لا تعيّن الجمعة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صحة الصلاة جمعة مع التيمم؛ لأن الوضوء شرط، ولا يسقط إلا عند التعذر، ولا يكون إلا بتعذر جميع الأفراد، فالتيمم طهارة اضطرارية فلا تصح إلا عند الاضطرار، ولا اضطرار مع التمكن من الظهر، وإلّا لصح التيمم في أول الوقت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بتعيين الجمعة بحيث يفوت الجمعة منه بعد ارتفاع الزحام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إشكال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الأمر بكلي الصلاة والمأمور به واحد، والجمعة بمنزلة </w:t>
      </w:r>
    </w:p>
    <w:p>
      <w:pPr>
        <w:pStyle w:val="BookText"/>
        <w:rPr/>
      </w:pPr>
      <w:r>
        <w:rPr>
          <w:rFonts w:ascii="Amiri" w:hAnsi="Amiri" w:eastAsia="Amiri" w:cs="Amiri"/>
          <w:color w:val="111111"/>
          <w:sz w:val="28"/>
          <w:sz w:val="28"/>
          <w:szCs w:val="28"/>
          <w:rtl w:val="true"/>
          <w:lang w:bidi="ar-SA"/>
        </w:rPr>
        <w:t xml:space="preserve">خصوصية، ولا تغاير بين الظهر والجمعة ،حقيقة، بل الترتيب بين فردي الكلي، فهو بمنزلة الترتيب العرضي بالنذر وشبهه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المأمور به هي الجمعة على الفرض، ووقته أول الوقت، والتيمم هي الطهارة الاضطرارية ، فيقوم مقام الوضوء عند ضيق الواجب وعدم القدرة على إتيان الوضوء، فهو مثل آخر الوقت للظهر، ومقتضى أخبار البدلية انه بواسطة التيمم وكونه بدلاً لا يفوت الواجب من المكلف، بل وقت هذا الواجب بمقتضى أصل الشرع ذلك، وليس كالنذر في أول الوقت، وعلى تقدير صحة التيمم حينئذ فالقاعدة تقتضي عدم إعادة الصلاة ظهراً عند وجود الواجب، وإن كان مقتضى بعض الأخبار</w:t>
      </w:r>
      <w:r>
        <w:rPr>
          <w:rStyle w:val="FootnoteAnchor"/>
          <w:rtl w:val="true"/>
        </w:rPr>
        <w:footnoteReference w:id="1244"/>
      </w:r>
      <w:r>
        <w:rPr>
          <w:rFonts w:ascii="Amiri" w:hAnsi="Amiri" w:eastAsia="Amiri" w:cs="Amiri"/>
          <w:color w:val="111111"/>
          <w:sz w:val="28"/>
          <w:sz w:val="28"/>
          <w:szCs w:val="28"/>
          <w:rtl w:val="true"/>
          <w:lang w:bidi="ar-SA"/>
        </w:rPr>
        <w:t>الإعادة، لكنه ضعيف السند</w:t>
      </w:r>
      <w:r>
        <w:rPr>
          <w:rStyle w:val="FootnoteAnchor"/>
          <w:rtl w:val="true"/>
        </w:rPr>
        <w:footnoteReference w:id="1245"/>
      </w:r>
      <w:r>
        <w:rPr>
          <w:rFonts w:ascii="Amiri" w:hAnsi="Amiri" w:eastAsia="Amiri" w:cs="Amiri"/>
          <w:color w:val="111111"/>
          <w:sz w:val="28"/>
          <w:sz w:val="28"/>
          <w:szCs w:val="28"/>
          <w:rtl w:val="true"/>
          <w:lang w:bidi="ar-SA"/>
        </w:rPr>
        <w:t xml:space="preserve">، ويشعر بأن أصل الصلاة للتقية </w:t>
      </w:r>
      <w:r>
        <w:rPr>
          <w:rStyle w:val="FootnoteAnchor"/>
          <w:rtl w:val="true"/>
        </w:rPr>
        <w:footnoteReference w:id="1246"/>
      </w:r>
      <w:r>
        <w:rPr>
          <w:rFonts w:ascii="Amiri" w:hAnsi="Amiri" w:eastAsia="Amiri" w:cs="Amiri"/>
          <w:color w:val="111111"/>
          <w:sz w:val="28"/>
          <w:sz w:val="28"/>
          <w:szCs w:val="28"/>
          <w:rtl w:val="true"/>
          <w:lang w:bidi="ar-SA"/>
        </w:rPr>
        <w:t xml:space="preserve">، والإعادة انما هو لأجل الاقتداء لهم </w:t>
      </w:r>
      <w:r>
        <w:rPr>
          <w:rStyle w:val="FootnoteAnchor"/>
          <w:rtl w:val="true"/>
        </w:rPr>
        <w:footnoteReference w:id="1247"/>
      </w:r>
      <w:r>
        <w:rPr>
          <w:rFonts w:ascii="Amiri" w:hAnsi="Amiri" w:eastAsia="Amiri" w:cs="Amiri"/>
          <w:color w:val="111111"/>
          <w:sz w:val="28"/>
          <w:sz w:val="28"/>
          <w:szCs w:val="28"/>
          <w:rtl w:val="true"/>
          <w:lang w:bidi="ar-SA"/>
        </w:rPr>
        <w:t>فكانت الإعادة لعدم تكليفه أولاً بذلك، لا أنه صحيح ومع ذلك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الفرض الجمعة ولم يتمكن من إتيانها مع الوضوء يصح التيمم ويصلى به ولا يعيد، مضافاً إلى أنَّ الخبر يشتمل على زحام العرفة مع أنه لا يوجب التيمم، بل يصبر حتى يرتفع الزحام ويصلي مع الوضوء، إلا أن يكون المراد أن العرفة في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صحة التيمم لو تعينت الجمعة ويوجب الزحام عدم التمكن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صلى، وكان على ثوبه نجاسة ولم يتمكن من إزالتها، ثم وجد الماء بعد الصلاة، لا يعيدها، والخبر</w:t>
      </w:r>
      <w:r>
        <w:rPr>
          <w:rStyle w:val="FootnoteAnchor"/>
          <w:rtl w:val="true"/>
        </w:rPr>
        <w:footnoteReference w:id="1248"/>
      </w:r>
      <w:r>
        <w:rPr>
          <w:rFonts w:ascii="Amiri" w:hAnsi="Amiri" w:eastAsia="Amiri" w:cs="Amiri"/>
          <w:color w:val="111111"/>
          <w:sz w:val="28"/>
          <w:sz w:val="28"/>
          <w:szCs w:val="28"/>
          <w:rtl w:val="true"/>
          <w:lang w:bidi="ar-SA"/>
        </w:rPr>
        <w:t xml:space="preserve">ورد بالإعادة، إلا انها من جهة أنه صلى مع التيمم، فيعيد عند </w:t>
      </w:r>
      <w:bookmarkStart w:id="452" w:name="pg9203_87366"/>
    </w:p>
    <w:p>
      <w:pPr>
        <w:pStyle w:val="BookText"/>
        <w:rPr/>
      </w:pPr>
      <w:bookmarkEnd w:id="452"/>
      <w:r>
        <w:rPr>
          <w:rFonts w:ascii="Amiri" w:hAnsi="Amiri" w:eastAsia="Amiri" w:cs="Amiri"/>
          <w:color w:val="111111"/>
          <w:sz w:val="28"/>
          <w:sz w:val="28"/>
          <w:szCs w:val="28"/>
          <w:rtl w:val="true"/>
          <w:lang w:bidi="ar-SA"/>
        </w:rPr>
        <w:t xml:space="preserve">وجدان الماء، وهو مخالف للقواعد الدالة على الإجزاء وعدم إعادة الصلاة اذا وقعت مع التيمم الصحيح، ولا من جهة الصلاة مع الثوب النجس فيعيدها من جهته، وهو أيضاً بعيد؛ لمخالفته للأخبار الدالة على صحة الصلاة في الثوب النجس عند عدم التمكن من غيرها، ولا من جهة المجموع، لكنه مخالف للخبر؛ لأن ظاهره ان الإعادة من جهة النجاسة؛ لسؤاله عن الثوب النجس وعدم التعرض للوضوء وعدم إمكانه، ويمكن أن يكون مع الوضوء، ولم يتعرض في الجواب أيضاً للوضوء، بل ذكر غسل الثوب، فحينئذ يكون الحكم بالإعادة من جهة الثوب، وقد مرّ ان القاعدة تقتضي عدم الإعادة، فيطرح الخبر لضعفه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3" w:name="__RefHeading___Toc3968122_2870459653"/>
      <w:bookmarkStart w:id="454" w:name="_Toc160"/>
      <w:bookmarkEnd w:id="453"/>
      <w:r>
        <w:rPr>
          <w:rtl w:val="true"/>
        </w:rPr>
        <w:t>[</w:t>
      </w:r>
      <w:r>
        <w:rPr>
          <w:rtl w:val="true"/>
        </w:rPr>
        <w:t xml:space="preserve">حكم فاقد الطهورين </w:t>
      </w:r>
      <w:r>
        <w:rPr>
          <w:rtl w:val="true"/>
        </w:rPr>
        <w:t>]</w:t>
      </w:r>
      <w:bookmarkEnd w:id="4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فقد الماء والتراب هل يبقى التكليف في الوقت، أو القضاء في خارجه، أو لا تكليف له أصلاً؟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بل المقطوع انتفاؤه في الوقت؛ لقضية انتفاء المشروط بانتفاء الشرط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صلاة إلا بطهور</w:t>
      </w:r>
      <w:r>
        <w:rPr>
          <w:rFonts w:eastAsia="IRNazanin" w:cs="IRNazanin"/>
          <w:color w:val="111111"/>
          <w:sz w:val="28"/>
          <w:szCs w:val="28"/>
          <w:rtl w:val="true"/>
          <w:lang w:bidi="fa-IR"/>
        </w:rPr>
        <w:t>»</w:t>
      </w:r>
      <w:r>
        <w:rPr>
          <w:rStyle w:val="FootnoteAnchor"/>
          <w:rtl w:val="true"/>
        </w:rPr>
        <w:footnoteReference w:id="1250"/>
      </w:r>
      <w:r>
        <w:rPr>
          <w:rFonts w:ascii="Amiri" w:hAnsi="Amiri" w:eastAsia="Amiri" w:cs="Amiri"/>
          <w:color w:val="111111"/>
          <w:sz w:val="28"/>
          <w:sz w:val="28"/>
          <w:szCs w:val="28"/>
          <w:rtl w:val="true"/>
          <w:lang w:bidi="ar-SA"/>
        </w:rPr>
        <w:t xml:space="preserve">، فإن الظاهر من هذا التركيب نفي الحقيقة والماهية الان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بمقتضى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لنفي ،الجنس، ولا يمكن إثبات الصلاة حينئذ بقاعدة الميسور ورواية عبد الأعلى؛ لأنهما يثبتان ميسور الصلاة لا الميسور من غير المكلف به، وقد ظهر انتفاء حقيقة الصلاة عند فقد الطهور فلا يمكن إثبات الصلاة بها، وحكي في المقام أقوال كلها باطلة</w:t>
      </w:r>
      <w:r>
        <w:rPr>
          <w:rStyle w:val="FootnoteAnchor"/>
          <w:rtl w:val="true"/>
        </w:rPr>
        <w:footnoteReference w:id="1251"/>
      </w:r>
      <w:r>
        <w:rPr>
          <w:rFonts w:ascii="Amiri" w:hAnsi="Amiri" w:eastAsia="Amiri" w:cs="Amiri"/>
          <w:color w:val="111111"/>
          <w:sz w:val="28"/>
          <w:sz w:val="28"/>
          <w:szCs w:val="28"/>
          <w:rtl w:val="true"/>
          <w:lang w:bidi="ar-SA"/>
        </w:rPr>
        <w:t>؛ لعدم الدليل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القضاء فهو ثابت؛ لعموم الأوامر الدالة على قضاء الفوائت 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فريضة</w:t>
      </w:r>
      <w:r>
        <w:rPr>
          <w:rFonts w:eastAsia="IRNazanin" w:cs="IRNazanin"/>
          <w:color w:val="111111"/>
          <w:sz w:val="28"/>
          <w:szCs w:val="28"/>
          <w:rtl w:val="true"/>
          <w:lang w:bidi="fa-IR"/>
        </w:rPr>
        <w:t>... »</w:t>
      </w:r>
      <w:r>
        <w:rPr>
          <w:rStyle w:val="FootnoteAnchor"/>
          <w:rtl w:val="true"/>
        </w:rPr>
        <w:footnoteReference w:id="1252"/>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والمناقشة فيها من جهة عدم صدق الفوت؛ لأنه فرح على ثبوته، ولم يكن ثابتاً حتى يفوت عن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أن الفوت متعلق بالفريضة، ففوت الفريضة موجب للقضاء، فيكون الأمر بالقضاء فرعاً على كون الشيء واجباً على المكلف؛ لظهور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الفرضية</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المراد بالفوت مجرد عدم الدرك مع قيام المقتضي للتكليف، ويكفي في صدقه ثبوت مقتضيه كما في النائم وإلا فلا بدَّ من عدم ثبوت القضاء فيه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المعيار في ثبوت القضاء هی القوة القريبة من الفعلية، لا هي، ولا الشأنية البعيدة كما في الصبي؛ وخروج الحائض من جهة الدليل وإلّا فالقاعدة تقتضي ثبوته فيها؛ لعدم الفرق من حيث المقتضي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المراد بالفريضة ما كان فرضاً على تقدير عدم المانع لا فعلاً ، بل المراد منها المعنى الاسمي لا الوصفي، وهي الفرائض</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التمسك في ثبوت القضاء ببعض الأخبار كصحيحة زرارة</w:t>
      </w:r>
      <w:r>
        <w:rPr>
          <w:rStyle w:val="FootnoteAnchor"/>
          <w:rtl w:val="true"/>
        </w:rPr>
        <w:footnoteReference w:id="1254"/>
      </w:r>
      <w:r>
        <w:rPr>
          <w:rFonts w:ascii="Amiri" w:hAnsi="Amiri" w:eastAsia="Amiri" w:cs="Amiri"/>
          <w:color w:val="111111"/>
          <w:sz w:val="28"/>
          <w:sz w:val="28"/>
          <w:szCs w:val="28"/>
          <w:rtl w:val="true"/>
          <w:lang w:bidi="ar-SA"/>
        </w:rPr>
        <w:t xml:space="preserve">وغيرها فلا وجه له؛ إذ المراد منها صلاحية الأوقات كلها لأداء القضاء في مقابل الأوقات المكروهة في النوافل </w:t>
      </w:r>
      <w:r>
        <w:rPr>
          <w:rFonts w:eastAsia="Amiri" w:cs="Amiri" w:ascii="Amiri" w:hAnsi="Amiri"/>
          <w:color w:val="111111"/>
          <w:sz w:val="28"/>
          <w:szCs w:val="28"/>
          <w:rtl w:val="true"/>
          <w:lang w:bidi="ar-SA"/>
        </w:rPr>
        <w:t xml:space="preserve">. </w:t>
      </w:r>
      <w:bookmarkStart w:id="455" w:name="pg9203_87368"/>
    </w:p>
    <w:p>
      <w:pPr>
        <w:pStyle w:val="Heading2"/>
        <w:numPr>
          <w:ilvl w:val="1"/>
          <w:numId w:val="1"/>
        </w:numPr>
        <w:rPr/>
      </w:pPr>
      <w:bookmarkStart w:id="456" w:name="__RefHeading___Toc3968124_2870459653"/>
      <w:bookmarkStart w:id="457" w:name="_Toc161"/>
      <w:bookmarkEnd w:id="455"/>
      <w:bookmarkEnd w:id="456"/>
      <w:r>
        <w:rPr>
          <w:rtl w:val="true"/>
        </w:rPr>
        <w:t>[</w:t>
      </w:r>
      <w:r>
        <w:rPr>
          <w:rtl w:val="true"/>
        </w:rPr>
        <w:t xml:space="preserve">حكم ما لو أصاب المتيمم الماءَ </w:t>
      </w:r>
      <w:r>
        <w:rPr>
          <w:rtl w:val="true"/>
        </w:rPr>
        <w:t>]</w:t>
      </w:r>
      <w:bookmarkEnd w:id="4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تيمم ثم أصاب الماء فهل ينتقض تيممه أم لا؟</w:t>
      </w:r>
    </w:p>
    <w:p>
      <w:pPr>
        <w:pStyle w:val="BookText"/>
        <w:rPr/>
      </w:pPr>
      <w:r>
        <w:rPr>
          <w:rFonts w:ascii="IRNazanin" w:hAnsi="IRNazanin" w:eastAsia="IRNazanin"/>
          <w:color w:val="111111"/>
          <w:sz w:val="28"/>
          <w:sz w:val="28"/>
          <w:szCs w:val="28"/>
          <w:rtl w:val="true"/>
          <w:lang w:bidi="fa-IR"/>
        </w:rPr>
        <w:t>والإصابة إما قبل الصلاة، أو بعدها، أو في اثنائها وفي الأثناء إما قبل الركوع وبعد التكبير، أو في أثنائه، أو بعد الركوع والمراد من الإصابة ليس مجرد الرؤية وإن لم يتمكن من استعماله ضرورة، وإن كان يشهد له إطلاق الإصابة إلّا ان في بعض الأخبار ما يشهد بخلافه كقوله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بماء ولم يتوضأ</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فلينصرف وليتوضأ </w:t>
      </w:r>
      <w:r>
        <w:rPr>
          <w:rFonts w:eastAsia="IRNazanin" w:cs="IRNazanin"/>
          <w:color w:val="111111"/>
          <w:sz w:val="28"/>
          <w:szCs w:val="28"/>
          <w:rtl w:val="true"/>
          <w:lang w:bidi="fa-IR"/>
        </w:rPr>
        <w:t>»</w:t>
      </w:r>
      <w:r>
        <w:rPr>
          <w:rStyle w:val="FootnoteAnchor"/>
          <w:rtl w:val="true"/>
        </w:rPr>
        <w:footnoteReference w:id="1256"/>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رأى الماء وكان يقدر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على أن المراد بالقدرة هو التمكن من الاستعمال لا مجرد الاستيلاء عليه، مع بعد كون إصابة الماء هي التعبدية المحضة، بل الغرض رفع الحدث، مع كونه معقد إجماع السرائر </w:t>
      </w:r>
      <w:r>
        <w:rPr>
          <w:rStyle w:val="FootnoteAnchor"/>
          <w:rtl w:val="true"/>
        </w:rPr>
        <w:footnoteReference w:id="1257"/>
      </w:r>
      <w:r>
        <w:rPr>
          <w:rFonts w:ascii="Amiri" w:hAnsi="Amiri" w:eastAsia="Amiri" w:cs="Amiri"/>
          <w:color w:val="111111"/>
          <w:sz w:val="28"/>
          <w:sz w:val="28"/>
          <w:szCs w:val="28"/>
          <w:rtl w:val="true"/>
          <w:lang w:bidi="ar-SA"/>
        </w:rPr>
        <w:t>والتذكرة</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بعض الأصحاب </w:t>
      </w:r>
      <w:r>
        <w:rPr>
          <w:rStyle w:val="FootnoteAnchor"/>
          <w:rtl w:val="true"/>
        </w:rPr>
        <w:footnoteReference w:id="1259"/>
      </w:r>
      <w:r>
        <w:rPr>
          <w:rFonts w:ascii="Amiri" w:hAnsi="Amiri" w:eastAsia="Amiri" w:cs="Amiri"/>
          <w:color w:val="111111"/>
          <w:sz w:val="28"/>
          <w:sz w:val="28"/>
          <w:szCs w:val="28"/>
          <w:rtl w:val="true"/>
          <w:lang w:bidi="ar-SA"/>
        </w:rPr>
        <w:t xml:space="preserve">ذكر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عليه الإجماع، ثم ذكر أنه هل يشترط مضي زمان يسع لإتيان التيمم تمكن فيه ؟</w:t>
      </w:r>
    </w:p>
    <w:p>
      <w:pPr>
        <w:pStyle w:val="BookText"/>
        <w:rPr/>
      </w:pPr>
      <w:r>
        <w:rPr>
          <w:rFonts w:ascii="Amiri" w:hAnsi="Amiri" w:eastAsia="Amiri" w:cs="Amiri"/>
          <w:color w:val="111111"/>
          <w:sz w:val="28"/>
          <w:sz w:val="28"/>
          <w:szCs w:val="28"/>
          <w:rtl w:val="true"/>
          <w:lang w:bidi="ar-SA"/>
        </w:rPr>
        <w:t>فيه وجهان بل قولان والأشهر الأظهر اشتراطه هكذا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غيره فكأنهم عنوا بالتمكن مجرد الاستيلاء شرعاً وعقلاً، بأن لا يكون مغصوباً، ولا في بئر بعيدة القعر لا يمكن الوصول إليه، بآلة وكأنه لا حاجة إليه بل يكفي التمكن إذ بعد مضي الزمان لا يكون متمكناً منه، فالإصابة في غير مقام فقدان </w:t>
      </w:r>
    </w:p>
    <w:p>
      <w:pPr>
        <w:pStyle w:val="BookText"/>
        <w:rPr/>
      </w:pPr>
      <w:r>
        <w:rPr>
          <w:rFonts w:ascii="Amiri" w:hAnsi="Amiri" w:eastAsia="Amiri" w:cs="Amiri"/>
          <w:color w:val="111111"/>
          <w:sz w:val="28"/>
          <w:sz w:val="28"/>
          <w:szCs w:val="28"/>
          <w:rtl w:val="true"/>
          <w:lang w:bidi="ar-SA"/>
        </w:rPr>
        <w:t xml:space="preserve">الماء لا إشكال في كون المراد به التمكن مثل المرض لا مجرد الرؤية؛ لأنه يرى الماء ولكن لا يتمكن من استعماله، ولا في مقام فقدان الماء، فيأتي فيه هذه الكلمات، فيكون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قرينة على المراد منها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انه إذا أصاب الماء بعد الصلاة فلا يجب إعادة الصلاة مع الطهارة المائية ، إلا أن يقال</w:t>
      </w:r>
      <w:r>
        <w:rPr>
          <w:rStyle w:val="FootnoteAnchor"/>
          <w:rtl w:val="true"/>
        </w:rPr>
        <w:footnoteReference w:id="1260"/>
      </w:r>
      <w:r>
        <w:rPr>
          <w:rFonts w:ascii="Amiri" w:hAnsi="Amiri" w:eastAsia="Amiri" w:cs="Amiri"/>
          <w:color w:val="111111"/>
          <w:sz w:val="28"/>
          <w:sz w:val="28"/>
          <w:szCs w:val="28"/>
          <w:rtl w:val="true"/>
          <w:lang w:bidi="ar-SA"/>
        </w:rPr>
        <w:t>بالإعادة من جهة اعتبار الضيق الحقيقي في التيمم، وبعد الإصابة يعيد، وقد مر انه صلى صلاة مأموراً بها فتكون 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 الصلاة فلا شبهة أيضاً في انتقاضه، فإن أخلّ بالوضوء ففقد الماء بعد مضي زمان الاستعمال تيمم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يمض بقدره فإنه ينكشف عن عدم النقض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الأثناء فهل يجري حكمه في أثناء التكبيرة ولو بعد التلفظ بهمزة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مقتضى كون التكبيرة جزءًا من الصلاة كون جزئها أيضاً كذلك، فبالدخول فيه يتحقق الدخول في الصلاة كما هو مقتضى التركيب بحسب العقل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بكون الإصابة في الأثناء قبل الركوع أيضاً ناقضاً يحكم به هنا،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ورد الدليل على أن الأحكام التي تثبت في أثناء الصلاة كالمحرمات لا يترتب إلّا بعد تمامية التكبيرة، مثل ما دل على أن افتتاح الصلاة انما هو بالتكبير ؛ فانفتاح الصلاة يتوقف على انعقاد التكبيرة وقبلها لم تفتح الصلاة ولم يحصل الدخول فيها، فلابد إما من القول بخروجها حكماً عن الأحكام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بعدم كون مطلق أجزائها جزءًا للصلاة، بل الجزء بوصف الجزئية يكون جزءًا، فالهمزة المتعقبة بالراء هي جزء لا مطلقها، فلو حصل القطع في أثناء التكبيرة يكشف عن عدم حصول الجزء وعدم كونها جزءاً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بعد التكبيرة فإن كانت الإصابة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عدم الخلاف في عدم الانتقاض ، ولا اعتناء بمخالفة الكتاب وحصره عدم النقض بما بعد ركوع الركعة الثانية، وتدل عليه أيضاً جملة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قبله فالأخبار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والمشهور</w:t>
      </w:r>
      <w:r>
        <w:rPr>
          <w:rStyle w:val="FootnoteAnchor"/>
          <w:rtl w:val="true"/>
        </w:rPr>
        <w:footnoteReference w:id="1261"/>
      </w:r>
      <w:r>
        <w:rPr>
          <w:rFonts w:ascii="Amiri" w:hAnsi="Amiri" w:eastAsia="Amiri" w:cs="Amiri"/>
          <w:color w:val="111111"/>
          <w:sz w:val="28"/>
          <w:sz w:val="28"/>
          <w:szCs w:val="28"/>
          <w:rtl w:val="true"/>
          <w:lang w:bidi="ar-SA"/>
        </w:rPr>
        <w:t>على عدم النقض بمجرد الدخول ؛ للأصل براءةً واستصحاباً وعموم المنزلة، وكفاية التراب عشر سنين، وعموم التعليل في صحيحة زرارة لمكان انه دخلها على طهر، وخبر ابن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تيمم ثم دخل في الصلاة وقد كان طلب الماء فلم يقدر عليه ثم يؤتى</w:t>
      </w:r>
    </w:p>
    <w:p>
      <w:pPr>
        <w:pStyle w:val="BookText"/>
        <w:rPr/>
      </w:pPr>
      <w:r>
        <w:rPr>
          <w:rFonts w:ascii="Amiri" w:hAnsi="Amiri" w:eastAsia="Amiri" w:cs="Amiri"/>
          <w:color w:val="111111"/>
          <w:sz w:val="28"/>
          <w:sz w:val="28"/>
          <w:szCs w:val="28"/>
          <w:rtl w:val="true"/>
          <w:lang w:bidi="ar-SA"/>
        </w:rPr>
        <w:t>بالماء حين يدخل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الصلاة</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المراد يؤتى بالماء بعد الدخول ؛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إصابة الماء بعد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لوكان المراد به حين الدخول بناءً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دخل وتوضيحاً له وعطفاً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الماء فلم يقدر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انه أوجد شرط التيمم، وهو طلب الماء، ووجد الماء حين الدخول،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مقارن الدخول، ومقتضاه حينئذ خلاف الإجماع، فإنه قائم على انتقاض التيمم برؤية الماء مع التمكن قبل الدخول في الصلاة ولو كان مقارناً له، فلا يمكن ابقاؤه على حقيقته، فيحمل على أقرب المجازات إليه، وهو أوائل الصلاة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وحينئذ يقع التعارض بين هذه الفقرة وبين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ظهوره في بعد الدخول مطلقاً ظاهراً، لكن ظهوره أقوى بالنسبة إلى الأولى، فيمكن صرفها على إرادة المقيد، ولا يمكن العكس؛ لعدم قوته للانصراف لكونه مطلقاً، فلا ينصرف في المقيد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كذلك لو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يؤتى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صحته في نفسه؛ للزوم التكرار، فكأنه بمنزلة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ثم دخل فالمناسب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فأصاب الماء، فالظاهر هو الأول، فيكون التعارض بينه وبين الخبرين الدالين على التفصيل تعارضاً تباينياً، فلابد من التماس المرجحات الدلالية، وإلا فالسندية،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هذا الخبر نص في عدم الانصراف، بخلاف الأمر بالانصراف في المذكورين؛ فإنه ظاهر في الوجوب؛ لإمكان كونه للاستحباب مع كون استعمال الأمر شائعاً فيه حتى صار من الحقيقة عند بعض، بخلافه لو عملنا بالخبرين؛ للزومه طرح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بعدم لزوم الطرح حينئذ أيضاً؛ لإمكان حمل الدخول في هذا الخبر على الدخول في الركوع ؛ فإن الدخول الكامل في الصلاة هو الدخول فيه، لكنه ضعيف فيحمل على ظاهره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استدل به على مذهب المشهور عموم التعليل في صحيح زرارة ومحمد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في رجل لم يصب الماء وحضرت الصلاة، فتيمم وصلى ركعتين ثم أصاب الماء أينقض الركعتين، أو يقطعهما ويتوضأ ثم يصلي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ولكنه يمضي في صلاته ولا ينقضها؛ لمكان انه دخلها على طهور بتيمم</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حيث يدل التعليل بعمومه على المضي لمجرد الدخول في الصلاة، والدخول على الطهر علة للمضي سواء كانت إصابة الماء قبل الركوع أو بعده، لكن مثل هذا التعليل موجود في صحيح زرارة الدال على التفصيل حيث علل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التيمم أحد الطهورين ، وهذا التعليل علة لعدم الانصراف بعد الركوع لا الانصراف قبله؛ لعدم ربطه به، فيعلم من تعليل عدم الانصراف بعده بذلك وحكمه بالانصراف قبله ان مجرد الدخول في الصلاة مع الطهر ليس علة للمضي والا كان موجوداً قبل الركوع أيضاً، فيكون جزء العلة، والجزء الآخر هو الركوع، فهذا </w:t>
      </w:r>
    </w:p>
    <w:p>
      <w:pPr>
        <w:pStyle w:val="BookText"/>
        <w:rPr/>
      </w:pPr>
      <w:r>
        <w:rPr>
          <w:rFonts w:eastAsia="Times New Roman" w:cs="Times New Roman" w:ascii="Times New Roman" w:hAnsi="Times New Roman"/>
          <w:color w:val="111111"/>
          <w:sz w:val="28"/>
          <w:szCs w:val="28"/>
          <w:lang w:val="en-US" w:bidi="en-US"/>
        </w:rPr>
        <w:t>362</w:t>
      </w:r>
    </w:p>
    <w:p>
      <w:pPr>
        <w:pStyle w:val="BookText"/>
        <w:rPr/>
      </w:pPr>
      <w:r>
        <w:rPr>
          <w:rFonts w:ascii="Amiri" w:hAnsi="Amiri" w:eastAsia="Amiri" w:cs="Amiri"/>
          <w:color w:val="111111"/>
          <w:sz w:val="28"/>
          <w:sz w:val="28"/>
          <w:szCs w:val="28"/>
          <w:rtl w:val="true"/>
          <w:lang w:bidi="ar-SA"/>
        </w:rPr>
        <w:t xml:space="preserve">الخبر معارض لعموم التفصيل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الانصراف وعدم 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الفقرة الثانية به دون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دعوى أظهرية عموم التعليل من ظهور هذا الخبر ؛ لأن التعليل يكون عاماً مع شيوع حمل الأمر على الاستحباب، فيقدم ظهور التعليل خصوصاً بقرينة الخبر فإن الأخبار يكشف بعضها عن بعض، ولا معارضة بين التعليلين أيضاً؛ لإمكان كون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المكان انه دخلها على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للمضي وجوازه، فالدخول على طهر التيمم علة الجواز المضي كلية والتعليل الثاني علة لحتمية المضي فحتمية المضي علته الدخول مع الطهر والوصول إلى الركوع، وكون الشخص مع التيمم أعظم أجزاء العلة، استند الفعل إليه لكونه مقتضياً، والأثر مستند حقيقة إلى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 في التيمم منقصة في حد ذاته بالنسبة إلى الوضوء، يمكن بسببها نقض الصلاة لأجل درك الكامل قبل الركوع؛ لعدم حصول الدخول المحرم، بخلاف بعد الركوع، فإن المنقصة الذاتية في التيمم انجبرت بحصول الكمال من جهة الدخول في الركوع المحرم ، فلا يمكن إبطال الصلاة حينئذ ؛ لدخول المحرم في نظر الشارع بواسطة الركوع، فكأن الدخول في الصلاة حصل حين الدخول في الركوع، فيحرم القطع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قلنا بأظهرية التعليل وخبر محمد بن حمران عن خبر التفصيل، فيحمل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بعدم الأظهرية، فإن قلنا بكون خبر ابن حمران مطلق، فلا إشكال في حمله على المقيد، وهو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بظهوره في أوائل الصلاة فيكون مبايناً للآخر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وقاعدة الجمع في المتعارضين أنه إن احتاج الجمع إلى التصرف فيهما فحينئذ يرجع إلى المرجحات السندية، وإن كان في أحدهما الغير المعين فإن رجحنا التعبد بالصدور </w:t>
      </w:r>
    </w:p>
    <w:p>
      <w:pPr>
        <w:pStyle w:val="BookText"/>
        <w:rPr/>
      </w:pPr>
      <w:r>
        <w:rPr>
          <w:rFonts w:ascii="Amiri" w:hAnsi="Amiri" w:eastAsia="Amiri" w:cs="Amiri"/>
          <w:color w:val="111111"/>
          <w:sz w:val="28"/>
          <w:sz w:val="28"/>
          <w:szCs w:val="28"/>
          <w:rtl w:val="true"/>
          <w:lang w:bidi="ar-SA"/>
        </w:rPr>
        <w:t>على أصالة الظهور يتعارض أصالة الحقيقة في كل منهما ويتساقطان، فيكونان مجملين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إما أن يقال بالرجوع إلى المرجحات السندية بناءً على تعميم التحير المأخوذ في الأخبار العلاجية للتحير الحاصل من جهة اشتباه المتصرف فيه بغيره، وعدم تخصيصه بالتنافي في الحكم وبما يكون كل منهما منافياً للآخر، فهنا يكون الترجيح للخبر الدال على المضي؛ لأشهريته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بعدم الرجوع إلى المرجحات السندية، بل يرجع إلى العمومات الثابتة في المسألة، وإلا فإلى الأصول ؛ والعمومات الموجودة في هذه المسألة ما دل على ثبوت التيمم لو لم يصب الماء، وانتقاضه بالإصابة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مقيدة بالتمكن العقلي كذلك مقيدة بالتمكن الشرعي، والنواهي الدالة على حرمة قطع الصلاة مقيدة بها،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إصابة الماء ناقضة، فلابدَّ من قطعها إلا في صورة حرمة القطع، لكن هل يكون المقيد حينئذ هو العنوان الكلي أي يجب القطع إلا في موضع لا يجب المضي حتى لا يصلح التمسك بالإطلاق في المصداق المشتبه، وهو قبل الركوع، بمعنى انه أيضاً مصداق للمقيد الخارج عن تحت المطلق، فيكون من موارد حرمة القطع ، أو يكون المقيد هو المصداق،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التيمم بمجرد الإصابة إلا بعد الركوع والا فلا حتى يمكن التمسك بالإطلاق في موارد الاشتباه؛ والظاهر هو الثاني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حصل الاشتباه في ذلك يرجع أيضاً إلى الإطلاق لعدم العلم بالمانع؛ لأن المانع هو كون المقيد عنواناً، ولو ادعى كون المقيد هو العنوان وعدم بقاء العموم فلابد من الرجوع للأصول، والاستصحاب فهل يجري في المقام أو لا بناءً على عدم حجيته في الشك في المقتضي كما هنا؛ لأن الشك في أن الطهارة الترابية بعد الدخول في الصلاة هل يقتضي البقاء والمضي مطلقاً، أو يكون مقتضياً ما لم يجد الماء؟ </w:t>
      </w:r>
    </w:p>
    <w:p>
      <w:pPr>
        <w:pStyle w:val="BookText"/>
        <w:rPr/>
      </w:pPr>
      <w:r>
        <w:rPr>
          <w:rFonts w:ascii="Amiri" w:hAnsi="Amiri" w:eastAsia="Amiri" w:cs="Amiri"/>
          <w:color w:val="111111"/>
          <w:sz w:val="28"/>
          <w:sz w:val="28"/>
          <w:szCs w:val="28"/>
          <w:rtl w:val="true"/>
          <w:lang w:bidi="ar-SA"/>
        </w:rPr>
        <w:t>مقتضى ما ذكروه</w:t>
      </w:r>
      <w:r>
        <w:rPr>
          <w:rStyle w:val="FootnoteAnchor"/>
          <w:rtl w:val="true"/>
        </w:rPr>
        <w:footnoteReference w:id="1264"/>
      </w:r>
      <w:r>
        <w:rPr>
          <w:rFonts w:ascii="Amiri" w:hAnsi="Amiri" w:eastAsia="Amiri" w:cs="Amiri"/>
          <w:color w:val="111111"/>
          <w:sz w:val="28"/>
          <w:sz w:val="28"/>
          <w:szCs w:val="28"/>
          <w:rtl w:val="true"/>
          <w:lang w:bidi="ar-SA"/>
        </w:rPr>
        <w:t>من أن التيمم لا يرفع الحدث، بل يحصل به مجرد الإباحة، واستباحة الدخول في الصلاة هو كون الشك في المقتضي؛ لعدم العلم بكون الحكم مقتضياً للإمضاء مطلقاً وحكمه ثابت مطلقاً أو لا؟</w:t>
      </w:r>
    </w:p>
    <w:p>
      <w:pPr>
        <w:pStyle w:val="BookText"/>
        <w:rPr/>
      </w:pPr>
      <w:r>
        <w:rPr>
          <w:rFonts w:ascii="Amiri" w:hAnsi="Amiri" w:eastAsia="Amiri" w:cs="Amiri"/>
          <w:color w:val="111111"/>
          <w:sz w:val="28"/>
          <w:sz w:val="28"/>
          <w:szCs w:val="28"/>
          <w:rtl w:val="true"/>
          <w:lang w:bidi="ar-SA"/>
        </w:rPr>
        <w:t>بخلاف 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يرفع الحدث، فإنه يكون مقتضياً مطلقاً إلى أن يحصل الرافع، وعلى المشهور </w:t>
      </w:r>
      <w:r>
        <w:rPr>
          <w:rStyle w:val="FootnoteAnchor"/>
          <w:rtl w:val="true"/>
        </w:rPr>
        <w:footnoteReference w:id="1265"/>
      </w:r>
      <w:r>
        <w:rPr>
          <w:rFonts w:ascii="Amiri" w:hAnsi="Amiri" w:eastAsia="Amiri" w:cs="Amiri"/>
          <w:color w:val="111111"/>
          <w:sz w:val="28"/>
          <w:sz w:val="28"/>
          <w:szCs w:val="28"/>
          <w:rtl w:val="true"/>
          <w:lang w:bidi="ar-SA"/>
        </w:rPr>
        <w:t xml:space="preserve">من حجيته </w:t>
      </w:r>
      <w:r>
        <w:rPr>
          <w:rStyle w:val="FootnoteAnchor"/>
          <w:rtl w:val="true"/>
        </w:rPr>
        <w:footnoteReference w:id="1266"/>
      </w:r>
      <w:r>
        <w:rPr>
          <w:rFonts w:ascii="Amiri" w:hAnsi="Amiri" w:eastAsia="Amiri" w:cs="Amiri"/>
          <w:color w:val="111111"/>
          <w:sz w:val="28"/>
          <w:sz w:val="28"/>
          <w:szCs w:val="28"/>
          <w:rtl w:val="true"/>
          <w:lang w:bidi="ar-SA"/>
        </w:rPr>
        <w:t>في الشك في المقتضي يجري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تارة في الموضوع، وأخرى في الأثر والحكم؛ وعلى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التيمم طهارة اضطرارية مشروعة في حال الاضطرار، ولا نعلم رفع الاضطرار عند الإصابة، فيستصحب الاضطرار فيترتب عليه الحكم، فالاضطرار وعدم التمكن حالة وجودية مقتضية للبقاء إلى أن يحصل الرافع فيستصحب عدم الرافع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الكلام 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بأظهرية خبر ابن حمران فلا إشكال في تقديمه، ولكنَّ الانصاف عدم فهم الظهور منه ، وعدم الاطمئنان بكونها أظهر بالنسبة إلى غيره، ويحتمل ثبوت الأظهرية له في نظر العرف ويحتمل المساواة، وإذا كان كذلك يؤخذ بخبر محمد بن حمران؛ لأن احتمال الأظهرية انما يكون فيه لا غير، فإن كان مساوياً فلابد من الرجوع إلى المرجحات السندية، ومنها الشهرة، وهي ثابتة في خبر محمد، ولو كان أظهر أيضاً يجب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احتمل في كل منهما الأظهرية لا يرجع إلى المرجحات السندية؛ لعدم تناول أدلة العلاج إلا المتكافئين وهنا يحتمل الأظهرية فليسا متكافئين فيرجع إلى العمومات، وإلا فإلى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والعمومات في المقام كما مرَّ وان لم يكن الرجوع إليها لما مر من تقييدها بعنوان المتبين المفهوم المجمل بحسب المصداق فيرجع إلى الأصول، والأصل في المقام هو استصحاب الصحة وعدم الانتقاض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أصل وارد عليه هو استصحاب انتقاض التيمم قبل الصلاة بوجود الماء بمعنى انه لو وجد الماء قبل الصلاة ينتقض التيمم قطعاً، ولا نعلم بعد الدخول أن الدخول في الصلاة مانع منه أم لا؟ وبعد اجراء استصحاب الناقضية لم يبق شك حتى يجري الاستصحاب الثاني، ففي الحقيقة الشك الثاني مسبب عن الشك الأول، وبعد جريان الأصل في السبب والوارد لا يجري الأصل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هنا شك في المقتضي؛ لأن التيمم على المشهور</w:t>
      </w:r>
      <w:r>
        <w:rPr>
          <w:rStyle w:val="FootnoteAnchor"/>
          <w:rtl w:val="true"/>
        </w:rPr>
        <w:footnoteReference w:id="1267"/>
      </w:r>
      <w:r>
        <w:rPr>
          <w:rFonts w:ascii="Amiri" w:hAnsi="Amiri" w:eastAsia="Amiri" w:cs="Amiri"/>
          <w:color w:val="111111"/>
          <w:sz w:val="28"/>
          <w:sz w:val="28"/>
          <w:szCs w:val="28"/>
          <w:rtl w:val="true"/>
          <w:lang w:bidi="ar-SA"/>
        </w:rPr>
        <w:t>لا يرفع الحدث بل هو بحكم الشارع مجرد إباحة لا تحصل به حالة حتى تكون قابلة للبقاء، ويشك في الرافع، بل الشك في أن حكم الشارع المقتضي لعدم الانتقاض هل ثابت في مورد الشك أم لا؟ فحكمه ليس أمراً مقتضياً للبقاء إلى الأبد، وليس الشك في المقتضي حجة بمقتضى أخبار عدم نقض اليقين الا به ؛ إذ النقض بحسب الأصل هو انقطاع الشيء المستمر حساً، وحيث لا يمكن إرادة المعنى الحقيقي هنا، فيحمل على الأقرب، وهو رفع الشيء الذي له استمرار بحسب الذات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يقال بعدم تسليم هذا الظهور، وان النقض أعم من ذلك، بل هو رفع الشيء الثابت المستحكم فإنه مقابل 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وأبرم الحبل إذا فتله، ونقضه رفع فتله ، فنقض الشيء عبارة عن رفع استحكامه، فاستعمال النقض بملاحظة رفع الاستحكام، لا بملاحظة رفع الاستمرار الثابت فيه حتى يلزم تقييد موضوعه بالمستمر، بل لو كان الشيء بحيث ارتفع استحكامه بنفسه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 وانتقض، كما 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يَنقَضَ فَأَقَامَهُ </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 فالحبل إذا ارتفع فتله بنفسه أيضاً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المتعدي واللازم إلا باعتبار لزوم اسناده إلى الفاعل في الأول، وإسناده إلى نفس الشيء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النقض بملاحظة رفع الاستمرار لكان استعمال النقض والانتقاض في التيمم مجازاً؛ إذ هو على المشهور من عدم رفعه الحدث مجرد الحكم لجواز الدخول في الصلاة معه، ولا يحصل به حالة قابلة للبقاء حتى يكون وجود الماء رافعاً له كالوضوء بالنسبة إلى الحدث، بل كذلك لو قلنا بحصول التخفيف لسببه في الحالة، ويحصل به حالة خفيفة؛ لأنه كما يكون وجود في حال الاضطرار كذلك يكون أثره مشروطاً بالاضطرار فإذا ارتفع الاضطرار ارتفع أثره، فليس قابلاً للبقاء؛ لأن موضوعه المضطر وعادم الماء، فإذا وجد الماء لم يبق له مقتض أصلاً حتى يستند الانتقاض إلى الرافع، ومن خصّ حجية الاستصحاب بالشك في الرافع معترف بكون الشك فيه من حيث المقتضي، فبمقتضى كلام أهل اللغة </w:t>
      </w:r>
      <w:r>
        <w:rPr>
          <w:rStyle w:val="FootnoteAnchor"/>
          <w:rtl w:val="true"/>
        </w:rPr>
        <w:footnoteReference w:id="1269"/>
      </w:r>
      <w:r>
        <w:rPr>
          <w:rFonts w:ascii="Amiri" w:hAnsi="Amiri" w:eastAsia="Amiri" w:cs="Amiri"/>
          <w:color w:val="111111"/>
          <w:sz w:val="28"/>
          <w:sz w:val="28"/>
          <w:szCs w:val="28"/>
          <w:rtl w:val="true"/>
          <w:lang w:bidi="ar-SA"/>
        </w:rPr>
        <w:t>من كون النقض ضد الإبرام، ومقتضى استعماله والانتقاض في هذا الباب في جملة من الأخبار يكون النقض عاماً، وانه بملاحظة رفع الاستحكام، ويرشد إليه نفس أخبار الاستصحاب، حيث علق النقض على اليقين الذي ليس قابلاً للاستمرار ، بل بقاؤه من حيث مقتضيه، ولا تحتاج إلى التصرف في اليقين بملاحظة النقض بتقييد المتيقن بالمستمر،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النقض هنا بملاحظة ان اليقين كان متحققاً وثابتاً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الايراد الأول،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الانتقاض لا يتم ولا يجري؛ لأن الاستصحاب لا بد فيه من كون الموضوع متيقناً، والموضوع هو المتمكن من استعمال الماء عقلاً وشرعاً، وفي أثناء الصلاة لو وجد الماء وان كان قادراً على استعمال الماء عقلاً، </w:t>
      </w:r>
    </w:p>
    <w:p>
      <w:pPr>
        <w:pStyle w:val="BookText"/>
        <w:rPr/>
      </w:pPr>
      <w:r>
        <w:rPr>
          <w:rFonts w:ascii="Amiri" w:hAnsi="Amiri" w:eastAsia="Amiri" w:cs="Amiri"/>
          <w:color w:val="111111"/>
          <w:sz w:val="28"/>
          <w:sz w:val="28"/>
          <w:szCs w:val="28"/>
          <w:rtl w:val="true"/>
          <w:lang w:bidi="ar-SA"/>
        </w:rPr>
        <w:t xml:space="preserve">لكن لا يعلم تمكنه شرعاً أيضاً؛ لإمكان كون الواجب عليه في هذه الحال المضي في الصلاة، فلا يكون قادراً على الاستعمال شرعاً، فلا يمكن استصحاب الانتقاض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بإمكان إثبات القدرة فإن براءة الذمة عن المضي فلا يجب عليه المضي حتى لا يكون قادراً ،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الناقضية وعدمها مسبب عن الشك في وجوب المضي وعدمه؛ لأنه إذا كان المضي واجباً يكون التيمم باقياً وإلا فلا، والأصل لا يجري في الحكم التكليفي؛ لأنه ناشئ عن أن الشارع هل اكتفى بهذه الطهارة في هذه الحال وصار هذا المقدار من العمل في نظره محترماً كما في بعد الركوع أو لا؟</w:t>
      </w:r>
    </w:p>
    <w:p>
      <w:pPr>
        <w:pStyle w:val="BookText"/>
        <w:rPr/>
      </w:pPr>
      <w:r>
        <w:rPr>
          <w:rFonts w:ascii="Amiri" w:hAnsi="Amiri" w:eastAsia="Amiri" w:cs="Amiri"/>
          <w:color w:val="111111"/>
          <w:sz w:val="28"/>
          <w:sz w:val="28"/>
          <w:szCs w:val="28"/>
          <w:rtl w:val="true"/>
          <w:lang w:bidi="ar-SA"/>
        </w:rPr>
        <w:t>وبعبارة أخرى المضي انما يجب في العمل الصحيح دون الفاسد، ولا يعلم صحته حتى يجب المضي فيه ضرورة عدم وجوب المضي في العمل الباطل، ولا يمكن الاستصحاب؛ إذ المراد به استصحاب صحة الأجزاء السابقة، بحيث لو لحقها خصوص الأجزاء والشرائط التي كانت سابقاً لو لحقت بالأجزاء السابقة صح العمل، وهذا موقوف على عدم حدوث القاطع، فيرجع أيضاً إلى الشك في الناقضية وعدمها، فلا يجري الاستصحاب في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فإن قلنا باتحاد الحكم الوضعي، أي الانتقاض، والتكليفي، وهو وجوب المضي، فلا يكون هنا أصل، فيرجع إلى أصل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قلنا بعدم اتحادهما، وأن النقض وإن انتزع من عدم وجوب المضي شيء آخر مغاير له كالسببية المنتزعة من الحكم التكليفي المغايرة له، فيجري الأصل في الانتقاض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الفريضة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النافلة فيشكل جريان الاستصحاب فيها بناءً على أن التيمم طهارة اضطرارية، وبعد جواز قطع النافلة لا اضطرار أبداً شرعاً، بخلاف الفريضة فيحرم قطعها، فلا يكون متمكناً من الطهارة المائية حينئذ، مع جريان الإشكالات المذكورة في الاستصحاب في النافلة أيضاً، وعدم شمول الأدلة الدالة على عدم الانتقاض في الأثناء في النافلة؛ لإنصرافها إلى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مطلقة، كأحد الخبرين الدال على التفصيل بين الركوع وغيره </w:t>
      </w:r>
      <w:r>
        <w:rPr>
          <w:rStyle w:val="FootnoteAnchor"/>
          <w:rtl w:val="true"/>
        </w:rPr>
        <w:footnoteReference w:id="1270"/>
      </w:r>
      <w:r>
        <w:rPr>
          <w:rFonts w:ascii="Amiri" w:hAnsi="Amiri" w:eastAsia="Amiri" w:cs="Amiri"/>
          <w:color w:val="111111"/>
          <w:sz w:val="28"/>
          <w:sz w:val="28"/>
          <w:szCs w:val="28"/>
          <w:rtl w:val="true"/>
          <w:lang w:bidi="ar-SA"/>
        </w:rPr>
        <w:t>، فإن مضمونه جواز إتيان صلاة الليل والنهار كلها بالتيمم، والظاهر إطلاقها بالنسبة إلى النوافل الواقعة في الليل والنهار سيما المرتبة منها، مع أنه يمكن أن يكون للعمل احترام في نظر الشارع ولو كان جائز القطع حتى اكتفى بالطهارة الترابية كما في قبل الركوع بناءً على المذهب المشهور</w:t>
      </w:r>
      <w:r>
        <w:rPr>
          <w:rStyle w:val="FootnoteAnchor"/>
          <w:rtl w:val="true"/>
        </w:rPr>
        <w:footnoteReference w:id="1271"/>
      </w:r>
      <w:r>
        <w:rPr>
          <w:rFonts w:ascii="Amiri" w:hAnsi="Amiri" w:eastAsia="Amiri" w:cs="Amiri"/>
          <w:color w:val="111111"/>
          <w:sz w:val="28"/>
          <w:sz w:val="28"/>
          <w:szCs w:val="28"/>
          <w:rtl w:val="true"/>
          <w:lang w:bidi="ar-SA"/>
        </w:rPr>
        <w:t>في الفريضة من استحباب الانصراف، فانه يجوز القطع ، لكن اقتنع الشارع بالبدل ما لم يقطعه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انه لا دليل تطمئن به النفس بعدم الانتقاض؛ لأن الخبر المذكور يمكن منع اطلاقه؛ لأن الصلاة مع التيمم انما يكون في ضيق الوقت الذي لا يسع لفعل النافلة، فهذا موجب لانصراف المراد إلى غير النافلة فالأظهر نقض النافلة ثم إتيانها بالطهارة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وجد الماء في أثناء الصلاة، ثم فقد بعدها قبل التمكن من استعماله، فهل ينتقض التيمم بالنسبة إلى الصلاة الاخرى التي لا يجد الماء في وقتها أصلاً؛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اقمتم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لظهوره في لزوم إتيان الطهارة لكل صلاة، خرج منها الطهارة المائية والمتيمم الذي لا يجد الماء أبداً إلى الصلاة الأخرى، والباقي داخل تحت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يصب الماء </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لدلالته على أن إصابة الماء ناقض للتيمم ، لكن الظاهر ان المراد بالآية ليس ذلك، ولو كان فإنما هو من باب الغالب من كون الشخص بلا طهارة أصلاً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ظاهره، فإن مجرد رؤية الماء مع عدم التمكن </w:t>
      </w:r>
      <w:bookmarkStart w:id="458" w:name="pg9203_87379"/>
    </w:p>
    <w:p>
      <w:pPr>
        <w:pStyle w:val="BookText"/>
        <w:rPr/>
      </w:pPr>
      <w:bookmarkEnd w:id="458"/>
      <w:r>
        <w:rPr>
          <w:rFonts w:ascii="Amiri" w:hAnsi="Amiri" w:eastAsia="Amiri" w:cs="Amiri"/>
          <w:color w:val="111111"/>
          <w:sz w:val="28"/>
          <w:sz w:val="28"/>
          <w:szCs w:val="28"/>
          <w:rtl w:val="true"/>
          <w:lang w:bidi="ar-SA"/>
        </w:rPr>
        <w:t>من استعماله غير ناقض فيكون المراد بها إصابة المتمكن من استعماله عقلاً، وكذلك شرعاً، فحينئذ في النافلة والفريضة قبل الركوع يتمكن من استعماله؛ لجواز القطع فيصدق الإصابة المتمكن من استعماله، بخلاف بعد الركوع، فانه لا يجوز له قطع الصلاة، فلا يتمكن شرعاً، فلا يتحقق الناقض، فيكون التيمم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Heading2"/>
        <w:numPr>
          <w:ilvl w:val="1"/>
          <w:numId w:val="1"/>
        </w:numPr>
        <w:rPr/>
      </w:pPr>
      <w:bookmarkStart w:id="459" w:name="__RefHeading___Toc3968126_2870459653"/>
      <w:bookmarkStart w:id="460" w:name="_Toc162"/>
      <w:bookmarkEnd w:id="459"/>
      <w:r>
        <w:rPr>
          <w:rtl w:val="true"/>
        </w:rPr>
        <w:t xml:space="preserve">[ </w:t>
      </w:r>
      <w:r>
        <w:rPr>
          <w:rtl w:val="true"/>
        </w:rPr>
        <w:t>كفاية التيمم لغاية خاصة لإتيان جميع الغايات</w:t>
      </w:r>
      <w:r>
        <w:rPr>
          <w:rtl w:val="true"/>
        </w:rPr>
        <w:t>]</w:t>
      </w:r>
      <w:bookmarkEnd w:id="460"/>
    </w:p>
    <w:p>
      <w:pPr>
        <w:pStyle w:val="BookText"/>
        <w:rPr/>
      </w:pPr>
      <w:r>
        <w:rPr>
          <w:rFonts w:ascii="Amiri" w:hAnsi="Amiri" w:eastAsia="Amiri" w:cs="Amiri"/>
          <w:color w:val="111111"/>
          <w:sz w:val="28"/>
          <w:sz w:val="28"/>
          <w:szCs w:val="28"/>
          <w:rtl w:val="true"/>
          <w:lang w:bidi="ar-SA"/>
        </w:rPr>
        <w:t>لو تيمم لغاية خاصة فهل يجوز إتيان الغايات الأُخر التي شرع لها التيمم ويكفي التيمم الواحد للجميع ، أو لا بد من تيمم آخر سواء كانت الغاية من سنخها أو من غير ،سنخها، كما لو تيمم للصلاة فهل يجوز المس معه أو لا؟</w:t>
      </w:r>
    </w:p>
    <w:p>
      <w:pPr>
        <w:pStyle w:val="BookText"/>
        <w:rPr/>
      </w:pPr>
      <w:r>
        <w:rPr>
          <w:rFonts w:ascii="Amiri" w:hAnsi="Amiri" w:eastAsia="Amiri" w:cs="Amiri"/>
          <w:color w:val="111111"/>
          <w:sz w:val="28"/>
          <w:sz w:val="28"/>
          <w:szCs w:val="28"/>
          <w:rtl w:val="true"/>
          <w:lang w:bidi="ar-SA"/>
        </w:rPr>
        <w:t xml:space="preserve">الظاهر الجواز، أما في السنخ الواحد فللخبر الدال على جواز إتيان صلاة الليل والنهار كلها بتيمم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السنخ المتعدد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بمنزلة الماء</w:t>
      </w:r>
      <w:r>
        <w:rPr>
          <w:rFonts w:eastAsia="Amiri" w:cs="Amiri" w:ascii="Amiri" w:hAnsi="Amiri"/>
          <w:color w:val="111111"/>
          <w:sz w:val="28"/>
          <w:szCs w:val="28"/>
          <w:rtl w:val="true"/>
          <w:lang w:bidi="ar-SA"/>
        </w:rPr>
        <w:t>»</w:t>
      </w:r>
      <w:r>
        <w:rPr>
          <w:rStyle w:val="FootnoteAnchor"/>
          <w:rtl w:val="true"/>
        </w:rPr>
        <w:footnoteReference w:id="1273"/>
      </w:r>
      <w:r>
        <w:rPr>
          <w:rFonts w:ascii="IRNazanin" w:hAnsi="IRNazanin" w:eastAsia="IRNazanin"/>
          <w:color w:val="111111"/>
          <w:sz w:val="28"/>
          <w:sz w:val="28"/>
          <w:szCs w:val="28"/>
          <w:rtl w:val="true"/>
          <w:lang w:bidi="fa-IR"/>
        </w:rPr>
        <w:t xml:space="preserve">في ذيل هذا الخبر؛ لعموم أدلة المنزلة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بمنزلة الماء ، و التراب أحد الطهورين</w:t>
      </w:r>
      <w:r>
        <w:rPr>
          <w:rFonts w:eastAsia="IRNazanin" w:cs="IRNazanin"/>
          <w:color w:val="111111"/>
          <w:sz w:val="28"/>
          <w:szCs w:val="28"/>
          <w:rtl w:val="true"/>
          <w:lang w:bidi="fa-IR"/>
        </w:rPr>
        <w:t>»</w:t>
      </w:r>
      <w:r>
        <w:rPr>
          <w:rStyle w:val="FootnoteAnchor"/>
          <w:rtl w:val="true"/>
        </w:rPr>
        <w:footnoteReference w:id="1274"/>
      </w:r>
      <w:r>
        <w:rPr>
          <w:rFonts w:ascii="Amiri" w:hAnsi="Amiri" w:eastAsia="Amiri" w:cs="Amiri"/>
          <w:color w:val="111111"/>
          <w:sz w:val="28"/>
          <w:sz w:val="28"/>
          <w:szCs w:val="28"/>
          <w:rtl w:val="true"/>
          <w:lang w:bidi="ar-SA"/>
        </w:rPr>
        <w:t>، فيدل على جواز إتيان كل ما يشترط فيه الطهارة مع التيمم الواحد كالوضوء، لكن هذا فيما علق على الطهارة وكان العنوان هي الطهارة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العنوان هو الفعل الخاص كالغسل مثلاً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جُنُبًا إِلَّا عَابِرِي سَبِيلِ حَتَّى تَغْتَسِلُوا </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 وكذا في الطواف كما عن الفخر</w:t>
      </w:r>
      <w:r>
        <w:rPr>
          <w:rStyle w:val="FootnoteAnchor"/>
          <w:rtl w:val="true"/>
        </w:rPr>
        <w:footnoteReference w:id="1276"/>
      </w:r>
      <w:r>
        <w:rPr>
          <w:rFonts w:ascii="Amiri" w:hAnsi="Amiri" w:eastAsia="Amiri" w:cs="Amiri"/>
          <w:color w:val="111111"/>
          <w:sz w:val="28"/>
          <w:sz w:val="28"/>
          <w:szCs w:val="28"/>
          <w:rtl w:val="true"/>
          <w:lang w:bidi="ar-SA"/>
        </w:rPr>
        <w:t xml:space="preserve">، وكذا في اللبث في المساجد، وخالف كذلك في قيامه مقام الغسل في الصوم، ولا دليل على قيام التيمم </w:t>
      </w:r>
      <w:bookmarkStart w:id="461" w:name="pg9203_87380"/>
    </w:p>
    <w:p>
      <w:pPr>
        <w:pStyle w:val="BookText"/>
        <w:rPr/>
      </w:pPr>
      <w:bookmarkEnd w:id="461"/>
      <w:r>
        <w:rPr>
          <w:rFonts w:ascii="Amiri" w:hAnsi="Amiri" w:eastAsia="Amiri" w:cs="Amiri"/>
          <w:color w:val="111111"/>
          <w:sz w:val="28"/>
          <w:sz w:val="28"/>
          <w:szCs w:val="28"/>
          <w:rtl w:val="true"/>
          <w:lang w:bidi="ar-SA"/>
        </w:rPr>
        <w:t>مقام العنوان الخاص، وإنما يكون قائماً مقام الطهارة، وإن كان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التعليق عليه ليس لخصوصيته، بل لعنوان الطهارة، فيقوم مقامه، لكن المانع مستظهر لظاهر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للغاية الأخرى مسوغ فعلاً، بل المسوغ لغاية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وبعبارة أخرى يكون المسوغ نسبياً لا مسوغاً على الإطلاق، كضيق الوقت عن الوضوء مع وجود الماء في هذه الحالة من باب عدم سقوط الصلاة بحال، وهو ثبوت الصلاة في هذه الحالة أيضاً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عدم الصلاة بدون الطهور، فيفهم منها ان التيمم طهور له بالنسبة إلى هذه الصلاة وبالنسبة إلى هذه الحالة، وان التيمم حينئذ طهور في الجملة، ولا يلزم منه مسوغيته بالنسبة إلى غيره، ولا يجري الأدلة العامة الدالة على أن التيمم طهور بمنزلة الماء حتى يباح معه سائر الغايات؛ لأن موضوعها غير الواجد عقلاً أو شرعاً، وعقلاً مطلقاً بالنسبة إلى الشيء الخاص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الماء في بئر بعيدة القعر ، أو كان مغصوباً؛ فإنه غير متمكن منه شرعاً على الإطلاق، ولو كان مسوغه ما ذكر لا يبعد كفايته بالنسبة إلى الغايات الأخر؛ لجريان الأدلة العامة المعلقة على عدم التمكن من الماء مطلقاً لا نسبياً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Heading2"/>
        <w:numPr>
          <w:ilvl w:val="1"/>
          <w:numId w:val="1"/>
        </w:numPr>
        <w:rPr/>
      </w:pPr>
      <w:bookmarkStart w:id="462" w:name="__RefHeading___Toc3968128_2870459653"/>
      <w:bookmarkStart w:id="463" w:name="_Toc163"/>
      <w:bookmarkEnd w:id="462"/>
      <w:r>
        <w:rPr>
          <w:rtl w:val="true"/>
        </w:rPr>
        <w:t>[</w:t>
      </w:r>
      <w:r>
        <w:rPr>
          <w:rtl w:val="true"/>
        </w:rPr>
        <w:t>قيام التيمم مقام الطهارة المائية مطلقاً</w:t>
      </w:r>
      <w:r>
        <w:rPr>
          <w:rtl w:val="true"/>
        </w:rPr>
        <w:t>]</w:t>
      </w:r>
      <w:bookmarkEnd w:id="46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يستباح بالتيمم ما يستباح بالطهارة المائية ؛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يكفيك التراب عشر سنين</w:t>
      </w:r>
      <w:r>
        <w:rPr>
          <w:rFonts w:eastAsia="IRNazanin" w:cs="IRNazanin"/>
          <w:color w:val="111111"/>
          <w:sz w:val="28"/>
          <w:szCs w:val="28"/>
          <w:rtl w:val="true"/>
          <w:lang w:bidi="fa-IR"/>
        </w:rPr>
        <w:t>»</w:t>
      </w:r>
      <w:r>
        <w:rPr>
          <w:rStyle w:val="FootnoteAnchor"/>
          <w:rtl w:val="true"/>
        </w:rPr>
        <w:footnoteReference w:id="1277"/>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الصعيد الطيب طهور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مفادها قيام التراب منزلة الماء، فلا يفوت من المكلف ما يكون مشروطاً صحته أو كماله بالطهارة المائية بسبب وجود التراب؛ فهو يرفع الحاجة ولو فقد الماء عشر سنين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واحتمال أن يكون المراد أن التيمم الواحد يكفي في الزمان الطويل ما لم يحدث الناقض بعيد؛ إذ عليه يكون الأنسب ذكر التيمم لا التراب، وعدم الملائمة لمورد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بالكفاية رفع المانع ورفع الضرورة لم يكن جارياً في بعض الغايات مثل غسل الجمعة وصلاة الميت؛ إذ لا ضرورة في هذه المواضع ولا مانع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به رفع الاحتياج وتحصيل ،الغرض، لا يبعد العموم بالنسبة إلى جميع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يمكن استفادة العموم بقرينة عدم ذكر المتعلق؛ إذ لم يذكر متعلق الكفاية ولم يخصصها بشيء خاص وغاية خاصة مع كونها في مقام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يمكن أن يقال باختصاصها بمورد الخبر وهي الجنابة حيث قال أبو ذر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هلكتُ، جامعتُ أهلي على غير ماء</w:t>
      </w:r>
      <w:r>
        <w:rPr>
          <w:rFonts w:eastAsia="IRNazanin" w:cs="IRNazanin"/>
          <w:color w:val="111111"/>
          <w:sz w:val="28"/>
          <w:szCs w:val="28"/>
          <w:rtl w:val="true"/>
          <w:lang w:bidi="fa-IR"/>
        </w:rPr>
        <w:t>»</w:t>
      </w:r>
      <w:r>
        <w:rPr>
          <w:rStyle w:val="FootnoteAnchor"/>
          <w:rtl w:val="true"/>
        </w:rPr>
        <w:footnoteReference w:id="1278"/>
      </w:r>
      <w:r>
        <w:rPr>
          <w:rFonts w:ascii="Amiri" w:hAnsi="Amiri" w:eastAsia="Amiri" w:cs="Amiri"/>
          <w:color w:val="111111"/>
          <w:sz w:val="28"/>
          <w:sz w:val="28"/>
          <w:szCs w:val="28"/>
          <w:rtl w:val="true"/>
          <w:lang w:bidi="ar-SA"/>
        </w:rPr>
        <w:t>، فجوابه منزل على هذه الصورة، ولا عموم لفظياً في الجواب حتى يقدم على خصوصية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ويحتمل أيضاً اختصاصه بمورد الهلكة، وهي الواجبات لا المستحبات، ولا دليل على كونه علیه السلام في مقام البيان على الإطلاق، بل في مقام جواب أبي ذر، ويحصل الغرض ببيان كون التراب كافياً في الجملة؛ لأن مورد السؤال هو القدر المتيقن منه ، فلا حاجة إلى بيان الكلية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والانصاف ظهوره في العموم واستفادته منه بقرينة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المراد به ما دام العمر؛ إذ لا خصوصية لهذا العدد، بل هو كناية عن الزمان الطويل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الخبر أنه لا يفوت منك لفقد الماء، وبالتراب يحصل الغرض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الخبر </w:t>
      </w:r>
      <w:r>
        <w:rPr>
          <w:rStyle w:val="FootnoteAnchor"/>
          <w:rtl w:val="true"/>
        </w:rPr>
        <w:footnoteReference w:id="1279"/>
      </w:r>
      <w:r>
        <w:rPr>
          <w:rFonts w:ascii="IRNazanin" w:hAnsi="IRNazanin" w:eastAsia="IRNazanin"/>
          <w:color w:val="111111"/>
          <w:sz w:val="28"/>
          <w:sz w:val="28"/>
          <w:szCs w:val="28"/>
          <w:rtl w:val="true"/>
          <w:lang w:bidi="fa-IR"/>
        </w:rPr>
        <w:t>مجبور؛ لفهم الأصحاب منه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دل على العموم كقوله علیه السلام </w:t>
      </w:r>
    </w:p>
    <w:p>
      <w:pPr>
        <w:pStyle w:val="BookText"/>
        <w:rPr/>
      </w:pPr>
      <w:r>
        <w:rPr>
          <w:rFonts w:ascii="Amiri" w:hAnsi="Amiri" w:eastAsia="Amiri" w:cs="Amiri"/>
          <w:color w:val="111111"/>
          <w:sz w:val="28"/>
          <w:sz w:val="28"/>
          <w:szCs w:val="28"/>
          <w:rtl w:val="true"/>
          <w:lang w:bidi="ar-SA"/>
        </w:rPr>
        <w:t xml:space="preserve">الصعيد الطيب إلى عشر حجج </w:t>
      </w:r>
      <w:r>
        <w:rPr>
          <w:rFonts w:eastAsia="Amiri" w:cs="Amiri" w:ascii="Amiri" w:hAnsi="Amiri"/>
          <w:color w:val="111111"/>
          <w:sz w:val="28"/>
          <w:szCs w:val="28"/>
          <w:rtl w:val="true"/>
          <w:lang w:bidi="ar-SA"/>
        </w:rPr>
        <w:t>»</w:t>
      </w:r>
      <w:r>
        <w:rPr>
          <w:rStyle w:val="FootnoteAnchor"/>
          <w:rtl w:val="true"/>
        </w:rPr>
        <w:footnoteReference w:id="1280"/>
      </w:r>
      <w:r>
        <w:rPr>
          <w:rFonts w:ascii="IRNazanin" w:hAnsi="IRNazanin" w:eastAsia="IRNazanin"/>
          <w:color w:val="111111"/>
          <w:sz w:val="28"/>
          <w:sz w:val="28"/>
          <w:szCs w:val="28"/>
          <w:rtl w:val="true"/>
          <w:lang w:bidi="fa-IR"/>
        </w:rPr>
        <w:t xml:space="preserve">، وبهذا المضمون خبر آخر </w:t>
      </w:r>
      <w:r>
        <w:rPr>
          <w:rStyle w:val="FootnoteAnchor"/>
          <w:rtl w:val="true"/>
        </w:rPr>
        <w:footnoteReference w:id="1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دالان على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الطهورين وإطلاقه وإن اشتمل صورة الاحتياط، لكن لا بد من تخصيصها بصورة الاضطرار، فيفيد أنّ الطهارة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اختياري واضطراري ويصدق بكونه طهوراً في مورد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بمنزلة الماء حيث دل على أن التيمم بمنزلة الماء، ولم يبين انه بمنزلته في أي شيء، فيستفاد العموم؛ لعموم المنزلة الثابت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المتعلق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بانه يمكن أن يكون السابق قرينة على انحصار متعلقه فيه؛ لأن سابقه جواز الصلاة المتعددة بتيمم واحد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الماء في جواز إتيان الصلاة بالطهارة الواحدة، فلا عموم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وروده في بعض الأخبار في إثبات الضيق بيان عدم التحاشي عن تأخير الصلاة إلى آخر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الأرض مسجداً وطهوراً</w:t>
      </w:r>
      <w:r>
        <w:rPr>
          <w:rFonts w:eastAsia="IRNazanin" w:cs="IRNazanin"/>
          <w:color w:val="111111"/>
          <w:sz w:val="28"/>
          <w:szCs w:val="28"/>
          <w:rtl w:val="true"/>
          <w:lang w:bidi="fa-IR"/>
        </w:rPr>
        <w:t>»</w:t>
      </w:r>
      <w:r>
        <w:rPr>
          <w:rStyle w:val="FootnoteAnchor"/>
          <w:rtl w:val="true"/>
        </w:rPr>
        <w:footnoteReference w:id="1282"/>
      </w:r>
      <w:r>
        <w:rPr>
          <w:rFonts w:ascii="Amiri" w:hAnsi="Amiri" w:eastAsia="Amiri" w:cs="Amiri"/>
          <w:color w:val="111111"/>
          <w:sz w:val="28"/>
          <w:sz w:val="28"/>
          <w:szCs w:val="28"/>
          <w:rtl w:val="true"/>
          <w:lang w:bidi="ar-SA"/>
        </w:rPr>
        <w:t>، فهو في مقام التشريع والامتنان بكون الأرض مسجداً وطهوراً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الأخبار الثلاثة الأول، وتحصل عموم التيمم لجميع موارد الطهارة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والطواف ،والجنابة ودخول المساجد واللبث في المسجدين و مس المصحف وغيرها وما لم تكن المائية مباحة كغسل الاحرام والجمعة على ما صرح به الجميع، بل يستفاد من أخباره انه طهور للشخص من أول الأسبوع إلى آخره، وانه جبر للنقص للطهارة الواقعة في اثناء الأسبوع كما ان النافلة جبر للنقص الحاصل في الفريضة، فالتيمم يقوم مقامه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يستفاد من كلامهم من إمكان تقديمه في يوم الخميس مع عدم تمكنه منه في يوم الجمعة، وكذا في قضائه في يوم السبت، عدم قيام التيمم مقامه؛ لأنه مع التمكن من الغسل في يوم الجمعة يقوم بدله مقامه، فلا حاجة إلى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التقديم لأجل كمال الغسل، فلا ينافي ثبوت البدل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يقوم التيمم مقام الوضوء في التجديد، سواء كان الأول وضوءاً ويجدده بالتيمم مع عدم وجود الماء، أو كان الأول أيضاً تيمماً؛ إذ يستفاد من قوله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على الوضوء نور على نور وطهر على طهر</w:t>
      </w:r>
      <w:r>
        <w:rPr>
          <w:rFonts w:eastAsia="IRNazanin" w:cs="IRNazanin"/>
          <w:color w:val="111111"/>
          <w:sz w:val="28"/>
          <w:szCs w:val="28"/>
          <w:rtl w:val="true"/>
          <w:lang w:bidi="fa-IR"/>
        </w:rPr>
        <w:t>»</w:t>
      </w:r>
      <w:r>
        <w:rPr>
          <w:rStyle w:val="FootnoteAnchor"/>
          <w:rtl w:val="true"/>
        </w:rPr>
        <w:footnoteReference w:id="1284"/>
      </w:r>
      <w:r>
        <w:rPr>
          <w:rFonts w:ascii="Amiri" w:hAnsi="Amiri" w:eastAsia="Amiri" w:cs="Amiri"/>
          <w:color w:val="111111"/>
          <w:sz w:val="28"/>
          <w:sz w:val="28"/>
          <w:szCs w:val="28"/>
          <w:rtl w:val="true"/>
          <w:lang w:bidi="ar-SA"/>
        </w:rPr>
        <w:t>انه أيضاً يفيد الطهر، فيقوم التيمم مقامه؛ لأنه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التعميم صرّح جمع، ومشهور بين الأصحاب </w:t>
      </w:r>
      <w:r>
        <w:rPr>
          <w:rStyle w:val="FootnoteAnchor"/>
          <w:rtl w:val="true"/>
        </w:rPr>
        <w:footnoteReference w:id="1285"/>
      </w:r>
      <w:r>
        <w:rPr>
          <w:rFonts w:ascii="Amiri" w:hAnsi="Amiri" w:eastAsia="Amiri" w:cs="Amiri"/>
          <w:color w:val="111111"/>
          <w:sz w:val="28"/>
          <w:sz w:val="28"/>
          <w:szCs w:val="28"/>
          <w:rtl w:val="true"/>
          <w:lang w:bidi="ar-SA"/>
        </w:rPr>
        <w:t>، وادعى عليه الإجماع مثل العلامة في المنتهى</w:t>
      </w:r>
      <w:r>
        <w:rPr>
          <w:rStyle w:val="FootnoteAnchor"/>
          <w:rtl w:val="true"/>
        </w:rPr>
        <w:footnoteReference w:id="1286"/>
      </w:r>
      <w:r>
        <w:rPr>
          <w:rFonts w:ascii="Amiri" w:hAnsi="Amiri" w:eastAsia="Amiri" w:cs="Amiri"/>
          <w:color w:val="111111"/>
          <w:sz w:val="28"/>
          <w:sz w:val="28"/>
          <w:szCs w:val="28"/>
          <w:rtl w:val="true"/>
          <w:lang w:bidi="ar-SA"/>
        </w:rPr>
        <w:t>، ولم يستثن الا بعض العامة، والمحقق في المعتبر</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فكل طهارة مائية تكون رافعة أو مبيحة يقوم التيمم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كل موضع اعتبر الطهارة المائية اعتبرت من حيث كونها طهوراً أو مبيحاً يقوم التيمم مقامها، فهنا كلامان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تشخيص بعض الصغريات في أنها مبيحة، أو رافعة، أم لا، بل واجب مستقل لا يكون مبيحاً ولا رافعاً؛ وقد مرَّ ،بعضه، ومنه غسل الجنب للصوم حيث لا يعلم كونه واجباً مبيحاً بحيث يتوقف عليه صحة الصوم أم لا؟</w:t>
      </w:r>
    </w:p>
    <w:p>
      <w:pPr>
        <w:pStyle w:val="BookText"/>
        <w:rPr/>
      </w:pPr>
      <w:r>
        <w:rPr>
          <w:rFonts w:ascii="Amiri" w:hAnsi="Amiri" w:eastAsia="Amiri" w:cs="Amiri"/>
          <w:color w:val="111111"/>
          <w:sz w:val="28"/>
          <w:sz w:val="28"/>
          <w:szCs w:val="28"/>
          <w:rtl w:val="true"/>
          <w:lang w:bidi="ar-SA"/>
        </w:rPr>
        <w:t xml:space="preserve">مقتضى كلام البعض </w:t>
      </w:r>
      <w:r>
        <w:rPr>
          <w:rStyle w:val="FootnoteAnchor"/>
          <w:rtl w:val="true"/>
        </w:rPr>
        <w:footnoteReference w:id="1288"/>
      </w:r>
      <w:r>
        <w:rPr>
          <w:rFonts w:ascii="Amiri" w:hAnsi="Amiri" w:eastAsia="Amiri" w:cs="Amiri"/>
          <w:color w:val="111111"/>
          <w:sz w:val="28"/>
          <w:sz w:val="28"/>
          <w:szCs w:val="28"/>
          <w:rtl w:val="true"/>
          <w:lang w:bidi="ar-SA"/>
        </w:rPr>
        <w:t>بوجوب الصوم عند تعذر الغسل عدم التوقف، لكن ينافيه قوله بوجوب بوجوب القضاء والكفارة؛ إذ لو لم يتوقف عليه لا معنى لوجوب القضاء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أن يكون القضاء لفوات الغسل لا معنى له كاحتمال كون الصوم باطلاً </w:t>
      </w:r>
    </w:p>
    <w:p>
      <w:pPr>
        <w:pStyle w:val="BookText"/>
        <w:rPr/>
      </w:pPr>
      <w:r>
        <w:rPr>
          <w:rFonts w:ascii="Amiri" w:hAnsi="Amiri" w:eastAsia="Amiri" w:cs="Amiri"/>
          <w:color w:val="111111"/>
          <w:sz w:val="28"/>
          <w:sz w:val="28"/>
          <w:szCs w:val="28"/>
          <w:rtl w:val="true"/>
          <w:lang w:bidi="ar-SA"/>
        </w:rPr>
        <w:t>ويجب المضي فيه؛ إذ لا معنى للثاني إلا كونه شرطاً للصحة، وحينئذ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المتطهر يصح صومه ولا يجب عليه القضاء، فتكون الجنابة مانعة، والغسل طهارة رافعة لها، فاعتبار الغسل من حيث كونه رافعاً، وهو معنى الشرطية، والتوقف واستباحته للحدث، وهو معنى كونه مبيحاً، فاذا كان كذلك يكون أدلة التيمم حاكمة على دليل اعتبار الغسل، فهي تنزل التيمم بدل الغسل في الطهارة، فيفيد ان المعتبر في الصوم إما الغسل أو التيمم؛ لأن أدلة التيمم دالة على أنه طهور ومبيح، واعتبار الغسل أيضاً لإباحة الدخول في الصوم فيقوم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الكلام في الثاني، وهو انه علق بعض الأدلة في خصوص بعض الموارد على خصوص عنوان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للجنب والعبور في المسجدين، حيث إنهما معلقان على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التعليق على العنوان الخاص ليس لخصوصيته، بل لأجل كونه طهارة؛ لما ذكرنا في الصوم، ويرشد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حيث يفهم ان اعتبار الغسل لأجل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مَّرْضَى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يدل على اعتبار التيمم في مورد الجنابة أيضاً؛ حيث إن نفس المرض ونفس الكون على السفر ليسا موجبين للطهارة، فيعلم انهما في مورد السابق وليس الجنابة وغيره، وقد خالف في الأمر الأول المحقق الاردبيلي كصاحب الكفاية في صوم الجنب بالنسبة إلى الغسل، حيث قال الأول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نسلم وجوب الغسل للصوم ،أولاً، ولو نسلم فلا نسلم وجوبه ليلاً، بل يكفي الغسل ولو نهاراً، ولو سلم فإنما هو واجب تعبدي وجب قبل الصوم، ولا نسلم توقف </w:t>
      </w:r>
    </w:p>
    <w:p>
      <w:pPr>
        <w:pStyle w:val="BookText"/>
        <w:rPr/>
      </w:pPr>
      <w:r>
        <w:rPr>
          <w:rFonts w:ascii="Amiri" w:hAnsi="Amiri" w:eastAsia="Amiri" w:cs="Amiri"/>
          <w:color w:val="111111"/>
          <w:sz w:val="28"/>
          <w:sz w:val="28"/>
          <w:szCs w:val="28"/>
          <w:rtl w:val="true"/>
          <w:lang w:bidi="ar-SA"/>
        </w:rPr>
        <w:t xml:space="preserve">الصوم عليه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 ما يدفعه، خصوصاً مع منافاته لما يقولون من وجوب قضاء الصوم لو لم يتمكن من الغسل، وخلافه في المقام الأول وهو تشخيص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خلاف الكفاية في المقام الثاني</w:t>
      </w:r>
      <w:r>
        <w:rPr>
          <w:rStyle w:val="FootnoteAnchor"/>
          <w:rtl w:val="true"/>
        </w:rPr>
        <w:footnoteReference w:id="1292"/>
      </w:r>
      <w:r>
        <w:rPr>
          <w:rFonts w:ascii="Amiri" w:hAnsi="Amiri" w:eastAsia="Amiri" w:cs="Amiri"/>
          <w:color w:val="111111"/>
          <w:sz w:val="28"/>
          <w:sz w:val="28"/>
          <w:szCs w:val="28"/>
          <w:rtl w:val="true"/>
          <w:lang w:bidi="ar-SA"/>
        </w:rPr>
        <w:t>، وهو تعليق الحكم على العنوان الخاص، كما يظهر ذلك من دليله الذي ذكره في مبحث الصوم، بخلاف الفخر في الاجتياز من المسجدين حيث يقول بتعليق جواز العبور على الغسل، فلعله من جهة خصوصية الغسل لا من جهة طهوريته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دفعه بما ذكرنا في صوم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أيضاً للبث في سائر المساجد، وألحق مس المصحف بالدخول؛ لعدم الفرق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قلب دليله عليه بأنمس المصحف جائز بالتيمم، فكذا الدخول ؛ لعدم الفرق في الآية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في قيام التيمم مقام الغسل للصوم والاجتياز من المساجد، أن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 الغسل انما هو لمانعية الجنابة، ورافعية الغسل للجنابة، وإباحة الدخول في الصوم والمسجد، والأدلة الدالة على التيمم يدل على أنه رافع ويبيح فينزل منزلة الغسل، فيكون هذه الأدلة حاكمة على الدليل الدال على الغسل، وليس للغسل خصوصية، فالمبيح للصوم والدخول بعد التحكيم والتنزيل المذكور شيئان غسل وتيمم</w:t>
      </w:r>
      <w:r>
        <w:rPr>
          <w:rFonts w:eastAsia="Amiri" w:cs="Amiri" w:ascii="Amiri" w:hAnsi="Amiri"/>
          <w:color w:val="111111"/>
          <w:sz w:val="28"/>
          <w:szCs w:val="28"/>
          <w:rtl w:val="true"/>
          <w:lang w:bidi="ar-SA"/>
        </w:rPr>
        <w:t xml:space="preserve">. </w:t>
      </w:r>
      <w:bookmarkStart w:id="464" w:name="pg9203_87386"/>
    </w:p>
    <w:p>
      <w:pPr>
        <w:pStyle w:val="Heading2"/>
        <w:numPr>
          <w:ilvl w:val="1"/>
          <w:numId w:val="1"/>
        </w:numPr>
        <w:rPr/>
      </w:pPr>
      <w:bookmarkStart w:id="465" w:name="__RefHeading___Toc3968130_2870459653"/>
      <w:bookmarkStart w:id="466" w:name="_Toc164"/>
      <w:bookmarkEnd w:id="464"/>
      <w:bookmarkEnd w:id="465"/>
      <w:r>
        <w:rPr>
          <w:rtl w:val="true"/>
        </w:rPr>
        <w:t>[</w:t>
      </w:r>
      <w:r>
        <w:rPr>
          <w:rtl w:val="true"/>
        </w:rPr>
        <w:t>في قيام التيمم مقام الوضوء التجديدي وسائر الأغسال</w:t>
      </w:r>
      <w:r>
        <w:rPr>
          <w:rtl w:val="true"/>
        </w:rPr>
        <w:t>]</w:t>
      </w:r>
      <w:bookmarkEnd w:id="466"/>
    </w:p>
    <w:p>
      <w:pPr>
        <w:pStyle w:val="BookText"/>
        <w:rPr/>
      </w:pPr>
      <w:r>
        <w:rPr>
          <w:rFonts w:ascii="Amiri" w:hAnsi="Amiri" w:eastAsia="Amiri" w:cs="Amiri"/>
          <w:color w:val="111111"/>
          <w:sz w:val="28"/>
          <w:sz w:val="28"/>
          <w:szCs w:val="28"/>
          <w:rtl w:val="true"/>
          <w:lang w:bidi="ar-SA"/>
        </w:rPr>
        <w:t xml:space="preserve">بقي الكلام في الوضوء والاغسال الأخر هل يكون طهوراً حتى يقوم التيمم مقامه؟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التجديدي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على قيام التيمم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براوية همام </w:t>
      </w:r>
      <w:r>
        <w:rPr>
          <w:rStyle w:val="FootnoteAnchor"/>
          <w:rtl w:val="true"/>
        </w:rPr>
        <w:footnoteReference w:id="1293"/>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يتمتع بالتيمم إلا صلاة واحدة ونافلتها</w:t>
      </w:r>
      <w:r>
        <w:rPr>
          <w:rFonts w:eastAsia="IRNazanin" w:cs="IRNazanin"/>
          <w:color w:val="111111"/>
          <w:sz w:val="28"/>
          <w:szCs w:val="28"/>
          <w:rtl w:val="true"/>
          <w:lang w:bidi="fa-IR"/>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وقرب خبر آخر تقريبه</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حمله على ظاهره؛ لما مرَّ مما دل على جواز الإتيان بصلاة واحدة بتيمم ،واحد فحينئذٍ يحمل على الاستحباب، فيكون مفادهما استحباب التيمم على التيمم، فيكون تجديداً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دائر بين الحمل على الاستحباب أو الحمل على التقية، وقد مرَّ في الأصول ان الجمع بحسب الدلالة وإن كان مقدماً على الرجوع إلى المرجحات السندية والجهتية، لكن ما لم يظهر أمارات التقية، أو يكون في الخبر شيء مبعد من الجمع الدلالية؛ فإن ظاهره اعتبار إتيان فعل به وهو غير معتبر في التجديد ؛ وأيضاً اعتبر الفعل الخاص مثل الصلاة ونافلتها، مع أنه لا يعتبر في التجديد سوى مضي مقدار من الزمان من زمان الأول، إلا أن يكون المراد بالصلاة هو المضي من الزمان الأول مقدار زمان الصلاة، الا انه بعيد، فيكون ذلك مبعداً له فيحمل على التقية؛ لكون مذهب العامة تجديد التيمم لكل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الوضوء التجديدي طهور كالابتدائي، فكما يقوم مقامه یقوم مقامه أيضاً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التجديد ربما يتخيل انه لأجل الخلل الواقع في السابق لا في أصله، أو تخلل الحدث واقعاً، فيكون طهوراً جابراً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حينئذ عنوان الاحتياط لا عنوان التجديد، والعنوان الأول مغاير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لظاهر مادة التجديد؛ حيث إنه مأخوذ من الجديد، وظاهره تجديد الأول مع بقائه؛ لحصول الضعف فيه بواسطة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ان الوضوء التجديدي شُرّع لأجل حصول ضعف في أثر الأول بواسطة طول الزمان، فيكون من جنس الأول؛ لأنه مجدد لأثر الطهارة، فيكون طهوراً، فيقوم مقامه التيمم كما يقوم مقام الأصل، فحينئذ يتمم المتيمم ثانياً تجديداً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نعلم حصول الضعف للتيمم، فلعله جديد، وانما كما لم نعلم ذلك لو لم يرد دليل في الوضوء التجديدي ، لكن الدليل يقتضي ذلك خصوصاً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على الوضوء طهر على طهر ونور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تجديد التيمم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تجديد الوضوء بالتيمم ففيه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التيمم الذي يكون بدلاً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التجديد فيه؛ لعدم ثبوت التجديد في مبدله والظاهر ان التفرقة لأجل ان حكمة الوضوء كما يظهر من بعض الأخبار هو رفع الكسالة، فاذا مضى مقدار من الزمان من زمان الوضوء فكأنه حصل الضعف فيه؛ لحصول الكسالة فيه، فشرع الوضوء الثاني لتجديده وقوته، بخلاف الغسل؛ فإنه لرفع الجنابة، فإذا ارتفعت لا تعود ثانياً حتى يضعف أثر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بعض</w:t>
      </w:r>
      <w:r>
        <w:rPr>
          <w:rStyle w:val="FootnoteAnchor"/>
          <w:rtl w:val="true"/>
        </w:rPr>
        <w:footnoteReference w:id="1296"/>
      </w:r>
      <w:r>
        <w:rPr>
          <w:rFonts w:ascii="Amiri" w:hAnsi="Amiri" w:eastAsia="Amiri" w:cs="Amiri"/>
          <w:color w:val="111111"/>
          <w:sz w:val="28"/>
          <w:sz w:val="28"/>
          <w:szCs w:val="28"/>
          <w:rtl w:val="true"/>
          <w:lang w:bidi="ar-SA"/>
        </w:rPr>
        <w:t xml:space="preserve">استحباب الوضوء بعد الغسل، فكأنه لأجل أن في الغسل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رفعه للحدث الأكبر ، وجهة رفعه للحدث الأصغر، والضعف انما يحصل فيه من الجهة الثانية لا الأولى، وحكمته من هذه الجهة رفع الكسالة فيجدد؛ فحينئذ فلا يبعد قيام التيمم مقام الوضوء المستحب بعده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الاغسال المستحبة، فالظاهر قيام التيمم مقامها بناءً على كونها رافعة إذا حصل الخلل في غسل الجنابة مثلاً، وعلى العدم فيشكل الأمر فيه، وإن كان الظاهر من </w:t>
      </w:r>
    </w:p>
    <w:p>
      <w:pPr>
        <w:pStyle w:val="BookText"/>
        <w:rPr/>
      </w:pPr>
      <w:r>
        <w:rPr>
          <w:rFonts w:ascii="Amiri" w:hAnsi="Amiri" w:eastAsia="Amiri" w:cs="Amiri"/>
          <w:color w:val="111111"/>
          <w:sz w:val="28"/>
          <w:sz w:val="28"/>
          <w:szCs w:val="28"/>
          <w:rtl w:val="true"/>
          <w:lang w:bidi="ar-SA"/>
        </w:rPr>
        <w:t>بعض الأخبار كون غسل الجمعة من جنس الطهور وجابراً للنقص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وضوء الحائض، فالظاهر قيام التيمم مقامه أيضاً؛ لحصول مرتبة خاصة من الطهارة فيها أيضاً تبيح كمال الذكر ، وبدونها لا تبيح كمال الذكر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غسل الإحرام، فذكر بعضُهم</w:t>
      </w:r>
      <w:r>
        <w:rPr>
          <w:rStyle w:val="FootnoteAnchor"/>
          <w:rtl w:val="true"/>
        </w:rPr>
        <w:footnoteReference w:id="1297"/>
      </w:r>
      <w:r>
        <w:rPr>
          <w:rFonts w:ascii="Amiri" w:hAnsi="Amiri" w:eastAsia="Amiri" w:cs="Amiri"/>
          <w:color w:val="111111"/>
          <w:sz w:val="28"/>
          <w:sz w:val="28"/>
          <w:szCs w:val="28"/>
          <w:rtl w:val="true"/>
          <w:lang w:bidi="ar-SA"/>
        </w:rPr>
        <w:t xml:space="preserve">قيام التيمم مقامه عند تعذره، لكن تردد العلامة </w:t>
      </w:r>
      <w:r>
        <w:rPr>
          <w:rStyle w:val="FootnoteAnchor"/>
          <w:rtl w:val="true"/>
        </w:rPr>
        <w:footnoteReference w:id="1298"/>
      </w:r>
      <w:r>
        <w:rPr>
          <w:rFonts w:ascii="Amiri" w:hAnsi="Amiri" w:eastAsia="Amiri" w:cs="Amiri"/>
          <w:color w:val="111111"/>
          <w:sz w:val="28"/>
          <w:sz w:val="28"/>
          <w:szCs w:val="28"/>
          <w:rtl w:val="true"/>
          <w:lang w:bidi="ar-SA"/>
        </w:rPr>
        <w:t>من حيث إنه غسل مشروع فيقوم مقامه، ومن حيث إنه ليس بطهر فلا يقوم مقامه، وكذا الشهيد</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عدم القيام؛ لعدم ثبوت كونه طهوراً، وان كان يحتمل ذلك بالنسبة إلى الكمال،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 قيام التيمم مقام المائية التي يكون رافعة أو مبيحة؛ لكونه طهوراً، ومعنى طهوريته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أحدث المتيمم عن الأكبر وله ماء بقدر الوضوء، هل يكون مكلفاً بالتيمم ثانياً أو الوضوء، وإن لم يجد الماء بقدر الوضوء تيمم ثانياً بدلاً عن الوضوء؟</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صرح به الأصحاب</w:t>
      </w:r>
      <w:r>
        <w:rPr>
          <w:rStyle w:val="FootnoteAnchor"/>
          <w:rtl w:val="true"/>
        </w:rPr>
        <w:footnoteReference w:id="1300"/>
      </w:r>
      <w:r>
        <w:rPr>
          <w:rFonts w:ascii="Amiri" w:hAnsi="Amiri" w:eastAsia="Amiri" w:cs="Amiri"/>
          <w:color w:val="111111"/>
          <w:sz w:val="28"/>
          <w:sz w:val="28"/>
          <w:szCs w:val="28"/>
          <w:rtl w:val="true"/>
          <w:lang w:bidi="ar-SA"/>
        </w:rPr>
        <w:t>هو التيمم ولو كان واجداً للماء بقدر الوضوء، خلافاً للسيد</w:t>
      </w:r>
      <w:r>
        <w:rPr>
          <w:rStyle w:val="FootnoteAnchor"/>
          <w:rtl w:val="true"/>
        </w:rPr>
        <w:footnoteReference w:id="1301"/>
      </w:r>
      <w:r>
        <w:rPr>
          <w:rFonts w:ascii="Amiri" w:hAnsi="Amiri" w:eastAsia="Amiri" w:cs="Amiri"/>
          <w:color w:val="111111"/>
          <w:sz w:val="28"/>
          <w:sz w:val="28"/>
          <w:szCs w:val="28"/>
          <w:rtl w:val="true"/>
          <w:lang w:bidi="ar-SA"/>
        </w:rPr>
        <w:t xml:space="preserve">وصاحب المفاتيح </w:t>
      </w:r>
      <w:r>
        <w:rPr>
          <w:rStyle w:val="FootnoteAnchor"/>
          <w:rtl w:val="true"/>
        </w:rPr>
        <w:footnoteReference w:id="1302"/>
      </w:r>
      <w:r>
        <w:rPr>
          <w:rFonts w:ascii="IRNazanin" w:hAnsi="IRNazanin" w:eastAsia="IRNazanin"/>
          <w:color w:val="111111"/>
          <w:sz w:val="28"/>
          <w:sz w:val="28"/>
          <w:szCs w:val="28"/>
          <w:rtl w:val="true"/>
          <w:lang w:bidi="fa-IR"/>
        </w:rPr>
        <w:t>والحدائق</w:t>
      </w:r>
      <w:r>
        <w:rPr>
          <w:rStyle w:val="FootnoteAnchor"/>
          <w:rtl w:val="true"/>
        </w:rPr>
        <w:footnoteReference w:id="1303"/>
      </w:r>
      <w:r>
        <w:rPr>
          <w:rFonts w:ascii="Amiri" w:hAnsi="Amiri" w:eastAsia="Amiri" w:cs="Amiri"/>
          <w:color w:val="111111"/>
          <w:sz w:val="28"/>
          <w:sz w:val="28"/>
          <w:szCs w:val="28"/>
          <w:rtl w:val="true"/>
          <w:lang w:bidi="ar-SA"/>
        </w:rPr>
        <w:t xml:space="preserve">؛ فأوجب السيد الوضوء ان كان </w:t>
      </w:r>
    </w:p>
    <w:p>
      <w:pPr>
        <w:pStyle w:val="BookText"/>
        <w:rPr/>
      </w:pPr>
      <w:r>
        <w:rPr>
          <w:rFonts w:ascii="Amiri" w:hAnsi="Amiri" w:eastAsia="Amiri" w:cs="Amiri"/>
          <w:color w:val="111111"/>
          <w:sz w:val="28"/>
          <w:sz w:val="28"/>
          <w:szCs w:val="28"/>
          <w:rtl w:val="true"/>
          <w:lang w:bidi="ar-SA"/>
        </w:rPr>
        <w:t>واجداً للماء بقدر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تيمم بدلا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للمشهور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التيمم لا يرفع الحدث إجماعاً</w:t>
      </w:r>
      <w:r>
        <w:rPr>
          <w:rStyle w:val="FootnoteAnchor"/>
          <w:rtl w:val="true"/>
        </w:rPr>
        <w:footnoteReference w:id="1304"/>
      </w:r>
      <w:r>
        <w:rPr>
          <w:rFonts w:ascii="Amiri" w:hAnsi="Amiri" w:eastAsia="Amiri" w:cs="Amiri"/>
          <w:color w:val="111111"/>
          <w:sz w:val="28"/>
          <w:sz w:val="28"/>
          <w:szCs w:val="28"/>
          <w:rtl w:val="true"/>
          <w:lang w:bidi="ar-SA"/>
        </w:rPr>
        <w:t xml:space="preserve">على ما ادعاه، بل ولا يبعد دعواه؛ فالجنابة باقية، والجنب لا يجوز له الوضوء؛ للأخبار </w:t>
      </w:r>
      <w:r>
        <w:rPr>
          <w:rStyle w:val="FootnoteAnchor"/>
          <w:rtl w:val="true"/>
        </w:rPr>
        <w:footnoteReference w:id="1305"/>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الصغرى مسلّمة، وكلام السيد من رفع التيمم الحدث ليس مخالفاً للإجماع؛ لإمكان كون غرضه رفع الحدث ما لم يجد الماء لا مطلقاً، والإجماع لم يثبت على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كلية الكبرى فمسلّمة؛ لأن المسلّم من عدم جواز الوضوء للجنب إنما هو في الابتداء لا بعد التيمم كما هو ظاهر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التيمم يكون مبيحاً، فاذا أحدث زالت الاستباحة؛ لزوال سببه بطرو ناقضه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يبعد أن يكون في التيمم بدل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استباحة من الأكبر، وهي ثابتة ما لم يوجد ماء بقدر الغسل وجهة استباحة بالنسبة إلى الأصغر، والحدث انما يرفع هذه الجهة لا الأولى، ولا دليل على رفع الحدث بمطلق الاباحة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متى أصبت الماء فعليك الغسل إن كنت جنباً، والوضوء ان لم تكن جنباً </w:t>
      </w:r>
      <w:r>
        <w:rPr>
          <w:rFonts w:eastAsia="IRNazanin" w:cs="IRNazanin"/>
          <w:color w:val="111111"/>
          <w:sz w:val="28"/>
          <w:szCs w:val="28"/>
          <w:rtl w:val="true"/>
          <w:lang w:bidi="fa-IR"/>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الفقرة الثانية بمفهومها تدل على عدم الوضوء على الجنب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الوضوء لهذا الشخص مخالف للفقرتين؛ إذ الأولى تدل على إثبات الغسل عند الإصابة لا الوضوء، والثانية ثبوت الوضوء لغير الجنب بمقتضى المفهوم، </w:t>
      </w:r>
    </w:p>
    <w:p>
      <w:pPr>
        <w:pStyle w:val="BookText"/>
        <w:rPr/>
      </w:pPr>
      <w:r>
        <w:rPr>
          <w:rFonts w:ascii="Amiri" w:hAnsi="Amiri" w:eastAsia="Amiri" w:cs="Amiri"/>
          <w:color w:val="111111"/>
          <w:sz w:val="28"/>
          <w:sz w:val="28"/>
          <w:szCs w:val="28"/>
          <w:rtl w:val="true"/>
          <w:lang w:bidi="ar-SA"/>
        </w:rPr>
        <w:t>ولأن التفصيل قاطع للشركة، فلا يكون الوضوء للجنب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ان المراد بالإصابة في الفقرة الأولى ليس مجرد الإصابة، بل الإصابة بقدر الغسل فإصابة بالماء الذي يكفي للوضوء خاصة لا تدخل في الفقرة الأولى، لكن يثبت المطلوب بالثانية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بان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لبيان الابتداء لا الاستمرار، فلا يشمل مفهومه الجنب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الحلبي سأل أبا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يجنب ومعه قدر ما يكفيه من الماء لوضوء الصلاة أيتوضأ بالماء أو يتيمم؟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يتيمم</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منه الابتدائي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يحدث أو يصيب الماء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والاستدلال لا يمكن بالفقرة الثانية ؛ لأن المثمر هي الإصابة بقدر الغسل وهي منفية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بالأولى؛ حيث يدل على أن التيمم ثابت ما دام عدم الحدث، فبعد وجوده ينتقض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علّق جواز الإتيان بالصلاة على عدم الحدث، ولا يعلم منه انتقاضه مطلقاً حتى بالنسبة إلى الأكبر، فلعله ينتقض بالنسبة إلى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 xml:space="preserve">حيث دل على عدم لزوم الوضوء عند إرادة الصلاة مطلقاً، خرج منه الجنب المغتسل، وبقي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الوضوء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والعموم مستفاد من الآية، ومفادها انه كلما قمتم إلى الصلاة وكنتم جنباً فاطهروا، وان </w:t>
      </w:r>
    </w:p>
    <w:p>
      <w:pPr>
        <w:pStyle w:val="BookText"/>
        <w:rPr/>
      </w:pPr>
      <w:r>
        <w:rPr>
          <w:rFonts w:ascii="Amiri" w:hAnsi="Amiri" w:eastAsia="Amiri" w:cs="Amiri"/>
          <w:color w:val="111111"/>
          <w:sz w:val="28"/>
          <w:sz w:val="28"/>
          <w:szCs w:val="28"/>
          <w:rtl w:val="true"/>
          <w:lang w:bidi="ar-SA"/>
        </w:rPr>
        <w:t>لم تجدوا ماءًا فتيمموا، فيستفاد منه ثبوت التيمم مع عدم الوجدان في أي زمان أريد القيام إلى الصلاة، خرج منه صورة بقاء التيمم وحصول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المتيمم المحدث فيكون داخلاً في العموم، فيلزم عليه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أداة الشرط ليست للعموم، بل مهملة لا عموم فيها بالنسبة إلى جميع الأزمنة، وكذا تكون الآية ظاهرةً في الابتداء لا في المتيمم المحدث، وأما الاستصحاب أي استصحاب عدم مشروعية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يثمر ؛ لأن عدم مشروعيته انما استفيد من دليل هو ظاهر في الابتداء، ولا يكون مطلقاً حتى في المتيمم المحدث، فلا يجري الاستصحاب؛ لاختلاف الموضوع، وكذا لا يثمر استصحاب الآثار الثابتة للمتيمم قبل الانتقاض ؛ لان المستصحب إن كان غير جواز الصلاة معه فلا نتحاشى من ثبوته بعد الانتقاض بالحدث أيضاً مثل الدخول في المسجد واللبث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الصلاة، فلا يجري الاستصحاب لثبوت المنع يقيناً؛ لأنه لابد إما من الوضوء أو التيمم، ولا يجوز الدخول بدون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 عدم الدليل على واحد منها، فلابد من الرجوع إلى الاشتغال والاحتياط بإتيان الوضوء والتيمم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تيمم الحائض والنفساء، فالأمر فيه أشكل ، مع ذهاب المشهور فيه أيضاً إلى لزوم الاتيان بالتيمم ثانياً، مع أن المشهور قالوا في باب الحيض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الحيضية غير الحدث، ولكل منهما رافع مخصوص، فالغسل رافع للحدث الأكبر، والوضوء للأصغر ، حتى أنهم قالوا بعدم انتقاض الطهارة السابقة على الحيض بطرو الحيض، فتكون باقية على طهارتها السابقة لو انقطع الحيض مع عدم انتقاض الطهارة بالحدث الأصغر، ولازم المذكورات أن كون كل من الحدث والحيض موجباً لشيء</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المخطوطة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9203_87393"/>
      <w:bookmarkStart w:id="468" w:name="pg9203_87393"/>
      <w:bookmarkEnd w:id="468"/>
    </w:p>
    <w:p>
      <w:pPr>
        <w:pStyle w:val="Heading2"/>
        <w:numPr>
          <w:ilvl w:val="1"/>
          <w:numId w:val="1"/>
        </w:numPr>
        <w:rPr/>
      </w:pPr>
      <w:bookmarkStart w:id="469" w:name="pg9203_87393"/>
      <w:bookmarkStart w:id="470" w:name="__RefHeading___Toc3968132_2870459653"/>
      <w:bookmarkStart w:id="471" w:name="_Toc165"/>
      <w:bookmarkEnd w:id="469"/>
      <w:bookmarkEnd w:id="470"/>
      <w:r>
        <w:rPr>
          <w:rtl w:val="true"/>
        </w:rPr>
        <w:t>فهرس المصادر</w:t>
      </w:r>
      <w:bookmarkEnd w:id="4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إدريس محمد بن منصور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الطبعة 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الأردبيلي، المولى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الفائدة،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آغا مجتبى العراقي، الشيخ علي پناه الاشتهاردي الحاج آغا حسين اليزدي الأصفهاني،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الاسترابادي، رضي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شرح الكافية،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حسن عمر، سنةالطبع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الآلوسي، محمود شهاب الدين أبو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المعاني في تفسير القرآن العظيم والسبع المثاني،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الباري، طباعة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الأمين، محسن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طباعة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الأنصاري، العلّامة مرتضى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الأصول،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p>
    <w:p>
      <w:pPr>
        <w:pStyle w:val="BookText"/>
        <w:rPr/>
      </w:pPr>
      <w:r>
        <w:rPr>
          <w:rFonts w:ascii="Amiri" w:hAnsi="Amiri" w:eastAsia="Amiri" w:cs="Amiri"/>
          <w:color w:val="111111"/>
          <w:sz w:val="28"/>
          <w:sz w:val="28"/>
          <w:szCs w:val="28"/>
          <w:rtl w:val="true"/>
          <w:lang w:bidi="ar-SA"/>
        </w:rPr>
        <w:t xml:space="preserve">المعظم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 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بمناسبة الذكرى المئوية الثانية لميلاد الشيخ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الطهارة،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تحقيق تراث الشيخ الأعظم،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الأنبياء صلی الله علیه وآله وسلم ، قم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 الإسلامي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الأيجي، عضد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عميرة،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علي بن الحسين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كريم مسير والشيخ شاكر المحمدي، منشورات مجلة دراسات علمية، سنة الطبع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البحراني، الشيخ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 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الآخوندي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 العلوم، السيد محمد المهدي ابن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الدرة النجفية،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مكتبة الرضا النجف الأشرف،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گراج حاج کاظم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لصاحبها حسن الشيخ إبراهيم الكتبي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الرجالية، تحقيق وتعليق محمد صادق بحر العلوم، حسين بحر العلوم،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آفتاب،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الصادق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البراج، القاضي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المهذب تحقيق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علیه السلام ، العلمية، إشراف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العلّامة جعفر السبحاني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البهبهاني، محمد باقر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الظلام،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العلّامة المجدّد الوحيد البهبهاني،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محرم الحرام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العلّامة المجدّد الوحيد البهبهاني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المدارك،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منهج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أحمد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الجامي، نور الدين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الضيائية شرح كافية ابن الحاجب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أسامة طه الرفاعي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جمهور الإحسائي، محمد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عوالي اللآلي تقديم السيد شهاب الدين النجفي ،المرعشي تحقيق الحاج آقا مجتبى العراقي، الطبعة الأولى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العطار، الطبعة الرابعة، سنة الطبع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 العاملي، الشيخ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إلى تحصيل مسائل الشريعة،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الثانية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 المحقق أبو القاسم نجم الدين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وتصحيح عدة من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مكارم شيرازي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14/3/1364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أمير المؤمنين علیه السلام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علیه السلام، قم المقدسة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تحقيق مع تعليقات السيد صادق الشيرازي،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استقلال طهران ملاحظات أفست من الطبعة الثالثة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طبع بموافقة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العزية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الرسائل التسع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الاستادي،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حمزة، محمد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تحقيق الشيخ محمد الحسون إشراف السيد محمود المرعشي الطبعة 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آية الله العظمى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الخطيب البغدادي،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الخوانساري، المحقق حسين بن جمال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الشموس،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الهلام لإحياء التراث، </w:t>
      </w:r>
    </w:p>
    <w:p>
      <w:pPr>
        <w:pStyle w:val="BookText"/>
        <w:rPr/>
      </w:pPr>
      <w:r>
        <w:rPr>
          <w:rFonts w:ascii="Amiri" w:hAnsi="Amiri" w:eastAsia="Amiri" w:cs="Amiri"/>
          <w:color w:val="111111"/>
          <w:sz w:val="28"/>
          <w:sz w:val="28"/>
          <w:szCs w:val="28"/>
          <w:rtl w:val="true"/>
          <w:lang w:bidi="ar-SA"/>
        </w:rPr>
        <w:t>ملاحظات 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الأصفهاني،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المفردات في غريب القرآن، الطبعة الثانية،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الروزدري، المولى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تقريرات المجدّد الشيرازي،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الالام لإحياء التراث الطبعة الأولى سنة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زهرة، السيد حمزة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غنية النزوع تحقيق الشيخ إبراهيم البهادري،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السبحاني، الطبعة الأولى سنة الطبع محرم الحرام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 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السبزواري، المحقق المولى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الأحكام،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الواعظي الأراكي،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ذخيرة المعاد طبعة حجرية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السجستاني، أبو داود سليمان بن الأشعث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الطبعة 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 ملاحظات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جديدة منقحة ومفهرسة، أخرجه وراجعه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الدراسات والبحوث في دار الفكر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سلّار، أبو يعلى حمزة بن عبد العزيز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المراسم العلوية في الأحكام النبوية،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الحسيني الأميني،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المعاونية الثقافية للمجمع العالمي لأهل البيت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سيده علي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إحياء التراث العربي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السيوطي، عبد الرحمن بن أبي بكر، جلال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الأشباه والنظائر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سينا الحسين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الجرجاني، السيد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المواقف،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علي بن محمد الجرجاني،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الأول، محمد بن جمال الدين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تحقيق مؤسسة النشر الإسلامي، الطبعة الثانية،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ذكرى الشيعة في أحكام الشريعة،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سنة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محمد الحسون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اللمعة الدمشقية،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قم المقدسة،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الثاني الشيخ زين الدين بن علي الجباعي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الشرائع،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الأبحاث والدراسات الإسلامية قسم إحياء التراث الإسلامي،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مكتب الإعلام الإسلامي،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النشر التابع لمكتب الإعلام الإسلامي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المسالك،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البهية،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كلانتر،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جامعة النجف الدينية روض الجنان تحقيق مركز الابحاث والدراسات الإسلامية، الطبعة 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بوستان كتاب 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الشهيد تحقيق مركز الأبحاث والدراسات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احياء التراث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المشرف على التحقيق رضا المختاري،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مكتب الإعلام الإسلامي،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النشر التابع لمكتب الإعلام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تصحيح وتعليق علي أكبر الغفاري، الطبعة الثانية،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الخرسان، 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تصحيح وتعليق علي أكبر الغفاري، 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تقديم السيد محمد صادق بحر العلوم،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ومطبعتها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الطباطبائي، 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الصغير في شرح المختصر النافع،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إشراف السيد محمود المرعشي، الطبعة 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الطريحي الشيخ فخر الدين بن محمّد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طباعة ونشر مكتب نشر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الطوسی، محمد بن الحسن بن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 خورشيد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جواد القيومي، شعبان المعظم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العشر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 تحقيق وتعليق السيد حسن الموسوي الخرسان،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 خورشيد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بمشروعه الشيخ علي الآخوندي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تمتاز هذه الطبعة عما سبقها بعناية تامة في التصحيح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الآخوندي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تصحيح وتعليق السيد محمد تقي الكشفي سنة الطبع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 تحقيق وتصحيح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حبيب قصير العاملي، الطبعة الأولى سنة الطبع رمضان المبارك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مكتب الإعلام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المحققين 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الإصفهاني،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رمضان المبارك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عباد الله الطهراني الشيخ علي أحمد ناصح،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العاملي، المحقق الشيخ 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الدين وملاذ المجتهدين تحقيق السيد منذر الحكيم،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الفقه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العاملي، السيد محمد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الكرامة في شرح قواعد العلّامة،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الخالصي،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العاملي، السيد محمد بن علي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الاحكام،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سنة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الفقه في مجمع البحوث الإسلامية،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في الآستانة الرضوية المقدسة،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في الآستانة الرضوية المقدسة، 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91735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الأحكام تحقيق السيد مهدي الرجائي، الطبعة الثانية سنة الطبع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والنشر والتوزيع،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الفقهاء،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سنة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تحقيق مؤسسة النشر الإسلامي، الطبعة الثانية، 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تحقيق مؤسسة النشر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المتعلمين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الشيخ هادي اليوسفي، الطبعة 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تحرير الأحكام،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السبحاني، الطبعة الأولى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قم المقدسة،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التوحيد، قم المقدسة، إيران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الغدير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w:t>
      </w:r>
    </w:p>
    <w:p>
      <w:pPr>
        <w:pStyle w:val="BookText"/>
        <w:rPr/>
      </w:pPr>
      <w:r>
        <w:rPr>
          <w:rFonts w:ascii="Amiri" w:hAnsi="Amiri" w:eastAsia="Amiri" w:cs="Amiri"/>
          <w:color w:val="111111"/>
          <w:sz w:val="28"/>
          <w:sz w:val="28"/>
          <w:szCs w:val="28"/>
          <w:rtl w:val="true"/>
          <w:lang w:bidi="ar-SA"/>
        </w:rPr>
        <w:t>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الحسون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الغضائري،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الجلالي،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أحمد بن فارس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الفاضل الآبي زين الدين أبي علي الحسن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الرموز ، تحقيق الشيخ علي پناه الاشتهاردي، الحاج آغا حسين اليزدي، سنة الطبع ذي الحجة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قم المشرفة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تأليفه عام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الفاضل الهندي، الشيخ بهاء الدين محمد بن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اللثام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المحققين، محمّد بن الحسن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إيضاح الفوائد،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السيد حسين الموسوي الكرماني، الشيخ علي پناه الاشتهاردي، الشيخ عبد الرحيم البروجردي، الطبعة الأولى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بأمر آية الله العظمى السيد محمود الشاهرودي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الفراهيدي،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تحقيق الدكتور مهدي المخزومي، الدكتور إبراهيم السامرائي، </w:t>
      </w:r>
    </w:p>
    <w:p>
      <w:pPr>
        <w:pStyle w:val="BookText"/>
        <w:rPr/>
      </w:pPr>
      <w:r>
        <w:rPr>
          <w:rFonts w:ascii="Amiri" w:hAnsi="Amiri" w:eastAsia="Amiri" w:cs="Amiri"/>
          <w:color w:val="111111"/>
          <w:sz w:val="28"/>
          <w:sz w:val="28"/>
          <w:szCs w:val="28"/>
          <w:rtl w:val="true"/>
          <w:lang w:bidi="ar-SA"/>
        </w:rPr>
        <w:t xml:space="preserve">الطبعة الثانية،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فهد، الفقيه المحقق جمال الدين أبي العباس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العشر، تحقيق السيد مهدي الرجائي، 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محمود المرعشي،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سيد الشهداء علیه السلام،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المرعشي النجفي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الفيض الكاشاني، المولى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الشرائع، تحقيق السيد مهدي الرجائي،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قم المقدسة،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عني بالتحقيق والتصحيح والتعليق عليه والمقابلة مع الأصل ضياء الدين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الأصفهاني، الطبعة الأولى سنة الطبع أول شوال المكرم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أفست نشاط أصفهان،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الامام أمير المؤمنين على علیه السلام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قاضي شهبة، أبو بكر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عبد العليم خان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القرطبي، محمد بن أحمد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لإحكام القرآن 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العليمالبردوني،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الميرزا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الأحكام، الطبعة 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كاشف الغطاء، الشيخ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عن مبهمات الشريعة الغراء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w:t>
      </w:r>
    </w:p>
    <w:p>
      <w:pPr>
        <w:pStyle w:val="BookText"/>
        <w:rPr/>
      </w:pPr>
      <w:r>
        <w:rPr>
          <w:rFonts w:ascii="IRNazanin" w:hAnsi="IRNazanin" w:eastAsia="IRNazanin"/>
          <w:color w:val="111111"/>
          <w:sz w:val="28"/>
          <w:sz w:val="28"/>
          <w:szCs w:val="28"/>
          <w:rtl w:val="true"/>
          <w:lang w:bidi="fa-IR"/>
        </w:rPr>
        <w:t xml:space="preserve">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المحققون عباس التبريزيان محمد رضا الذاكري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الحليم الحلي، الطبعة الأولى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مطبعة مكتب الإعلام الإسلامي،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انتشارات دفتر تبلیغات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النشر التابع لمكتب الإعلام الإسلامي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الكركي، علي بن حسين بن علي بن محمد بن عبد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الكركي، تحقيق الشيخ محمد الحسون،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المرعشي،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سنة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 ابو عمرو ، محمد بن عمر بن عبد العزيز،</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اختيار معرفة الرجال المعروف برجال الكشي،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داماد الاسترابادي،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الشيخ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علي أكبر الغفاري،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المطبعة حيدري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المتقي الهندي، علاء الدين علي المتقي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تحقيق ضبط وتفسير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 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صفوة السقا،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الطبعة الثانية المصححة،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الإنتصار تحقيق مؤسسة النشر الإسلامي، 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الناصريات تحقيق مركز البحوث والدراسات العلمية،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الهدى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الثقافة والعلاقات الإسلامية مديرية الترجمة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المُطَرّزي، برهان الدين ناصر بن أبي المكارم عبد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المغرب في ترتيب المغرب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فاخوري، عبد الحميد مختار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سنة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محمد بن محمد بن النعمان ابن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 تحقيق مؤسسة النشر الإسلامي، الطبعة 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الإيجاز،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أكبر زماني نژاد، الطبعة الثانية،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بموافقة اللجنة الخاصة المشرفة على المؤتمر العالمي لألفية الشيخ المفيد، سلسلة مؤلفات الشيخ المفيد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محمد بن مكرم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طباعة ونشر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موسى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الوسائل في شرح الرسائل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التبريزي الغروي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النجاشي،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أسماء مصنفي الشيعة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الشبيري الزنجاني 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النجفي، الشيخ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الكلام ،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الطبعة الثانية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 خورشيد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طهران ملاحظات نهض بمشروعه الشيخ علي الآخوندي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فقهية، نسخة 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النراقي، المولي أحمد بن محمد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الشيعة،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لا لا لا لا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الطبعة الأولى 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 الله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 الأيام تحقيق مركز الأبحاث والدراسات الإسلامية،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مكتب الإعلام الإسلامي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النوري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المحققة،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الهمداني، المحقق آقا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الجعفرية لإحياء التراث، قم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الباقري، نور علي النوري، محمد الميرزائي، الإشراف السيد نور الدين جعفريان، الطبعة الأولى 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الجعفرية لإحياء التراث، قم المقدسة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الخلل الواقع في الصلاة،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تراث سامراء، الطبعة 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دار الكفيل،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الستة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عدة 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المطبعة مهدية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الشبستري للمطبوعات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مسائل علي بن جعفر،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الطبعة الأولى سنة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 xml:space="preserve">. </w:t>
      </w:r>
      <w:bookmarkStart w:id="472" w:name="pg9203_87409"/>
    </w:p>
    <w:p>
      <w:pPr>
        <w:pStyle w:val="Heading2"/>
        <w:numPr>
          <w:ilvl w:val="1"/>
          <w:numId w:val="1"/>
        </w:numPr>
        <w:rPr/>
      </w:pPr>
      <w:bookmarkStart w:id="473" w:name="__RefHeading___Toc3968134_2870459653"/>
      <w:bookmarkStart w:id="474" w:name="_Toc166"/>
      <w:bookmarkEnd w:id="472"/>
      <w:bookmarkEnd w:id="473"/>
      <w:r>
        <w:rPr>
          <w:rtl w:val="true"/>
        </w:rPr>
        <w:t>الفهرس</w:t>
      </w:r>
      <w:bookmarkEnd w:id="474"/>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لمحات من حياة السيد إبراهيم الدامغاني الخراساني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النسخ المعتمدة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شکر و امتنان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في أحكام العصير العنبي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العصير الزبيبي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الدالة على الحرمة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 أكل الزبيب المطبوخ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العصير العنبي بمجرد غليانه بنفسه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ومن النجاسات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هل تشمل النجاسة أجزاء الكافر التي لا تحلها الحياة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أولاد الكفار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المسبي من أولاد الكفار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تشخيص مفهوم الكافر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كلمات الأصحاب في مفهوم الإسلام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المخالفين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نجاسة النواصب والخوارج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الغلاة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المجسمة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المجبرة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ولد الزنا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حكم عرق الجنب من الحرام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عرق الإبل الجلالة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والثاني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الإبل الجلالة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المسوخات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جواز الصلاة في المحمول الذي لا يصدق الصلاة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شرطية الطهارة في الأذان والإقامة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شرطية الطهارة في التشهد والسجدة المنسيين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الطهارة في ركعة الإحتياط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اشتراط الطهارة في سجدتي السهو دون التعقيبات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الأكوان داخلة في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إزالة النجاسة عن الثوب والبدن للطواف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إزالة النجاسة لدخول المساجد والمشاهد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بالنجاسة المتعدية أو 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حكم الدم الخارج عن المعتاد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حکم ملاقي الدم المعفو عنه </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الحكم بالعفو مختص بالدم المجتمع أو يعم المتفرق؟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المعفو عنه هو ما دون قدر الدرهم</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مقدار الدرهم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دم الحيض والنفاس والإستحاضة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عن نجاسة ما لا تتم فيه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بالمتنجس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الشبهة المصداقية في المسائل الثلاث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نجاسة ملاقي النجس بوجود الرطوبة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نجاسة ملاقي المتنجس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مدخلية العلم بثبوت النجاسة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 ثبوت النجاسة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خبر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العدل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حجيّة شهادة العدلين مطلقة أو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قول ذي اليد فالكلام فيه يقع في 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أقوال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مفهوم ذي اليد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قول ذي اليد في الجملة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مسألة في المطهرات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في الثوب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العصر في الغسل بالماء القليل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اعتبار تعدد العصر في الغسل بالماء القليل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العصر في الغسل بالماء الكثير والجاري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عصر ما لا يمكن عصره </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رواية الذنوب ففيه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رواية أكسية المرعزي والخفاف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ورود الماء القليل على النجس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اعتبار إزالة عين النجاسة لا أوصافها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ومن جملة المطهرات ماء الغيث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محل الخلاف هو ماء المطر حال تقاطره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الجريان على الموضع النجس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تطهير المطر للماء المتنجس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الكلام في ماء الغسالة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نجاسة الغسالة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أدلة القائلين بالطهارة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القاعدة الثالثة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من أدلة القول بالنجاسة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الأدلّة التي تمسك بها القائلون بطهارة الغُسالة طائفة من الأخبار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ومن عدم تمامية أدلة طهارة ماء الغسالة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الغسالة نجس مطلقاً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فصل في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الأسباب المسوغة للتيمم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الوجه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وجوب الطلب تعبدي لا شرطي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وجوب الطلب بمقدار غلوة سهمين في الأرض السهلة وغلوة سهم في الأرض الحزنة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الطلب في جميع الجهات المحتملة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المناط في وجوب التيمم؟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جريان الاستصحاب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الاستنابة بالطلب بشرط حصول العلم بقول النائب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الونسي الماء وتيمم وصلى مع السعة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جوز إراقة الماء في الوقت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إراقة الماء قبل الوقت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لو أخلَّ المكلف باستعمال الماء حتى تضيق الوقت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المقصود من الضيق المسوغ للتيمم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المتمكن من الشرائط في أول الوقت، العاجز عنها في آخره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القاعدة والاحتياط هو تأخير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السبب الثاني من أسباب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الوصلة إلى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ومن جملة أفراد عدم الوصلة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الماء وتعذر الثمن لشرائه صح التيمم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الخوف على المال من اللص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الأصحاب وقولهم بعدم الوجوب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الخوف على نفس محترمة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حفظ مال الغير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ومن جملة الموانع لاستعمال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المرض المضر يسيراً بحيث لم يكن معتداً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المرض المتوقع باستعمال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الا فرق في المرض المسوغ بين كونه في جميع البدن أو في بعضه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الجبيرة النجسة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حكم الجرح والقرح المكشوفين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فوت الحاجة التي لا يتضرر 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المدار في كون الوضوء ضررياً؟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 وتطهر مع سقوط الطهارة بحقه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الوقت عن إدراك ركعة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الكلام فيما يتيمم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معنى الصعيد مجملاً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بقي الكلام في الأشياء المختلف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التيمم بأرض النورة والجص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التيمم بالجص والنورة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التيمم بالرماد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التيمم بالمعادن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جواز التيمم بالخزف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التيمم بالتراب المستعمل في التيمم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جواز التيمم بالغبار والطين بعد فقد التراب والحجر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التيمم بالتراب المغصوب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تيمم المحبوس في المكان المغصوب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عدم جواز التيمم بالثلج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كيفية التيمم، وحكمه قبل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الوضوء قبل الوقت غيرياً أو نفسياً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الضيق في التيمم بعد دخول الوقت؟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مقتضى الأصول العملية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الأصول اللفظية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التيمم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عدم كفاية القصد الإجمالي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التيمم هو الضرب أو المسح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التيمم من الضرب ولا يكفي الوضع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بين الضرب والمسح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الموالاة العرفية في التيمم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المباشرة على المأمور نفسه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أدلة عدم السقوط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كون الضرب في التيمم بيد العليل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الضرب في التيمم أو يكفي الوضع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الوضع عند تعذر الضرب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كون الضرب بباطن الكف وعدم كفاية الظاهر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هو التكليف لو تعذر الضرب بباطن الكف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طهارة الماسح والممسوح اختياراً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العلوق معتبر أم لا؟</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القول بعدم اعتبار العلوق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كون الضرب بكلتا اليدين ولا يكفي الضرب باليد الواحدة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كون الضرب باليدين دفعة ولا يكفي التعاقب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مسح الجبهة مع الجبينين بمجموع اليدين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استيعاب الوجه بالمسح أو يكفي البعض؟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الابتداء بالمسح بالأعلى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الترتيب بين اليدين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في أحكام المسح والماسح والممسوح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فاقد الطهورين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لو أصاب المتيمم الماء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التيمم لغاية خاصة لإتيان جميع الغايات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التيمم مقام الطهارة المائية مطلقاً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في قيام التيمم مقام الوضوء التجديدي وسائر الأغسال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الموضوعي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5" w:name="pg9203_87417"/>
      <w:bookmarkStart w:id="476" w:name="pg9203_87417"/>
      <w:bookmarkEnd w:id="476"/>
    </w:p>
    <w:p>
      <w:pPr>
        <w:pStyle w:val="Heading2"/>
        <w:numPr>
          <w:ilvl w:val="1"/>
          <w:numId w:val="1"/>
        </w:numPr>
        <w:rPr/>
      </w:pPr>
      <w:bookmarkStart w:id="477" w:name="pg9203_87417"/>
      <w:bookmarkStart w:id="478" w:name="__RefHeading___Toc3968136_2870459653"/>
      <w:bookmarkStart w:id="479" w:name="_Toc167"/>
      <w:bookmarkEnd w:id="477"/>
      <w:bookmarkEnd w:id="478"/>
      <w:r>
        <w:rPr>
          <w:rtl w:val="true"/>
        </w:rPr>
        <w:t>إصدارات مركز تراث سامراء</w:t>
      </w:r>
      <w:bookmarkEnd w:id="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رسالة حدوث العالم تأليف الشيخ محمد باقر الاصطهاباناتي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معالم العبر في استدراك البحار السابع عشر للميرزا حسين النوري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الذريعة إلى تصانيف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آقا بزرگ ظهرانی رحمه الله تحقيق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من إفادات المجدّد الشيرازي ، تحقيق الشيخ مسلم الرضائي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أحكام الجبائر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بقلم السيد محمد الساروي، تحقيق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رسالة في حكم الخلل الواقع في الصلاة تقريراً لبحث السيد المجدد الشيرازي ،</w:t>
      </w:r>
    </w:p>
    <w:p>
      <w:pPr>
        <w:pStyle w:val="BookText"/>
        <w:rPr/>
      </w:pPr>
      <w:r>
        <w:rPr>
          <w:rFonts w:ascii="Amiri" w:hAnsi="Amiri" w:eastAsia="Amiri" w:cs="Amiri"/>
          <w:color w:val="111111"/>
          <w:sz w:val="28"/>
          <w:sz w:val="28"/>
          <w:szCs w:val="28"/>
          <w:rtl w:val="true"/>
          <w:lang w:bidi="ar-SA"/>
        </w:rPr>
        <w:t xml:space="preserve">بقلم الشيخ آقا رضا الهمداني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مآثر الكبراء في تاريخ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ذبيح الله المحلاتي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رجالية وتاريخية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نزهة القلوب والخواطر في بعض ما تركه الأوئل للأواخر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تاليف الميرزا محمد بن</w:t>
      </w:r>
    </w:p>
    <w:p>
      <w:pPr>
        <w:pStyle w:val="BookText"/>
        <w:rPr/>
      </w:pPr>
      <w:r>
        <w:rPr>
          <w:rFonts w:ascii="Amiri" w:hAnsi="Amiri" w:eastAsia="Amiri" w:cs="Amiri"/>
          <w:color w:val="111111"/>
          <w:sz w:val="28"/>
          <w:sz w:val="28"/>
          <w:szCs w:val="28"/>
          <w:rtl w:val="true"/>
          <w:lang w:bidi="ar-SA"/>
        </w:rPr>
        <w:t>عبد الوهاب الهمداني الملقب بإمام الحرمين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الإمام علي الهادي علیه السلام عمر حافل بالجهاد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علي الكوراني، أعده وخرج مصادره مركز تراث سامراء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الأرشيف الوثائقي 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 في السالنامات العثمانية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لغة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مجلة سومر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قوافي الولاء من الكاظمية إلى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للأستاذ عبد الكريم الدباغ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أئمة سامراء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معرض فاجعة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أئمة سامراء علیهم السلام من طرق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كتيب نصائح سماحة المرجع الديني الأعلى السيد علي السيستاني دام ظله للشباب المؤمن، من إعداد مركز تراث سامراء</w:t>
      </w:r>
      <w:r>
        <w:rPr>
          <w:rFonts w:eastAsia="Amiri" w:cs="Amiri" w:ascii="Amiri" w:hAnsi="Amiri"/>
          <w:color w:val="111111"/>
          <w:sz w:val="28"/>
          <w:szCs w:val="28"/>
          <w:rtl w:val="true"/>
          <w:lang w:bidi="ar-SA"/>
        </w:rPr>
        <w:t>.</w:t>
      </w:r>
      <w:bookmarkStart w:id="480" w:name="pg9203_87418"/>
    </w:p>
    <w:p>
      <w:pPr>
        <w:pStyle w:val="BookText"/>
        <w:rPr/>
      </w:pPr>
      <w:bookmarkEnd w:id="480"/>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كتيب نصائح سماحة المرجع الديني الأعلى السيد علي السيستاني دام ظله للمقاتلين في ساحات الجهاد ، من إعداد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 من حياة أئمة سامراء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تعريفي بمركز تراث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المركز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الزائر لمرقد الإمامين العسكريين علیهما السلام في مدينة سامراء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 مركز تراث 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عصمة الحجج، تأليف السيد علي الحسيني الميبدي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 مرة </w:t>
      </w:r>
      <w:r>
        <w:rPr>
          <w:rFonts w:eastAsia="IRNazanin" w:cs="IRNazanin"/>
          <w:color w:val="111111"/>
          <w:sz w:val="28"/>
          <w:szCs w:val="28"/>
          <w:rtl w:val="true"/>
          <w:lang w:bidi="fa-IR"/>
        </w:rPr>
        <w:t>.</w:t>
      </w:r>
    </w:p>
    <w:p>
      <w:pPr>
        <w:pStyle w:val="Heading2"/>
        <w:numPr>
          <w:ilvl w:val="1"/>
          <w:numId w:val="1"/>
        </w:numPr>
        <w:rPr/>
      </w:pPr>
      <w:bookmarkStart w:id="481" w:name="__RefHeading___Toc3968138_2870459653"/>
      <w:bookmarkStart w:id="482" w:name="_Toc168"/>
      <w:bookmarkEnd w:id="481"/>
      <w:r>
        <w:rPr>
          <w:rtl w:val="true"/>
        </w:rPr>
        <w:t>الكتب التي ستصدر قريباً</w:t>
      </w:r>
      <w:bookmarkEnd w:id="4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ببلوغرافيا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 في حوزة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العسكرية المقدسة في الأرشيف الوثائقي 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المنصوري، تدقيق ومراجعة مركز تراث سامراء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المؤتمر العلمي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الهادي علیه السلام عبق النبوة وعماد السلم المجتمعي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في مجلة سومر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مركز تراث سامراء</w:t>
      </w:r>
      <w:r>
        <w:rPr>
          <w:rFonts w:eastAsia="Amiri" w:cs="Amiri" w:ascii="Amiri" w:hAnsi="Amiri"/>
          <w:color w:val="111111"/>
          <w:sz w:val="28"/>
          <w:szCs w:val="28"/>
          <w:rtl w:val="true"/>
          <w:lang w:bidi="ar-SA"/>
        </w:rPr>
        <w:t>.</w:t>
      </w:r>
    </w:p>
    <w:p>
      <w:pPr>
        <w:pStyle w:val="Heading2"/>
        <w:numPr>
          <w:ilvl w:val="1"/>
          <w:numId w:val="1"/>
        </w:numPr>
        <w:rPr/>
      </w:pPr>
      <w:bookmarkStart w:id="483" w:name="__RefHeading___Toc3968140_2870459653"/>
      <w:bookmarkStart w:id="484" w:name="_Toc169"/>
      <w:bookmarkEnd w:id="483"/>
      <w:r>
        <w:rPr>
          <w:rtl w:val="true"/>
        </w:rPr>
        <w:t>كتب قيد التحقيق والتأليف</w:t>
      </w:r>
      <w:bookmarkEnd w:id="4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مقدمة الواجب، تأليف السيد هاشم بحر العلوم، تقريراً لبحث آية الله المجدّد السيد محمد حسن الشيرازي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العلّامة الشيخ ذبيح الله المحلاتي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تأليف العلّامة الشيخ ذبيح الله المحلاتي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 الرجال على كتاب منتهى المقال، تأليف آية الله السيد صدر الدين الصدر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 تأليف آية الله السيد إبراهيم الدامغاني ، تقريراً لبحث آية الله المجدّد السيد محمد حسن الشیرازی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اللمعتين، تأليف آية الله الشيخ عباس بن حسن آل كاشف الغطاء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علماء تتلمذوا في سامراء</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في تحقيق دليل الإنسداد من إفادات السيّد المجدّد الشيرازي، بقلم المحقق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البعض كان يقارن بين المدرستين فيقول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الأمارات التي هي متقدّمة على الاستصحاب ما يسمى بقاعدة الفراغ والتجاوز والمعروف بين النجفيين هو تعدّد القاعدتين وبين اهل سامراء من القوم من اتباع الميرزا الشيرازي له هو وحدة القاعدتين، الميرزا هاشم الآملي، مجمع الأفكار والأنظار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رضا الهمداني، مباحث الخلل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حققها وطبعها مركز تراث سامراء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الصدر،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القريبة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قُطُوفُهَا دَانِيَةٌ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الصدر،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الخوئي، مرآة الشرق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بزرك الطهراني، 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الصدر،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بزرك الطهراني،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بزرك الطهراني،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بزرك الطهراني،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السيد ميرزا علي أقا الشيرازي ساكناً في سامراء في ذلك الوقت والسيد حسن الصدر ساكناً في الكاظمية ولذلك عبّر بأنه أرسل نسخة الأصل إليه بيد السيد حسين الأسدي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السيد إبراهيم بن المير محمد علي الدرودي الخراساني الكاظمي والبعض يخلط بينهما لذلك نبه الشيخ الزنجاني على ذلك،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بزرك الطهراني، هدية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باب العصير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أيُ شيءٍ الغليان ؟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هذا التفسير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العصير المطبوخ ، وأَصله بالفارسية فِي بُخْتَه أَي عصير مطبوخ،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الطريحي،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الصيد باب الذبائح والأطعمة 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فكأنه قال علیه السلام العصير المتصف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رسائل الكركي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الشهيد الثاني الحاشية على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الأشربة باب الطلاء ح ، ونص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الرجل من أهل المعرفة بالحق يأتيني بالبختج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طبخ على الثلث، وأنا أعلم أنه يشربه على النصف، أفأشربه بقوله وهو يشربه على النصف؟ فقال علیه السلام الان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تشربه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اشتباه من المقرّر أو من طغيان القلم؛ لأن الصدوق رحمه الله لم يورد هذه الرواية، وإنما أوردها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والفرق بينهما وجود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وخلو الكافي منها، وقد رجح البعض ومنهم الشيخ الأعظم في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التهذيب على رواية الكافي ببركة رسالة علي بن بابويه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ويؤيد وجود لفظ الخمر في الرواية تعبير والد الصدوق بمضمونها في رسالته إلى ولده والتي هي كالروايات المنقولة بالمعنى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باب العصير؛ الطوسي،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الصيد باب الذبائح والأطعمة 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الفيض الكاشاني،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الطباطبائي، شرح المختصر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النجاسة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للمغاير من الزبيب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الأشربة باب العصير إذا مسته النارح</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الأشربة باب صفة الشراب الحلال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الرواية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وأظهر هذه الأدلة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عنها الشيخ الطوسي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فبعدما قلنا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مسماه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المحقق الكركي، 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فعلى ما يكون في بطنها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مرتان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يغلي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بمجرد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أجزاءه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باب صفة الشراب الحلال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باب الطلاء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نسبه إلى ابن سعيد الحلي؛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باب الطلاء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تنتهي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السيد المرتضى له إلى أبي هاشم الواسطي في 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الشيخ في 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 کاشف الغطاء،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النجفي، رسائل 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شرب الفقاع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والرواية عن ابن أبي عمير عن مرازم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والقفز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والأنسب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يخصونه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الأشربة باب ان الخمر حرمت لفعلها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والمذكور في الأصل مضمون الحديث لا نصه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باب الفقاع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الأشربة باب الفقاع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العلّامة الحلي،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خلاف النظافة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الخليل،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غير مسلّم وهو تنظير هذه الآية بسابقتها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تحريم ذبائح أهل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باب مؤاكلة أهل الذمة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نجاسة الكافر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تقريرات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المطرزي، المغرب في ترتيب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سيده، 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 بن القاسم بن إسماعيل الضبّي، أبو الحسن المحاملي البغدادي أحد أئمة الشافعية، تفقه على أبي حامد الأسفراييني، له مصنفات في المذهب منها كتابه في الخلاف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لابن قاضي شهبة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أبو نصر، أحمد بن محمد بن محمد الفقيه الحنفي المعروف بالأقطع، درس الفقه على مذهب أبي حنيفة على أبي الحسن القدوري، وخرج من بغداد في سنة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الأهواز فأقام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 ،هرمز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القدوري في فروع الفقه الحنفي، مات سنة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الجواهر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ترجمته وجه تسميته بالأقطع قال في شرحه في آخر كتاب الوكالة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والأصل في ذلك أن الطعام المطلق؛ اسم للحنطة ودقيقها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ذلك عنهما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طعام أهل الذمة ومؤاكلتهم ح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الإشعار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الأيجي،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560/3</w:t>
      </w:r>
      <w:r>
        <w:rPr>
          <w:rFonts w:ascii="IRNazanin" w:hAnsi="IRNazanin" w:eastAsia="IRNazanin"/>
          <w:b w:val="false"/>
          <w:b w:val="false"/>
          <w:bCs w:val="false"/>
          <w:i w:val="false"/>
          <w:i w:val="false"/>
          <w:iCs w:val="false"/>
          <w:color w:val="333333"/>
          <w:sz w:val="20"/>
          <w:sz w:val="20"/>
          <w:szCs w:val="20"/>
          <w:rtl w:val="true"/>
        </w:rPr>
        <w:t xml:space="preserve">؛ الجرجاني، 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القمي، مناهج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كاشف الغطاء،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الإيمان يشرك الإسلام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العلامة الأنصاري،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باب الإيمان يشرك الإسلام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الإيمان يشرك الإسلام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أحواله صلی الله علیه وآله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 الولاية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في 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الترادف اللغوية وليس الاصطلاحي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الإسلام يحقن الدم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باب الشك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الإسلام يحقن الدم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الأنصاري، 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يعلم بكونه من الشرع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الحجة السيد حسن الخرسان الكلام فى مسألة سهو النبي صلی الله عليه وآله وسلم مبسوط في كتب المقالات والكلام ومذهب الشيعة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نفيه عنه 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وإجماعهم على ذلك، إلا من شذ كالصدوق وشيخه، وقد كتب في ردهما وتفنيد ما استند إليه من أخبار آحاد، لا توجب علما ولا عملا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العلماء الأعلام، وفي مقدمتهم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محمد بن النعمان قدس سره، والسيد المرتضى، وقد كتب أحدهما رسالة مفردة، في الرد على الصدوق في هذه المسألة، وقد أدرجها بتمامها الحجة المجلسي قدس سره ،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أنه قد فصل الكلام في المسألة، وأطنب في بيان شذوذ تلك الأخبار التي استند إليها القائلون بالسهو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رده الحجة السيد عبد الله شبر قدس سره، في كتابه 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ومصابيح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يقتصر رد الصدوق في هذه المسألة على الكتب الكلامية فحسب، بل تجد رده في كثير من الكتب الفقهية أيضاً، راجع التذكرة، والمنتهى للعلامة الحلي وغير هما؛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باب الضلال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الاشربة باب شارب الخمر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الشرك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الايمان يشرك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فراغ بمقدار كلمتين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الكفر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فالموجبات في الرواية إما بإطلاقها وإما مختصة بالضروريات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الإسلام قبل الإيمان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الكبائر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باب الإيمان يشرك الإسلام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ويظهر أنه وافق شيخه المفيد على ذلك</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نسب القول إلى آخرين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العاملي، مفتاح الكرامة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أسئار الكفار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الرجل يدخل يده في الإناء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بابويه، 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الآبي، كشف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العلّامة الحلي،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فخر المحققين،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حاشية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نسبه إلى والده وأستاذه؛ 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الحمام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بابويه 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بابويه، 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إلا في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يذكره حتى ممن دأبه نقل كلام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سيما في المورد المشار إليه كالعلّامة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مجموعة فتاوى ابن الجنيد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في المبسوط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مال إلى الحكم بالطهارة، وهو إلى العدول أقرب منه إلى التردّد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إدريس،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تقريرات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فراغ بمقدار كلمة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تطهير الثياب باب الخفاش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تصل فيه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الطوسي،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ابن زهرة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باب لحوم الجلالة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الثياب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ابن البراج،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الشهيد الأول،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الأسئار باب طهارة بقية الاسئار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 ابن حمزة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يُنظر العلّامة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البهبهاني، مصابيح الظلام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باب الرجل يصلي في الثوب النجس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يدلّ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اللباس الذي يكره الصلاة فيه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عن موسى بن أكيل لا عن أبي بصير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تجوز الصلاة في شيء من الحديد فإنّه نجس ممسوخ</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الصلاة فيه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اللباس الذي يكره الصلاة فيه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لمخافة النجاسة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الصلاة فيه من الثياب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الأصل فرقاً بينها وبين المعاملات التي لا يستوحش أحد بجريان الأصل فيها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تطهير الثياب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الصلاة فيه من الثياب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يكره من اللباس للمصلي ح</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اللباس الذي يكره الصلاة فيه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الاسكافي،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الطباطبائي،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النية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تكبيرة الإحرام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 حذف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زائدة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من سهى في الركعات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من سهى في الركعات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والأنسب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حديث بهذا اللفظ بل هو متداول على الألسن كثيراً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الحقوق ح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المحقق الهمداني في رسالة الخلل الواقع في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يتعرض سيد مشايخنا دام ظله لبيان هذه المسألة تعويلاً على ما أفاده من مبحث النجاسات من كتاب الطهارة ، المحقق الهمداني، رسالة في حكم الخلل الواقع في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البيهقي،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ابن إدريس،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المسجد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يكون المنع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وما أضفناه اقتضاه السياق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احكام المساجد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وَمَنْ يُعَظِّمْ شَعَائِرَ اللَّهِ فَإِنَّهَا مِنْ تَقْوَى الْقُلُوبِ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آلته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الشهيد الأول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في الموضعين سبب فساد الصلاة ولكن الخصوصيات المذكورة في المتن لم أجدها في الكتابين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الفاضل الهندي، 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جنبوا مساجدكم النجاسة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كلام المحقق في المقام ولكن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أشار إليه البزنطي في نوادره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في كشف اللثام إسناد الثاني إلى أقوال البزنطي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ولا يخفى عدم تأدية العبارة لمراد المقرّر وملخص ما يريده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ابن إدريس نقل عن نوادر البزنطي في مستطرفاته وفي هذا المورد فإنّه عبّر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البزنطي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إشارة منه إلى أنّ هذا من أقوال البزنطي لا من مروياته، والمحقق في المعتبر ردّ على ابن إدريس ولم يرتض هذا التوجيه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ويظهر من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اختيار ما ذهب إليه ابن إدريس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الحديث عن ليث المرادي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يكون به الدماميل والقروح فجلده وثيابه مملوة دماً وقيحاً وثيابه بمنزلة جلده؟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في ثيابه ولا شيء عليه ولا يغسلها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الأحداث الموجبة للطهارة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الثوب يصيبه الدم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عن أحدهما علیهما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يخرج به القروح فلا تزال تدمي، كيف يصلي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يصلي وإن كانت الدماء تسيل الطوسي،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تطهير الثياب باب ذرق الدجاج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بالحديث الرابع خبر سماعة بن مهران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بالرجل جرح سائل فأصاب ثوبه من دمه فلا يغسله حتى يبرأ وينقطع الدم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تطهير الثياب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الشك في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الأحداث الموجبة للطهارة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الاحداث الموجبة للطهارة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 عن العلا بن رزين عن محمد عن أحدهما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 يخرج به القروح فلا تزال تدمي كيف يصلي ؟ قال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يصلي وإن كانت الدماء تسيل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تطهير الثياب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الثياب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الأنباري، أسرار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الدين الاسترابادي، 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ملا جامي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المقرر رحمه االله سنة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وكتابة هذا التقرير قبل سنة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ويقصد الدينار العثماني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الأول في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البغلي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بإسكان 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منسوب إلى رأس البغل، ضربه للثاني في ولايته بسكة كسروية ، وزنته ثمانية دوانيق والبغلية كانت تسمى قبل الإسلام الكسروية، فحدث لها هذا الاسم في الإسلام والوزن ،بحاله وجرت في المعاملة مع الطبرية، وهي أربعة دوانيق، فلما كان زمن عبد الملك جمع بينهما واتخذ الدرهم منهما، واستقر أمر الإسلام على ستة دوانيق، وهذه التسمية ذكرها ابن درید وقيل منسوب إلى بغل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بالجامعين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يوجد بها دراه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يقرب سعتها من أخمص الراحة، لتقدم الدراهم على الإسلام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القطب الراوندي نقله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ابن إدريس،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ابن البراج،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تطهير الثياب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الصلاة فيما لا تتم الصلاة فيه منفرداً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الصلاة فيه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إدريس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وقد ذكر فيه أنه القطب الراوندي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والأنسب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لم يبيّن الوجه في ذلك وإنّما تصدى له بعض الأصحاب، فلاحظ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رسائل الشهيد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الأحداث الموجبة للطهارة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البراج،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الاستبراء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ابراهيم، عن أبيه، عن حنان بن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رجلاً سأل أبا عبد الله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بلتُ ولم أقدر على الماء ویشتد على ذلك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بلت وتمسحت فامسح ذكرك بريقك فإنّ وجدت شيئاً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وعن الحسين بن سعيد عن حنان مثله،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الأحداث الموجبة للطهارة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الدرة النجفية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العلّامة الأنصاري،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المعيشة باب النوادر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الوكالة ح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الطباطبائي،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فضلاً عن السنة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الوكالة ح</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لحوق الأولادح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الدرر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الوجوب مطلقاً، لا عدم وجوب قبول شهادة العدلين كما ربما يتوهم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فراغ بمقدار كلمة وما أثبتناه اقتضاه السياق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حيث نسبه لابن الجنيد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سلّار،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العلّامة الحلي،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اسقاط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ما سيأتي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 بن حبيب،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 الله عن الجبن وأنّه توضع فيه الأنفحة من الميتة؟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أرسل بدرهم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 من رجل مسلم ولا تسأله عن شيء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لباس المصلي ح</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لباس المصلي 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إعمال قاعدة سوق المسلمين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البهبهاني، حاشية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النجفي،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الخوانساري، مشارق الشموس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فراغ بمقدار كلمتين وما أثبتناه يقتضيه السياق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فراغ بمقدار كلمة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يريد السيد ابراهيم القزويني صاحب الدلائل كما سيتضح قريباً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فقهية، يُنظر 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العلّامة الأنصاري، 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نسبه إلى الحدائق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إبراهيم القزويني في دلائل الأحكام في شرح شرائع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السبزواري، 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الحدائق </w:t>
      </w:r>
      <w:r>
        <w:rPr>
          <w:rFonts w:eastAsia="IRNazanin" w:cs="IRNazanin"/>
          <w:b w:val="false"/>
          <w:bCs w:val="false"/>
          <w:i w:val="false"/>
          <w:iCs w:val="false"/>
          <w:color w:val="333333"/>
          <w:sz w:val="20"/>
          <w:szCs w:val="20"/>
        </w:rPr>
        <w:t>365/5</w:t>
      </w:r>
      <w:r>
        <w:rPr>
          <w:rFonts w:ascii="IRNazanin" w:hAnsi="IRNazanin" w:eastAsia="IRNazanin"/>
          <w:b w:val="false"/>
          <w:b w:val="false"/>
          <w:bCs w:val="false"/>
          <w:i w:val="false"/>
          <w:i w:val="false"/>
          <w:iCs w:val="false"/>
          <w:color w:val="333333"/>
          <w:sz w:val="20"/>
          <w:sz w:val="20"/>
          <w:szCs w:val="20"/>
          <w:rtl w:val="true"/>
        </w:rPr>
        <w:t>؛ 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مفتاح الکرامة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العلامة الحلي،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البول يصيب الثوب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عدة أسطر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كلمة ومع ذلك فالعبارة مستقيمة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عوالي الآلي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الطهارة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السجستاني،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الأرض يصيبها البول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الرواية كاملاً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أعرابي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ارحمني وارحم محمداً ولا ترحم معنا أحداً، فقال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تحجرت واسعاً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لبث أن بال في ناحية المسجد، فكأنهم عجلوا إليه، فنهاهم النبي صلی الله علیه وآله وسلم، ثم أمر بذنوب من ماء فأهريق عليه ثم قال علموا ويسروا ولا تعسّروا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الأنبذة باب الأواني يكون فيها الخمرح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عمار بن موسى،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الدن يكون فيه الخمر هل يصلح أن يكون فيه خل أو ماء أو كامخ أو زيتون؟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غسل فلا بأس</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الثياب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ذكره من المصنف قريباً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تطهير الثياب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باب الفأرة تموت في الطعام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الثياب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زكريا بن آدم قال سألت أبا الحسن علیه السلام عن قطرة خمر أو نبيذ مسكر قطرت في قدر فيه لحم كثير ومرق كثير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يهراق المرق أو يطعمه أهل الذمة أو الكلب، واللحم اغسله وكله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الزغب الذي تحت شعر العنز، تصنع منه ثياب وفرش لينة وناعمة،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الطريحي،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الإحساني،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بعدم حصول فائدة طهارة سطح الباطن مع نجاسة جوفه بسب سريان النجاسة من الباطن إلى الظاهر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رويت عن أبي هريرة في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ورويت عن أنس في غوالي الآلي، لابن أبي جمهور الإحسائي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ضعيفة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من المصنّف عدم الاعتماد عليه، والأخرى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المبارك</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تطهير الثياب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وما أضفناه يقتضيه السياق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 رسائل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والمطلب مشوش بسبب ضعف الصياغة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الآبي، 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الشهيد الأول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أنهم قيدوا الحكم بعدم الانفعال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نزوله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العاملي،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المحقق السبزواري، كفاية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الشهيد الثاني عن بعض معاصريه في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كشف اللثام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فقد نسبه أيضاً إلى غير صاحب الوسیلة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المثعب هو المرزاب، كما في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فما ذكر في المتن ليس بصحيح ، ويؤكده ما ذكر في المتن من رجوع قول صاحب الوسيلة إلى قول الشيخ</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الصحيح وعمومات الكتاب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اختلاط ماء المطر بالبول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الخوانساري ،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يسأل عنه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تؤخذ</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الماء الذي لا ينجسه شيء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الشهيد الثاني عن معاصره ،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إليه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برفع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الماء الذي لا ينجسه شيء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 ليست مكاتبات إنما هي مشافهات سأل أخاه الإمام علیه السلام ودونها وأصبح ما يعرف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علي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المقرر خلط بين مكاتبة عبد الله بن جعفر المتقدمة ورواية علي بن جعفر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الفقهاء لا يساوون عادة بين المكاتبة والمشافهة في الروايات،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غاية المراد في شرح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الشيخ جعفر الكبير في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حكم الآبار باب البئر يقع فيه ما يغير أوصافه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البئر واسع لا ينجسه شيء إلا أن يتغير ريحه أو طعمه؛ فينزح حتى يذهب الريح ويطيب طعمه لأن له مادة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تحرير الأحكام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النجفي، الجواهر،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أستاذه الوحيد البهبهاني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الماء الذي لا ينجسه شيء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باسقاط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الانفعال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تظهر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 ينزل من الهواء ويجتمع على الأطراف، في بعض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والمراد بالفاضل البغدادي هو السيد محسن بن الحسن بن مرتضى الأعرجي الكاظمي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الذريعة عاش بين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عنه السيد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فقيه أصولي، محقق مدقق من أعلام العلماء في ذلك العصر، مؤلف، مؤلفاته مشهورة، وعباراته في غاية الفصاحة والبلاغة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 عابد تقي ورع جليل القدر عظيم المنزلة، وبأمره صنف أبو علي كتاب رجاله، تتلمذ على بحر العلوم وشارك كاشف الغطاء في 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في أول كلامه بأن الحكم يثبت من دليل 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يحمل اللفظ على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أن يكون ما بعد الإطلاق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قوله وكون مراد الشارع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متعلقاً به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تعليقة الوحيد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بحر العلوم، الفوائد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المياه وأحكامها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يمكن الاستغناء عنه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عدم نجاسة ماء الحمام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حياة الإمام الحادي عشر علیه السلام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الشواهد على اعتبار هذه الرواية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علي بن فضال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الغضائري،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رواية عمار بن موسى عن الصادق الا وقد تقدمت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ثلاث كلمات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غلب الماء على ريح الجيفة فتوضأ من الماء واشرب، فإذا تغير الماء، وتغير الطعم، فلا تتوضأ منه ولا تشرب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كلمة وما اثبتناه سبق أن ذكره المقرّر في عنوان اشتراط ورود الماء القليل على النجس</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قاعدة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النجس لا بُدَّ أن يكون له مطهر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سيذكرها بعدحوالي صفحتين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شعر فارسي ترجمته بالعربية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يأخذ حياته ووجوده من الموجد الحقيقي، كيف يمكن له أن يكون موجداً ومعطياً للحياة؟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السيد علي البهبهاني، الفوائد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والأنسب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هذا منعدم النظير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 العلل ولم أجدها في العيون كما ذكر المصنف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الحمام والماء الذي تسخنه الشمس</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ونقلها عن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عن أبي هريرة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 المسجد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في بيت المجوسي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خلاصة الإيجاز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العلامة الحلي،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والانسب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اتفقوا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لوجدوا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والمراد يمكن الاستناد اليه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كلمة واحدة وما اثبتناه يقتضيه السياق</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تلف وما اثبتناه يوافق السياق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قاطعون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كلمة واحدة فقط</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باب التنزل، وإلا فهو حكم بنجاسة ماء الغسالة مطلقاً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اللمعة الدمشقية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ترك الوضوء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صلاة إلا بطهور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مقتضى ثبوت التكليف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المفردات في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الفيض الكاشاني، 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آبادي،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المقرر قدس سره في هامش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الطلب داخلاً في مفهوم عدم الوجدان بخلاف الأول فإنّ الطلب طريق إليه، فافهم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مجمع 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من المقرر وهذا موضعها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جعفر بن محمد، عن أبيه، عن علي علیهما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الماء في السفر إن كانت الحزونة فغلوة سهم، وإن كانت سهولة فغلوتين، لا يطلب أكثر من ذلك</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المسائل العزية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وما أثبتناه يقتضيه السياق</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البهبهاني، الحاشية على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استفادة البعض ذلك ايضا من قول الشيخ قدس سره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الامامية مجمعة على العمل برواية السكوني وعمار ومن ماثلهما من الثقات يُنظر البهبهاني الفوائد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أن يتضيق</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والأنسب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وافية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زرارة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يجد المسافر الماء فليطلب مادام في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مضطرباً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كشف اللثام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شرطية الطلب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رواية علي بن سالم،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البهبهاني 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الفاضل الهندي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بأنّ الميل عشرة غلاء والفرسخ ثلاثة أميال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استفادة العموم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من المصنف أن التزم بكون الطلب تعبدياً فلاحظ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الأول في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تيقن عدمه سقط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ونحوه في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فيظهر منها خلاف ما استفاده المقرر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تقريرات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المعتبر جمع ، منهم 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التيمم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التيمم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الخونساري، حاشية على اللمعة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يثمر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كلمة وما أثبتناه يقتضيه السياق</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 رفع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يكون تناف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من المصنف أنه اختار كونه تعبدياً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الطلب تعبدي لا شرطي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الوديعة باب ثبوت الضمان على المستودع مع التفريط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بالصحة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 الطلب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فيعاقب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 تقريرات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ولعلّ الأنسب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كان التكليف بالصلاة مع التيمم المطلق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المقرر قدس سره في هامش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متعلقاً بالأفراد لا بالعنوان فإذا شك في كون الصلاة مع التيمم بغير الطلب صلاة مع غير الطهور فحينئذٍ نستكشف من عموم العام كونها مع الطهور؛ لأنها لو لم تكن مع الطهور يلزم المناقضة؛ لأنه بمنزلة ان يقول هذه الصلاة مع التيمّم بغير الطلب مطلوبة لتعلق العام بها وليست مطلوبة لتعلق الخاص بها بخصوصيتها فهو مناقضة بينة،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مقتضى عموم العام كونها الطهور لئلا يلزم المناقضة وهذا نظير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الأفراد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وعمر وبكر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تكرم الفساق بخصوصياتها؛ فإذا شك في كون زيد العالم فاسقاً أم لا؟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كونه فاسقاً لتعلق الأمر والنهي به وهو محال نعم لو كان المخصص ملحوظاً بعنوان الفاسق، فلو شك في كون زيد فاسقاً يكون من قبيل الشك في المصداق لأن المخصص ملحوظ بالعنوان وهو معلوم، فيكون الشك في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يمكن التمسك بعموم العام لكن الإشكال في إثبات كون المخصص ملحوظاً بعنوان الخصوصيات لا بالعنوان لأن الظاهر أن المخرج هو عنوان فاقد الطهور لأن الألفاظ المأخوذة ظاهرة في العنوان فحينئذ الأولى أن نقول في مقام الاستدلال لهذه العمومات بما ذكرنا أولاً في التمسك بالاجماع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يكون مع التيمم ويكون التيمم صحيحاً، والخصم يقول بعدم صحة التيمم مع فرض عدم الصلاة، وأما مع صحته ووجوبه فلابد أن نقول بصحته أيضاً وبعبارة أخرى المخصص على فرض التخصيص ليس ملحوظ بالخصوصيات وفي الحقيقة المخرج حالات خاصة مثل فاقد الماء والتراب وواجدهما مع تقدير استعمالهما ككون الماء مسخناً ولا يتمكن من استعماله مع فقد التراب وعدم التمكن من استعماله، والعام أيضاً يكون ملحوظاً بعنوان خصوصياته الأفراد فيكون معناها عدم السقوط في بيان الطلب وفي بيان عدم الطلب وفي حال المرض وعدمه وغيرها، فيكون كل من العام والخاص، لأنه بالطلب يحقق عدم الوجدان فلا ينافي تحققه بغيره أيضاً، وما يتمسك به في منع إطلاق الشرطية وهو أن الوجوب الشرطي المستفاد من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مقيداً بحالة الإمكان فيما لم يكن فيه الطلب متمكناً لم يكن واجباً فيه فلم يكن شرطاً حينئذ لأن الشرطية مستفادة من الأمر بالطلب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خصّصها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صورة الضيق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ولعل الأنسب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بيان معنى عدم الوجدان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الأنصاري،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الاشتياني،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علي القزويني، تعليقة على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البهبهاني،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توقف البعض من جهة عثمان بن عيسى وبعضهم لاشتراك أبي بصير بين جماعة وللإضمار في الرواية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كلام الشهيد الأول ولكن 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قيدنا المسألة في الضيق تبعاً للرواية وفتوى الأصحاب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يريد الشهيد الثاني، فلاحظ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من المصنف اختيار كون الطلب تعبدياً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كلمة، ولكن مع ذلك العبارة مستقيمة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الأول في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تيقن عدمه سقط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ونحوه في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فيظهر منها خلاف ما ستفاده المقرر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العلّامة الحلي،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الكبير،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التنويع</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 غنائم الأيام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يُنظر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الفاضل الهندي،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مقيداً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الإقامة في أرض لا ماء فيها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كراهة الإقامة على غير ماء</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الفرع السادس</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شرطية الطهارة المائية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متعذرة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النصوص الشرعية والإجماعات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المستفادة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أَوْفُوا بِالْعُقُودِ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شرائع الإسلام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دون المتمكن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لا يخلو من غرابة، فقد وردت رواية معتبرة بقاعدة لا تدع الصلاة بحال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صاحب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والعمومات الدالة على عدم سقوط الصلاة 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وادعى في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الفرقة المحقة عليها واستشهد بها كثيراً،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الهمداني في مصباح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الصلاة لا تسقط بحال نصاً واجماعاً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استشهد بالقاعدة في موارد عديدة من مصباحه، ولاحظ أيضاً نهاية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المواقيت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القمي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الفاضل الهندي،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واستكراه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ولعله يريد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كان الثمن زائداً عن ثمن المثل بأضعافه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السياق ويؤيده ما بعده من الكلام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الحلي في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الجنيد والشافعي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متفاوتة</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السبزواري،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الشهرة على ذلك البحراني، الحدائق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لمحقق الكركي، جامع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لهذا المورد في هذا الشرح</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الشهيد الثاني،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الرواية بهذا اللفظ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العاملي، مدارك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الصدقة ابراد كبد حرى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كل كبد حرى أجر </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النجفي،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المؤتلف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مشوشة ومراده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كون مطلق المرض مع الوضوء يسبب العسر أو الضرر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كشف اللثام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التيمم مع عدم تمكن استعمال الماء لمرض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إجزاء المسح على الجبائر في الوضوء</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عوالي اللئالي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المحقق القمي،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كلمة وما أثبتناه يقتضيه السياق</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يُعلم تعارضها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خبر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وإن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إسقاط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الرابع</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كلمتين وما أثبتناه يقتضيه السياق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وصف كلمات العلماء بالمجملة في المقام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تعرض لجميع هذه الأقوال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احتاط الشيخ الطوسي في المقام،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نبه على ذلك 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الشهيد الثاني استقصاء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البهبهاني،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وقال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المبطون والكسير يؤممان ولا يغسلان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مشارق الشموس للمحقق الخوانساري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جعلها إحدى صور الاحتياط</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كلمة ولعل المناسب ما أثبتناه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968/2</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968/2</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المطلب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وذهب إلى خلافه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في بقية كتبه كما نبَّه على ذلك المحقق البحراني في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العلامة الحلي،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وصرح المحقق النراقي في المستند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 تعمد الجنابة مع تعذر استعمال الماء</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نِسَاؤُكُمْ حَرْثٌ لَكُمْ فَأْتُوا حَرْثَكُمْ أَنَّى شِئْتُمْ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كلمة وما أثبتناه يقتضيه السياق</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 تقريرات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المبغوضية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يتحمل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القمي،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الأنصاري، 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تجديد الوضوء، باب استحباب النوم على طهارة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وضوء الحائض</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النوم على طهارة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يريد الوضوء للميت مضافاً إلى غسله على قول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الأصل، ولعلّ الأنسب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من تقدمه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الأنباري، الزاهر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نقله عن ابن عباس</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تقريرات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الكتب الروائية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آبادي،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نقله عن الزجاج</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آبادي،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وردت بدون لفظ التراب كما تقدم من المصنف قبل صفحتين فلاحظ</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يختلف قليلاً عما في التهذيب</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ادعي الإجماع باعتبارها من مصاديق الأرض؛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ادعي الإجماع باعتبارها حجراً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السكوني التي نقلها المحقق في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كلمتين وما أضفناه لعلّه الأوفق بالسياق</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كلمتين وما أضفناه اقتضاه السياق</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ضعيفة بالسكوني، وقد تقدم من المصنف عدم الاعتماد عليه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وما بعدها؛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وما بعدها؛ 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الشعر المتراكب على كتفي الأسد ومنه ما يوضع حول رقبة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الحلس الذي يكون تحت رحل الفرس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يجد إلا الوحل تيمّم منه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13170</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فَاسْتَبِقُوا الْخَيْرَاتِ أَيْنَ مَا تَكُونُواْ يَأْتِ بِكُمُ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وَسَارِعُواْ إِلَى مَغْفِرَةٍ مِّن رَّبِّكُمْ وَجَنَّةٍ عَرْضُهَا السَّمَاوَاتُ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تقريرات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الرشتي، 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تبدأ نسخة مكتبة مروي التي رمزنا لها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الحر العاملي،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النجفي،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في التيمم من النية لما دل على عدم صحة الفعل بدون النية من الأخبار والإجماع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كيفية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والإجماع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وقصد التقرب لكونه في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هو المعتبر في جميع العبادات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 لا نوعه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كونها معها ليس من مشخصات طبيعتها بدلاً من لأنّ كون الصلاة مع هذه 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مشخصات طبيعة </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يصير لازماً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يلزم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يجوز له العدول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يجوز له قراءة السورة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 ما 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لو شرع</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سورة إلى غير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 في كل سورة غيرها في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فحقيقة البسملة في سورة غيرها في سورة أخرى</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كالقصر وأخيه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على اختلاف حقيقتها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الوجوب والندب لأنهما من عوارض الفعل بعد الأمر فلا يدخلان في حقيقته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قصد الوجوب والندب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الفعل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 تقريرات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قرر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 قد حققنا في الأصول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وهنا أيضاً المأمور به تحقق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نحن فيه أيضاً المأمور به هو تحصيل الطهارة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التطهير والإباحة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حصول الطهارة والإباحة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والشك في باب الطهارات ليس كالشك في باب الشرطية والجزئية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وبالجملة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والجزئية في غيرها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قصد رفع الحدث فيه بل 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إنّه لا يلزم 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يجوز قصده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الحدث حالة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رؤية الماء منها مع أنه بوجود الماء ينتقض التيمم فلا يكون رافعاً للحدث، بل يحصل معه حالة يستباح معه الدخول في الصلاة، ولا دليل على لزوم قصد الإباحة إلا الوجه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رؤية الماء من الأسباب والأحداث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المذكور اعتباره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قصد البدلية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التيمم هل هو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والكلام في تشخيص أنّ التيمم هل هو الضرب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ويمكن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يمكن أن يقال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بواسطة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على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نظر بل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يخفى عليك عدم وقع هذا الجواب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والعقل حاكمٌ</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اعتبار الاعتماد في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 بناءً على اعتبار الضرب الظاهر كونه باعتماد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ويحمل ما ورد بلفظ الوضع كونه خاصاً مقيداً والوضع مطلق ولابد من حمله على المقيد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ورد في بعض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 على المقيد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ويحتمل كونهما متباينين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متباينان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هو خلاف ظاهر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خلاف ظاهر اللّفظ</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الوضع واقع في كلام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ويأتي تتمة الكلام إن شاء الله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وجوب الترتيب بين الضرب والمسح للأخبار التي وردت في بيان التيمم فإن كلها وردت بتقديم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الظاهر وجوب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الضرب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هو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أمره صلي الله علیه وآله وسلم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 ترتيب الأفعال وقد تمسك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الكيفيات ترتيب الأفعال؛ وقد من رومن استدل عليه بوجوه أخر ضعيفة</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الواو للترتيب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أنّ الواو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للترتيب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الشهيد الأول،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نسبه إليه 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إنه للجمع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الواو للجمع</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مسألة ويجب فيه المولاة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العرفية بدلاً من ويجب في التيمم الموالاة العرفية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والمدرك فيه الإجماع</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لبعد بيان الجزء الأول ساعة والثاني في ساعة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يبعد بيان الجزء الأول ساعة ويبين جزؤه الآخر ساعة أخرى</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ويمكن دعوى انصراف الإطلاق إلى الفرد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فيمكن التمسك فيه بادعاء انصراف الإطلاق إلى الفرد الغالب</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منصرف الإطلاق إليه فلا إطلاق لغيره وأيضاً الظاهر من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فالإطلاق</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 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استدل عليه؛ ما ذكره العلّامة في المنتهى</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 متراخ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المعنى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يستند إلى الفاء في قوله فامسحوا فإنه 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يستدل عليه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فَامْسَحُواْ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إنّه يدلّ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الآية يقتضي المباشرة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مقتضى ظاهر الأمر يقتضي المباشرة</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فالطلب مقيّد بمباشرة الفعل نفس الفاعل وليس تقييد الفعل بالفاعل ومباشرته له مثل القيود المستفادة من الهيئة لا يمكن تقييد المادة به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وتقييد الطلب بمباشرة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المادة به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بتنزيل الغير 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بتنزيل الشارع غير منزلته </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ويتولاه بنفسه وفي الاستنابة ينوي المستنيب عنه، والثمرة حصول الاستنابة مع الغفلة والنوم، ولزوم وجوب شرائط النيابة في المستنيب دون التسبيب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لابد من نية الشخص وتوليه النية، ولا يجب بلوغ المستنيب وعقله، بل يجزي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يتولى بنفسه النية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البالغ</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ورد وثبوت التيمم عدم سقوطه بقدر الإمكان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ورد الدليل بثبوت التيمم وعدم سقوطه بقدر الإمكان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الميسور لا يسقط بالمعسور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صلی الله علیه واله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يمموه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المجدور والكسير وفي مثل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الاستكشاف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والمطلوب الأول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يمّم مشتق جعلي من باب التفعيل من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فتحصل أن الظاهر التسبيب لا الاستنابة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فحاصل ما ذكرنا هو ظهور التسبيب لا الاستنابة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المدارك في المقام ينوي العليل، وفي الوضوء ينوي المباشر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العجب ما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المباشر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كله في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هل الضرب بيد العليل أو النائب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والانسب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يؤيده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ما سوف يذكره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الإجماع على الأول مع الإمكان ويؤيده قوله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يمّموه</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هو</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يتم بناءً عليه، بناءً على كونه خارجاً عنه ومقدمة له، فإنه حينئذٍ عبارة عن المسح الضرب والمسح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يتم بناءً على كون الضرب الضرب والمسح</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يدل عليه خبر عبد الأعلى لدلالته على عدم سقوط غير المتعذر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 الكلام في أفعال التيمم ومنها الضرب والكلام فيه في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قد مر وجوب الضرب لا الوضع</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الضرب بشدة في الضرب دون الوضع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والفتوى كالأخبار مختلفة والأكثر بلفظ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وكلمات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الأكثر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فيحمل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فيحمل المطلق على المقيّد </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 في كفايته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نص في كفاية الوضع</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من حمل الظاهر على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فمقتضى القاعدة حمل الظاهر على النص </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بأس بخلاف المشهور إذا ساعدنا الدليل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لو تعذر الضرب بناء على اعتباره وأمكن الوضع فهل التكليف به، أو يسقط الوضع والضرب أو يسقط التيمم ؟ الظاهر الأول للإجماع وخبر عبد الأعلى</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وهنا لا يكون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وهما من الأجزاء التحليلية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الشدة المعتبرة في الضرب وعدمها لا يكونان من الاجزاء الخارجية بل من الاجزاء التحليلية فظهر فساد الاحتمالين الاخيرين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تقييده بالضرب في حال الإمكان لأن الأمر بالضرب مقيد به فتقييد المطلق ثابت في حال الإمكان لتقييد الأوامر بحال ،القدرة، وفيه أن هذا يتم فيما لو كان المقيد من مقومات الإطلاق بحيث يرتفع المطلق بارتفاعه كأن يطلب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به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الأمر بالضرب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وأريد منه زيد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الظاهر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ورد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فيحمل المطلق وهو اليد على المقيد وهو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ويعتبر كونه بالباطن للإجماع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إنه هل يعتبر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للإجماع</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وصل ولم يصل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ولوَصل إلينا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يصل إلينا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لو تعذر الضرب بالباطن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 لو تعذر الضرب بالباطن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يتولى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بنسبة هذه القاعدة إلى أقوال الفقهاء؛ لأنه لم يرتض كونها رواية كما تقدم منه، وقد علقنا عليه بما يناسبه في الموضع المشار إليه، والجدير بالذكر أنه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البهبهاني،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يكون منصرفاً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أنت خبير بعدم تماميته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ويحتاط بالجمع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 من الاحتياط</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النسختين وأضفناها لاقتضاء السياق</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يتمكن نفس الشخص من التيمم تولى غيره ذلك</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يدل قاعدة الميسور بناءً على تعميمه للميسور العرفي، أو كون الظهر ميسوراً للواجب الأصلي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باطن الكف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العرف فثبت بها كون الواجب حينئذ مسح الظهر، ولا يمكن اثباته من رواية عبد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يدل دليل الميسور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عبد الأعلی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العاملي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قطعنا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المستند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هي في بيان الأجزاء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الإطلاقات في بيان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يعتبر العلوق</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القدماء والمتأخرين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العاملي، مدارك الأحكام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يظهر المخالف من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ويرشد إليه قولهم بجواز التيمم بالحجر سواء كان في حال الاختيار من قال بأن الصعيد مطلق وجه الأرض، أو قال به مع عدم التمكن من التراب وهو أعم من عدم التمكن مطلقاً حتى الغبار بل يقول بالجواز حتى مع وجود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ويرشد إليه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ووجود الغبار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بالحجر اليابس</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مقتضى</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الشامل للنفض الأكيد بحيث لم يبق فيه التراب أصلاً بل يمكن دعوى الإجماع على عدم اعتبار العلوق لقولهم باستحباب النفض</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السيوري 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الجواد، مسالك الأفهام إلى آيات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ويؤيده وجوه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لا بُدَّ أن يحكم بعدم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وذهب جماعة إلى اعتباره 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وذهب جمع إلى اعتباره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السيد المرتضى الفيضُ الكاشاني في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نسب إلى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السبزواري 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البهائي،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البحراني في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حاشية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دل على النفض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الأوامر الدالّة على النفض</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يقتضي كونه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 كون ما يتيمم به شيئاً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كاشف عن كونه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عن كون المتيمم به شيئاً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يدلّ أيضاً على اعتباره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وقد خالف مع تعصبه إمامه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مع كونه متعصباً في مذهبه خالف إمامه فيه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الصعيد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لا نسلم استلزامه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المصنف بالمحقق السبزواري صاحب الكفاية،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قبيل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ذكره المقرر قدس سره في هامش الأصل وهذا موضعه المناسب بقرينة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العدم كون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 من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 عليه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فهم منه عمار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ويرشد إلى كون المفهوم منه ذلك فهم عمار رحمه الله</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حجية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التنافي</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الإطلاق ممنوع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والحال أنّ إطلاق كلامهم ممنوع أولاً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وشموله للنفض الأكيد 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قول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الانصرافه إلى الغالب وعدم تعرضه في الأخبار 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عليه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بأنّه من جهة كون الغالب بقاء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فمنعه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ويمكن كون عدم الذكر من باب الارتكاز المذكور أو يكون المتيمم به هو التراب وما ذكرنا هو السبب في عدم ذكر بعض الفقهاء مع أنه</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يلتزم به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أنهم لا يلتزمون بذلك أصلاً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كالصحيح لصراحته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الصحيحة، حيث إنها صريحة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غاية ما يمكن أن يقال لاعتبار العلوق لكن الحق عدم اعتباره 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هذا ولكن السيد الأستاذ أدام الله أيامه رجّح القول بعدم اعتبار العلوق، وردَّ الأدلّة المذكورة بدعوى القطع بذلك الحاصل من أمور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دل بدلاً من الأخبار الدالّة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فيهما غبار أصلاً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والحال أنّ أرض الجص والنورة لا غبار عليها قطعاً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هو الصحيح</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لظهورها في التيمم بنفس الأرض ومع وضع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إنّ ظاهرها التيمّم بنفس الأرض وبعد وضع التراب</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نسب فيه نقل الإجماع إلى المحقق الحلي في المعتبر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الذي بيده مذاق الفقه والفقهاء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كون لازم مذهبهم وأدلتهم مسح جميع الجبهة واليدين به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 لازم مذهبهم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والیدین به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زيادة ولا يلتزمون به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فلابد من صرف ما يدل على اعتباره عن ظاهره، أما ما دل على النفض فالظاهر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بُدَّ حينئذ من صرف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النفض فالظاهر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غبار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وعموم المنزلة لا يدل على استعماله في الجميع بل يكفي استعماله الضرب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عمومالمنزلة الدالّة على كون طهورية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سوء الأدب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يعتبر أن يكون الضرب باليدين أو يكفي باليد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 هل يعتبر أن يكون الضرب باليدين أو يكفي مجرد الضرب ولو كان باليد الواحدة؟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لا شبهة في اعتبار كون الضرب باليدين؛ لأنّ الآية ليست بصدد بيان المضروب، بل لا يدلّ على الضرب، وكذا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العاملي،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ادعى أنه اجماعي</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الشهيد الثاني استقصاء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البهبهاني، حاشية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باليدين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ومراده بالمعية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تأسيساً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ويمكن أن يقال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يشعر به الباء في بكفيك وبيديك</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والسياق</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يمكن منع بدلاً من مضافاً إلى منع</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 المثال من عدم المناسبة للاستشهاد به؛ لأن ما استفيد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أكلهما دفعة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استفيد من مقدّمة خارجية عن اللفظ والتركيب وهي عدم القدرة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عادة على أكل الرغيفين دفعة واحدة، ولو أنّه استشهد بما يمكن أن يؤكل دفعة واحدة مثل التمر والعنب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أكلت التمرتين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أوفق وأحسن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يلزم مسح تمام الجبهة أو هي مع الجبينين بكل واحد من اليدين أو يكفي مسحها بالمجموع وإن لم يصل كل واحدة مع أنه يلزم تكرار المسح على تقدير المسح بكل واحدة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هل يلزم مسح تمام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واحدة منهما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تقدير الاستظهار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تقدير عدم الاستظهار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فالعمدة هو ظهور اسناد المسح إلى المجموع هو المسح به لا بكل واحدة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يلزم تمام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تشخيص البعض، فنقدم الكلام في الثاني فنقول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ذيل حديث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الأمر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لكن الخطب سهل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التيمم وجملة من أحكامه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الصحيح والموثق 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نقلناه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الإجماع والأخبار متضافرة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فالأخبار متضافرة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عدم الكفاية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بالنسبة إلى أخبار الوجه في عدم الكفاية وكذا الآية مع خبر زرارة مثل أخبار الجبهة والجبين فيلاحظ التعارض بين أخبار الوجه وغيرها من الآية والجبهة والجبين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بالنسبة إلى أخبار الوجه وغيرها من الآية والجبهة والجبين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يكفي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عن ابن بكير عن زرارة،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 بها جبينيه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عن المفيد عن ابن قولويه عن الكليني،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 بها جبينه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جبهته 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جبينه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عمر بن أبي المقدام عن أبي عبد الله علیه السلام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مر أن هنا أخباراً تدل على مسح الجبين إلا موثق زرارة المروي بثلاثة طرق في اثنين منها بلفظ الجبين خاصة، وهو ما في الكافي وطريق آخر وطريق الشيخ بلفظ الجبهة، وأصل هذه الطرق صحيحة جداً، والكافي أضبط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ذكرنا أنّ هناك أخباراً 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لأضبطية الكافي بالنسبة إلى الشيخ</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والأخذ بالأخير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فيجب الأخذ بالمظنون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طريق الجبين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ادعاها الطباطبائي،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وكلام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فكلام بعض مثل ابن أبي عقيل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حكي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الصدوق، الهداية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بملاحظة كثرة استعماله في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بملاحظة بعض الأخبار المستعمل فيه الجبين في الجبهة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 أنه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اذبحني وانا 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معنى الجبين هنا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وحاصل الكلام ان الخبر الصريح في الجبهة موثق زرارة على طريق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وبالجملة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خبر الجبهة صريح إلا أنه منحصر في موثق زرارة على طريق الشيخ</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لم ترجح الشهرة بهذا الطريق فيتعارض الطريقان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قلنا بعدم ارجحيته بواسطة شهرة هذا الطريق فحينئذ يتعارض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الطريقان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فعبر عما قال له زرارة تارة بالجبهة وأخرى بالجبين فيتحد الطريقان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زرارة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الطريقان متحدين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قصة عمار بن ياسر وتعليم الرسول الله صلی الله علیه وآله وسلم له كيفية التيمم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موثقة زرارة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بدليل عدم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العدم شيوع استعماله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العدم شيوع استعمال الجبهة في الأعمّ</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بل لم يعهد استعماله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عدم وجود استعمال فيه </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مجاز في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 بالتجوز في الإسناد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زرارة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مستطرفات السرائر باب نوادر البزنطي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 في الرواية بجبينه لا بجبينيه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البروجردي،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فقد أشار إلى اختلاف نسختي الفقيه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وعليه كما في مستطرقات السرائر وبعض نسخ الفقيه فيدخل الجبين في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بناءً على ورودها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داخلاً في المسح</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وروده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هذه الرواية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تمسك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قال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التمسك</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ويدفع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كل منهما 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يؤخذ</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يقال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حتى يقال بما ذكر</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التمسك</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نفياً وإثباتاً ممنوع والعمدة 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للنفي والإثبات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ونسبه إليه الشهيد الأول له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وأيضاً نسبه إليه الفاضل 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الصدوق لزوم مسح الحاجبين وذهب إليه بعض مشايخنا واستدل له بوجهين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الحاجبان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فنسب إلى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يستدل به أمران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التحديد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ومعقد لإجماع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بابويه 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الحديث</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وجوب الابتداء بالأعلى لقوله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الابتداء بالأعلى فهو الظاهر من قوله علیه السلام</w:t>
      </w:r>
      <w:r>
        <w:rPr>
          <w:rFonts w:eastAsia="IRNazanin" w:cs="IRNazanin"/>
          <w:b w:val="false"/>
          <w:bCs w:val="false"/>
          <w:i w:val="false"/>
          <w:iCs w:val="false"/>
          <w:color w:val="333333"/>
          <w:sz w:val="20"/>
          <w:szCs w:val="20"/>
          <w:rtl w:val="true"/>
        </w:rPr>
        <w:t>)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تحديد المسح لا الممسوح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الابتداء</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 تحديداً للممسوح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المرتضی، الناصریات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ومؤيداً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عليه نصف الطهور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ومع الشك وعدم 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شككنا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وجود الدليل</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بابويه، رسالة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ونسبه إليه العلامة الحلي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ابن بابويه لزوم 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الكلام في مسح اليدين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الذراع</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صحيحة وغير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ومقابله عدم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 نصوص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إليه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الأخبار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صحيح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لفظ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وورد في الطرف الآخر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أنّه في صحيح ابن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أخبار الكفين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وأخبار مسح الذراع</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الحكم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ويمكن حمل الثاني على البقية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الجمع بحمل أخبار الذراع على التقيَّة </w:t>
      </w:r>
      <w:r>
        <w:rPr>
          <w:rFonts w:eastAsia="IRNazanin" w:cs="IRNazanin"/>
          <w:b w:val="false"/>
          <w:bCs w:val="false"/>
          <w:i w:val="false"/>
          <w:iCs w:val="false"/>
          <w:color w:val="333333"/>
          <w:sz w:val="20"/>
          <w:szCs w:val="20"/>
          <w:rtl w:val="true"/>
        </w:rPr>
        <w:t>)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جامع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عليه بحسب السند فإنه من حيث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الجمع بحسب السند؛ لأنّ ذلك إنما يكون من حيث</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وقد يقدم الجمع السندي عليه دلالة لأمور خارجية كالظهور في التقية، وبالجملة فالدال على مسحالكف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ويمكن تقديم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الكفين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يقصد أن الخلاف من علي بن بابويه كما تقدم، أو أن هذا الخلاف يندرج ضمن الخلاف الأول، لأنّه أخص منه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على المشهور هل يجب مسح تمام الكف إلى أطراف الأصابع أو ما يقطع منها في السرقة كما في 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مع ذلك ، الخلاف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w:t>
      </w:r>
      <w:r>
        <w:rPr>
          <w:rFonts w:eastAsia="IRNazanin" w:cs="IRNazanin"/>
          <w:b w:val="false"/>
          <w:bCs w:val="false"/>
          <w:i w:val="false"/>
          <w:iCs w:val="false"/>
          <w:color w:val="333333"/>
          <w:sz w:val="20"/>
          <w:szCs w:val="20"/>
          <w:rtl w:val="true"/>
        </w:rPr>
        <w:t>)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التيمم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 مرسل واعرض عنه الجل بل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الكل عنه</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العمياء</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إطلاق اليد في الآيتين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كون اليد أيضاً مطلقة في السرقة كما في التيمم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الأصل تقديم اليمنى على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الترتيب بين 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فالأصل يقتضيه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التقديم الذكري وقوع الفعل في الخارج أيضاً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التقديم في الذكر وقوع الفعل في الخارج أيضاً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النسخة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بابويه، الشرائع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 المحقق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العلّامة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العلّامة،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الآبي، 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ابن فهد الحلي،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ففيها جميعاً ان علي بن بابويه اعتبر ضربتين في التيمم بدلاً من الوضوء والغسل؛ وفي الذكرى للشهيد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وكشف اللثام للفاضل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اعتبر ثلاث ضربات من غير فرق بين بدلي الوضوء والغسل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التيمم ضربة للوجه وضربة للكفين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النجفي ،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الأخذ بما ترويه العامة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فقد النص من قبل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هامش بعض النسخ من 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الشيخ حسن،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على</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السيد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السكوني في طريقه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معهم ويعيد إذا انصرف</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المخطوطة بهم خ</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الساباطي عن أبي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 سئل عن رجل ليس عليه إلا ثوب واحد، ولا تحل الصلاة فيه، وليس يجد ماء يغسله، كيف يصنع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يتيمم ويصلي، فإذا أصاب ماء غسله وأعاد الصلاة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بعض المجاهيل في سنده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الأحسائي،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النبي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فاتته فريضة، فليقضها كما فاتته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الفريضة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البروجوردي،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مر بماء فلم يتوضأ وقد كان تيمم وصلى في آخر الوقت وهو يريد ماء آخر فلم يبلغ الماء حتى حضرت الصلاة الأخرى، فعليه أن يعيد التيمم؛ لأن ممره بالماء نقض تيممه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النجفي،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مورد للأراء المتخالفة فبعضهم ذهب إلى حجيته مطلقاً وبعضهم إلى عدم اعتباره في الشبهات الحكمية ومنهم من فصل بين الشك في المقتضي والشك في الرافع ومنهم من ذهب إلى غير ذلك، فلا سبيل إلى تحصيل الشهرة خصوصاً مع ذهاب الشيخ الأعظم وبعض الأعلام من تلامذته إلى عدم حجية الاستصحاب في هذا القسم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حجية الاستصحاب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الفوائد الملية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259/11</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ايضاح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التيمم ؛ ينظر 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السكوني في طريقه، وقد تقدم من المصنف عدم الاعتماد عليه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الترمذي،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مع المتن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داود،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الوضوء على الوضوء نور على نور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البحراني،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منتهى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السبزواري، 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همام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يتيم لكل صلاة حتى يوجد الماء</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كيفية التيمم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 هو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كشف اللثام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وبذلك يظهر قوة ما ذهب إليه المرتضى رضی الله عنه أنه لما كانت المسألة عارية عن النص الواضح فالاحتياط فيها مما لا ينبغي تركه بحال</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الجواهر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79962</Words>
  <Characters>354134</Characters>
  <CharactersWithSpaces>431974</CharactersWithSpaces>
  <Paragraphs>2638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2026-08-20T11:00:59Z</dcterms:created>
  <dc:creator>ghaemiyeh.com</dc:creator>
  <dc:description/>
  <dc:language>en-US</dc:language>
  <cp:lastModifiedBy/>
  <dcterms:modified xsi:type="dcterms:W3CDTF">2026-08-20T14:31:13Z</dcterms:modified>
  <cp:revision>1</cp:revision>
  <dc:subject/>
  <dc:title>مباحث من کتاب الطهارة تقریراً لبحث السید المجدد الشیرازی قدس سره</dc:title>
</cp:coreProperties>
</file>

<file path=docProps/custom.xml><?xml version="1.0" encoding="utf-8"?>
<Properties xmlns="http://schemas.openxmlformats.org/officeDocument/2006/custom-properties" xmlns:vt="http://schemas.openxmlformats.org/officeDocument/2006/docPropsVTypes"/>
</file>